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5600" w:type="dxa"/>
            <w:vAlign w:val="bottom"/>
          </w:tcPr>
          <w:p>
            <w:pPr>
              <w:jc w:val="right"/>
              <w:ind w:right="3080"/>
              <w:spacing w:after="0" w:line="190" w:lineRule="exact"/>
              <w:rPr>
                <w:sz w:val="20"/>
                <w:szCs w:val="20"/>
                <w:color w:val="auto"/>
              </w:rPr>
            </w:pPr>
            <w:r>
              <w:rPr>
                <w:rFonts w:ascii="Arial" w:cs="Arial" w:eastAsia="Arial" w:hAnsi="Arial"/>
                <w:sz w:val="18"/>
                <w:szCs w:val="18"/>
                <w:b w:val="1"/>
                <w:bCs w:val="1"/>
                <w:color w:val="auto"/>
              </w:rPr>
              <w:t>(929) 567-0006</w:t>
            </w:r>
          </w:p>
        </w:tc>
      </w:tr>
      <w:tr>
        <w:trPr>
          <w:trHeight w:val="188"/>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39370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65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34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31"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372"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As of April 29, 2024, the number of shares of the registrant’s Class A common stock outstanding was 352,798,288, and the number of shares of the registrant’s Class B common stock outstanding was 18,016,072.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Forward-Looking Statements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March 31, 2024 (unaudited) and June 30, 2023</w:t>
      </w:r>
    </w:p>
    <w:p>
      <w:pPr>
        <w:spacing w:after="0" w:line="32" w:lineRule="exact"/>
        <w:rPr>
          <w:sz w:val="20"/>
          <w:szCs w:val="20"/>
          <w:color w:val="auto"/>
        </w:rPr>
      </w:pPr>
    </w:p>
    <w:p>
      <w:pPr>
        <w:ind w:left="880" w:right="120"/>
        <w:spacing w:after="0" w:line="246" w:lineRule="auto"/>
        <w:rPr>
          <w:sz w:val="20"/>
          <w:szCs w:val="20"/>
          <w:color w:val="auto"/>
        </w:rPr>
      </w:pPr>
      <w:r>
        <w:rPr>
          <w:rFonts w:ascii="Arial" w:cs="Arial" w:eastAsia="Arial" w:hAnsi="Arial"/>
          <w:sz w:val="16"/>
          <w:szCs w:val="16"/>
          <w:u w:val="single" w:color="auto"/>
          <w:color w:val="0000FF"/>
        </w:rPr>
        <w:t>Condensed Consolidated Statements of Operations and Comprehensive Loss for the Three and Nine Months Ended March 31,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Nine Months Ended March 31, 2024 and 2023 (unaudited)</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Stockholders' Equity (Deficit) for the Three and Nine Months Ended March 31,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6</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7</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43</w:t>
      </w:r>
    </w:p>
    <w:p>
      <w:pPr>
        <w:spacing w:after="0" w:line="509" w:lineRule="exact"/>
        <w:rPr>
          <w:sz w:val="20"/>
          <w:szCs w:val="20"/>
          <w:color w:val="auto"/>
        </w:rPr>
      </w:pPr>
    </w:p>
    <w:p>
      <w:pPr>
        <w:sectPr>
          <w:pgSz w:w="11900" w:h="16838" w:orient="portrait"/>
          <w:cols w:equalWidth="0" w:num="2">
            <w:col w:w="10100" w:space="480"/>
            <w:col w:w="6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40" w:type="dxa"/>
            <w:vAlign w:val="bottom"/>
          </w:tcPr>
          <w:p>
            <w:pPr>
              <w:spacing w:after="0"/>
              <w:rPr>
                <w:sz w:val="16"/>
                <w:szCs w:val="16"/>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47</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48</w:t>
            </w:r>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future profitability;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for our products and services and adequately maintain our inventory;</w:t>
      </w:r>
    </w:p>
    <w:p>
      <w:pPr>
        <w:spacing w:after="0" w:line="248"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 and whether our efforts will result in further actions or additional asset impairment charges that adversely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and costs;</w:t>
      </w:r>
    </w:p>
    <w:p>
      <w:pPr>
        <w:spacing w:after="0" w:line="234"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or effectively manage the introduction of new or enhanced products and services;</w:t>
      </w:r>
    </w:p>
    <w:p>
      <w:pPr>
        <w:spacing w:after="0" w:line="2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market;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the Peloton brand;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control over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declines in our revenue growth as our business matures;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declines in sales of our Bike and Bike+;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component costs, long lead times, supply shortages or other supply chain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accidents, safety incidents or workforce disruptions;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seasonality or other fluctuations in our quarterly results;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class content;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acquisitions or dispositions, including the acquisition of Precor;</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expansion into international markets;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failures of information technology systems, or websites;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payment processing, cybersecurity, or data privacy;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Peloton App and its ability to work with a range of mobile and streaming technologies, systems, networks, and standards;</w:t>
      </w:r>
    </w:p>
    <w:p>
      <w:pPr>
        <w:spacing w:after="0" w:line="248"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price and market our Connected Fitness Products and subscriptions and our limited operating history with which to predict the profitability of our subscription model;</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inaccuracies in, or failure to achieve, operational and business metrics or forecasts of market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and management systems and remediate material weaknesses;</w:t>
      </w:r>
    </w:p>
    <w:p>
      <w:pPr>
        <w:sectPr>
          <w:pgSz w:w="11900" w:h="16838" w:orient="portrait"/>
          <w:cols w:equalWidth="0" w:num="1">
            <w:col w:w="11240"/>
          </w:cols>
          <w:pgMar w:left="320" w:top="607" w:right="339" w:bottom="0" w:gutter="0" w:footer="0" w:header="0"/>
        </w:sectPr>
      </w:pPr>
    </w:p>
    <w:bookmarkStart w:id="3" w:name="page4"/>
    <w:bookmarkEnd w:id="3"/>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impacts from warranty claims or product returns;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reliance on third parties for computing, storage, processing and similar services and delivery and installation of our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highly skilled personnel and maintain our culture;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common stock and indebtedness; and</w:t>
      </w:r>
    </w:p>
    <w:p>
      <w:pPr>
        <w:spacing w:after="0" w:line="2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2023, as such factors may be updated in our filings with the Securities and Exchange Commission (the “SEC”).</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 and other bank borrowings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3,064.2</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352,621,872 and 338,750,774 shares issued and outstanding as of March 31, 2024 and June 30,</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2023, respectively; 2,500,000,000 and 2,500,000,000 Class B shares authorized, 18,016,072 and</w:t>
            </w:r>
          </w:p>
        </w:tc>
        <w:tc>
          <w:tcPr>
            <w:tcW w:w="28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18,016,853 shares issued and outstanding as of March 31, 2024 and June 30, 2023, respectively.</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909.8</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2,158.1</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1,025.8</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1,435.6</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635.3</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Supplier settlements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(971.3)</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Foreign exchange (loss) gain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(1,016.4)</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Class A and Class B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367,931,183</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350,426,631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362,910,381</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343,753,996</w:t>
            </w:r>
          </w:p>
        </w:tc>
        <w:tc>
          <w:tcPr>
            <w:tcW w:w="0" w:type="dxa"/>
            <w:vAlign w:val="bottom"/>
          </w:tcPr>
          <w:p>
            <w:pPr>
              <w:spacing w:after="0"/>
              <w:rPr>
                <w:sz w:val="1"/>
                <w:szCs w:val="1"/>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Derivative adjustments: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460"/>
              <w:spacing w:after="0"/>
              <w:rPr>
                <w:sz w:val="20"/>
                <w:szCs w:val="20"/>
                <w:color w:val="auto"/>
              </w:rPr>
            </w:pPr>
            <w:r>
              <w:rPr>
                <w:rFonts w:ascii="Arial" w:cs="Arial" w:eastAsia="Arial" w:hAnsi="Arial"/>
                <w:sz w:val="16"/>
                <w:szCs w:val="16"/>
                <w:color w:val="auto"/>
              </w:rPr>
              <w:t>Reclassification for derivative adjustments included in Net loss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Loss on sale of subsidiary</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subsidiary</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sale of Peloton Output Park</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net from employee stock purchase plan withholdings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plans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4"/>
                <w:szCs w:val="4"/>
                <w:color w:val="auto"/>
              </w:rPr>
            </w:pPr>
          </w:p>
        </w:tc>
        <w:tc>
          <w:tcPr>
            <w:tcW w:w="940" w:type="dxa"/>
            <w:vAlign w:val="bottom"/>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40" w:type="dxa"/>
            <w:vAlign w:val="bottom"/>
          </w:tcPr>
          <w:p>
            <w:pPr>
              <w:jc w:val="center"/>
              <w:ind w:right="10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4,543.0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(4,690.0)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2023</w:t>
            </w:r>
          </w:p>
        </w:tc>
        <w:tc>
          <w:tcPr>
            <w:tcW w:w="980" w:type="dxa"/>
            <w:vAlign w:val="bottom"/>
          </w:tcPr>
          <w:p>
            <w:pPr>
              <w:jc w:val="right"/>
              <w:spacing w:after="0"/>
              <w:rPr>
                <w:sz w:val="20"/>
                <w:szCs w:val="20"/>
                <w:color w:val="auto"/>
              </w:rPr>
            </w:pPr>
            <w:r>
              <w:rPr>
                <w:rFonts w:ascii="Arial" w:cs="Arial" w:eastAsia="Arial" w:hAnsi="Arial"/>
                <w:sz w:val="16"/>
                <w:szCs w:val="16"/>
                <w:color w:val="auto"/>
              </w:rPr>
              <w:t>364.2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4,767.1</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(5,285.9)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280" w:type="dxa"/>
            <w:vAlign w:val="bottom"/>
          </w:tcPr>
          <w:p>
            <w:pPr>
              <w:spacing w:after="0"/>
              <w:rPr>
                <w:sz w:val="24"/>
                <w:szCs w:val="24"/>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4"/>
                <w:szCs w:val="4"/>
                <w:color w:val="auto"/>
              </w:rPr>
            </w:pPr>
          </w:p>
        </w:tc>
        <w:tc>
          <w:tcPr>
            <w:tcW w:w="940" w:type="dxa"/>
            <w:vAlign w:val="bottom"/>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40" w:type="dxa"/>
            <w:vAlign w:val="bottom"/>
          </w:tcPr>
          <w:p>
            <w:pPr>
              <w:jc w:val="center"/>
              <w:ind w:right="10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Cumulative effect of adopting ASU 2020-06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March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4,845.4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(5,453.2)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is the largest interactive fitness platform in the world with a loyal community of Members, which we define as any individual who has a Peloton account through a paid Connected Fitness Subscription or a paid Peloton App Membership.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tiers. Our revenue is generated primarily from recurring Subscription revenue and the sale of our Connected Fitness Products. We are additionally focused on growing our Paid App subscribers, including through efforts such as our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2023,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2023 (the "Form 10-K"). However, the Company believes that the disclosures provided herein are adequate to prevent the information presented from being misleading.</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significant intercompany balances and transactions have been eliminated in consolidation.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nine months ended March 31, 2024 are not necessarily indicative of the results to be expected for any subsequent quarter, the fiscal year ending June 30, 2024, or any other period.</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content costs for past use reserve,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Internal-Use Software</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incurs development costs related to internal-use software. These software development costs meet the criteria for capitalization once the preliminary project stage is complete and it is probable that the project will be completed and the software will be used to perform the function intended.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 Software development costs that do not meet the criteria for capitalization and are expensed as incurred within Research and development in the Condensed Consolidated Statements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2021-08</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October 2021, the Financial Accounting Standards Board issued Accounting Standards Update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Contract Assets and Contract Liabilities from Contracts with Customers. </w:t>
      </w:r>
      <w:r>
        <w:rPr>
          <w:rFonts w:ascii="Arial" w:cs="Arial" w:eastAsia="Arial" w:hAnsi="Arial"/>
          <w:sz w:val="16"/>
          <w:szCs w:val="16"/>
          <w:color w:val="auto"/>
        </w:rPr>
        <w:t>The guidance requires that an acquirer recognize and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 assets and liabilities acquired in a business combination in accordance with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Company adopted ASU 2021-08 on July 1, 2023. The standard will be applied to acquisitions occurring on 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The impact will depend on the contract assets and liabilities acquired in future business combinations.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2023-07</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November 2023, the Financial Accounting Standards Board issued ASU 2023-07, </w:t>
      </w:r>
      <w:r>
        <w:rPr>
          <w:rFonts w:ascii="Arial" w:cs="Arial" w:eastAsia="Arial" w:hAnsi="Arial"/>
          <w:sz w:val="16"/>
          <w:szCs w:val="16"/>
          <w:i w:val="1"/>
          <w:iCs w:val="1"/>
          <w:color w:val="auto"/>
        </w:rPr>
        <w:t>Segment Reporting (Topic 280): Improvements to Reportable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This ASU improves reportable segment disclosure requirements, primarily through enhanced disclosures about significant segment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effective for fiscal years beginning after December 15, 2023 on a retrospective basis. The Company is currently evaluating the impact of adopting this ASU.</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2023-09</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December 2023, the Financial Accounting Standards Board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This ASU enhances income tax information primarily through changes in the rate reconciliation and income taxes paid information, and is effective for fiscal years beginning after December 15, 2024 on a prospective basis. The Company is currently evaluating the impact of adopting this ASU.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primary sources of revenue are its recurring content Subscription revenue, revenue from sales of its Connected Fitness Products, rental lease arrangements, accessories, and branded apparel, as well as Precor branded fitness products, delivery, and installation services.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w:t>
      </w:r>
    </w:p>
    <w:p>
      <w:pPr>
        <w:sectPr>
          <w:pgSz w:w="11900" w:h="16838" w:orient="portrait"/>
          <w:cols w:equalWidth="0" w:num="1">
            <w:col w:w="11240"/>
          </w:cols>
          <w:pgMar w:left="320" w:top="611"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 w:name="page11"/>
    <w:bookmarkEnd w:id="10"/>
    <w:p>
      <w:pPr>
        <w:jc w:val="both"/>
        <w:spacing w:after="0" w:line="265" w:lineRule="auto"/>
        <w:rPr>
          <w:sz w:val="20"/>
          <w:szCs w:val="20"/>
          <w:color w:val="auto"/>
        </w:rPr>
      </w:pPr>
      <w:r>
        <w:rPr>
          <w:rFonts w:ascii="Arial" w:cs="Arial" w:eastAsia="Arial" w:hAnsi="Arial"/>
          <w:sz w:val="16"/>
          <w:szCs w:val="16"/>
          <w:color w:val="auto"/>
        </w:rPr>
        <w:t>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Some of the Company’s revenues relate to rental lease arrangements. The Company’s rental program allows Members to lease a Bike or Bike+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Lease revenue is recognized on a straight-line basis over the term of the lease within Connected Fitness Products revenue, while the underlying equipment subject to the lease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primarily consist of an All-Access Membership, which is recognized within Subscription revenue.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Products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subscriptions provide access to Peloton content in its library of live and on-demand fitness classes. The Company’s subscriptions are offered on a month-to-month or prepaid basis.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from the date of original delivery,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298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6"/>
              </w:rPr>
              <w:t>51.1</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left="65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59"/>
              <w:spacing w:after="0"/>
              <w:rPr>
                <w:sz w:val="20"/>
                <w:szCs w:val="20"/>
                <w:color w:val="auto"/>
              </w:rPr>
            </w:pPr>
            <w:r>
              <w:rPr>
                <w:rFonts w:ascii="Arial" w:cs="Arial" w:eastAsia="Arial" w:hAnsi="Arial"/>
                <w:sz w:val="16"/>
                <w:szCs w:val="16"/>
                <w:color w:val="auto"/>
                <w:w w:val="96"/>
              </w:rPr>
              <w:t>12.8</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63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rPr>
              <w:t>(34.1)</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96"/>
              </w:rPr>
              <w:t>29.8</w:t>
            </w: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revenue disaggregated by segment, excluding sales-based taxes, are included in </w:t>
      </w:r>
      <w:r>
        <w:rPr>
          <w:rFonts w:ascii="Arial" w:cs="Arial" w:eastAsia="Arial" w:hAnsi="Arial"/>
          <w:sz w:val="16"/>
          <w:szCs w:val="16"/>
          <w:i w:val="1"/>
          <w:iCs w:val="1"/>
          <w:color w:val="auto"/>
        </w:rPr>
        <w:t>Note 12 - Segment Information</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5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1,996.6</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r>
      <w:tr>
        <w:trPr>
          <w:trHeight w:val="23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three and nine months ended March 31, 2024, the Company’s revenue attributable to the United States was $632.4 million and $1,818.5 million, or 88% and 88% of total revenue, respectively. During the three and nine months ended March 31, 2023, the Company’s revenue attributable to the United States was $666.8 million and $1,923.6 million, or 89% and 89% of total revenue,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 and Customer Deposits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2024 and June 30, 2023, deferred revenue of $101.3 million and $99.2 million, respectively, and customer deposits of $81.0 million and $88.1 million, respectively, were included in Deferred revenue and customer deposits on the Company’s Condensed Consolidated Balance Sheets.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nine months ended March 31, 2024 and 2023, the Company recognized revenue of $95.2 million and $92.0 million, respectively, that was included in the deferred revenue balance as of June 30, 2023 and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the Company announced and began implementing a restructuring plan to realign the Company’s operational focus to support its multi-year growth, scale the business, and improve costs (the “2022 Restructuring Plan”). The 2022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fiscal year 2023, the Company continued to take actions to implement the 2022 Restructuring Plan. In July 2022, the Company announced it was exiting all owned-manufacturing operations and expanding its current relationship with a Taiwanese manufacturer, Rexon Industrial Corporation. Additionally, in August 2022, the Company announced the decision to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retail showroom presence.</w:t>
      </w:r>
    </w:p>
    <w:p>
      <w:pPr>
        <w:sectPr>
          <w:pgSz w:w="11900" w:h="16838" w:orient="portrait"/>
          <w:cols w:equalWidth="0" w:num="1">
            <w:col w:w="11240"/>
          </w:cols>
          <w:pgMar w:left="320" w:top="611" w:right="3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In January 2024, the Company completed the sale of the Peloton Output Park building and a portion of the corresponding land and received net proceeds of approximately $31.9 million. The Company continues to market the remaining land parcel.</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22, 2024, the Company’s Board of Directors approved a new restructuring plan to expand upon its 2022 restructuring plan (as expanded, the “2024 Restructuring Plan”).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our retail locations. The Company expects the 2024 Restructuring Plan to be substantially implemented by the end of fiscal 2025.</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a result of these restructuring initiatives, the Company incurred the charges shown in the following table. Asset write-downs and write-offs are included within Impairment expense in the Condensed Consolidated Statements of Operations and Comprehensive Loss. The remaining charges incurred are included within Restructuring expense in the Condensed Consolidated Statements of Operations and Comprehensive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Severance and other personnel costs</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Exit and disposal costs and professional fees</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51"/>
        </w:trPr>
        <w:tc>
          <w:tcPr>
            <w:tcW w:w="5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Asset write-downs and write-offs</w:t>
            </w:r>
            <w:r>
              <w:rPr>
                <w:rFonts w:ascii="Arial" w:cs="Arial" w:eastAsia="Arial" w:hAnsi="Arial"/>
                <w:sz w:val="21"/>
                <w:szCs w:val="21"/>
                <w:color w:val="auto"/>
                <w:vertAlign w:val="superscript"/>
              </w:rPr>
              <w:t>(3)</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Write-offs of inventory related to restructuring activities</w:t>
            </w:r>
            <w:r>
              <w:rPr>
                <w:rFonts w:ascii="Arial" w:cs="Arial" w:eastAsia="Arial" w:hAnsi="Arial"/>
                <w:sz w:val="21"/>
                <w:szCs w:val="21"/>
                <w:color w:val="auto"/>
                <w:vertAlign w:val="superscript"/>
              </w:rPr>
              <w:t>(5)</w:t>
            </w:r>
          </w:p>
        </w:tc>
        <w:tc>
          <w:tcPr>
            <w:tcW w:w="9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Loss on sale of subsidiary</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140"/>
              <w:spacing w:after="0"/>
              <w:rPr>
                <w:sz w:val="20"/>
                <w:szCs w:val="20"/>
                <w:color w:val="auto"/>
              </w:rPr>
            </w:pPr>
            <w:r>
              <w:rPr>
                <w:rFonts w:ascii="Arial" w:cs="Arial" w:eastAsia="Arial" w:hAnsi="Arial"/>
                <w:sz w:val="16"/>
                <w:szCs w:val="16"/>
                <w:color w:val="auto"/>
              </w:rPr>
              <w:t>Total non-cash charges</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71"/>
        </w:trPr>
        <w:tc>
          <w:tcPr>
            <w:tcW w:w="53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_________________________</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5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right="26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$1.1 million and $7.5 million of severance and other personnel costs related to the 2022 Restructuring Plan for the three and nine months ended March 31, 2024, respectively, and $32.5 million related to the 2024 Restructuring Plan for both the three and nine months ended March 31, 2024</w:t>
      </w:r>
    </w:p>
    <w:p>
      <w:pPr>
        <w:spacing w:after="0" w:line="22"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exit and disposal costs and professional fees related to the 2022 Restructuring Plan.</w:t>
      </w:r>
    </w:p>
    <w:p>
      <w:pPr>
        <w:spacing w:after="0" w:line="66" w:lineRule="exact"/>
        <w:rPr>
          <w:rFonts w:ascii="Arial" w:cs="Arial" w:eastAsia="Arial" w:hAnsi="Arial"/>
          <w:sz w:val="13"/>
          <w:szCs w:val="13"/>
          <w:color w:val="auto"/>
        </w:rPr>
      </w:pPr>
    </w:p>
    <w:p>
      <w:pPr>
        <w:ind w:right="10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$7.0 million and $31.1 million of asset write-downs and write-offs related to the 2022 Restructuring Plan for the three and nine months ended March 31, 2024, respectively and $10.8 million related to the 2024 Restructuring Plan for both the three and nine months ended March 31, 2024.</w:t>
      </w:r>
    </w:p>
    <w:p>
      <w:pPr>
        <w:spacing w:after="0" w:line="22" w:lineRule="exact"/>
        <w:rPr>
          <w:rFonts w:ascii="Arial" w:cs="Arial" w:eastAsia="Arial" w:hAnsi="Arial"/>
          <w:sz w:val="13"/>
          <w:szCs w:val="13"/>
          <w:color w:val="auto"/>
        </w:rPr>
      </w:pPr>
    </w:p>
    <w:p>
      <w:pPr>
        <w:ind w:right="38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zero and $7.2 million of stock-based compensation expense related to the 2022 Restructuring Plan for the three and nine months ended March 31, 2024, respectively, and $1.7 million related to the 2024 Restructuring Plan for both the three and nine months ended March 31, 2024.</w:t>
      </w:r>
    </w:p>
    <w:p>
      <w:pPr>
        <w:spacing w:after="0" w:line="22" w:lineRule="exact"/>
        <w:rPr>
          <w:rFonts w:ascii="Arial" w:cs="Arial" w:eastAsia="Arial" w:hAnsi="Arial"/>
          <w:sz w:val="13"/>
          <w:szCs w:val="13"/>
          <w:color w:val="auto"/>
        </w:rPr>
      </w:pPr>
    </w:p>
    <w:p>
      <w:pPr>
        <w:ind w:right="60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write-offs of inventory related to the 2022 Restructuring Plan, which are included within Cost of revenue: Connected Fitness Products in the Condensed Consolidated Statement of Operations and Comprehensive Loss.</w:t>
      </w:r>
    </w:p>
    <w:p>
      <w:pPr>
        <w:spacing w:after="0" w:line="35"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loss on sale of subsidiary recognized in connection with the 2022 Restructuring Plan.</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Due to the actions taken pursuant to the 2022 Restructuring Plan and 2024 Restructuring Plan,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nine months ended March 31, 2024 and 2023,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present a roll-forward of cash restructuring-related liabilities, which is included within Accounts payable and accrued expenses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Charges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ind w:right="300" w:firstLine="8"/>
        <w:spacing w:after="0" w:line="264" w:lineRule="auto"/>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$1.1 million and $32.5 million of charges for severance and other personnel costs related to the 2022 Restructuring Plan and 2024 Restructuring Plan, respectively, for the three months ended March 31, 2024. The majority of the cash charges are expected to be paid during the fourth quarter of fiscal year ended June 30,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10.9</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84.4</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12.8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12.8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13.6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13.9</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Charges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56.1</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w w:val="96"/>
              </w:rPr>
              <w:t>35.2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w w:val="96"/>
              </w:rPr>
              <w:t>38.2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right="340" w:firstLine="8"/>
        <w:spacing w:after="0" w:line="245"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$7.5 million and $32.5 million of charges for severance and other personnel costs related to the 2022 Restructuring Plan and 2024 Restructuring Plan, respectively, for the nine months ended March 31, 2024. The majority of the cash charges are expected to be paid during the fourth quarter of fiscal year ended June 30, 2024.</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the Company estimates that it will incur additional cash charges of approximately $45.0 million, primarily composed of lease termination and other exit costs, which are expected to be substantially incurred by the end of fiscal year 2025. Additionally, the Company expects to recognize additional non-cash charges of approximately $20.0 million, primarily composed of non-inventory asset impairment charges, which are expected to be substantially incurred by the end of fiscal year 2025.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5.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present the estimated fair values of the Company’s financial instruments that are not recorded at fair value on the 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auto"/>
              </w:rPr>
              <w:t>As of March 31, 2024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w:t>
            </w:r>
          </w:p>
        </w:tc>
      </w:tr>
      <w:tr>
        <w:trPr>
          <w:trHeight w:val="553"/>
        </w:trPr>
        <w:tc>
          <w:tcPr>
            <w:tcW w:w="5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As of June 30, 2023</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r>
    </w:tbl>
    <w:p>
      <w:pPr>
        <w:spacing w:after="0" w:line="2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the 0% Convertible Senior Notes due February 15, 2026 (the “Notes”) is determined based on the closing price on the last trading day of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Term Loan (as defined below) approximates the fair value of the Term Loan as of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7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2024</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2023</w:t>
            </w:r>
          </w:p>
        </w:tc>
      </w:tr>
      <w:tr>
        <w:trPr>
          <w:trHeight w:val="209"/>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703.0</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ind w:firstLine="8"/>
        <w:spacing w:after="0" w:line="286"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$36.3 million and $26.4 million of finished goods inventory in transit, products owned by the Company that have not yet been received at a Company distribution center, as of March 31, 2024 and June 30, 2023, respectively.</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Company’s recorded inventory reserves as of March 31, 2024 primarily consisted of $95.0 million related to excess accessories and apparel inventory and $82.1 million related to returned Connected Fitness Products that the Company does not expect to sell.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certain times and upon the occurrence of certain events.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Notes are senior unsecured obligations of the Company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gridSpan w:val="2"/>
          </w:tcPr>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5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March 31, 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0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3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340" w:type="dxa"/>
            <w:vAlign w:val="bottom"/>
          </w:tcPr>
          <w:p>
            <w:pPr>
              <w:spacing w:after="0"/>
              <w:rPr>
                <w:sz w:val="24"/>
                <w:szCs w:val="24"/>
                <w:color w:val="auto"/>
              </w:rPr>
            </w:pPr>
          </w:p>
        </w:tc>
        <w:tc>
          <w:tcPr>
            <w:tcW w:w="3000" w:type="dxa"/>
            <w:vAlign w:val="bottom"/>
            <w:gridSpan w:val="7"/>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27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3.4</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3.4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 2019, the Company entered into an amended and restated revolving credit agreement.</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3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still be replaced with a covenant to maintain a minimum secured debt to adjusted EBITDA ratio upon our meeting a specified adjusted EBITDA threshold.</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and nine months ended March 31, 2024, the Company incurred total commitment fees of $0.3 million and $1.0 million, respectively, and $0.4 million and $1.2 million during the three and nine months ended March 31, 2023, respectively, which are included in Interest expense in the Condensed Consolidated Statements of Operations and Comprehensive Loss.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2024, the Company had drawn the full amount of the Term Loan and had $736.9 million of total outstanding borrowings under the Second Amended and Restated Credit Agreement.</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2024, the Company had not drawn any amount under the Revolving Facility and as such did not have to test the financial covenants under the Second Amended and Restated Credit Agreement. The Company is required to pledge or otherwise restrict a portion of cash and cash equivalents as collateral for standby letters of credit. As of March 31, 2024, the Company had outstanding letters of credit totaling $54.2 million, which are classified as Restricted cash on the Condensed Consolidated Balance Sheet.</w:t>
      </w:r>
    </w:p>
    <w:p>
      <w:pPr>
        <w:sectPr>
          <w:pgSz w:w="11900" w:h="16838" w:orient="portrait"/>
          <w:cols w:equalWidth="0" w:num="1">
            <w:col w:w="11240"/>
          </w:cols>
          <w:pgMar w:left="320" w:top="654"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17" w:name="page18"/>
    <w:bookmarkEnd w:id="17"/>
    <w:p>
      <w:pPr>
        <w:jc w:val="both"/>
        <w:spacing w:after="0" w:line="265" w:lineRule="auto"/>
        <w:rPr>
          <w:sz w:val="20"/>
          <w:szCs w:val="20"/>
          <w:color w:val="auto"/>
        </w:rPr>
      </w:pPr>
      <w:r>
        <w:rPr>
          <w:rFonts w:ascii="Arial" w:cs="Arial" w:eastAsia="Arial" w:hAnsi="Arial"/>
          <w:sz w:val="16"/>
          <w:szCs w:val="16"/>
          <w:color w:val="auto"/>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into the Term Loan, the effective interest rate was 10.2%. On each of November 25, 2022, May 25, 2023, and November 25, 2023, the rate was updated to 13.7%, 14.3%, and 14.5%, respectively. The current effective interest rate on the Term Loan is 14.5% as of March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8"/>
        </w:trPr>
        <w:tc>
          <w:tcPr>
            <w:tcW w:w="7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2023</w:t>
            </w:r>
          </w:p>
        </w:tc>
      </w:tr>
      <w:tr>
        <w:trPr>
          <w:trHeight w:val="209"/>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non-cash interest expense recognized related to the Term Loan: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non-cash interest expense related to the Term Loan</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License Agreements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 as of March 31, 2024:</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Tread+ Product Recall Return Reserves and Cost Estimates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On May 5, 2021, the Company announced a voluntary recall of its Tread+ in collaboration with the </w:t>
      </w:r>
      <w:r>
        <w:rPr>
          <w:rFonts w:ascii="Arial" w:cs="Arial" w:eastAsia="Arial" w:hAnsi="Arial"/>
          <w:sz w:val="16"/>
          <w:szCs w:val="16"/>
          <w:color w:val="000000"/>
        </w:rPr>
        <w:t>U.S. Consumer Product Safety Commission ("</w:t>
      </w:r>
      <w:r>
        <w:rPr>
          <w:rFonts w:ascii="Arial" w:cs="Arial" w:eastAsia="Arial" w:hAnsi="Arial"/>
          <w:sz w:val="16"/>
          <w:szCs w:val="16"/>
          <w:color w:val="050505"/>
        </w:rPr>
        <w:t xml:space="preserve">CPSC") and halted sales of this product to work on product enhancements. On May 18, 2023, the Company and the CPSC jointly announced the approval of a rear guard repair for the recalled Tread+. We have made this rear guard available to our Members who continue to own a Tread+ and during the </w:t>
      </w:r>
      <w:r>
        <w:rPr>
          <w:rFonts w:ascii="Arial" w:cs="Arial" w:eastAsia="Arial" w:hAnsi="Arial"/>
          <w:sz w:val="16"/>
          <w:szCs w:val="16"/>
          <w:color w:val="000000"/>
        </w:rPr>
        <w:t>three months</w:t>
      </w:r>
      <w:r>
        <w:rPr>
          <w:rFonts w:ascii="Arial" w:cs="Arial" w:eastAsia="Arial" w:hAnsi="Arial"/>
          <w:sz w:val="16"/>
          <w:szCs w:val="16"/>
          <w:color w:val="050505"/>
        </w:rPr>
        <w:t xml:space="preserve"> </w:t>
      </w:r>
      <w:r>
        <w:rPr>
          <w:rFonts w:ascii="Arial" w:cs="Arial" w:eastAsia="Arial" w:hAnsi="Arial"/>
          <w:sz w:val="16"/>
          <w:szCs w:val="16"/>
          <w:color w:val="000000"/>
        </w:rPr>
        <w:t>ended March 31, 2023</w:t>
      </w:r>
      <w:r>
        <w:rPr>
          <w:rFonts w:ascii="Arial" w:cs="Arial" w:eastAsia="Arial" w:hAnsi="Arial"/>
          <w:sz w:val="16"/>
          <w:szCs w:val="16"/>
          <w:color w:val="050505"/>
        </w:rPr>
        <w:t>, we resumed deliveries of the Tread+ from our existing inventory with the rear guard installed.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color w:val="050505"/>
        </w:rPr>
        <w:t>The following table details the (benefit)/reduction to Connected Fitness Products revenue for actual and future returns and costs associated with the Tread+ product recall that were recorded in Connected Fitness Products cost of 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2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Returns accrual for (benefit)/reduction to Connected Fitness Products</w:t>
            </w:r>
          </w:p>
        </w:tc>
        <w:tc>
          <w:tcPr>
            <w:tcW w:w="1020" w:type="dxa"/>
            <w:vAlign w:val="bottom"/>
            <w:vMerge w:val="restart"/>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Costs (benefits) of product recalls</w:t>
            </w:r>
          </w:p>
        </w:tc>
        <w:tc>
          <w:tcPr>
            <w:tcW w:w="10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 xml:space="preserve">Return reserves related to the impacts of the Tread+ recall of </w:t>
      </w:r>
      <w:r>
        <w:rPr>
          <w:rFonts w:ascii="Arial" w:cs="Arial" w:eastAsia="Arial" w:hAnsi="Arial"/>
          <w:sz w:val="16"/>
          <w:szCs w:val="16"/>
          <w:color w:val="000000"/>
        </w:rPr>
        <w:t>$7.5 million</w:t>
      </w:r>
      <w:r>
        <w:rPr>
          <w:rFonts w:ascii="Arial" w:cs="Arial" w:eastAsia="Arial" w:hAnsi="Arial"/>
          <w:sz w:val="16"/>
          <w:szCs w:val="16"/>
          <w:color w:val="050505"/>
        </w:rPr>
        <w:t xml:space="preserve"> and </w:t>
      </w:r>
      <w:r>
        <w:rPr>
          <w:rFonts w:ascii="Arial" w:cs="Arial" w:eastAsia="Arial" w:hAnsi="Arial"/>
          <w:sz w:val="16"/>
          <w:szCs w:val="16"/>
          <w:color w:val="000000"/>
        </w:rPr>
        <w:t>$24.4 million</w:t>
      </w:r>
      <w:r>
        <w:rPr>
          <w:rFonts w:ascii="Arial" w:cs="Arial" w:eastAsia="Arial" w:hAnsi="Arial"/>
          <w:sz w:val="16"/>
          <w:szCs w:val="16"/>
          <w:color w:val="050505"/>
        </w:rPr>
        <w:t xml:space="preserve"> were included within Accounts payable and accrued expenses in the Condensed Consolidated Balance Sheets as of March 31, 2024 </w:t>
      </w:r>
      <w:r>
        <w:rPr>
          <w:rFonts w:ascii="Arial" w:cs="Arial" w:eastAsia="Arial" w:hAnsi="Arial"/>
          <w:sz w:val="16"/>
          <w:szCs w:val="16"/>
          <w:color w:val="000000"/>
        </w:rPr>
        <w:t>and</w:t>
      </w:r>
      <w:r>
        <w:rPr>
          <w:rFonts w:ascii="Arial" w:cs="Arial" w:eastAsia="Arial" w:hAnsi="Arial"/>
          <w:sz w:val="16"/>
          <w:szCs w:val="16"/>
          <w:color w:val="050505"/>
        </w:rPr>
        <w:t xml:space="preserve"> June 30, 2023, respectively. Accruals for costs associated with the Tread+ repair of </w:t>
      </w:r>
      <w:r>
        <w:rPr>
          <w:rFonts w:ascii="Arial" w:cs="Arial" w:eastAsia="Arial" w:hAnsi="Arial"/>
          <w:sz w:val="16"/>
          <w:szCs w:val="16"/>
          <w:color w:val="000000"/>
        </w:rPr>
        <w:t xml:space="preserve">$8.9 million </w:t>
      </w:r>
      <w:r>
        <w:rPr>
          <w:rFonts w:ascii="Arial" w:cs="Arial" w:eastAsia="Arial" w:hAnsi="Arial"/>
          <w:sz w:val="16"/>
          <w:szCs w:val="16"/>
          <w:color w:val="050505"/>
        </w:rPr>
        <w:t>and</w:t>
      </w:r>
      <w:r>
        <w:rPr>
          <w:rFonts w:ascii="Arial" w:cs="Arial" w:eastAsia="Arial" w:hAnsi="Arial"/>
          <w:sz w:val="16"/>
          <w:szCs w:val="16"/>
          <w:color w:val="000000"/>
        </w:rPr>
        <w:t xml:space="preserve"> $10.0 million </w:t>
      </w:r>
      <w:r>
        <w:rPr>
          <w:rFonts w:ascii="Arial" w:cs="Arial" w:eastAsia="Arial" w:hAnsi="Arial"/>
          <w:sz w:val="16"/>
          <w:szCs w:val="16"/>
          <w:color w:val="050505"/>
        </w:rPr>
        <w:t>were included within Accounts payable and accrued expenses in the Condensed Consolidated Balance Sheet as of March 31,</w:t>
      </w:r>
      <w:r>
        <w:rPr>
          <w:rFonts w:ascii="Arial" w:cs="Arial" w:eastAsia="Arial" w:hAnsi="Arial"/>
          <w:sz w:val="16"/>
          <w:szCs w:val="16"/>
          <w:color w:val="000000"/>
        </w:rPr>
        <w:t xml:space="preserve"> </w:t>
      </w:r>
      <w:r>
        <w:rPr>
          <w:rFonts w:ascii="Arial" w:cs="Arial" w:eastAsia="Arial" w:hAnsi="Arial"/>
          <w:sz w:val="16"/>
          <w:szCs w:val="16"/>
          <w:color w:val="050505"/>
        </w:rPr>
        <w:t xml:space="preserve">2024 </w:t>
      </w:r>
      <w:r>
        <w:rPr>
          <w:rFonts w:ascii="Arial" w:cs="Arial" w:eastAsia="Arial" w:hAnsi="Arial"/>
          <w:sz w:val="16"/>
          <w:szCs w:val="16"/>
          <w:color w:val="000000"/>
        </w:rPr>
        <w:t>and</w:t>
      </w:r>
      <w:r>
        <w:rPr>
          <w:rFonts w:ascii="Arial" w:cs="Arial" w:eastAsia="Arial" w:hAnsi="Arial"/>
          <w:sz w:val="16"/>
          <w:szCs w:val="16"/>
          <w:color w:val="050505"/>
        </w:rPr>
        <w:t xml:space="preserve"> June 30, 2023, respectively. The estimated return reserves are based on historical and expected product returns. The estimated costs associated with the Tread+ repair are primarily based on the estimated number of requests for the Tread+ repair and the estimated costs of the production, delivery, and installation of the remedy.</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Bike Seat Post Recall</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w:t>
      </w:r>
      <w:r>
        <w:rPr>
          <w:rFonts w:ascii="Arial" w:cs="Arial" w:eastAsia="Arial" w:hAnsi="Arial"/>
          <w:sz w:val="16"/>
          <w:szCs w:val="16"/>
          <w:color w:val="050505"/>
        </w:rPr>
        <w:t>As of</w:t>
      </w:r>
      <w:r>
        <w:rPr>
          <w:rFonts w:ascii="Arial" w:cs="Arial" w:eastAsia="Arial" w:hAnsi="Arial"/>
          <w:sz w:val="16"/>
          <w:szCs w:val="16"/>
          <w:color w:val="auto"/>
        </w:rPr>
        <w:t xml:space="preserve"> March 31, 2024 and </w:t>
      </w:r>
      <w:r>
        <w:rPr>
          <w:rFonts w:ascii="Arial" w:cs="Arial" w:eastAsia="Arial" w:hAnsi="Arial"/>
          <w:sz w:val="16"/>
          <w:szCs w:val="16"/>
          <w:color w:val="050505"/>
        </w:rPr>
        <w:t>June 30, 2023</w:t>
      </w:r>
      <w:r>
        <w:rPr>
          <w:rFonts w:ascii="Arial" w:cs="Arial" w:eastAsia="Arial" w:hAnsi="Arial"/>
          <w:sz w:val="16"/>
          <w:szCs w:val="16"/>
          <w:color w:val="auto"/>
        </w:rPr>
        <w:t>, accrual</w:t>
      </w:r>
      <w:r>
        <w:rPr>
          <w:rFonts w:ascii="Arial" w:cs="Arial" w:eastAsia="Arial" w:hAnsi="Arial"/>
          <w:sz w:val="16"/>
          <w:szCs w:val="16"/>
          <w:color w:val="050505"/>
        </w:rPr>
        <w:t>s of</w:t>
      </w:r>
      <w:r>
        <w:rPr>
          <w:rFonts w:ascii="Arial" w:cs="Arial" w:eastAsia="Arial" w:hAnsi="Arial"/>
          <w:sz w:val="16"/>
          <w:szCs w:val="16"/>
          <w:color w:val="auto"/>
        </w:rPr>
        <w:t xml:space="preserve"> $2.4 million and $42.2 million, respectively, </w:t>
      </w:r>
      <w:r>
        <w:rPr>
          <w:rFonts w:ascii="Arial" w:cs="Arial" w:eastAsia="Arial" w:hAnsi="Arial"/>
          <w:sz w:val="16"/>
          <w:szCs w:val="16"/>
          <w:color w:val="050505"/>
        </w:rPr>
        <w:t>were included within Accounts payable and accrued expenses in</w:t>
      </w:r>
      <w:r>
        <w:rPr>
          <w:rFonts w:ascii="Arial" w:cs="Arial" w:eastAsia="Arial" w:hAnsi="Arial"/>
          <w:sz w:val="16"/>
          <w:szCs w:val="16"/>
          <w:color w:val="auto"/>
        </w:rPr>
        <w:t xml:space="preserve"> </w:t>
      </w:r>
      <w:r>
        <w:rPr>
          <w:rFonts w:ascii="Arial" w:cs="Arial" w:eastAsia="Arial" w:hAnsi="Arial"/>
          <w:sz w:val="16"/>
          <w:szCs w:val="16"/>
          <w:color w:val="050505"/>
        </w:rPr>
        <w:t xml:space="preserve">the Condensed Consolidated Balance Sheet related to the recall. The estimated cost to replace the bike seat posts is primarily based on the estimated number of requests for seat posts and the estimated costs of the production and shipment of the replacement parts. </w:t>
      </w:r>
      <w:r>
        <w:rPr>
          <w:rFonts w:ascii="Arial" w:cs="Arial" w:eastAsia="Arial" w:hAnsi="Arial"/>
          <w:sz w:val="16"/>
          <w:szCs w:val="16"/>
          <w:color w:val="000000"/>
        </w:rPr>
        <w:t>For more detail on the potential impacts</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of the recall to our business, see </w:t>
      </w:r>
      <w:r>
        <w:rPr>
          <w:rFonts w:ascii="Arial" w:cs="Arial" w:eastAsia="Arial" w:hAnsi="Arial"/>
          <w:sz w:val="16"/>
          <w:szCs w:val="16"/>
          <w:i w:val="1"/>
          <w:iCs w:val="1"/>
          <w:color w:val="auto"/>
        </w:rPr>
        <w:t>“Risk Factors—Risks Related to Our Connected Fitness Products and Members—Our products and services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affected from time to time by design and manufacturing defects or product safety issues, real or perceived, that could adversely affect our business and result in harm to our reputation” </w:t>
      </w:r>
      <w:r>
        <w:rPr>
          <w:rFonts w:ascii="Arial" w:cs="Arial" w:eastAsia="Arial" w:hAnsi="Arial"/>
          <w:sz w:val="16"/>
          <w:szCs w:val="16"/>
          <w:color w:val="auto"/>
        </w:rPr>
        <w:t>in our Form 10-K.</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2024, the Company’s commitments to contract with third-party manufacturers for their inventory on-hand and component purchase commitments related to the manufacture of Peloton products were estimated to be approximately $123.5 million, of which $109.7 million is expected to be paid over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its business, including the matters set forth below. We deny the allegations in the active matters described below and intend to vigorously defend against such matters.</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Some of our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spacing w:after="0" w:line="21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evaluate, on a regular basis, developments in our legal proceedings and other contingencies that could affect the amount of liability, including amounts in excess of any previous accruals and reasonably possible losses disclosed, and make adjustments and changes to our accruals and disclosures as appropriate. For the matters we disclose that do not include an estimate of the amount of loss or range of losses, such an estimate is not possible or is immaterial.</w:t>
      </w:r>
    </w:p>
    <w:p>
      <w:pPr>
        <w:spacing w:after="0" w:line="19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Given that our legal and regulatory proceedings are subject to uncertainty, there can be no assurance that such legal proceedings, either individually or in the aggregate, will not have a material adverse effect on our business, results of operations, financial condition or cash flows.</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9" w:name="page20"/>
    <w:bookmarkEnd w:id="19"/>
    <w:p>
      <w:pPr>
        <w:ind w:right="60"/>
        <w:spacing w:after="0" w:line="259" w:lineRule="auto"/>
        <w:rPr>
          <w:sz w:val="20"/>
          <w:szCs w:val="20"/>
          <w:color w:val="auto"/>
        </w:rPr>
      </w:pPr>
      <w:r>
        <w:rPr>
          <w:rFonts w:ascii="Arial" w:cs="Arial" w:eastAsia="Arial" w:hAnsi="Arial"/>
          <w:sz w:val="16"/>
          <w:szCs w:val="16"/>
          <w:color w:val="auto"/>
        </w:rPr>
        <w:t>In May 2021, we initiated a voluntary recall of our Tread+ product in collaboration with the CPSC. In December 2022, we entered into a settlement agreement with the CPSC regarding matters related to the Tread+ recall. In the settlement, we agreed to pay a $19.1 million civil penalty, resolving the CPSC’s charges that we violated the Consumer Product Safety Act (the “CPSA”). On May 18, 2023, the Company and the CPSC jointly announced the approval of a rear guard repair for the recalled Tread+. The SEC is investigating our public disclosures concerning the Tread+ recall, as well as other matters. In addition, in 2021, the U.S. Department of Justice (the “DOJ”) and the Department of Homeland Security subpoenaed us for documents and other information related to our statutory obligations, including under the CPSA. In addition to such investigations, we are presently subject to personal injury claims related to the safety of the Tread+.</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November 16, 2021, the United States District Court for the Eastern District of New York consolidated two putative securities class action lawsuits against the Company and certain of the Company’s officers under the caption In re Peloton Interactive, Inc. Securities Litigation, Master File No. 21-cv-02369-CBA-PK, and appointed Richard Neswick as lead plaintiff. On January 21, 2022, the lead plaintiff filed an amended consolidated complaint in the action purportedly on behalf of a class consisting of those individuals who purchased or otherwise acquired our common stock between September 11, 2020 and May 5, 2021. Lead plaintiff alleged that the Company and certain of the Company’s officers made false or misleading statements in violation of Sections 10(b) and 20(a) of the Securities Exchange Act of 1934, as amended (the “Exchange Act”), regarding the Peloton Tread+ and the safety of the product. On April 17, 2023, the parties entered into a settlement agreement to resolve the action for $14.0 million, for which the Company had previously taken a reserve. Under the terms of this agreement, defendants continue to deny any liability or wrongdoing. The settlement remains subject to court approval.</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October 26, 2021 and January 24, 2022, the United States District Court for the Eastern District of New York consolidated four stockholder derivative actions purportedly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Alan Chu, Moshe Genack, Xingqi Liu and Anthony Franchi were appointed as co-lead plaintiffs. The EDNY Derivative Action was stayed on February 11, 2022. On December 14, 2022, two putative verified stockholder derivative actions in the Court of Chancery of the State of Delaware, purportedly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and stayed. On December 22, 2022, a stockholder filed a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which was stayed on January 12, 2023. These cases remain stayed pending resolution of the settlement in In re Peloton Interactive, Inc. Securities Litigation, Master File No. 21-cv-02369-CBA-PK (E.D.N.Y.).</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our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On April 2, 2024, plaintiffs served an opposition to defendants’ motion.</w:t>
      </w:r>
    </w:p>
    <w:p>
      <w:pPr>
        <w:spacing w:after="0" w:line="21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our common stock between February 5, 2021 and January 19, 2022, and defendants moved to dismiss the complaint on June 16, 2023. Briefing on defendants’ motion to dismiss the amended complaint in the SDNY Class Action was completed on August 18, 2023.</w:t>
      </w:r>
    </w:p>
    <w:p>
      <w:pPr>
        <w:spacing w:after="0" w:line="20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demand for the Company’s products and engaging in improper trading. Allison Manzella, Clark Ovruchesky, Daniel Banks and Karen Florentino are co-lead plaintiffs. The court stayed the action on September 26, 2023 pending resolution of the motion to dismiss in the SDNY Class Action.</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20" w:name="page21"/>
    <w:bookmarkEnd w:id="20"/>
    <w:p>
      <w:pPr>
        <w:ind w:right="60"/>
        <w:spacing w:after="0" w:line="256" w:lineRule="auto"/>
        <w:rPr>
          <w:sz w:val="20"/>
          <w:szCs w:val="20"/>
          <w:color w:val="auto"/>
        </w:rPr>
      </w:pPr>
      <w:r>
        <w:rPr>
          <w:rFonts w:ascii="Arial" w:cs="Arial" w:eastAsia="Arial" w:hAnsi="Arial"/>
          <w:sz w:val="16"/>
          <w:szCs w:val="16"/>
          <w:color w:val="auto"/>
        </w:rPr>
        <w:t>On August 4, 2022, Mayville Engineering Company, Inc. (“MEC”) filed suit against the Company in the Supreme Court of the State of New York, Index No. 652735/2022, alleging claims for breach of contract, or, in the alternative, breach of the implied duty of good faith and fair dealing. MEC alleges that the Company breached a supply agreement under which MEC agreed to supply certain parts for Peloton products, and that it is entitled to damages in an amount exceeding $107.0 million, plus pre-judgment interest, fees, and costs. On September 23, 2022, the Company moved to dismiss MEC’s complaint. On January 6, 2023, the court partially granted and partially denied the Company’s motion to dismiss, dismissing MEC’s alternative claim for breach of the implied duty of good faith and fair dealing with prejudice, but allowing MEC’s claim for breach of contract to move forward. The Company and MEC both appealed that ruling, and on April 11, 2024, the appellate court issued a decision affirming the ruling. The Company also appealed a discovery ruling and, on April 11, 2024, the appellate court ruled in the Company’s favor. In September 2023, the Company asserted a counterclaim and affirmative defense against MEC for fraudulent inducement of the supply agreement. Discovery is ongoing with a current fact discovery deadline of June 21, 2024. No trial date has been set. The Company cannot estimate the precise amount of any reasonably possible loss, as the estimate would depend on numerous uncertainties including future legal rulings, further factual developments concerning the extent of any recoverable damages, and the success of its counterclaim. The range of reasonably possible loss runs from zero to the full amount of MEC’s claim described above.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2019 Plan, for stock option and restricted stock unit grants, vesting generally occurs over four years. Stock option grants are not exercisable after the expiration of ten years from the date of grant or such shorter period as specified in a stock award agreement.</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(the “evergreen feature”), or a lesser amount as determined by the Board of Directors. On July 1, 2023, the number of shares of Class A common stock available for issuance under the 2019 Plan was automatically increased according to its terms by 17,838,381 shares.</w:t>
      </w:r>
    </w:p>
    <w:p>
      <w:pPr>
        <w:spacing w:after="0" w:line="39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March 31, 2024, 56,710,759 shares of Class A common stock were available for future award under the 2019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42,999,273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tcPr>
          <w:p>
            <w:pPr>
              <w:jc w:val="right"/>
              <w:spacing w:after="0"/>
              <w:rPr>
                <w:sz w:val="20"/>
                <w:szCs w:val="20"/>
                <w:color w:val="auto"/>
              </w:rPr>
            </w:pPr>
            <w:r>
              <w:rPr>
                <w:rFonts w:ascii="Arial" w:cs="Arial" w:eastAsia="Arial" w:hAnsi="Arial"/>
                <w:sz w:val="16"/>
                <w:szCs w:val="16"/>
                <w:color w:val="auto"/>
              </w:rPr>
              <w:t>(4,054,092)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(9,869,477)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 March 31, 2024</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29,075,704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20.28</w:t>
            </w:r>
          </w:p>
        </w:tc>
        <w:tc>
          <w:tcPr>
            <w:tcW w:w="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color w:val="auto"/>
                <w:w w:val="98"/>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March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22,029,861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2023</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12,407,094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(3,908,305)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(1,452,946)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Unvested - March 31, 2024</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7,045,843</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1" w:name="page22"/>
    <w:bookmarkEnd w:id="21"/>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March 31, 2024. The fair value of the common stock is the closing stock price of the Company's Class A common stock as reported on The Nasdaq Global Select Market. The aggregate intrinsic value of exercised options was $12.3 million and $82.6 million for the nine months ended March 31, 2024 and 2023, respectively.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w:t>
      </w:r>
    </w:p>
    <w:p>
      <w:pPr>
        <w:spacing w:after="0" w:line="20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nine months ended March 31, 2024, no options were granted, and for the nine months ended March 31, 2023, the weighted-average grant date fair value per option was $6.42. The fair value of each option was estimated at the grant date using the Black-Scholes method with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93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936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2023</w:t>
            </w:r>
          </w:p>
        </w:tc>
      </w:tr>
      <w:tr>
        <w:trPr>
          <w:trHeight w:val="210"/>
        </w:trPr>
        <w:tc>
          <w:tcPr>
            <w:tcW w:w="93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93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1880" w:type="dxa"/>
            <w:vAlign w:val="bottom"/>
          </w:tcPr>
          <w:p>
            <w:pPr>
              <w:jc w:val="right"/>
              <w:spacing w:after="0"/>
              <w:rPr>
                <w:sz w:val="20"/>
                <w:szCs w:val="20"/>
                <w:color w:val="auto"/>
              </w:rPr>
            </w:pPr>
            <w:r>
              <w:rPr>
                <w:rFonts w:ascii="Arial" w:cs="Arial" w:eastAsia="Arial" w:hAnsi="Arial"/>
                <w:sz w:val="16"/>
                <w:szCs w:val="16"/>
                <w:color w:val="auto"/>
              </w:rPr>
              <w:t>81.4 %</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right="200" w:firstLine="8"/>
        <w:spacing w:after="0" w:line="286" w:lineRule="auto"/>
        <w:tabs>
          <w:tab w:leader="none" w:pos="189"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2023</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27,236,428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57,108,945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(8,839,558)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(7,066,292)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68,439,523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Employee Stock Purchase Plan (“ESPP”), through which eligible employees may purchase shares of the Company's Class A common stock at a discount through accumulated payroll deductions. The ESPP became effective on September 25, 2019, the date the registration statement, in connection with the Company’s initial public offering, was declared effective by the SEC. The number of shares of the Company's Class A common stock that will be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2023, the number of shares of Class A common stock available for issuance under the ESPP was automatically increased according to its terms by 3,567,676 shares. As of March 31, 2024, 15,245,417 shares of Class A common stock were available for sale to employees under the ESPP.</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September 25, 2019 and ended on August 31, 2021, and the initial purchase period ended February 28, 2020. Thereafter, each offering period and each purchase period commences on September 1 and March 1 and ends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6"/>
          <w:szCs w:val="16"/>
          <w:color w:val="auto"/>
        </w:rPr>
        <w:t xml:space="preserve">ongoing offering period immediately following the purchase of ESPP shares on the purchase date and would automatically be enrolled in the subsequent offering period (“ESPP reset”), resulting in a modification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5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Nine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9100" w:type="dxa"/>
            <w:vAlign w:val="bottom"/>
            <w:gridSpan w:val="2"/>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87.5 %</w:t>
            </w:r>
          </w:p>
        </w:tc>
      </w:tr>
      <w:tr>
        <w:trPr>
          <w:trHeight w:val="215"/>
        </w:trPr>
        <w:tc>
          <w:tcPr>
            <w:tcW w:w="91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and nine months ended March 31, 2024, the Company recorded stock-based compensation expense associated with the ESPP of $2.2 million and $5.3 million, respectively, and $3.1 million and $15.0 million for the three and nine months ended March 31, 2023, respectively.</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offering period that ended on August 31, 2023, employees purchased 373,114 shares of Class A common stock at a weighted-average price of $5.42 under the ESPP. In connection with the offering period that ended on February 28, 2024, employees purchased 575,897 shares of Class A Common Stock at a weighted-average price of $3.94 under the ESPP. As of March 31, 2024, total unrecognized compensation cost related to the ESPP was $12.8 million, which will be amortized over a weighted-average remaining period of 1.9 years.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94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8"/>
                <w:szCs w:val="18"/>
                <w:color w:val="auto"/>
              </w:rPr>
            </w:pPr>
          </w:p>
        </w:tc>
        <w:tc>
          <w:tcPr>
            <w:tcW w:w="266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09"/>
        </w:trPr>
        <w:tc>
          <w:tcPr>
            <w:tcW w:w="51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r>
      <w:tr>
        <w:trPr>
          <w:trHeight w:val="235"/>
        </w:trPr>
        <w:tc>
          <w:tcPr>
            <w:tcW w:w="5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2024, the Company had $578.2 million of unrecognized stock-based compensation expense related to unvested stock-based awards that is expected to be recognized over a weighted-average period of 2.8 years.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nine months ended March 31, 2023, 13 employees of the Company who were eligible to participate in the Company’s Severance and Change in Control Plan (the “Severance Plan”) terminated their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$1.3 million and $49.6 million for the three and nine months ended March 31, 2023, respectively, within Restructuring expense in the Condensed Consolidated Statements of Operations and Comprehensive Loss.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3" w:name="page24"/>
    <w:bookmarkEnd w:id="23"/>
    <w:p>
      <w:pPr>
        <w:jc w:val="both"/>
        <w:spacing w:after="0" w:line="259" w:lineRule="auto"/>
        <w:rPr>
          <w:sz w:val="20"/>
          <w:szCs w:val="20"/>
          <w:color w:val="auto"/>
        </w:rPr>
      </w:pPr>
      <w:r>
        <w:rPr>
          <w:rFonts w:ascii="Arial" w:cs="Arial" w:eastAsia="Arial" w:hAnsi="Arial"/>
          <w:sz w:val="16"/>
          <w:szCs w:val="16"/>
          <w:color w:val="auto"/>
        </w:rPr>
        <w:t>In the three and nine months ended March 31, 2024, certain modifications were made to equity awards for three and four employees, respectively, who were eligible to participate in the Severance Plan. For the three months ended March 31, 2024, this included the extension of the post-termination period during which an employee may exercise outstanding stock options from 90 days to one year (or the option expiration date, if earlier). In one instance during the nine months ended March 31, 2024, the post-termination period during which an employee may exercise outstanding stock options was extended from 90 days to the earlier of the original expiration date or 3 years. This employee transitioned to a non-executive advisory role. As a result of these modifications, the Company recognized incremental stock-based compensation expense of $0.2 million and $5.6 million for the three and nine months ended March 31, 2024 within Restructuring expense in the Condensed Consolidated Statements of Operations and Comprehensive Loss.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recorded a provision (benefit) from income taxes of $0.6 million and $(0.3) million for the three and nine months ended March 31, 2024, respectively, and a provision of $0.8 million and $3.5 million for the three and nine months ended March 31, 2023, respectively. Furthermore, the Company's effective tax rates were (0.36)% and 0.06% for the three and nine months ended March 31, 2024, respectively, and (0.30)% and (0.35)% for the three and nine months ended March 31, 2023, respectively. The income tax provision (benefit) and the effective tax rate are primarily driven by state and international taxes.</w:t>
      </w:r>
    </w:p>
    <w:p>
      <w:pPr>
        <w:spacing w:after="0" w:line="3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11. Net Loss Per Share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7"/>
        </w:trPr>
        <w:tc>
          <w:tcPr>
            <w:tcW w:w="528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272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60" w:type="dxa"/>
            <w:vAlign w:val="bottom"/>
            <w:gridSpan w:val="9"/>
          </w:tcPr>
          <w:p>
            <w:pPr>
              <w:ind w:left="20"/>
              <w:spacing w:after="0"/>
              <w:rPr>
                <w:sz w:val="20"/>
                <w:szCs w:val="20"/>
                <w:color w:val="auto"/>
              </w:rPr>
            </w:pPr>
            <w:r>
              <w:rPr>
                <w:rFonts w:ascii="Arial" w:cs="Arial" w:eastAsia="Arial" w:hAnsi="Arial"/>
                <w:sz w:val="16"/>
                <w:szCs w:val="16"/>
                <w:b w:val="1"/>
                <w:bCs w:val="1"/>
                <w:color w:val="auto"/>
              </w:rPr>
              <w:t>($ in millions, except per share amounts)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loss per share:</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09"/>
        </w:trPr>
        <w:tc>
          <w:tcPr>
            <w:tcW w:w="528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367,931,183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350,426,631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362,910,381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343,753,996</w:t>
            </w:r>
          </w:p>
        </w:tc>
      </w:tr>
      <w:tr>
        <w:trPr>
          <w:trHeight w:val="235"/>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and diluted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300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8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536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6,738,811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14,528,761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7,711,797</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15,112,571</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20" w:type="dxa"/>
            <w:vAlign w:val="bottom"/>
          </w:tcPr>
          <w:p>
            <w:pPr>
              <w:jc w:val="right"/>
              <w:spacing w:after="0"/>
              <w:rPr>
                <w:sz w:val="20"/>
                <w:szCs w:val="20"/>
                <w:color w:val="auto"/>
              </w:rPr>
            </w:pPr>
            <w:r>
              <w:rPr>
                <w:rFonts w:ascii="Arial" w:cs="Arial" w:eastAsia="Arial" w:hAnsi="Arial"/>
                <w:sz w:val="16"/>
                <w:szCs w:val="16"/>
                <w:color w:val="auto"/>
              </w:rPr>
              <w:t>1,207,888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3,699,225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946,340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1,550,174</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the Notes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conversion option will have a dilutive impact on net income per share of common stock when the average market price per share of the Company's Class A common stock for a given period exceeds the conversion price of the Notes of $239.23 per share. During the three and nine months ended March 31, 2024, the weighted average price per share of the Company's Class A common stock was below the conversion price of the Notes.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jc w:val="both"/>
        <w:ind w:right="20"/>
        <w:spacing w:after="0" w:line="286"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279.9</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909.8</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268.3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1,025.8</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437.8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1,277.3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1,248.3</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139.8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298.1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717.7</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2,056.9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2,158.1</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408.0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1,435.6</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309.7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722.4</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5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(510.4)</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(246.3)</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2023, filed with the SEC on August 23, 2023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 xml:space="preserve">Peloton is a leading global fitness company with a highly engaged community of 6.6 million Members as of March 31, 2024.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Arial" w:cs="Arial" w:eastAsia="Arial" w:hAnsi="Arial"/>
          <w:sz w:val="16"/>
          <w:szCs w:val="16"/>
          <w:color w:val="000000"/>
        </w:rPr>
        <w:t>We define a</w:t>
      </w:r>
      <w:r>
        <w:rPr>
          <w:rFonts w:ascii="Arial" w:cs="Arial" w:eastAsia="Arial" w:hAnsi="Arial"/>
          <w:sz w:val="16"/>
          <w:szCs w:val="16"/>
          <w:color w:val="050505"/>
        </w:rPr>
        <w:t xml:space="preserve"> </w:t>
      </w:r>
      <w:r>
        <w:rPr>
          <w:rFonts w:ascii="Arial" w:cs="Arial" w:eastAsia="Arial" w:hAnsi="Arial"/>
          <w:sz w:val="16"/>
          <w:szCs w:val="16"/>
          <w:color w:val="000000"/>
        </w:rPr>
        <w:t>“Member” as any individual who has a Peloton account through a paid Connected Fitness Subscription or a paid Peloton App Membership, and completes 1 or more workouts in the trailing 12 month period. We define a completed workout as either completing at least 50% of an instructor-led class, scenic ride or run, or ten or more minutes of “Just Ride”, “Just Run”, or “Just Row” mode.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 We are additionally focused on growing our Paid App subscribers, including through efforts such as our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Our low Average Net Monthly Connected Fitness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Third Quarter Fiscal 2024 Update and Recent Developments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 and Channels</w:t>
      </w:r>
    </w:p>
    <w:p>
      <w:pPr>
        <w:spacing w:after="0" w:line="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three months ended March 31, 2024 marked the restart of delivering Tread+ to our Members after almost 3 years off the market. Our logistics and delivery teams exceeded internal expectations for delivery times, delivering 67% of pre-orders in the quarter.</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Bike Rental continued to outperform our internal expectations during the three months ended March 31, 2024. New rentals were up 10% as compared to the three months ended March 31, 2023 and rental buyouts exceeded expectations. While the churn rate for Rental remains higher than that of outright purchase, churn from rental subscriptions improved 60 bps as compared to the three months ended December 31, 2023. Peloton Certified Refurbished and third party retail sales had strong growth as compared to the three months ended March 31, 2023 and outperformed our expectations. Last week we began selling the Peloton Tread and Peloton Row on Amazon to distribute these products to a larger audience.</w:t>
      </w:r>
    </w:p>
    <w:p>
      <w:pPr>
        <w:spacing w:after="0" w:line="21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continue to see growth in subscriber additions who purchased their Peloton equipment in the secondary market. We recently launched the Peloton History Summary to enhance the secondary market buying experience and to provide greater visibility to our bikes' ages, usages and service histories. Anyone can access a Peloton History Summary for a Bike or Bike+ by searching the serial number at onepeloton.com/history-summary. The information on our website is not part of this Quarterly Report on Form 10-Q.</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Peloton for Business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 2024 we announced a partnership with Hyatt Hotels that includes outfitting more than 800 Hyatt properties with Peloton equipment and providing access to Peloton classes on guestroom TVs at nearly 400 properties. Peloton Bikes will be deployed at each Hyatt hotel in markets where Peloton already operates. Select Hyatt luxury and lifestyle hotels in the U.S. will also offer the Peloton Row.</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Content Innovation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continuing to invest in providing a wide variety of fitness experiences for our Members on our Connected Fitness platform. We recently added the New York Road Runner Collection on Tread and Tread+, a series of Scenic classes filmed on the TCS New York City Marathon course. In a first-of-its-kind experience, these classes provide Members the ability to train the marathon course with auto-incline functionality that matches the course's gradient fluctuations. We are also continuing to see growth in subscriber engagement with our Entertainment offerings,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with more than one third of active Tread and Tread+ subscribers completing an Entertainment workout during the three months ended March 31, 2024.</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 Experience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response to feedback from our Members, we launched Self Moderation features during the three months ended March 31, 2024. This feature allows Members to hide tags and other profiles, providing greater control over community interaction. For treadmill workouts on App, we launched Distance Tracking that enables Members to input metrics when running outdoors or on a third party treadmill.</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seeing positive results in service levels and member satisfaction in response to recent initiatives focused on turning around our member experience. These initiatives include investments in our global member support team, improvements to systems and tools, and onboarding new onshore outsourcing partners. We also observed improvements in Net Promoter Scores (“NPS”) across multiple Connected Fitness products.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Restructuring</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“2022 Restructuring Plan”). The 2022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fiscal year 2023, we continued to take actions to implement the 2022 Restructuring Plan. In July 2022, we announced we were exiting all owned-manufacturing operations and expanding our current relationship with a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 The Company continues to market the remaining land parcel.</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April 22, 2024, the Company’s Board of Directors approved a new restructuring plan to expand upon its 2022 restructuring plan (as expanded, the “2024 Restructuring Plan”).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by approximately 15%, which impacts roughly 400 Peloton team members; and (ii) continued closures of our retail locations. The Company expects the 2024 Restructuring Plan to be substantially implemented by the end of fiscal 2025.</w:t>
      </w: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Total charges incurred related to the 2022 Restructuring Plan were $10.4 million and $66.8 million for the three and nine months ended March 31, 2024, respectively, and $48.0 million and $280.2 million for the three and nine months ended March 31, 2023, respectively. Total charges for the three and nine months ended March 31, 2024 consisted of cash charges of $2.3 million and $16.1 million for exit and disposal costs and professional fees and $1.1 million and $7.5 million for severance and other personnel costs, respectively, and non-cash charges of $7.0 million and $31.1 million related to non-inventory asset write-downs and write-offs, zero and $7.2 million for stock-based compensation expense, zero and $3.8 million for the loss on sale of a manufacturing subsidiary in Taiwan, and zero and $1.0 million for write-offs of inventory related to restructuring activities, respectively. Total charges for the three and nine months ended March 31, 2023 consisted of cash charges of $6.9 million and $68.0 million for severance and other personnel costs and $4.4 million and $16.4 million for exit and disposal costs and professional fees, respectively, and non-cash charges of $36.0 million and $108.6 million related to non-inventory asset write-downs and write-offs, $0.7 million and $83.5 million for stock-based compensation expense, and zero and $3.7 million for write-offs of inventory related to restructuring activities, respectively.</w:t>
      </w:r>
    </w:p>
    <w:p>
      <w:pPr>
        <w:spacing w:after="0" w:line="22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Total charges related to the 2024 Restructuring Plan were $45.0 million for both the three and nine months ended March 31, 2024, consisting of cash charges totaling $32.5 million for severance and other personnel costs, and non-cash charges of $10.8 million related to asset write-downs and write-offs and $1.7 million for stock-based compensation. The majority of the cash charges are expected to be paid during the fourth quarter of fiscal year 2024.</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we estimate that we will incur additional cash charges of approximately $45.0 million, primarily composed of lease termination and other exit costs, which are expected to be substantially incurred by the end of fiscal year 2025. Additionally, we expect to recognize additional non-cash charges of approximately $20.0 million, primarily composed of non-inventory asset impairment charges in connection with the 2024 Restructuring Plan, which are expected to be substantially incurred by the end of fiscal year 2025.</w:t>
      </w:r>
    </w:p>
    <w:p>
      <w:pPr>
        <w:spacing w:after="0" w:line="205"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Upon full implementation, the company expects the plan to result in reduced annual run-rate expenses by more than $200 million by the end of its 2025 fiscal year. For additional information on the 2024 Restructuring Plan, please see Item 5 of Part II of this Quarterly Report on Form 10-Q.</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do not believe these cost-saving measures will impair our ability to conduct any of our key business functions. We may not be able to realize the cost savings and benefits initially anticipated as a result of the 2022 Restructuring Plan and the 2024 Restructuring Plan, and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 Form 10-K.</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auto"/>
        </w:rPr>
        <w:t>Tread+ Product Recall Return Reserves and Cost Estimates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 xml:space="preserve">On May 5, 2021, we announced a voluntary recall of our Tread+ product in collaboration with the U.S. Consumer Product Safety Commission (the “CPSC”) and halted sales of this product to work on product enhancements. Members were notified that they could return their Tread+ for a full refund, or wait until a solution was available. In collaboration with the CPSC, on May 18, 2023, we jointly announced approval of a rear guard repair for the recalled Tread+. We have made this rear guard available to our Members who continue to own a Tread+ and during the </w:t>
      </w:r>
      <w:r>
        <w:rPr>
          <w:rFonts w:ascii="Arial" w:cs="Arial" w:eastAsia="Arial" w:hAnsi="Arial"/>
          <w:sz w:val="16"/>
          <w:szCs w:val="16"/>
          <w:color w:val="000000"/>
        </w:rPr>
        <w:t>three months ended March 31, 2023</w:t>
      </w:r>
      <w:r>
        <w:rPr>
          <w:rFonts w:ascii="Arial" w:cs="Arial" w:eastAsia="Arial" w:hAnsi="Arial"/>
          <w:sz w:val="16"/>
          <w:szCs w:val="16"/>
          <w:color w:val="050505"/>
        </w:rPr>
        <w:t>, we resumed deliveries of the Tread+ from our existing inventory with the rear guard installed.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 xml:space="preserve">Return reserves related to the impacts of the Tread+ recall of $7.5 million and $24.4 million were included within Accounts payable and accrued expenses in the Condensed Consolidated Balance Sheets as of </w:t>
      </w:r>
      <w:r>
        <w:rPr>
          <w:rFonts w:ascii="Arial" w:cs="Arial" w:eastAsia="Arial" w:hAnsi="Arial"/>
          <w:sz w:val="16"/>
          <w:szCs w:val="16"/>
          <w:color w:val="000000"/>
        </w:rPr>
        <w:t>March 31, 2024 and</w:t>
      </w:r>
      <w:r>
        <w:rPr>
          <w:rFonts w:ascii="Arial" w:cs="Arial" w:eastAsia="Arial" w:hAnsi="Arial"/>
          <w:sz w:val="16"/>
          <w:szCs w:val="16"/>
          <w:color w:val="050505"/>
        </w:rPr>
        <w:t xml:space="preserve"> June 30, 2023</w:t>
      </w:r>
      <w:r>
        <w:rPr>
          <w:rFonts w:ascii="Arial" w:cs="Arial" w:eastAsia="Arial" w:hAnsi="Arial"/>
          <w:sz w:val="16"/>
          <w:szCs w:val="16"/>
          <w:color w:val="000000"/>
        </w:rPr>
        <w:t>, respectively.</w:t>
      </w:r>
      <w:r>
        <w:rPr>
          <w:rFonts w:ascii="Arial" w:cs="Arial" w:eastAsia="Arial" w:hAnsi="Arial"/>
          <w:sz w:val="16"/>
          <w:szCs w:val="16"/>
          <w:color w:val="050505"/>
        </w:rPr>
        <w:t xml:space="preserve"> Accruals for costs associated with the Tread+ repair of </w:t>
      </w:r>
      <w:r>
        <w:rPr>
          <w:rFonts w:ascii="Arial" w:cs="Arial" w:eastAsia="Arial" w:hAnsi="Arial"/>
          <w:sz w:val="16"/>
          <w:szCs w:val="16"/>
          <w:color w:val="000000"/>
        </w:rPr>
        <w:t xml:space="preserve">$8.9 million </w:t>
      </w:r>
      <w:r>
        <w:rPr>
          <w:rFonts w:ascii="Arial" w:cs="Arial" w:eastAsia="Arial" w:hAnsi="Arial"/>
          <w:sz w:val="16"/>
          <w:szCs w:val="16"/>
          <w:color w:val="050505"/>
        </w:rPr>
        <w:t>and</w:t>
      </w:r>
      <w:r>
        <w:rPr>
          <w:rFonts w:ascii="Arial" w:cs="Arial" w:eastAsia="Arial" w:hAnsi="Arial"/>
          <w:sz w:val="16"/>
          <w:szCs w:val="16"/>
          <w:color w:val="000000"/>
        </w:rPr>
        <w:t xml:space="preserve"> $10.0 million </w:t>
      </w:r>
      <w:r>
        <w:rPr>
          <w:rFonts w:ascii="Arial" w:cs="Arial" w:eastAsia="Arial" w:hAnsi="Arial"/>
          <w:sz w:val="16"/>
          <w:szCs w:val="16"/>
          <w:color w:val="050505"/>
        </w:rPr>
        <w:t>were included within Accounts payable and accrued expenses in the Condensed Consolidated Balance Sheet as of March 31,</w:t>
      </w:r>
      <w:r>
        <w:rPr>
          <w:rFonts w:ascii="Arial" w:cs="Arial" w:eastAsia="Arial" w:hAnsi="Arial"/>
          <w:sz w:val="16"/>
          <w:szCs w:val="16"/>
          <w:color w:val="000000"/>
        </w:rPr>
        <w:t xml:space="preserve"> </w:t>
      </w:r>
      <w:r>
        <w:rPr>
          <w:rFonts w:ascii="Arial" w:cs="Arial" w:eastAsia="Arial" w:hAnsi="Arial"/>
          <w:sz w:val="16"/>
          <w:szCs w:val="16"/>
          <w:color w:val="050505"/>
        </w:rPr>
        <w:t xml:space="preserve">2024 </w:t>
      </w:r>
      <w:r>
        <w:rPr>
          <w:rFonts w:ascii="Arial" w:cs="Arial" w:eastAsia="Arial" w:hAnsi="Arial"/>
          <w:sz w:val="16"/>
          <w:szCs w:val="16"/>
          <w:color w:val="000000"/>
        </w:rPr>
        <w:t>and</w:t>
      </w:r>
      <w:r>
        <w:rPr>
          <w:rFonts w:ascii="Arial" w:cs="Arial" w:eastAsia="Arial" w:hAnsi="Arial"/>
          <w:sz w:val="16"/>
          <w:szCs w:val="16"/>
          <w:color w:val="050505"/>
        </w:rPr>
        <w:t xml:space="preserve"> June 30, 2023, respectively. We may continue to incur additional costs beyond what we have currently estimated to be probable and reasonably estimable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Actual costs related to this matter may vary from the estimate, and may result in further impacts to our future results of operations and business. </w:t>
      </w:r>
      <w:r>
        <w:rPr>
          <w:rFonts w:ascii="Arial" w:cs="Arial" w:eastAsia="Arial" w:hAnsi="Arial"/>
          <w:sz w:val="16"/>
          <w:szCs w:val="16"/>
          <w:color w:val="000000"/>
        </w:rPr>
        <w:t>See “</w:t>
      </w:r>
      <w:r>
        <w:rPr>
          <w:rFonts w:ascii="Arial" w:cs="Arial" w:eastAsia="Arial" w:hAnsi="Arial"/>
          <w:sz w:val="16"/>
          <w:szCs w:val="16"/>
          <w:i w:val="1"/>
          <w:iCs w:val="1"/>
          <w:color w:val="000000"/>
        </w:rPr>
        <w:t>Risk</w:t>
      </w:r>
      <w:r>
        <w:rPr>
          <w:rFonts w:ascii="Arial" w:cs="Arial" w:eastAsia="Arial" w:hAnsi="Arial"/>
          <w:sz w:val="16"/>
          <w:szCs w:val="16"/>
          <w:color w:val="050505"/>
        </w:rPr>
        <w:t xml:space="preserve"> </w:t>
      </w:r>
      <w:r>
        <w:rPr>
          <w:rFonts w:ascii="Arial" w:cs="Arial" w:eastAsia="Arial" w:hAnsi="Arial"/>
          <w:sz w:val="16"/>
          <w:szCs w:val="16"/>
          <w:i w:val="1"/>
          <w:iCs w:val="1"/>
          <w:color w:val="000000"/>
        </w:rPr>
        <w:t>Factors—Risks Related to Our Connected 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6"/>
          <w:szCs w:val="16"/>
          <w:color w:val="000000"/>
        </w:rPr>
        <w:t>” in our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Bike Seat Post Recall</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As of </w:t>
      </w:r>
      <w:r>
        <w:rPr>
          <w:rFonts w:ascii="Arial" w:cs="Arial" w:eastAsia="Arial" w:hAnsi="Arial"/>
          <w:sz w:val="16"/>
          <w:szCs w:val="16"/>
          <w:color w:val="000000"/>
        </w:rPr>
        <w:t xml:space="preserve">March 31, 2024 and </w:t>
      </w:r>
      <w:r>
        <w:rPr>
          <w:rFonts w:ascii="Arial" w:cs="Arial" w:eastAsia="Arial" w:hAnsi="Arial"/>
          <w:sz w:val="16"/>
          <w:szCs w:val="16"/>
          <w:color w:val="050505"/>
        </w:rPr>
        <w:t>June 30, 2023</w:t>
      </w:r>
      <w:r>
        <w:rPr>
          <w:rFonts w:ascii="Arial" w:cs="Arial" w:eastAsia="Arial" w:hAnsi="Arial"/>
          <w:sz w:val="16"/>
          <w:szCs w:val="16"/>
          <w:color w:val="000000"/>
        </w:rPr>
        <w:t>, accrual</w:t>
      </w:r>
      <w:r>
        <w:rPr>
          <w:rFonts w:ascii="Arial" w:cs="Arial" w:eastAsia="Arial" w:hAnsi="Arial"/>
          <w:sz w:val="16"/>
          <w:szCs w:val="16"/>
          <w:color w:val="050505"/>
        </w:rPr>
        <w:t>s of</w:t>
      </w:r>
      <w:r>
        <w:rPr>
          <w:rFonts w:ascii="Arial" w:cs="Arial" w:eastAsia="Arial" w:hAnsi="Arial"/>
          <w:sz w:val="16"/>
          <w:szCs w:val="16"/>
          <w:color w:val="000000"/>
        </w:rPr>
        <w:t xml:space="preserve"> $2.4 million and $42.2 million, respectively, </w:t>
      </w:r>
      <w:r>
        <w:rPr>
          <w:rFonts w:ascii="Arial" w:cs="Arial" w:eastAsia="Arial" w:hAnsi="Arial"/>
          <w:sz w:val="16"/>
          <w:szCs w:val="16"/>
          <w:color w:val="050505"/>
        </w:rPr>
        <w:t>were included within Accounts payable and accrued expenses in</w:t>
      </w:r>
      <w:r>
        <w:rPr>
          <w:rFonts w:ascii="Arial" w:cs="Arial" w:eastAsia="Arial" w:hAnsi="Arial"/>
          <w:sz w:val="16"/>
          <w:szCs w:val="16"/>
          <w:color w:val="000000"/>
        </w:rPr>
        <w:t xml:space="preserve"> </w:t>
      </w:r>
      <w:r>
        <w:rPr>
          <w:rFonts w:ascii="Arial" w:cs="Arial" w:eastAsia="Arial" w:hAnsi="Arial"/>
          <w:sz w:val="16"/>
          <w:szCs w:val="16"/>
          <w:color w:val="050505"/>
        </w:rPr>
        <w:t>the Condensed Consolidated Balance Sheet related to the recall. The estimated cost to replace the bike seat posts is primarily based on the estimated number of requests for seat posts and the estimated costs of the production and shipment of the replacement parts.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050505"/>
        </w:rPr>
        <w:t>We may continue to incur additional costs beyond what we have currently estimated to be probable and estimable, including if the number of reported</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50505"/>
        </w:rPr>
        <w:t xml:space="preserve">incidents materially increases. See </w:t>
      </w:r>
      <w:r>
        <w:rPr>
          <w:rFonts w:ascii="Arial" w:cs="Arial" w:eastAsia="Arial" w:hAnsi="Arial"/>
          <w:sz w:val="16"/>
          <w:szCs w:val="16"/>
          <w:color w:val="000000"/>
        </w:rPr>
        <w:t>“</w:t>
      </w:r>
      <w:r>
        <w:rPr>
          <w:rFonts w:ascii="Arial" w:cs="Arial" w:eastAsia="Arial" w:hAnsi="Arial"/>
          <w:sz w:val="16"/>
          <w:szCs w:val="16"/>
          <w:i w:val="1"/>
          <w:iCs w:val="1"/>
          <w:color w:val="000000"/>
        </w:rPr>
        <w:t>Risk Factors—Risks Related to Our Connected Fitness Products and Members—Our</w:t>
      </w:r>
      <w:r>
        <w:rPr>
          <w:rFonts w:ascii="Arial" w:cs="Arial" w:eastAsia="Arial" w:hAnsi="Arial"/>
          <w:sz w:val="16"/>
          <w:szCs w:val="16"/>
          <w:color w:val="050505"/>
        </w:rPr>
        <w:t xml:space="preserve"> </w:t>
      </w:r>
      <w:r>
        <w:rPr>
          <w:rFonts w:ascii="Arial" w:cs="Arial" w:eastAsia="Arial" w:hAnsi="Arial"/>
          <w:sz w:val="16"/>
          <w:szCs w:val="16"/>
          <w:i w:val="1"/>
          <w:iCs w:val="1"/>
          <w:color w:val="050505"/>
        </w:rPr>
        <w:t>products and services may be</w:t>
      </w:r>
      <w:r>
        <w:rPr>
          <w:rFonts w:ascii="Arial" w:cs="Arial" w:eastAsia="Arial" w:hAnsi="Arial"/>
          <w:sz w:val="16"/>
          <w:szCs w:val="16"/>
          <w:color w:val="050505"/>
        </w:rPr>
        <w:t xml:space="preserve"> </w:t>
      </w:r>
      <w:r>
        <w:rPr>
          <w:rFonts w:ascii="Arial" w:cs="Arial" w:eastAsia="Arial" w:hAnsi="Arial"/>
          <w:sz w:val="16"/>
          <w:szCs w:val="16"/>
          <w:i w:val="1"/>
          <w:iCs w:val="1"/>
          <w:color w:val="050505"/>
        </w:rPr>
        <w:t xml:space="preserve">affected from time to time by design and manufacturing defects or product safety issues, real or perceived, that could adversely affect our business and result in harm to our reputation” </w:t>
      </w:r>
      <w:r>
        <w:rPr>
          <w:rFonts w:ascii="Arial" w:cs="Arial" w:eastAsia="Arial" w:hAnsi="Arial"/>
          <w:sz w:val="16"/>
          <w:szCs w:val="16"/>
          <w:color w:val="000000"/>
        </w:rPr>
        <w:t>in our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10"/>
        </w:trPr>
        <w:tc>
          <w:tcPr>
            <w:tcW w:w="74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Ending Paid Connected Fitness Subscriptions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3,056,198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3,055,219</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Average Net Monthly Paid Connected Fitness Subscription Churn</w:t>
            </w:r>
            <w:r>
              <w:rPr>
                <w:rFonts w:ascii="Arial" w:cs="Arial" w:eastAsia="Arial" w:hAnsi="Arial"/>
                <w:sz w:val="21"/>
                <w:szCs w:val="21"/>
                <w:color w:val="auto"/>
                <w:vertAlign w:val="superscript"/>
              </w:rPr>
              <w:t>(2)</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674,230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853,035</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Paid App Subscription Churn</w:t>
            </w:r>
            <w:r>
              <w:rPr>
                <w:rFonts w:ascii="Arial" w:cs="Arial" w:eastAsia="Arial" w:hAnsi="Arial"/>
                <w:sz w:val="21"/>
                <w:szCs w:val="21"/>
                <w:color w:val="auto"/>
                <w:vertAlign w:val="superscript"/>
              </w:rPr>
              <w:t>(3)</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287.8</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316.4</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307.2</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(4)</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72.3 %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72.3 %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(275.9)</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(5)</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(18.7)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r>
      <w:tr>
        <w:trPr>
          <w:trHeight w:val="285"/>
        </w:trPr>
        <w:tc>
          <w:tcPr>
            <w:tcW w:w="74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(55.3)</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New reporting metric, effective as of the beginning of fiscal year 2024, replaced Ending Connected Fitness Subscription. See Ending Paid Connected Fitness Subscription definitions below.</w:t>
      </w:r>
    </w:p>
    <w:p>
      <w:pPr>
        <w:spacing w:after="0" w:line="53" w:lineRule="exact"/>
        <w:rPr>
          <w:rFonts w:ascii="Arial" w:cs="Arial" w:eastAsia="Arial" w:hAnsi="Arial"/>
          <w:sz w:val="13"/>
          <w:szCs w:val="13"/>
          <w:color w:val="auto"/>
        </w:rPr>
      </w:pPr>
    </w:p>
    <w:p>
      <w:pPr>
        <w:ind w:right="360" w:firstLine="8"/>
        <w:spacing w:after="0" w:line="286"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New reporting metric, effective as of the beginning of fiscal year 2024, replaced Average Net Monthly Connected Fitness Churn. See Average Net Monthly Paid Connected Fitness Subscription Churn definition below.</w:t>
      </w:r>
    </w:p>
    <w:p>
      <w:pPr>
        <w:spacing w:after="0" w:line="8" w:lineRule="exact"/>
        <w:rPr>
          <w:rFonts w:ascii="Arial" w:cs="Arial" w:eastAsia="Arial" w:hAnsi="Arial"/>
          <w:sz w:val="13"/>
          <w:szCs w:val="13"/>
          <w:color w:val="auto"/>
        </w:rPr>
      </w:pPr>
    </w:p>
    <w:p>
      <w:pPr>
        <w:ind w:right="140" w:firstLine="8"/>
        <w:spacing w:after="0" w:line="264"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metric, effective as of the beginning of fiscal year 2024, is reported on a go-forward basis as it includes App One and App+ subscriptions that were not available during the three months ended March 31, 2023.</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8" w:name="page29"/>
    <w:bookmarkEnd w:id="28"/>
    <w:p>
      <w:pPr>
        <w:ind w:right="480" w:firstLine="8"/>
        <w:spacing w:after="0" w:line="264"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22" w:lineRule="exact"/>
        <w:rPr>
          <w:rFonts w:ascii="Arial" w:cs="Arial" w:eastAsia="Arial" w:hAnsi="Arial"/>
          <w:sz w:val="13"/>
          <w:szCs w:val="13"/>
          <w:color w:val="auto"/>
        </w:rPr>
      </w:pPr>
    </w:p>
    <w:p>
      <w:pPr>
        <w:ind w:right="20" w:firstLine="8"/>
        <w:spacing w:after="0" w:line="286"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8" w:lineRule="exact"/>
        <w:rPr>
          <w:rFonts w:ascii="Arial" w:cs="Arial" w:eastAsia="Arial" w:hAnsi="Arial"/>
          <w:sz w:val="13"/>
          <w:szCs w:val="13"/>
          <w:color w:val="auto"/>
        </w:rPr>
      </w:pPr>
    </w:p>
    <w:p>
      <w:pPr>
        <w:ind w:right="40" w:firstLine="8"/>
        <w:spacing w:after="0" w:line="264"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measure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Historically, we have included a Connected Fitness Subscription that is paused for up to three months as a Connected Fitness Subscription. Because there is no payment on a paused subscription, effective as of the beginning of fiscal year 2024, we no longer include paused Connected Fitness Subscriptions in our Ending Paid Connected Fitness Subscription count.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new definition of Ending Paid Connected Fitness Subscriptions above, our new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refer to any cancellation or pausing of a subscription for our All Access Membership as a churn event. Because we do not receive payment for paused Connected Fitness Subscriptions, a paused Connected Fitness Subscription is now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is shown net of reactivations and our new quarterly Average Net Monthly Paid Connected Fitness Subscription Churn metric averages the monthly Connected Fitness churn percentage across the three months of the reported quarter.</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Prior to fiscal year 2024, we have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These metrics do not include data related to our App One Subscribers and App+ Subscribers.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include all App One and App+ subscriptions for which we are currently receiving payment.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revenue consists of sales of our portfolio of Connected Fitness Products and related accessories, rental lease arrangements, delivery and installation services, branded apparel, extended warranty agreements, and the sale, service, installation, and delivery contracts of our commercial business. Connected Fitness Products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Connected Fitness Subscription and Paid App Subscription.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99% and 84% of our Connected Fitness Subscription and Paid App Subscription bases, respectively, were paying month-to-month.</w:t>
      </w:r>
    </w:p>
    <w:p>
      <w:pPr>
        <w:sectPr>
          <w:pgSz w:w="11900" w:h="16838" w:orient="portrait"/>
          <w:cols w:equalWidth="0" w:num="1">
            <w:col w:w="11240"/>
          </w:cols>
          <w:pgMar w:left="320" w:top="662" w:right="33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type w:val="continuous"/>
        </w:sectPr>
      </w:pPr>
    </w:p>
    <w:bookmarkStart w:id="29" w:name="page30"/>
    <w:bookmarkEnd w:id="29"/>
    <w:p>
      <w:pPr>
        <w:jc w:val="both"/>
        <w:spacing w:after="0" w:line="286" w:lineRule="auto"/>
        <w:rPr>
          <w:sz w:val="20"/>
          <w:szCs w:val="20"/>
          <w:color w:val="auto"/>
        </w:rPr>
      </w:pPr>
      <w:r>
        <w:rPr>
          <w:rFonts w:ascii="Arial" w:cs="Arial" w:eastAsia="Arial" w:hAnsi="Arial"/>
          <w:sz w:val="16"/>
          <w:szCs w:val="16"/>
          <w:color w:val="auto"/>
        </w:rPr>
        <w:t>If a Connected Fitness Subscription owns a combination of a Bike, Tread, Guide or Row product in the same household, the price of the subscription remains $44 monthly. As of March 31, 2024, approximately 10% of our Connected Fitness Subscriptions owned multiple Connected Fitness Products.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consists of our portfolio of Connected Fitness Products and branded apparel product costs, including third party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(expense) income, net consists of interest (expense) income, unrealized and realized gains (losses) on investments, and foreign exchange gains (losses).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Income tax provision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w:t>
            </w:r>
          </w:p>
        </w:tc>
      </w:tr>
      <w:tr>
        <w:trPr>
          <w:trHeight w:val="215"/>
        </w:trPr>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1,248.3</w:t>
            </w:r>
          </w:p>
        </w:tc>
      </w:tr>
      <w:tr>
        <w:trPr>
          <w:trHeight w:val="210"/>
        </w:trPr>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2,158.1</w:t>
            </w:r>
          </w:p>
        </w:tc>
      </w:tr>
      <w:tr>
        <w:trPr>
          <w:trHeight w:val="223"/>
        </w:trPr>
        <w:tc>
          <w:tcPr>
            <w:tcW w:w="530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1,025.8</w:t>
            </w:r>
          </w:p>
        </w:tc>
      </w:tr>
      <w:tr>
        <w:trPr>
          <w:trHeight w:val="242"/>
        </w:trPr>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w:t>
            </w:r>
          </w:p>
        </w:tc>
      </w:tr>
      <w:tr>
        <w:trPr>
          <w:trHeight w:val="210"/>
        </w:trPr>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1,435.6</w:t>
            </w: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722.4</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510.4</w:t>
            </w:r>
          </w:p>
        </w:tc>
      </w:tr>
      <w:tr>
        <w:trPr>
          <w:trHeight w:val="243"/>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w:t>
            </w:r>
          </w:p>
        </w:tc>
      </w:tr>
      <w:tr>
        <w:trPr>
          <w:trHeight w:val="243"/>
        </w:trPr>
        <w:tc>
          <w:tcPr>
            <w:tcW w:w="530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246.3</w:t>
            </w:r>
          </w:p>
        </w:tc>
      </w:tr>
      <w:tr>
        <w:trPr>
          <w:trHeight w:val="243"/>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43"/>
        </w:trPr>
        <w:tc>
          <w:tcPr>
            <w:tcW w:w="530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43"/>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9"/>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1,693.8</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15"/>
        </w:trPr>
        <w:tc>
          <w:tcPr>
            <w:tcW w:w="530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7"/>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(losses) gains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530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53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(1,016.4)</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5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w:t>
            </w: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6"/>
        </w:trPr>
        <w:tc>
          <w:tcPr>
            <w:tcW w:w="532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1"/>
                <w:szCs w:val="21"/>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r>
      <w:tr>
        <w:trPr>
          <w:trHeight w:val="23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1, 2022, the Compensation Committee approved a one-time repricing of certain stock option awards that had been granted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09"/>
        </w:trPr>
        <w:tc>
          <w:tcPr>
            <w:tcW w:w="53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534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Nine Months Ended March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9"/>
                <w:szCs w:val="19"/>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Connected Fitness Products $</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279.9</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324.1</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(13.6)%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909.8</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437.8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424.7</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3.1</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1,248.3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717.7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748.9</w:t>
            </w:r>
          </w:p>
        </w:tc>
        <w:tc>
          <w:tcPr>
            <w:tcW w:w="1520" w:type="dxa"/>
            <w:vAlign w:val="bottom"/>
          </w:tcPr>
          <w:p>
            <w:pPr>
              <w:jc w:val="center"/>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2,158.1</w:t>
            </w:r>
          </w:p>
        </w:tc>
        <w:tc>
          <w:tcPr>
            <w:tcW w:w="1420" w:type="dxa"/>
            <w:vAlign w:val="bottom"/>
          </w:tcPr>
          <w:p>
            <w:pPr>
              <w:jc w:val="center"/>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43.3 %</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42.2 %</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61.0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56.7</w:t>
            </w:r>
          </w:p>
        </w:tc>
        <w:tc>
          <w:tcPr>
            <w:tcW w:w="15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w:t>
            </w: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vMerge w:val="restart"/>
          </w:tcPr>
          <w:p>
            <w:pPr>
              <w:jc w:val="right"/>
              <w:ind w:right="95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1"/>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revenue decreased $44.2 million and $130.2 million for the three and nine months ended March 31, 2024, respectively, compared to the three and nine months ended March 31, 2023. These decreases were primarily attributable to fewer Bike, Accessories, and Row deliveries driven by less demand, partially offset by higher demand from our rental program and Tread+.</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revenue increased $13.1 million and $29.0 million for the three and nine months ended March 31, 2024, respectively, compared to the three and nine months ended March 31, 2023. These increases were primarily attributable to continued growth in our Connected Fitness Subscriptions, primarily driven by the number of Connected Fitness Products delivered during the fiscal year ended June 30, 2023 and the six months ended December 31, 2023 under new Subscriptions, as well as other subscription revenue, and our low Average Net Monthly Paid Connected Fitness Subscription Churn of 1.2% and 1.3% for the three and nine months ended March 31, 2024.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18"/>
                <w:szCs w:val="18"/>
                <w:color w:val="auto"/>
              </w:rPr>
            </w:pPr>
          </w:p>
        </w:tc>
      </w:tr>
      <w:tr>
        <w:trPr>
          <w:trHeight w:val="223"/>
        </w:trPr>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5"/>
        </w:trPr>
        <w:tc>
          <w:tcPr>
            <w:tcW w:w="22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341.7</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(21.5)%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1,025.8</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(27.0)%</w:t>
            </w:r>
          </w:p>
        </w:tc>
      </w:tr>
      <w:tr>
        <w:trPr>
          <w:trHeight w:val="216"/>
        </w:trPr>
        <w:tc>
          <w:tcPr>
            <w:tcW w:w="2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136.9</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409.8</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r>
      <w:tr>
        <w:trPr>
          <w:trHeight w:val="210"/>
        </w:trPr>
        <w:tc>
          <w:tcPr>
            <w:tcW w:w="226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478.7</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(14.8)%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1,435.6</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(19.0)%</w:t>
            </w: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22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1520" w:type="dxa"/>
            <w:vAlign w:val="bottom"/>
          </w:tcPr>
          <w:p>
            <w:pPr>
              <w:jc w:val="center"/>
              <w:spacing w:after="0"/>
              <w:rPr>
                <w:sz w:val="20"/>
                <w:szCs w:val="20"/>
                <w:color w:val="auto"/>
              </w:rPr>
            </w:pPr>
            <w:r>
              <w:rPr>
                <w:rFonts w:ascii="Arial" w:cs="Arial" w:eastAsia="Arial" w:hAnsi="Arial"/>
                <w:sz w:val="16"/>
                <w:szCs w:val="16"/>
                <w:color w:val="auto"/>
              </w:rPr>
              <w:t>166.2%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(116.0)</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126.8%</w:t>
            </w:r>
          </w:p>
        </w:tc>
      </w:tr>
      <w:tr>
        <w:trPr>
          <w:trHeight w:val="217"/>
        </w:trPr>
        <w:tc>
          <w:tcPr>
            <w:tcW w:w="2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287.8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838.5</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3.0</w:t>
            </w:r>
          </w:p>
        </w:tc>
      </w:tr>
      <w:tr>
        <w:trPr>
          <w:trHeight w:val="210"/>
        </w:trPr>
        <w:tc>
          <w:tcPr>
            <w:tcW w:w="226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270.2</w:t>
            </w:r>
          </w:p>
        </w:tc>
        <w:tc>
          <w:tcPr>
            <w:tcW w:w="1520" w:type="dxa"/>
            <w:vAlign w:val="bottom"/>
          </w:tcPr>
          <w:p>
            <w:pPr>
              <w:jc w:val="center"/>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722.4</w:t>
            </w:r>
          </w:p>
        </w:tc>
        <w:tc>
          <w:tcPr>
            <w:tcW w:w="1420" w:type="dxa"/>
            <w:vAlign w:val="bottom"/>
          </w:tcPr>
          <w:p>
            <w:pPr>
              <w:jc w:val="center"/>
              <w:spacing w:after="0"/>
              <w:rPr>
                <w:sz w:val="20"/>
                <w:szCs w:val="20"/>
                <w:color w:val="auto"/>
              </w:rPr>
            </w:pPr>
            <w:r>
              <w:rPr>
                <w:rFonts w:ascii="Arial" w:cs="Arial" w:eastAsia="Arial" w:hAnsi="Arial"/>
                <w:sz w:val="16"/>
                <w:szCs w:val="16"/>
                <w:color w:val="auto"/>
              </w:rPr>
              <w:t>23.8%</w:t>
            </w:r>
          </w:p>
        </w:tc>
      </w:tr>
      <w:tr>
        <w:trPr>
          <w:trHeight w:val="20"/>
        </w:trPr>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4.2 %</w:t>
            </w:r>
          </w:p>
        </w:tc>
        <w:tc>
          <w:tcPr>
            <w:tcW w:w="2260" w:type="dxa"/>
            <w:vAlign w:val="bottom"/>
          </w:tcPr>
          <w:p>
            <w:pPr>
              <w:jc w:val="right"/>
              <w:ind w:right="1159"/>
              <w:spacing w:after="0"/>
              <w:rPr>
                <w:sz w:val="20"/>
                <w:szCs w:val="20"/>
                <w:color w:val="auto"/>
              </w:rPr>
            </w:pPr>
            <w:r>
              <w:rPr>
                <w:rFonts w:ascii="Arial" w:cs="Arial" w:eastAsia="Arial" w:hAnsi="Arial"/>
                <w:sz w:val="16"/>
                <w:szCs w:val="16"/>
                <w:color w:val="auto"/>
              </w:rPr>
              <w:t>(5.4)%</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4.0 %</w:t>
            </w:r>
          </w:p>
        </w:tc>
        <w:tc>
          <w:tcPr>
            <w:tcW w:w="2500" w:type="dxa"/>
            <w:vAlign w:val="bottom"/>
          </w:tcPr>
          <w:p>
            <w:pPr>
              <w:jc w:val="right"/>
              <w:ind w:right="1359"/>
              <w:spacing w:after="0"/>
              <w:rPr>
                <w:sz w:val="20"/>
                <w:szCs w:val="20"/>
                <w:color w:val="auto"/>
              </w:rPr>
            </w:pPr>
            <w:r>
              <w:rPr>
                <w:rFonts w:ascii="Arial" w:cs="Arial" w:eastAsia="Arial" w:hAnsi="Arial"/>
                <w:sz w:val="16"/>
                <w:szCs w:val="16"/>
                <w:color w:val="auto"/>
              </w:rPr>
              <w:t>(12.8)%</w:t>
            </w:r>
          </w:p>
        </w:tc>
      </w:tr>
      <w:tr>
        <w:trPr>
          <w:trHeight w:val="244"/>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68.1 %</w:t>
            </w:r>
          </w:p>
        </w:tc>
        <w:tc>
          <w:tcPr>
            <w:tcW w:w="226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rPr>
              <w:t>67.8 %</w:t>
            </w:r>
          </w:p>
        </w:tc>
        <w:tc>
          <w:tcPr>
            <w:tcW w:w="22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67.6 %</w:t>
            </w:r>
          </w:p>
        </w:tc>
        <w:tc>
          <w:tcPr>
            <w:tcW w:w="250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67.2 %</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cost of revenue for the three months ended March 31, 2024 decreased $73.4 million, or 21.5%, compared to the three months ended March 31, 2023. This decrease was primarily driven by fewer deliveries stemming from lower demand during the three months ended March 31, 2024 compared to the three months ended March 31, 2023.</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Connected Fitness Products Gross Margin increased to 4.2% for the three months ended March 31, 2024 compared to (5.4)% for the three months ended March 31, 2023, primarily driven by lower inventory write downs and lower shipping and logistics costs compared to the three months ended March 31, 2023.</w:t>
      </w:r>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Subscription cost of revenue for the three months ended March 31, 2024 increased $2.8 million, or 2.1%, compared to the three months ended March 31, 2023. This increase was primarily driven by increases in platform streaming and content productions costs of $4.1 million and personnel related expenses of $2.5 million, partially offset by decreases in music royalties of $2.8 million and depreciation and amortization expense of $1.3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remained consistent for the three months ended March 31, 2024 compared to the three months ended March 31, 2023.</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2024 and 2023</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Connected Fitness Products cost of revenue for the nine months ended March 31, 2024 decreased $277.3 million, or 27.0%, compared to the nine months ended March 31, 2023. This decrease was primarily driven by fewer deliveries stemming from lower demand during the nine months ended March 31, 2024 compared to the nine months ended March 31, 2023.</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Products Gross Margin increased to 4.0% for the nine months ended March 31, 2024 compared to (12.8)% for the nine months ended March 31, 2023, primarily driven by lower inventory write downs, lower shipping and logistics costs, and lower net costs associated with product recall related matters.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Subscription cost of revenue for the nine months ended March 31, 2024 increased $4.1 million, or 1.0%, compared to the nine months ended March 31, 2023, primarily driven by increases in personnel related expenses of $6.2 million and platform streaming costs of $6.2 million. These increases were partially offset by decreases in music royalties of $5.9 million and stock-based compensation expense of $2.8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remained consistent for the nine months ended March 31, 2024 compared to the nine months ended March 31, 2023.</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3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170.3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154.6</w:t>
            </w: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546.7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510.4</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3"/>
        </w:trPr>
        <w:tc>
          <w:tcPr>
            <w:tcW w:w="2380" w:type="dxa"/>
            <w:vAlign w:val="bottom"/>
          </w:tcPr>
          <w:p>
            <w:pPr>
              <w:ind w:left="20"/>
              <w:spacing w:after="0" w:line="164" w:lineRule="exact"/>
              <w:rPr>
                <w:sz w:val="20"/>
                <w:szCs w:val="20"/>
                <w:color w:val="auto"/>
              </w:rPr>
            </w:pPr>
            <w:r>
              <w:rPr>
                <w:rFonts w:ascii="Arial" w:cs="Arial" w:eastAsia="Arial" w:hAnsi="Arial"/>
                <w:sz w:val="16"/>
                <w:szCs w:val="16"/>
                <w:i w:val="1"/>
                <w:iCs w:val="1"/>
                <w:color w:val="auto"/>
              </w:rPr>
              <w:t>As a percentage of total</w:t>
            </w: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23.7 %</w:t>
            </w: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20.6 %</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26.6 %</w:t>
            </w:r>
          </w:p>
        </w:tc>
        <w:tc>
          <w:tcPr>
            <w:tcW w:w="3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23.7 %</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Sales and marketing expense increased $15.7 million for the three months ended March 31, 2024 compared to the three months ended March 31, 2023, primarily driven by an increase in spending on advertising and marketing programs of $27.4 million, partially offset by decreases of personnel-related expenses of $5.9 million, primarily due to decreased average headcount, decreases in rent and occupancy and other retail related costs of $3.4 million, primarily driven by a reduction in our retail showroom presence, and decreases in depreciation and amortization expense of $1.8 million. Sales and marketing expense increased $36.3 million for the nine months ended March 31, 2024, compared to the nine months ended March 31, 2023, primarily driven by an increase in spending on advertising and marketing programs of $90.8 million, partially offset by decreases in personnel-related expenses of $24.6 million, primarily due to decreased average headcount, decreases in rent and occupancy and other retail related costs of $13.8 million, primarily driven by a reduction in our retail showroom presence, decreases in stock-based compensation expense of $8.3 million, primarily driven by the acceleration of certain restricted stock unit vesting schedules and the repricing of certain stock option awards during the prior year, and decreases in depreciation and amortization expense of $6.1 million.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6"/>
        </w:trPr>
        <w:tc>
          <w:tcPr>
            <w:tcW w:w="2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153.0</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249.2</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464.9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635.3</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(26.8)%</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33.3 %</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29.4 %</w:t>
            </w:r>
          </w:p>
        </w:tc>
        <w:tc>
          <w:tcPr>
            <w:tcW w:w="136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expense decreased $96.1 million for the three months ended March 31, 2024 compared to the three months ended March 31, 2023, primarily driven by decreases in professional services fees (comprised of legal, accounting, and consulting fees) of $81.9 million, primarily due to the $75.0 million Dish settlement during the three months ended March 31, 2023. General and administrative expense decreased $170.4 million for the nine months ended March 31, 2024, compared to the nine months ended March 31, 2023, primarily driven by decreases in professional services fees (comprised of legal, accounting, and consulting fees) of $114.7 million, primarily due to the $75.0 million Dish settlement during the nine months ended March 31, 2023, decreases in stock-based compensation expense of $28.2 million, primarily driven by the acceleration of certain restricted stock unit vesting schedules and the repricing of certain stock option awards during the prior year, and decreases in personnel-related expenses of $16.3 million primarily due to decreased average headcount.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5"/>
        </w:trPr>
        <w:tc>
          <w:tcPr>
            <w:tcW w:w="2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76.8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78.2</w:t>
            </w: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235.4</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246.3</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(4.4)%</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280" w:type="dxa"/>
            <w:vAlign w:val="bottom"/>
          </w:tcPr>
          <w:p>
            <w:pPr>
              <w:ind w:left="720"/>
              <w:spacing w:after="0"/>
              <w:rPr>
                <w:sz w:val="20"/>
                <w:szCs w:val="20"/>
                <w:color w:val="auto"/>
              </w:rPr>
            </w:pPr>
            <w:r>
              <w:rPr>
                <w:rFonts w:ascii="Arial" w:cs="Arial" w:eastAsia="Arial" w:hAnsi="Arial"/>
                <w:sz w:val="16"/>
                <w:szCs w:val="16"/>
                <w:color w:val="auto"/>
              </w:rPr>
              <w:t>10.7 %</w:t>
            </w:r>
          </w:p>
        </w:tc>
        <w:tc>
          <w:tcPr>
            <w:tcW w:w="380" w:type="dxa"/>
            <w:vAlign w:val="bottom"/>
          </w:tcPr>
          <w:p>
            <w:pPr>
              <w:spacing w:after="0"/>
              <w:rPr>
                <w:sz w:val="20"/>
                <w:szCs w:val="20"/>
                <w:color w:val="auto"/>
              </w:rPr>
            </w:pPr>
          </w:p>
        </w:tc>
        <w:tc>
          <w:tcPr>
            <w:tcW w:w="1120" w:type="dxa"/>
            <w:vAlign w:val="bottom"/>
          </w:tcPr>
          <w:p>
            <w:pPr>
              <w:ind w:left="600"/>
              <w:spacing w:after="0"/>
              <w:rPr>
                <w:sz w:val="20"/>
                <w:szCs w:val="20"/>
                <w:color w:val="auto"/>
              </w:rPr>
            </w:pPr>
            <w:r>
              <w:rPr>
                <w:rFonts w:ascii="Arial" w:cs="Arial" w:eastAsia="Arial" w:hAnsi="Arial"/>
                <w:sz w:val="16"/>
                <w:szCs w:val="16"/>
                <w:color w:val="auto"/>
              </w:rPr>
              <w:t>10.4 %</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11.4 %</w:t>
            </w:r>
          </w:p>
        </w:tc>
        <w:tc>
          <w:tcPr>
            <w:tcW w:w="136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Research and development expense decreased $1.4 million for the three months ended March 31, 2024 compared to the three months ended March 31, 2023, primarily driven by decreases of $7.7 million in product development and research costs and decreases in depreciation and amortization expense of $0.4 million, partially offset by increases of $6.8 million in personnel-related expenses, as a result of a larger portion being capitalized during the three months ended March 31, 2023. Research and development expense decreased $10.9 million for the nine months ended March 31, 2024, compared to the nine months ended March 31, 2023, primarily driven by decreases of $14.2 million in product development and research costs, and $7.0 million in stock-based compensation expense, primarily driven by the acceleration of certain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6"/>
          <w:szCs w:val="16"/>
          <w:color w:val="auto"/>
        </w:rPr>
        <w:t>restricted stock unit vesting schedules and the repricing of certain stock option awards during the prior year, partially offset by increases of $12.0 million in personnel-related expenses, as a result of a larger portion being capitalized during the nine months ended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4"/>
                <w:szCs w:val="24"/>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(58.3)%</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Impairment expense decreased $20.3 million for the three months ended March 31, 2024 compared to the three months ended March 31, 2023, primarily driven by the impairment recognized in the three months ended March 31, 2023 related to the previously planned Peloton Output Park. Impairment expense decreased $65.2 million for the nine months ended March 31, 2024, compared to the nine months ended March 31, 2023, primarily driven by decreases in asset write-downs and write-offs related to restructuring initiatives, including less Connected Fitness and capitalized software asset impairments, and asset impairments at certain corporate office locations which the Company exited during the nine months ended March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4"/>
                <w:szCs w:val="24"/>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213.9%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(59.0)%</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Restructuring expense increased $25.6 million for the three months ended March 31, 2024 compared to the three months ended March 31, 2023, primarily due to an increase of $26.7 million in cash severance and other personnel costs. Restructuring expense decreased $99.0 million for the nine months ended March 31, 2024, compared to the nine months ended March 31, 2023, primarily driven by decreases of $74.6 million in stock-based compensation expense, primarily due to incremental stock-based compensation expense from exercise window modifications and the acceleration of certain restricted stock unit vesting schedules pursuant to severance arrangements during the prior year, and $27.9 million in cash severance and other personnel costs.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2"/>
        </w:trPr>
        <w:tc>
          <w:tcPr>
            <w:tcW w:w="25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3"/>
                <w:szCs w:val="23"/>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2024 and 2023</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Supplier settlements decreased $3.8 million and $24.3 million for the three and nine months ended March 31, 2024, compared to the three and nine months ended March 31, 2023, respectively. These costs, which consisted of settlement and related costs paid to third-party suppliers to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t>terminate certain future inventory purchase commitments, were $2.9 million and $22.0 million for the three and nine months ended March 31, 2023,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Total Other Expense, Net and Income Tax Expense (Benefit)</w:t>
            </w: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8"/>
        </w:trPr>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380" w:type="dxa"/>
            <w:vAlign w:val="bottom"/>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18.4%</w:t>
            </w: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480" w:type="dxa"/>
            <w:vAlign w:val="bottom"/>
          </w:tcPr>
          <w:p>
            <w:pPr>
              <w:jc w:val="center"/>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w:t>
            </w: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47.9%</w:t>
            </w: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(losses) gains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3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NM*</w:t>
            </w: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(88.8)%</w:t>
            </w:r>
          </w:p>
        </w:tc>
        <w:tc>
          <w:tcPr>
            <w:tcW w:w="2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(84.0)%</w:t>
            </w: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3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NM*</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and nine months ended March 31, 2024:</w:t>
      </w:r>
    </w:p>
    <w:p>
      <w:pPr>
        <w:spacing w:after="0" w:line="30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expense primarily related to the Term Loan, the Notes, and deferred financing costs of $27.7 million and $82.6 million, respectively;</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$9.3 million and $26.2 million, respectively;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Foreign exchange losses of $2.1 million and $0.2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income, net of zero and $0.5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and nine months ended March 31, 2023:</w:t>
      </w:r>
    </w:p>
    <w:p>
      <w:pPr>
        <w:spacing w:after="0" w:line="24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expense primarily related to the Term Loan, the Notes, and deferred financing costs of $26.6 million and $69.7 million, respectively;</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$7.9 million and $17.7 million, respectively;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Foreign exchange gains of $9.1 million and $3.9 million, respectively; and</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income, net of $0.4 million and $3.0 million,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for the three and nine months ended March 31, 2024 and 2023 was primarily due to state and international taxes.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total other expense (income), net; income tax expense (benefit);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212" w:lineRule="exact"/>
        <w:rPr>
          <w:sz w:val="20"/>
          <w:szCs w:val="20"/>
          <w:color w:val="auto"/>
        </w:rPr>
      </w:pPr>
    </w:p>
    <w:p>
      <w:pPr>
        <w:jc w:val="both"/>
        <w:ind w:left="660" w:hanging="328"/>
        <w:spacing w:after="0" w:line="268"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5"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measures to supplement their GAAP results.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6" w:name="page37"/>
    <w:bookmarkEnd w:id="36"/>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2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72" w:lineRule="exact"/>
        <w:rPr>
          <w:rFonts w:ascii="Arial" w:cs="Arial" w:eastAsia="Arial" w:hAnsi="Arial"/>
          <w:sz w:val="16"/>
          <w:szCs w:val="16"/>
          <w:b w:val="1"/>
          <w:bCs w:val="1"/>
          <w:color w:val="auto"/>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Adjusted EBITDA does not reflect nonrecurring supplier settlements; and</w:t>
      </w:r>
    </w:p>
    <w:p>
      <w:pPr>
        <w:spacing w:after="0" w:line="59"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8"/>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250.2</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Other adjustment items</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54" w:lineRule="auto"/>
        <w:tabs>
          <w:tab w:leader="none" w:pos="1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certain product recall related matters, as well as accrual adjustments. For the three and nine months ended March 31, 2024, these include an adjustment to Connected Fitness Products revenue for actual and estimated future returns of zero and $(3.9) million, respectively, and recorded costs in Connected Fitness Products cost of revenue associated with recall related matters of zero and $(4.3) million, respectively. For the three and nine months ended March 31, 2023, these include an adjustment to Connected Fitness Products revenue for actual and estimated future returns of $(11.9) million and $14.6 million, respectively, recorded costs in Connected Fitness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7" w:name="page38"/>
    <w:bookmarkEnd w:id="37"/>
    <w:p>
      <w:pPr>
        <w:spacing w:after="0" w:line="264" w:lineRule="auto"/>
        <w:rPr>
          <w:sz w:val="20"/>
          <w:szCs w:val="20"/>
          <w:color w:val="auto"/>
        </w:rPr>
      </w:pPr>
      <w:r>
        <w:rPr>
          <w:rFonts w:ascii="Arial" w:cs="Arial" w:eastAsia="Arial" w:hAnsi="Arial"/>
          <w:sz w:val="13"/>
          <w:szCs w:val="13"/>
          <w:color w:val="auto"/>
        </w:rPr>
        <w:t>Products cost of revenue associated with recall related matters of $21.6 million and $24.1 million, respectively, and operating expenses of zero and $2.3 million associated with recall-related hardware development costs, respectively.</w:t>
      </w:r>
    </w:p>
    <w:p>
      <w:pPr>
        <w:spacing w:after="0" w:line="22" w:lineRule="exact"/>
        <w:rPr>
          <w:sz w:val="20"/>
          <w:szCs w:val="20"/>
          <w:color w:val="auto"/>
        </w:rPr>
      </w:pPr>
    </w:p>
    <w:p>
      <w:pPr>
        <w:jc w:val="both"/>
        <w:ind w:firstLine="8"/>
        <w:spacing w:after="0" w:line="262" w:lineRule="auto"/>
        <w:tabs>
          <w:tab w:leader="none" w:pos="195"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litigation-related expenses for certain patent infringement litigation, consumer arbitration, and product recalls for the three and nine months ended March 31, 2024, that arise outside of the ordinary course of business and are nonrecurring, infrequent, or unusual. Includes Dish settlement accrual of $75.0 million and other litigation-related expenses and settlements for certain patent infringement litigation, securities litigation, and consumer arbitration determined to be nonrecurring, infrequent, or unusual for the three and nine months ended March 31, 2023.</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28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March 31,</w:t>
            </w:r>
          </w:p>
        </w:tc>
      </w:tr>
      <w:tr>
        <w:trPr>
          <w:trHeight w:val="220"/>
        </w:trPr>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26"/>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48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1,248.3</w:t>
            </w: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136.9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409.8</w:t>
            </w:r>
          </w:p>
        </w:tc>
      </w:tr>
      <w:tr>
        <w:trPr>
          <w:trHeight w:val="23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838.5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98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67.2 %</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27.1</w:t>
            </w:r>
          </w:p>
        </w:tc>
      </w:tr>
      <w:tr>
        <w:trPr>
          <w:trHeight w:val="216"/>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32.4</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316.4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307.2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898.0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w:t>
      </w:r>
    </w:p>
    <w:p>
      <w:pPr>
        <w:sectPr>
          <w:pgSz w:w="11900" w:h="16838" w:orient="portrait"/>
          <w:cols w:equalWidth="0" w:num="1">
            <w:col w:w="11240"/>
          </w:cols>
          <w:pgMar w:left="320" w:top="66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8" w:name="page39"/>
    <w:bookmarkEnd w:id="38"/>
    <w:p>
      <w:pPr>
        <w:jc w:val="both"/>
        <w:ind w:right="20"/>
        <w:spacing w:after="0" w:line="286" w:lineRule="auto"/>
        <w:rPr>
          <w:sz w:val="20"/>
          <w:szCs w:val="20"/>
          <w:color w:val="auto"/>
        </w:rPr>
      </w:pPr>
      <w:r>
        <w:rPr>
          <w:rFonts w:ascii="Arial" w:cs="Arial" w:eastAsia="Arial" w:hAnsi="Arial"/>
          <w:sz w:val="16"/>
          <w:szCs w:val="16"/>
          <w:color w:val="auto"/>
        </w:rPr>
        <w:t>combinations and asset acquisitions. Because of these limitations, Free Cash Flow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5"/>
            <w:shd w:val="clear" w:color="auto" w:fill="CCEEFF"/>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Capital expenditures and capitalized internal-use software</w:t>
            </w:r>
          </w:p>
        </w:tc>
        <w:tc>
          <w:tcPr>
            <w:tcW w:w="9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development costs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a term loan, as well as cash flows from operating activities. As of March 31, 2024, we had Cash and cash equivalents of approximately $794.5 million.</w:t>
      </w:r>
    </w:p>
    <w:p>
      <w:pPr>
        <w:spacing w:after="0" w:line="1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anticipate capital expenditures over the next 12 months to include investments in product development, content and our studios, and systems implementation.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at least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February 2022, we announced and began implementing the 2022 Restructuring Plan to realign our operational focus to support our multi-year growth, scale the business, and improve costs. The 2022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fiscal year 2023, we continued to take actions to implement the 2022 Restructuring Plan. In July 2022, we announced we were exiting all owned-manufacturing operations and expanding our relationship with a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 The Company continues to market the remaining land parcel.</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April 22, 2024, the Company’s Board of Directors approved a new restructuring plan to expand upon its 2022 restructuring plan (as expanded, the “2024 Restructuring Plan”).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our retail locations. The Company expects the 2024 Restructuring Plan to be substantially implemented by the end of fiscal 2025.</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Total charges related to the 2022 Restructuring Plan were $10.4 million and $66.8 million for the three and nine months ended March 31, 2024, respectively, and $48.0 million and $280.2 million for the three and nine months ended March 31, 2023, respectively. Total charges for the three and nine months ended March 31, 2024 consisted of cash charges of $2.3 million and $16.1 million for exit and disposal costs and professional fees and $1.1 million and $7.5 million for severance and other personnel costs, respectively, and non-cash charges of $7.0 million and $31.1 million related to non-inventory asset write-downs and write-offs, zero and $7.2 million for stock-based compensation expense, zero and $3.8 million for the loss on sale of a manufacturing subsidiary in Taiwan, and zero and $1.0 million for write-offs of inventory related to restructuring activities, respectively. Total charges for the three and nine months ended March 31, 2023 consisted of cash charges of $6.9 million and $68.0 million for severance and other personnel costs and $4.4 million and $16.4 million for exit and disposal costs and professional fees, respectively, and non-cash charges of $36.0 million and $108.6 million related to non-inventory asset write-downs and write-offs, $0.7 million and $83.5</w:t>
      </w:r>
    </w:p>
    <w:p>
      <w:pPr>
        <w:sectPr>
          <w:pgSz w:w="11900" w:h="16838" w:orient="portrait"/>
          <w:cols w:equalWidth="0" w:num="1">
            <w:col w:w="11240"/>
          </w:cols>
          <w:pgMar w:left="320" w:top="611" w:right="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million for stock-based compensation expense, and zero and $3.7 million for write-offs of inventory related to restructuring activities, respectively.</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Total charges related to the 2024 Restructuring Plan were $45.0 million for both the three and nine months ended March 31, 2024, consisting of cash charges totaling $32.5 million for severance and other personnel costs, and non-cash charges of $10.8 million related to asset write-downs and write-offs and $1.7 million for stock-based compensation. The majority of the cash charges are expected to be paid during the fourth quarter of fiscal year 2024.</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we estimate that we will incur additional cash charges of approximately $45.0 million, primarily composed of lease termination and other exit costs, which are expected to be substantially incurred by the end of fiscal year 2025. Additionally, we expect to recognize additional non-cash charges of approximately $20.0 million, primarily composed of non-inventory asset impairment charges, which are expected to be substantially incurred by the end of fiscal year 2025.</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Upon full implementation, the company expects the plan to result in reduced annual run-rate expenses by more than $200 million by the end of its 2025 fiscal year. We do not believe these cost-saving measures will impair our ability to conduct any of our key business functions. We may not be able to realize the cost savings and benefits initially anticipated as a result of the 2022 Restructuring Plan and the 2024 Restructuring Plan, and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 Form 10-K.</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Capped Call Transactions</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 2019, the Company entered into an amended and restated revolving credit agreement.</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3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be replaced with a covenant to maintain a minimum secured debt to adjusted EBITDA ratio upon our meeting a specified adjusted EBITDA threshold.</w:t>
      </w:r>
    </w:p>
    <w:p>
      <w:pPr>
        <w:sectPr>
          <w:pgSz w:w="11900" w:h="16838" w:orient="portrait"/>
          <w:cols w:equalWidth="0" w:num="1">
            <w:col w:w="11240"/>
          </w:cols>
          <w:pgMar w:left="320" w:top="611" w:right="33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0" w:name="page41"/>
    <w:bookmarkEnd w:id="40"/>
    <w:p>
      <w:pPr>
        <w:jc w:val="both"/>
        <w:spacing w:after="0" w:line="261"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Any borrowing at the Alternate Base Rate is subject to a 1.00% floor and a term loan borrowed at the Adjusted Term SOFR Rate is subject to a 0.50% floor and any revolving loan borrowed at the Adjusted Term SOFR Rate is subject to a 0.00% floor.</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March 31, 2024, we had not drawn on our Revolving Facility and as such did not have to test the financial covenants under the Second Amended and Restated Credit Agreement. As of March 31, 2024, we had drawn the full amount of the Term Loan, and we therefore had $736.9 million total outstanding borrowings under the Second Amended and Restated Credit Agreement. As of March 31, 2024, we had outstanding letters of credit totaling $54.2 million, which are classified as Restricted cash on the Condensed Consolidated Balance Sheet. Upon entering into the Term Loan, the effective interest rate was 10.2%. On each of November 25, 2022 and May 25, 2023, the rate was updated to 13.7% and 14.3%, respectively. The current effective interest rate on the Term Loan is 14.5% as of March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8"/>
        </w:trPr>
        <w:tc>
          <w:tcPr>
            <w:tcW w:w="7600" w:type="dxa"/>
            <w:vAlign w:val="bottom"/>
          </w:tcPr>
          <w:p>
            <w:pPr>
              <w:spacing w:after="0"/>
              <w:rPr>
                <w:sz w:val="24"/>
                <w:szCs w:val="24"/>
                <w:color w:val="auto"/>
              </w:rPr>
            </w:pPr>
          </w:p>
        </w:tc>
        <w:tc>
          <w:tcPr>
            <w:tcW w:w="3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 March 31,</w:t>
            </w:r>
          </w:p>
        </w:tc>
        <w:tc>
          <w:tcPr>
            <w:tcW w:w="600" w:type="dxa"/>
            <w:vAlign w:val="bottom"/>
            <w:tcBorders>
              <w:bottom w:val="single" w:sz="8" w:color="auto"/>
            </w:tcBorders>
          </w:tcPr>
          <w:p>
            <w:pPr>
              <w:spacing w:after="0"/>
              <w:rPr>
                <w:sz w:val="24"/>
                <w:szCs w:val="24"/>
                <w:color w:val="auto"/>
              </w:rPr>
            </w:pPr>
          </w:p>
        </w:tc>
      </w:tr>
      <w:tr>
        <w:trPr>
          <w:trHeight w:val="223"/>
        </w:trPr>
        <w:tc>
          <w:tcPr>
            <w:tcW w:w="7600" w:type="dxa"/>
            <w:vAlign w:val="bottom"/>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2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6"/>
                <w:szCs w:val="16"/>
                <w:color w:val="auto"/>
              </w:rPr>
              <w:t>33.5</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29.0</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operating activities of $98.8 million for the nine months ended March 31, 2024 was primarily due to a net loss of $521.4 million, partially offset by a net increase in operating assets and liabilities of $19.7 million and non-cash adjustments of $402.9 million. The increase in operating assets and liabilities was primarily due to a $136.8 million decrease in inventory, partially offset by $64.5 million decrease in net operating lease liabilities due to lease payments and lease terminations and a $40.5 million decrease in accounts payable and accrued expenses. Non-cash adjustments primarily consisted of $208.6 million of stock-based compensation expense, $83.0 million of depreciation and amortization, $50.0 million of operating lease expense, and $46.7 million of impairment expense.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investing activities for the nine months ended March 31, 2024 of $33.5 million was primarily due to $31.9 million in proceeds from the sale of Peloton Output Park and $14.6 million in proceeds from the sale of a manufacturing subsidiary in Taiwan, partially offset by $13.0 million in capital expenditures related to the build out of our warehouses, studios and offices, and product development.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4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provided by financing activities of $29.0 million for the nine months ended March 31, 2024 was primarily related to proceeds from employee stock plans of $33.1 million, partially offset by $5.6 million in principal repayments on the Term Loan.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our contractual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804.5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2,737.6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346.2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86" w:lineRule="auto"/>
        <w:tabs>
          <w:tab w:leader="none" w:pos="197" w:val="left"/>
        </w:tabs>
        <w:numPr>
          <w:ilvl w:val="0"/>
          <w:numId w:val="20"/>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$0.1 million, also included above.</w:t>
      </w:r>
    </w:p>
    <w:p>
      <w:pPr>
        <w:spacing w:after="0" w:line="8" w:lineRule="exact"/>
        <w:rPr>
          <w:rFonts w:ascii="Arial" w:cs="Arial" w:eastAsia="Arial" w:hAnsi="Arial"/>
          <w:sz w:val="13"/>
          <w:szCs w:val="13"/>
          <w:color w:val="050505"/>
        </w:rPr>
      </w:pPr>
    </w:p>
    <w:p>
      <w:pPr>
        <w:jc w:val="both"/>
        <w:ind w:firstLine="8"/>
        <w:spacing w:after="0" w:line="251" w:lineRule="auto"/>
        <w:tabs>
          <w:tab w:leader="none" w:pos="194" w:val="left"/>
        </w:tabs>
        <w:numPr>
          <w:ilvl w:val="0"/>
          <w:numId w:val="20"/>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rFonts w:ascii="Arial" w:cs="Arial" w:eastAsia="Arial" w:hAnsi="Arial"/>
          <w:sz w:val="13"/>
          <w:szCs w:val="13"/>
          <w:i w:val="1"/>
          <w:iCs w:val="1"/>
          <w:color w:val="000000"/>
        </w:rPr>
        <w:t>”</w:t>
      </w:r>
      <w:r>
        <w:rPr>
          <w:rFonts w:ascii="Arial" w:cs="Arial" w:eastAsia="Arial" w:hAnsi="Arial"/>
          <w:sz w:val="13"/>
          <w:szCs w:val="13"/>
          <w:i w:val="1"/>
          <w:iCs w:val="1"/>
          <w:color w:val="050505"/>
        </w:rPr>
        <w:t xml:space="preserve"> </w:t>
      </w:r>
      <w:r>
        <w:rPr>
          <w:rFonts w:ascii="Arial" w:cs="Arial" w:eastAsia="Arial" w:hAnsi="Arial"/>
          <w:sz w:val="13"/>
          <w:szCs w:val="13"/>
          <w:color w:val="000000"/>
        </w:rPr>
        <w:t>in our Form 10-K.</w:t>
      </w:r>
    </w:p>
    <w:p>
      <w:pPr>
        <w:spacing w:after="0" w:line="30" w:lineRule="exact"/>
        <w:rPr>
          <w:rFonts w:ascii="Arial" w:cs="Arial" w:eastAsia="Arial" w:hAnsi="Arial"/>
          <w:sz w:val="13"/>
          <w:szCs w:val="13"/>
          <w:color w:val="050505"/>
        </w:rPr>
      </w:pPr>
    </w:p>
    <w:p>
      <w:pPr>
        <w:jc w:val="both"/>
        <w:ind w:firstLine="8"/>
        <w:spacing w:after="0" w:line="262" w:lineRule="auto"/>
        <w:tabs>
          <w:tab w:leader="none" w:pos="206"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the Second Amended and Restated Credit Agreement, we are required to pay a commitment fee of 0.325% and 0.375% on a quarterly basis based on the unused portion of the Revolving Facility for the Consenting Commitments and the Non-Consenting Commitments, respectively. As of March 31, 2024, we had outstanding letters of credit totaling $54.2 million, which are classified as Restricted cash on the Condensed Consolidated Balance Sheet.</w:t>
      </w:r>
    </w:p>
    <w:p>
      <w:pPr>
        <w:spacing w:after="0" w:line="23" w:lineRule="exact"/>
        <w:rPr>
          <w:rFonts w:ascii="Arial" w:cs="Arial" w:eastAsia="Arial" w:hAnsi="Arial"/>
          <w:sz w:val="13"/>
          <w:szCs w:val="13"/>
          <w:color w:val="auto"/>
        </w:rPr>
      </w:pPr>
    </w:p>
    <w:p>
      <w:pPr>
        <w:ind w:left="200" w:hanging="192"/>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64" w:lineRule="auto"/>
        <w:tabs>
          <w:tab w:leader="none" w:pos="193"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Notes and Term Loan obligations.</w:t>
      </w:r>
    </w:p>
    <w:p>
      <w:pPr>
        <w:spacing w:after="0" w:line="2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our commitments to contract with third-party manufacturers for their inventory on-hand and component purchase commitments related</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to the manufacture of our products were estimated to be approximately $123.5 million. See </w:t>
      </w:r>
      <w:r>
        <w:rPr>
          <w:rFonts w:ascii="Arial" w:cs="Arial" w:eastAsia="Arial" w:hAnsi="Arial"/>
          <w:sz w:val="16"/>
          <w:szCs w:val="16"/>
          <w:i w:val="1"/>
          <w:iCs w:val="1"/>
          <w:color w:val="auto"/>
        </w:rPr>
        <w:t>“Risk Factors—Risks Related to Our Business—Our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 in our Form 10-K.</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March 31,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w:t>
      </w:r>
    </w:p>
    <w:p>
      <w:pPr>
        <w:jc w:val="both"/>
        <w:spacing w:after="0" w:line="270" w:lineRule="auto"/>
        <w:rPr>
          <w:sz w:val="20"/>
          <w:szCs w:val="20"/>
          <w:color w:val="auto"/>
        </w:rPr>
      </w:pPr>
      <w:r>
        <w:rPr>
          <w:rFonts w:ascii="Arial" w:cs="Arial" w:eastAsia="Arial" w:hAnsi="Arial"/>
          <w:sz w:val="16"/>
          <w:szCs w:val="16"/>
          <w:color w:val="auto"/>
        </w:rPr>
        <w:t xml:space="preserve">financial statements include those described in </w:t>
      </w:r>
      <w:r>
        <w:rPr>
          <w:rFonts w:ascii="Arial" w:cs="Arial" w:eastAsia="Arial" w:hAnsi="Arial"/>
          <w:sz w:val="16"/>
          <w:szCs w:val="16"/>
          <w:i w:val="1"/>
          <w:iCs w:val="1"/>
          <w:color w:val="auto"/>
        </w:rPr>
        <w:t>“Management's Discussion and Analysis of Financial Condition and Results of Operations—Critical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in Part I, Item 7 of our Form 10-K.</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the Company announced a voluntary recall of the Company’s Tread+ product, permitting customers to return the product for a refund. The amount of a refund customers are eligible to receive may differ based on the status of an approved remediation of the issue driving the recall, and the age of the</w:t>
      </w:r>
    </w:p>
    <w:p>
      <w:pPr>
        <w:sectPr>
          <w:pgSz w:w="11900" w:h="16838" w:orient="portrait"/>
          <w:cols w:equalWidth="0" w:num="1">
            <w:col w:w="11240"/>
          </w:cols>
          <w:pgMar w:left="320" w:top="654"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42" w:name="page43"/>
    <w:bookmarkEnd w:id="42"/>
    <w:p>
      <w:pPr>
        <w:jc w:val="both"/>
        <w:spacing w:after="0" w:line="265" w:lineRule="auto"/>
        <w:rPr>
          <w:sz w:val="20"/>
          <w:szCs w:val="20"/>
          <w:color w:val="auto"/>
        </w:rPr>
      </w:pPr>
      <w:r>
        <w:rPr>
          <w:rFonts w:ascii="Arial" w:cs="Arial" w:eastAsia="Arial" w:hAnsi="Arial"/>
          <w:sz w:val="16"/>
          <w:szCs w:val="16"/>
          <w:color w:val="auto"/>
        </w:rPr>
        <w:t>Connected Fitness product being returned. We estimate return reserves primarily based on historical and expected product returns, product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predicting expected product returns based on historical returns becomes less relevant, requiring reliance on highly subjective estimates based on our interpretation of how current conditions and factors will drive consumer behavior.</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On October 18, 2022, the CPSC and the Company jointly announced that consumers have more time to get a full refund if they wish to return their Tread+, extending the full refund period for one additional year, to November 6, 2023. With the extension period now over, the Company adjusted its reserve assumptions for lower volume of expected returns, as well as an increase in estimated take rate of the rear guard repair, resulting in a reduction to the return reserve. As of March 31, 2024 and June 30, 2023, our return reserves related to the impacts of the recalls was $7.5 million and $24.4 million,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Recall Related Matters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050505"/>
        </w:rPr>
        <w:t>The Company accrues cost of product recalls and potential corrective actions based on management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the Company may commit to or be required to undertake. As of March 31, 2024 and June 30, 2023, accruals related to product recall related matters were $14.3 million and $63.4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$794.5 million as of March 31, 2024.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condensed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because we purchase component parts from our suppliers, we may be adversely impacted by their inability to adequately mitigate inflationary, industry, or economic pressures.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March 31, 2024.</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have identified material weaknesses in our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Solely as a result of these material weaknesses in our internal control over financial reporting described below, our Chief Executive Officer and Chief Financial Officer concluded that our disclosure controls and procedures were not effective as of March 31, 2024.</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Weaknesses and Remediation Plans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Previously Reported Material Weaknesses</w:t>
      </w:r>
    </w:p>
    <w:p>
      <w:pPr>
        <w:spacing w:after="0" w:line="29"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As reported in Part II, Item 9A. “Controls and Procedures” of our Annual Reports on Form 10-K for the fiscal years ended June 30, 2023, June 30, 2022, and June 30, 2021, we identified a material weakness in our internal control over financial reporting related to controls around the existence, completeness, and valuation of inventory.</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Management has continued its enhancements to the Company’s inventory management process related to the existence, completeness, and valuation of inventory and has made further progress in the implementation of the remediation efforts, including:</w:t>
      </w:r>
    </w:p>
    <w:p>
      <w:pPr>
        <w:spacing w:after="0" w:line="19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frequency of the periodic inventory physical count process at our distribution centers and final mile and locations;</w:t>
      </w:r>
    </w:p>
    <w:p>
      <w:pPr>
        <w:spacing w:after="0" w:line="21" w:lineRule="exact"/>
        <w:rPr>
          <w:rFonts w:ascii="Arial" w:cs="Arial" w:eastAsia="Arial" w:hAnsi="Arial"/>
          <w:sz w:val="16"/>
          <w:szCs w:val="16"/>
          <w:color w:val="auto"/>
        </w:rPr>
      </w:pPr>
    </w:p>
    <w:p>
      <w:pPr>
        <w:ind w:left="66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spacing w:after="0" w:line="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and implemented management oversight controls specifically related to inventory counts at third party distribution centers and final mile locations;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operational accuracy of inventory cycle count processes;</w:t>
      </w:r>
    </w:p>
    <w:p>
      <w:pPr>
        <w:spacing w:after="0" w:line="8" w:lineRule="exact"/>
        <w:rPr>
          <w:rFonts w:ascii="Arial" w:cs="Arial" w:eastAsia="Arial" w:hAnsi="Arial"/>
          <w:sz w:val="16"/>
          <w:szCs w:val="16"/>
          <w:color w:val="auto"/>
        </w:rPr>
      </w:pPr>
    </w:p>
    <w:p>
      <w:pPr>
        <w:ind w:left="66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Improved timeliness and accuracy of transactional processing between Peloton and third-party service providers and increased the accuracy of inventory data across Peloton internal systems, Peloton warehouses, and third-party providers;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Consolidation of our inventory network and reduced our inventory exposure to locations with historically high physical count inaccuracy; and</w:t>
      </w:r>
    </w:p>
    <w:p>
      <w:pPr>
        <w:spacing w:after="0" w:line="8"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Enhancements to training of standard operating procedures and internal controls to key stakeholders within the supply chain, logistics, and inventory processes.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While management has improved the periodic inventory physical count accuracy across locations and has made progress towards the remediation of the material weakness, including the implementation of a number of operational enhancements to our inventory management process as outlined above, additional time is required to complete the material weakness remediation work, as management needs to ensure the sustainability of the design and operational effectiveness of recently implemented controls. In addition, as part of the remediation effort, we may deem it necessary to implement additional controls, such as enhancements to our physical count controls and systematic reconciliations between warehouse management and Peloton general ledger systems. We believe the steps discussed above will be effective in the remediation of the material weakness, but these remediation steps currently remain ongoing. As a result, we have not yet fully remediated the material weakness relating to controls around the existence, completeness, and valuation of inventory. We concluded this material weakness did not result in any material misstatements in our financial statements or related disclosures in any of the fiscal years ended June 30, 2021, 2022, or 2023.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as reported in Part II, Item 9A. “Controls and Procedures” of our Form 10-K, we identified a material weakness related to information technology general controls (“ITGCs”) in the area of user access over a certain information technology system specific to Precor. Specifically, the Company did not design and maintain sufficient user access controls to ensure appropriate segregation of duties and adequately restrict user and privileged access to a financial application, programs, and data to appropriate Company personnel. Automated and manual business process controls that are dependent on the affected ITGCs were also deemed ineffective because they could have been adversely affected to the extent that they rely upon information and configurations from the affected IT system.</w:t>
      </w:r>
    </w:p>
    <w:p>
      <w:pPr>
        <w:spacing w:after="0" w:line="2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order to remediate the material weakness in ITGCs around user access, management is in progress of completing the following measures as of March 31, 2024:</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4" w:name="page45"/>
    <w:bookmarkEnd w:id="44"/>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rationalization of access privileges for all system users and critical transactions based on job responsibilities considering segregation of duties;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limiting excess rights and access for all system users;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implementation of controls that require periodic re-evaluation of user access privileges, including administrative access;</w:t>
      </w:r>
    </w:p>
    <w:p>
      <w:pPr>
        <w:spacing w:after="0" w:line="8"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 of compensating business process review controls for any high risk segregation of duties conflicts not able to be resolved by limiting user access in the system;</w:t>
      </w:r>
    </w:p>
    <w:p>
      <w:pPr>
        <w:jc w:val="both"/>
        <w:ind w:left="660" w:hanging="328"/>
        <w:spacing w:after="0" w:line="25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engaging an accounting advisory firm to assist with the documentation, evaluation, remediation, and testing of our internal control over financial reporting related to user access controls based on the criteria established in Internal Control - Integrated Framework (2013) issued by the Committee of Sponsoring Organizations (COSO) of the Treadway Commission; and</w:t>
      </w: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training of relevant personnel on the design and operation of our internal controls over financial reporting related to our ITGCs.</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 Additional or modified measures may also be required to remediate the material weaknesses. We will not be able to conclude that we have completely remediated the material weaknesses until the applicable controls are fully implemented and operate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Material Weakness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quarter ended March 31, 2024, management determined an additional and separate material weakness in our internal control over financial reporting exists related to Precor’s business process control environment. These business process controls were inherently deemed ineffective in the prior year due to the existing material weakness related to lack of effective ITGCs over its underlying financial reporting IT system, and as such were not separately assessed for design and operating effectiveness. In the current year, in parallel with progressing remediation efforts outlined above related to the ITGC-related material weakness, management assessed the design and operating effectiveness of automated and manual business process controls in Precor’s environment. We completed our evaluation as of March 31, 2024, and identified a number of deficiencies in Precor’s business process control environment related to lack of proper design of controls and lack of sufficient documentation to validate control design effectiveness, in particular management review controls. Management determined that in the aggregate, these control deficiencies constitute a material weakness.</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Management has designed and performed additional procedures on a quarterly basis to gain comfort over the completeness and accuracy of the financial information relied upon at Precor and to ensure material errors do not exist within the Precor information consolidated into Peloton’s financial statements. We have not identified any material errors or misstatements as a result of these procedures in our interim financial statements for the quarter ended March 31, 2024 or in our annual financial statements for the year ended June 30, 2023.</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order to remediate the material weakness related to Precor’s business process controls, management has designed the following remediation plan and is actively executing on this plan:</w:t>
      </w:r>
    </w:p>
    <w:p>
      <w:pPr>
        <w:ind w:left="660" w:hanging="324"/>
        <w:spacing w:after="0" w:line="249" w:lineRule="auto"/>
        <w:rPr>
          <w:sz w:val="20"/>
          <w:szCs w:val="20"/>
          <w:color w:val="auto"/>
        </w:rPr>
      </w:pPr>
      <w:r>
        <w:rPr>
          <w:rFonts w:ascii="Arial" w:cs="Arial" w:eastAsia="Arial" w:hAnsi="Arial"/>
          <w:sz w:val="16"/>
          <w:szCs w:val="16"/>
          <w:color w:val="auto"/>
        </w:rPr>
        <w:t>– taking a risk-based approach to remediation, prioritizing business process controls designed to mitigate significant financial statement risk areas, including financial statement close process review controls and management review controls over inventory and revenue judgments and estimates</w:t>
      </w:r>
    </w:p>
    <w:p>
      <w:pPr>
        <w:ind w:left="660" w:hanging="324"/>
        <w:spacing w:after="0" w:line="252" w:lineRule="auto"/>
        <w:rPr>
          <w:sz w:val="20"/>
          <w:szCs w:val="20"/>
          <w:color w:val="auto"/>
        </w:rPr>
      </w:pPr>
      <w:r>
        <w:rPr>
          <w:rFonts w:ascii="Arial" w:cs="Arial" w:eastAsia="Arial" w:hAnsi="Arial"/>
          <w:sz w:val="16"/>
          <w:szCs w:val="16"/>
          <w:color w:val="auto"/>
        </w:rPr>
        <w:t>– engaging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ind w:left="660" w:hanging="324"/>
        <w:spacing w:after="0" w:line="255" w:lineRule="auto"/>
        <w:rPr>
          <w:sz w:val="20"/>
          <w:szCs w:val="20"/>
          <w:color w:val="auto"/>
        </w:rPr>
      </w:pPr>
      <w:r>
        <w:rPr>
          <w:rFonts w:ascii="Arial" w:cs="Arial" w:eastAsia="Arial" w:hAnsi="Arial"/>
          <w:sz w:val="16"/>
          <w:szCs w:val="16"/>
          <w:color w:val="auto"/>
        </w:rPr>
        <w:t>– training of relevant personnel on the design and operation of our internal control over financial reporting relating to Precor’s business process control environment</w:t>
      </w:r>
    </w:p>
    <w:p>
      <w:pPr>
        <w:ind w:left="340"/>
        <w:spacing w:after="0"/>
        <w:rPr>
          <w:sz w:val="20"/>
          <w:szCs w:val="20"/>
          <w:color w:val="auto"/>
        </w:rPr>
      </w:pPr>
      <w:r>
        <w:rPr>
          <w:rFonts w:ascii="Arial" w:cs="Arial" w:eastAsia="Arial" w:hAnsi="Arial"/>
          <w:sz w:val="16"/>
          <w:szCs w:val="16"/>
          <w:color w:val="auto"/>
        </w:rPr>
        <w:t>–   hiring additional qualified accounting and financial reporting personnel with internal control expertise to support the Precor business</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management has made progress towards remediation of critical business process controls, we will not be able to conclude that we have remediated this material weakness until the applicable remedial measures are fully implemented and operate for a sufficient period of time and management has concluded, through formal testing, that the remediated controls are operating effectively. These steps are subject to ongoing senior management review, as well as oversight by the audit committee of our Board of Directors. We will continue to monitor the design and effectiveness of these controls and make any further changes management deems appropriate.</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concluded with respect to each of the material weaknesses described above that these material weaknesses did not result in any material misstatements in our financial statements or disclosures in the current year or in our interim or annual consolidated financial statements in any of the fiscal years ended June 30, 2021, 2022, or 2023.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ongoing remediation efforts and the new material weakness described above, 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w:t>
      </w:r>
    </w:p>
    <w:p>
      <w:pPr>
        <w:sectPr>
          <w:pgSz w:w="11900" w:h="16838" w:orient="portrait"/>
          <w:cols w:equalWidth="0" w:num="1">
            <w:col w:w="11240"/>
          </w:cols>
          <w:pgMar w:left="320" w:top="611"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5" w:name="page46"/>
    <w:bookmarkEnd w:id="45"/>
    <w:p>
      <w:pPr>
        <w:jc w:val="both"/>
        <w:spacing w:after="0" w:line="259" w:lineRule="auto"/>
        <w:rPr>
          <w:sz w:val="20"/>
          <w:szCs w:val="20"/>
          <w:color w:val="auto"/>
        </w:rPr>
      </w:pPr>
      <w:r>
        <w:rPr>
          <w:rFonts w:ascii="Arial" w:cs="Arial" w:eastAsia="Arial" w:hAnsi="Arial"/>
          <w:sz w:val="16"/>
          <w:szCs w:val="16"/>
          <w:color w:val="auto"/>
        </w:rPr>
        <w:t>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have been no material changes to the risks disclosed in the Form 10-K.</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April 2024 Restructuring Plan; Asset Impairments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reporting the following information in lieu of reporting on a Current Report on Form 8-K under Item 2.05 Costs Associated with Exit or Disposal Activities and under Item 2.06 Material Impairments.</w:t>
      </w:r>
    </w:p>
    <w:p>
      <w:pPr>
        <w:spacing w:after="0" w:line="21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April 22, 2024, in connection with previously disclosed market factors impacting the business of Peloton Interactive Inc. (the “Company”), the Company’s Board of Directors approved a new restructuring plan to expand upon its 2022 restructuring plan (as expanded, the “2024 Restructuring Plan”).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by approximately 15%, which impacts roughly 400 Peloton team members; and (ii) continued closures of our retail locations. The Company expects the 2024 Restructuring Plan to be substantially implemented by the end of fiscal 2025.</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2024 Restructuring Plan, the Company recognized charges of $45.0 million during the third quarter of fiscal 2024, consisting of cash charges totaling $32.5 million for severance and other personnel costs, and non-cash charges of $10.8 million related to asset write-downs and write-offs and $1.7 million for stock-based compensation. In connection with the 2024 Restructuring Plan, which includes any remaining restructuring activity under the original 2022 restructuring plan, the Company estimates that it will incur additional cash charges of approximately $45.0 million, primarily composed of lease termination and other exit costs, which are expected to be substantially incurred by the end of fiscal year 2025. Additionally, the Company expects to recognize additional non-cash charges of approximately $20.0 million, primarily composed of non-inventory asset impairment charges in connection with the 2024 Restructuring Plan, which are expected to be substantially incurred by the end of fiscal year 2025.</w:t>
      </w:r>
    </w:p>
    <w:p>
      <w:pPr>
        <w:spacing w:after="0" w:line="187"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 xml:space="preserve">Upon full implementation, the company expects the plan to result in reduced annual run-rate expenses by more than $200 million by the end of its 2025 fiscal year. We do not believe these cost-saving measures will impair our ability to conduct any of our key business functions. We may not be able to realize the cost savings and benefits initially anticipated as a result of the 2024 Restructuring Plan, and costs may be greater than expected. 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 Form 10-K.</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10b5-1 Trading Plans</w:t>
      </w:r>
    </w:p>
    <w:p>
      <w:pPr>
        <w:spacing w:after="0" w:line="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During the three months ended March 31, 2024, none of our directors or officers (as defined in Item 408 of Regulation S-K of the Exchange Act) adopted or terminated Rule 10b5-1 trading arrangements (as defined in Item 408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31495" cy="4183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 cy="418338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840" w:type="dxa"/>
            <w:vAlign w:val="bottom"/>
            <w:shd w:val="clear" w:color="auto" w:fill="FEFEFE"/>
          </w:tcPr>
          <w:p>
            <w:pPr>
              <w:spacing w:after="0"/>
              <w:rPr>
                <w:sz w:val="24"/>
                <w:szCs w:val="24"/>
                <w:color w:val="auto"/>
              </w:rPr>
            </w:pPr>
          </w:p>
        </w:tc>
        <w:tc>
          <w:tcPr>
            <w:tcW w:w="160" w:type="dxa"/>
            <w:vAlign w:val="bottom"/>
            <w:tcBorders>
              <w:bottom w:val="single" w:sz="8" w:color="FEFEFE"/>
              <w:right w:val="single" w:sz="8" w:color="FEFEFE"/>
            </w:tcBorders>
            <w:shd w:val="clear" w:color="auto" w:fill="FEFEFE"/>
          </w:tcPr>
          <w:p>
            <w:pPr>
              <w:spacing w:after="0"/>
              <w:rPr>
                <w:sz w:val="24"/>
                <w:szCs w:val="24"/>
                <w:color w:val="auto"/>
              </w:rPr>
            </w:pPr>
          </w:p>
        </w:tc>
        <w:tc>
          <w:tcPr>
            <w:tcW w:w="2340" w:type="dxa"/>
            <w:vAlign w:val="bottom"/>
            <w:tcBorders>
              <w:bottom w:val="single" w:sz="8" w:color="FEFEFE"/>
            </w:tcBorders>
            <w:shd w:val="clear" w:color="auto" w:fill="FEFEFE"/>
          </w:tcPr>
          <w:p>
            <w:pPr>
              <w:spacing w:after="0"/>
              <w:rPr>
                <w:sz w:val="24"/>
                <w:szCs w:val="24"/>
                <w:color w:val="auto"/>
              </w:rPr>
            </w:pPr>
          </w:p>
        </w:tc>
        <w:tc>
          <w:tcPr>
            <w:tcW w:w="30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1160" w:type="dxa"/>
            <w:vAlign w:val="bottom"/>
            <w:tcBorders>
              <w:bottom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c>
          <w:tcPr>
            <w:tcW w:w="6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12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6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bottom w:val="single" w:sz="8" w:color="auto"/>
            </w:tcBorders>
            <w:shd w:val="clear" w:color="auto" w:fill="FEFEFE"/>
          </w:tcPr>
          <w:p>
            <w:pPr>
              <w:spacing w:after="0"/>
              <w:rPr>
                <w:sz w:val="24"/>
                <w:szCs w:val="24"/>
                <w:color w:val="auto"/>
              </w:rPr>
            </w:pPr>
          </w:p>
        </w:tc>
      </w:tr>
      <w:tr>
        <w:trPr>
          <w:trHeight w:val="168"/>
        </w:trPr>
        <w:tc>
          <w:tcPr>
            <w:tcW w:w="84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Exhibit</w:t>
            </w:r>
          </w:p>
        </w:tc>
        <w:tc>
          <w:tcPr>
            <w:tcW w:w="160" w:type="dxa"/>
            <w:vAlign w:val="bottom"/>
            <w:tcBorders>
              <w:right w:val="single" w:sz="8" w:color="FEFEFE"/>
            </w:tcBorders>
            <w:shd w:val="clear" w:color="auto" w:fill="FEFEFE"/>
          </w:tcPr>
          <w:p>
            <w:pPr>
              <w:spacing w:after="0"/>
              <w:rPr>
                <w:sz w:val="14"/>
                <w:szCs w:val="14"/>
                <w:color w:val="auto"/>
              </w:rPr>
            </w:pPr>
          </w:p>
        </w:tc>
        <w:tc>
          <w:tcPr>
            <w:tcW w:w="4480" w:type="dxa"/>
            <w:vAlign w:val="bottom"/>
            <w:gridSpan w:val="9"/>
            <w:shd w:val="clear" w:color="auto" w:fill="FEFEFE"/>
          </w:tcPr>
          <w:p>
            <w:pPr>
              <w:ind w:left="1780"/>
              <w:spacing w:after="0" w:line="168"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8" w:lineRule="exact"/>
              <w:rPr>
                <w:sz w:val="20"/>
                <w:szCs w:val="20"/>
                <w:color w:val="auto"/>
              </w:rPr>
            </w:pPr>
            <w:r>
              <w:rPr>
                <w:rFonts w:ascii="Arial" w:cs="Arial" w:eastAsia="Arial" w:hAnsi="Arial"/>
                <w:sz w:val="16"/>
                <w:szCs w:val="16"/>
                <w:b w:val="1"/>
                <w:bCs w:val="1"/>
                <w:color w:val="auto"/>
              </w:rPr>
              <w:t>Form</w:t>
            </w:r>
          </w:p>
        </w:tc>
        <w:tc>
          <w:tcPr>
            <w:tcW w:w="1140" w:type="dxa"/>
            <w:vAlign w:val="bottom"/>
            <w:shd w:val="clear" w:color="auto" w:fill="FEFEFE"/>
          </w:tcPr>
          <w:p>
            <w:pPr>
              <w:jc w:val="right"/>
              <w:ind w:right="199"/>
              <w:spacing w:after="0" w:line="168" w:lineRule="exact"/>
              <w:rPr>
                <w:sz w:val="20"/>
                <w:szCs w:val="20"/>
                <w:color w:val="auto"/>
              </w:rPr>
            </w:pPr>
            <w:r>
              <w:rPr>
                <w:rFonts w:ascii="Arial" w:cs="Arial" w:eastAsia="Arial" w:hAnsi="Arial"/>
                <w:sz w:val="16"/>
                <w:szCs w:val="16"/>
                <w:b w:val="1"/>
                <w:bCs w:val="1"/>
                <w:color w:val="auto"/>
              </w:rPr>
              <w:t>File No.</w:t>
            </w:r>
          </w:p>
        </w:tc>
        <w:tc>
          <w:tcPr>
            <w:tcW w:w="1420" w:type="dxa"/>
            <w:vAlign w:val="bottom"/>
            <w:shd w:val="clear" w:color="auto" w:fill="FEFEFE"/>
          </w:tcPr>
          <w:p>
            <w:pPr>
              <w:jc w:val="right"/>
              <w:ind w:right="419"/>
              <w:spacing w:after="0" w:line="168" w:lineRule="exact"/>
              <w:rPr>
                <w:sz w:val="20"/>
                <w:szCs w:val="20"/>
                <w:color w:val="auto"/>
              </w:rPr>
            </w:pPr>
            <w:r>
              <w:rPr>
                <w:rFonts w:ascii="Arial" w:cs="Arial" w:eastAsia="Arial" w:hAnsi="Arial"/>
                <w:sz w:val="16"/>
                <w:szCs w:val="16"/>
                <w:b w:val="1"/>
                <w:bCs w:val="1"/>
                <w:color w:val="auto"/>
              </w:rPr>
              <w:t>Exhibit</w:t>
            </w:r>
          </w:p>
        </w:tc>
        <w:tc>
          <w:tcPr>
            <w:tcW w:w="1140" w:type="dxa"/>
            <w:vAlign w:val="bottom"/>
            <w:shd w:val="clear" w:color="auto" w:fill="FEFEFE"/>
          </w:tcPr>
          <w:p>
            <w:pPr>
              <w:jc w:val="right"/>
              <w:ind w:right="139"/>
              <w:spacing w:after="0" w:line="168" w:lineRule="exact"/>
              <w:rPr>
                <w:sz w:val="20"/>
                <w:szCs w:val="20"/>
                <w:color w:val="auto"/>
              </w:rPr>
            </w:pPr>
            <w:r>
              <w:rPr>
                <w:rFonts w:ascii="Arial" w:cs="Arial" w:eastAsia="Arial" w:hAnsi="Arial"/>
                <w:sz w:val="16"/>
                <w:szCs w:val="16"/>
                <w:b w:val="1"/>
                <w:bCs w:val="1"/>
                <w:color w:val="auto"/>
              </w:rPr>
              <w:t>Filing Date</w:t>
            </w:r>
          </w:p>
        </w:tc>
      </w:tr>
      <w:tr>
        <w:trPr>
          <w:trHeight w:val="224"/>
        </w:trPr>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FEFEFE"/>
              <w:right w:val="single" w:sz="8" w:color="FEFEFE"/>
            </w:tcBorders>
            <w:shd w:val="clear" w:color="auto" w:fill="FEFEFE"/>
          </w:tcPr>
          <w:p>
            <w:pPr>
              <w:spacing w:after="0"/>
              <w:rPr>
                <w:sz w:val="19"/>
                <w:szCs w:val="19"/>
                <w:color w:val="auto"/>
              </w:rPr>
            </w:pPr>
          </w:p>
        </w:tc>
        <w:tc>
          <w:tcPr>
            <w:tcW w:w="234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FEFEFE"/>
            </w:tcBorders>
            <w:shd w:val="clear" w:color="auto" w:fill="FEFEFE"/>
          </w:tcPr>
          <w:p>
            <w:pPr>
              <w:spacing w:after="0"/>
              <w:rPr>
                <w:sz w:val="19"/>
                <w:szCs w:val="19"/>
                <w:color w:val="auto"/>
              </w:rPr>
            </w:pPr>
          </w:p>
        </w:tc>
        <w:tc>
          <w:tcPr>
            <w:tcW w:w="1160" w:type="dxa"/>
            <w:vAlign w:val="bottom"/>
            <w:tcBorders>
              <w:bottom w:val="single" w:sz="8" w:color="FEFEFE"/>
            </w:tcBorders>
            <w:shd w:val="clear" w:color="auto" w:fill="FEFEFE"/>
          </w:tcPr>
          <w:p>
            <w:pPr>
              <w:spacing w:after="0"/>
              <w:rPr>
                <w:sz w:val="19"/>
                <w:szCs w:val="19"/>
                <w:color w:val="auto"/>
              </w:rPr>
            </w:pPr>
          </w:p>
        </w:tc>
        <w:tc>
          <w:tcPr>
            <w:tcW w:w="18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2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42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60" w:type="dxa"/>
            <w:vAlign w:val="bottom"/>
            <w:tcBorders>
              <w:right w:val="single" w:sz="8" w:color="FEFEFE"/>
            </w:tcBorders>
          </w:tcPr>
          <w:p>
            <w:pPr>
              <w:spacing w:after="0"/>
              <w:rPr>
                <w:sz w:val="19"/>
                <w:szCs w:val="19"/>
                <w:color w:val="auto"/>
              </w:rPr>
            </w:pPr>
          </w:p>
        </w:tc>
        <w:tc>
          <w:tcPr>
            <w:tcW w:w="2640" w:type="dxa"/>
            <w:vAlign w:val="bottom"/>
            <w:tcBorders>
              <w:bottom w:val="single" w:sz="8" w:color="0000FF"/>
            </w:tcBorders>
            <w:gridSpan w:val="2"/>
            <w:shd w:val="clear" w:color="auto" w:fill="FEFEFE"/>
          </w:tcPr>
          <w:p>
            <w:pPr>
              <w:spacing w:after="0" w:line="175" w:lineRule="exact"/>
              <w:rPr>
                <w:rFonts w:ascii="Arial" w:cs="Arial" w:eastAsia="Arial" w:hAnsi="Arial"/>
                <w:sz w:val="16"/>
                <w:szCs w:val="16"/>
                <w:color w:val="0000FF"/>
              </w:rPr>
            </w:pPr>
            <w:hyperlink r:id="rId64">
              <w:r>
                <w:rPr>
                  <w:rFonts w:ascii="Arial" w:cs="Arial" w:eastAsia="Arial" w:hAnsi="Arial"/>
                  <w:sz w:val="16"/>
                  <w:szCs w:val="16"/>
                  <w:color w:val="0000FF"/>
                </w:rPr>
                <w:t>Restated Certificate of Incorporation.</w:t>
              </w:r>
            </w:hyperlink>
          </w:p>
        </w:tc>
        <w:tc>
          <w:tcPr>
            <w:tcW w:w="1840" w:type="dxa"/>
            <w:vAlign w:val="bottom"/>
            <w:tcBorders>
              <w:bottom w:val="single" w:sz="8" w:color="FEFEFE"/>
            </w:tcBorders>
            <w:gridSpan w:val="7"/>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10-Q</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11/06/2019</w:t>
            </w: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900" w:type="dxa"/>
            <w:vAlign w:val="bottom"/>
            <w:tcBorders>
              <w:bottom w:val="single" w:sz="8" w:color="0000FF"/>
            </w:tcBorders>
            <w:gridSpan w:val="3"/>
          </w:tcPr>
          <w:p>
            <w:pPr>
              <w:spacing w:after="0" w:line="175" w:lineRule="exact"/>
              <w:rPr>
                <w:rFonts w:ascii="Arial" w:cs="Arial" w:eastAsia="Arial" w:hAnsi="Arial"/>
                <w:sz w:val="16"/>
                <w:szCs w:val="16"/>
                <w:color w:val="0000FF"/>
              </w:rPr>
            </w:pPr>
            <w:hyperlink r:id="rId65">
              <w:r>
                <w:rPr>
                  <w:rFonts w:ascii="Arial" w:cs="Arial" w:eastAsia="Arial" w:hAnsi="Arial"/>
                  <w:sz w:val="16"/>
                  <w:szCs w:val="16"/>
                  <w:color w:val="0000FF"/>
                </w:rPr>
                <w:t>Second Amended and Restated Bylaws.</w:t>
              </w:r>
            </w:hyperlink>
          </w:p>
        </w:tc>
        <w:tc>
          <w:tcPr>
            <w:tcW w:w="1580" w:type="dxa"/>
            <w:vAlign w:val="bottom"/>
            <w:gridSpan w:val="6"/>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8-K</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04/08/2024</w:t>
            </w: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448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tcPr>
          <w:p>
            <w:pPr>
              <w:spacing w:after="0"/>
              <w:rPr>
                <w:sz w:val="15"/>
                <w:szCs w:val="15"/>
                <w:color w:val="auto"/>
              </w:rPr>
            </w:pPr>
          </w:p>
        </w:tc>
        <w:tc>
          <w:tcPr>
            <w:tcW w:w="114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7"/>
              </w:rPr>
              <w:t>13a-14(a) and 15d-14(a) under the Exchange Act, as Adopted</w:t>
            </w: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42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c>
          <w:tcPr>
            <w:tcW w:w="142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448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9"/>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top w:val="single" w:sz="8" w:color="FEFEFE"/>
              <w:bottom w:val="single" w:sz="8" w:color="FEFEFE"/>
            </w:tcBorders>
            <w:shd w:val="clear" w:color="auto" w:fill="FEFEFE"/>
          </w:tcPr>
          <w:p>
            <w:pPr>
              <w:spacing w:after="0"/>
              <w:rPr>
                <w:sz w:val="17"/>
                <w:szCs w:val="17"/>
                <w:color w:val="auto"/>
              </w:rPr>
            </w:pPr>
          </w:p>
        </w:tc>
        <w:tc>
          <w:tcPr>
            <w:tcW w:w="1140" w:type="dxa"/>
            <w:vAlign w:val="bottom"/>
            <w:tcBorders>
              <w:top w:val="single" w:sz="8" w:color="FEFEFE"/>
              <w:bottom w:val="single" w:sz="8" w:color="FEFEFE"/>
            </w:tcBorders>
            <w:shd w:val="clear" w:color="auto" w:fill="FEFEFE"/>
          </w:tcPr>
          <w:p>
            <w:pPr>
              <w:spacing w:after="0"/>
              <w:rPr>
                <w:sz w:val="17"/>
                <w:szCs w:val="17"/>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448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18</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9"/>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6"/>
          </w:tcPr>
          <w:p>
            <w:pPr>
              <w:spacing w:after="0"/>
              <w:rPr>
                <w:sz w:val="14"/>
                <w:szCs w:val="14"/>
                <w:color w:val="auto"/>
              </w:rPr>
            </w:pPr>
          </w:p>
        </w:tc>
        <w:tc>
          <w:tcPr>
            <w:tcW w:w="1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-1713865</wp:posOffset>
            </wp:positionV>
            <wp:extent cx="5820410" cy="3917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820410" cy="391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-394970</wp:posOffset>
            </wp:positionV>
            <wp:extent cx="779780" cy="4183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7978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XX</w:t>
      </w:r>
    </w:p>
    <w:p>
      <w:pPr>
        <w:spacing w:after="0" w:line="415" w:lineRule="exact"/>
        <w:rPr>
          <w:sz w:val="20"/>
          <w:szCs w:val="20"/>
          <w:color w:val="auto"/>
        </w:rPr>
      </w:pPr>
    </w:p>
    <w:p>
      <w:pPr>
        <w:sectPr>
          <w:pgSz w:w="11900" w:h="16838" w:orient="portrait"/>
          <w:cols w:equalWidth="0" w:num="2">
            <w:col w:w="10020" w:space="220"/>
            <w:col w:w="900"/>
          </w:cols>
          <w:pgMar w:left="320" w:top="773"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40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2980" w:type="dxa"/>
            <w:vAlign w:val="bottom"/>
            <w:gridSpan w:val="2"/>
          </w:tcPr>
          <w:p>
            <w:pPr>
              <w:spacing w:after="0"/>
              <w:rPr>
                <w:sz w:val="16"/>
                <w:szCs w:val="16"/>
                <w:color w:val="auto"/>
              </w:rPr>
            </w:pP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70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2"/>
          </w:tcPr>
          <w:p>
            <w:pPr>
              <w:spacing w:after="0"/>
              <w:rPr>
                <w:sz w:val="14"/>
                <w:szCs w:val="14"/>
                <w:color w:val="auto"/>
              </w:rPr>
            </w:pPr>
          </w:p>
        </w:tc>
        <w:tc>
          <w:tcPr>
            <w:tcW w:w="26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22"/>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101.INS</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274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are embedded within the Inline XBRL document.</w:t>
            </w:r>
          </w:p>
        </w:tc>
        <w:tc>
          <w:tcPr>
            <w:tcW w:w="2740" w:type="dxa"/>
            <w:vAlign w:val="bottom"/>
          </w:tcPr>
          <w:p>
            <w:pPr>
              <w:spacing w:after="0"/>
              <w:rPr>
                <w:sz w:val="18"/>
                <w:szCs w:val="18"/>
                <w:color w:val="auto"/>
              </w:rPr>
            </w:pPr>
          </w:p>
        </w:tc>
      </w:tr>
      <w:tr>
        <w:trPr>
          <w:trHeight w:val="23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4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700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contained in Exhibit 101).</w:t>
            </w:r>
          </w:p>
        </w:tc>
        <w:tc>
          <w:tcPr>
            <w:tcW w:w="274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By:</w:t>
        <w:tab/>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20955</wp:posOffset>
            </wp:positionV>
            <wp:extent cx="2537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Elizabeth F Coddington</w:t>
      </w:r>
    </w:p>
    <w:p>
      <w:pPr>
        <w:ind w:left="7120"/>
        <w:spacing w:after="0" w:line="211" w:lineRule="auto"/>
        <w:rPr>
          <w:sz w:val="20"/>
          <w:szCs w:val="20"/>
          <w:color w:val="auto"/>
        </w:rPr>
      </w:pPr>
      <w:r>
        <w:rPr>
          <w:rFonts w:ascii="Arial" w:cs="Arial" w:eastAsia="Arial" w:hAnsi="Arial"/>
          <w:sz w:val="16"/>
          <w:szCs w:val="16"/>
          <w:color w:val="auto"/>
        </w:rPr>
        <w:t>Chief Financial Officer</w:t>
      </w:r>
    </w:p>
    <w:p>
      <w:pPr>
        <w:ind w:left="71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611" w:right="359" w:bottom="1440" w:gutter="0" w:footer="0" w:header="0"/>
        </w:sectPr>
      </w:pPr>
    </w:p>
    <w:bookmarkStart w:id="49" w:name="page50"/>
    <w:bookmarkEnd w:id="49"/>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Barry McCarthy, certify that:</w:t>
      </w:r>
    </w:p>
    <w:p>
      <w:pPr>
        <w:spacing w:after="0" w:line="24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May 2,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May 2,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2,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2,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endash "/>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4" Type="http://schemas.openxmlformats.org/officeDocument/2006/relationships/hyperlink" Target="https://www.sec.gov/Archives/edgar/data/1639825/000163982519000018/exhibit31restatedcertifi.htm" TargetMode="External"/><Relationship Id="rId65" Type="http://schemas.openxmlformats.org/officeDocument/2006/relationships/hyperlink" Target="https://www.sec.gov/ix?doc=/Archives/edgar/data/0001639825/000163982524000041/pton-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2024-05-02T15:31:26Z</dcterms:created>
  <dcterms:modified xsi:type="dcterms:W3CDTF">2024-05-02T15:31:26Z</dcterms:modified>
</cp:coreProperties>
</file>