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2558.xml.htm"/>
      <w:bookmarkStart w:id="1" w:name="kswkform4_17924425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Kirol Charles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PELOTON INTERACTIVE,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 NINTH AVENUE,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PELOTON INTERACTIVE,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56,510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226,183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28,849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197,334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56,510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56,510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452,080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cover the Reporting Person's tax liability with respect to the settlement of RSUs that vested on October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 quarterly in equal 1/12 installments, commencing July 15, 2025,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Tammy Albarran as attorney-in-fact for Charles P. Kirol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5340" TargetMode="External"/><Relationship Id="rId5" Type="http://schemas.openxmlformats.org/officeDocument/2006/relationships/hyperlink" Target="http://www.sec.gov/cgi-bin/browse-edgar?action=getcompany&amp;CIK=0001639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3640</Characters>
  <CharactersWithSpaces>4227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