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086096.xml.htm"/>
      <w:bookmarkStart w:id="1" w:name="kswkform4_178708609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Sanders Dion C.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PELOTON INTERACTIVE,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441 NINTH AVENUE, SIXTH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PELOTON INTERACTIVE,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PTON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Commercial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1055"/>
        <w:gridCol w:w="451"/>
        <w:gridCol w:w="667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17,151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17,151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54,945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72,096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12,584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84,680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40,000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124,680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38,277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162,957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104,415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267,372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136,059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5.63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131,313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4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81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 (RSU)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17,151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17,151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34,301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 (RSU)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54,945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54,945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329,670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 (RSU)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12,584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12,584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 (RSU)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40,000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 (RSU)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38,277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38,277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421,041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 (RSU)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104,415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104,415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("RSU") represents a contingent right to receive one share of the Issuer's Class A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withheld to cover the Reporting Person's tax liability with respect to the settlement of RSUs that vested on August 15,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RSUs vest as to 6.25% of the total shares quarterly, commencing May 15, 2023, with 100% of the total shares vested on February 15, 2027, subject to the Reporting Person's provision of service to the Issuer on each vesting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RSUs vest as to 6.25% of the total shares quarterly, commencing May 15, 2024, with 100% of the total shares vested on February 15, 2028, subject to the Reporting Person's provision of service to the Issuer on each vesting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 RSUs vest as to 6.25% of the total shares quarterly, commencing November 15, 2022, with 100% of the total shares vested on August 15, 2026, subject to the Reporting Person's provision of service to the Issuer on each vesting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The RSUs vest as to 6.25% of the total shares quarterly, commencing November 15, 2023, with 100% of the total shares vested on August 15, 2027, subject to the Reporting Person's provision of service to the Issuer on each vesting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The RSUs vest as to 1/12 of the total shares on August 15, 2026, then 1/12 of the total shares vest quarterly thereafter, with 100% of the total shares vested on May 15, 2029, subject to the Reporting Person's provision of service to the Issuer on each vesting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The RSUs vest as to 12.50% of the total shares quarterly, commencing November 15, 2024, with 100% of the total shares vested on August 15, 2026, subject to the Reporting Person's provision of service to the Issuer on each vesting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Tammy Albarran as attorney-in-fact for Dion C. Sanders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80798" TargetMode="External"/><Relationship Id="rId5" Type="http://schemas.openxmlformats.org/officeDocument/2006/relationships/hyperlink" Target="http://www.sec.gov/cgi-bin/browse-edgar?action=getcompany&amp;CIK=000163982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1055</Words>
  <Characters>5319</Characters>
  <CharactersWithSpaces>6178</CharactersWithSpaces>
  <Paragraphs>224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