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center"/>
        <w:rPr>
          <w:rFonts w:ascii="Roboto;sans-serif" w:hAnsi="Roboto;sans-serif"/>
          <w:b/>
          <w:color w:val="000000"/>
          <w:sz w:val="36"/>
        </w:rPr>
      </w:pPr>
      <w:r>
        <w:rPr>
          <w:rFonts w:ascii="Roboto;sans-serif" w:hAnsi="Roboto;sans-serif"/>
          <w:b/>
          <w:color w:val="000000"/>
          <w:sz w:val="36"/>
        </w:rPr>
        <w:t>UNITED STATES</w:t>
      </w:r>
    </w:p>
    <w:p>
      <w:pPr>
        <w:pStyle w:val="TextBody"/>
        <w:bidi w:val="0"/>
        <w:spacing w:lineRule="auto" w:line="240" w:before="0" w:after="0"/>
        <w:jc w:val="center"/>
        <w:rPr>
          <w:rFonts w:ascii="Roboto;sans-serif" w:hAnsi="Roboto;sans-serif"/>
          <w:b/>
          <w:color w:val="000000"/>
          <w:sz w:val="36"/>
        </w:rPr>
      </w:pPr>
      <w:r>
        <w:rPr>
          <w:rFonts w:ascii="Roboto;sans-serif" w:hAnsi="Roboto;sans-serif"/>
          <w:b/>
          <w:color w:val="000000"/>
          <w:sz w:val="36"/>
        </w:rPr>
        <w:t>SECURITIES AND EXCHANGE COMMISSION</w:t>
      </w:r>
    </w:p>
    <w:p>
      <w:pPr>
        <w:pStyle w:val="TextBody"/>
        <w:bidi w:val="0"/>
        <w:spacing w:lineRule="auto" w:line="345" w:before="0" w:after="0"/>
        <w:jc w:val="center"/>
        <w:rPr>
          <w:rFonts w:ascii="Roboto;sans-serif" w:hAnsi="Roboto;sans-serif"/>
          <w:b/>
          <w:color w:val="000000"/>
          <w:sz w:val="24"/>
        </w:rPr>
      </w:pPr>
      <w:r>
        <w:rPr>
          <w:rFonts w:ascii="Roboto;sans-serif" w:hAnsi="Roboto;sans-serif"/>
          <w:b/>
          <w:color w:val="000000"/>
          <w:sz w:val="24"/>
        </w:rPr>
        <w:t>Washington, D.C. 20549</w:t>
      </w:r>
    </w:p>
    <w:p>
      <w:pPr>
        <w:pStyle w:val="TextBody"/>
        <w:bidi w:val="0"/>
        <w:spacing w:lineRule="auto" w:line="345" w:before="0" w:after="0"/>
        <w:jc w:val="center"/>
        <w:rPr>
          <w:rFonts w:ascii="Roboto;sans-serif" w:hAnsi="Roboto;sans-serif"/>
          <w:b/>
          <w:color w:val="000000"/>
          <w:sz w:val="36"/>
        </w:rPr>
      </w:pPr>
      <w:r>
        <w:rPr>
          <w:rFonts w:ascii="Roboto;sans-serif" w:hAnsi="Roboto;sans-serif"/>
          <w:b/>
          <w:color w:val="000000"/>
          <w:sz w:val="36"/>
        </w:rPr>
        <w:t>FORM 10-Q</w:t>
      </w:r>
    </w:p>
    <w:p>
      <w:pPr>
        <w:pStyle w:val="TextBody"/>
        <w:bidi w:val="0"/>
        <w:spacing w:lineRule="auto" w:line="345" w:before="0" w:after="0"/>
        <w:jc w:val="left"/>
        <w:rPr>
          <w:rFonts w:ascii="Roboto;sans-serif" w:hAnsi="Roboto;sans-serif"/>
          <w:b/>
          <w:color w:val="000000"/>
          <w:sz w:val="20"/>
        </w:rPr>
      </w:pPr>
      <w:r>
        <w:rPr>
          <w:rFonts w:ascii="Roboto;sans-serif" w:hAnsi="Roboto;sans-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20"/>
              </w:rPr>
            </w:pPr>
            <w:r>
              <w:rPr>
                <w:rFonts w:ascii="Roboto;sans-serif" w:hAnsi="Roboto;sans-serif"/>
                <w:b/>
                <w:color w:val="000000"/>
                <w:sz w:val="20"/>
              </w:rPr>
              <w:t>QUARTERLY REPORT PURSUANT TO SECTION 13 OR 15(d) OF THE SECURITIES EXCHANGE ACT OF 1934</w:t>
            </w:r>
          </w:p>
        </w:tc>
      </w:tr>
    </w:tbl>
    <w:p>
      <w:pPr>
        <w:pStyle w:val="TextBody"/>
        <w:bidi w:val="0"/>
        <w:spacing w:lineRule="auto" w:line="264" w:before="0" w:after="0"/>
        <w:jc w:val="center"/>
        <w:rPr>
          <w:rFonts w:ascii="Roboto;sans-serif" w:hAnsi="Roboto;sans-serif"/>
          <w:b/>
          <w:color w:val="000000"/>
          <w:sz w:val="20"/>
        </w:rPr>
      </w:pPr>
      <w:r>
        <w:rPr>
          <w:rFonts w:ascii="Roboto;sans-serif" w:hAnsi="Roboto;sans-serif"/>
          <w:b/>
          <w:color w:val="000000"/>
          <w:sz w:val="20"/>
        </w:rPr>
        <w:t>For the quarterly period ended March 31, 2025</w:t>
      </w:r>
    </w:p>
    <w:p>
      <w:pPr>
        <w:pStyle w:val="TextBody"/>
        <w:bidi w:val="0"/>
        <w:spacing w:lineRule="auto" w:line="345" w:before="0" w:after="0"/>
        <w:jc w:val="center"/>
        <w:rPr>
          <w:rFonts w:ascii="Roboto;sans-serif" w:hAnsi="Roboto;sans-serif"/>
          <w:b/>
          <w:color w:val="000000"/>
          <w:sz w:val="16"/>
        </w:rPr>
      </w:pPr>
      <w:r>
        <w:rPr>
          <w:rFonts w:ascii="Roboto;sans-serif" w:hAnsi="Roboto;sans-serif"/>
          <w:b/>
          <w:color w:val="000000"/>
          <w:sz w:val="16"/>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Roboto;sans-serif" w:hAnsi="Roboto;sans-serif"/>
                <w:b/>
                <w:color w:val="000000"/>
                <w:sz w:val="20"/>
              </w:rPr>
            </w:pPr>
            <w:r>
              <w:rPr>
                <w:rFonts w:ascii="Roboto;sans-serif" w:hAnsi="Roboto;sans-serif"/>
                <w:b/>
                <w:color w:val="000000"/>
                <w:sz w:val="20"/>
              </w:rPr>
              <w:t>TRANSITION REPORT PURSUANT TO SECTION 13 OR 15(d) OF THE SECURITIES EXCHANGE ACT OF 1934</w:t>
            </w:r>
          </w:p>
        </w:tc>
      </w:tr>
    </w:tbl>
    <w:p>
      <w:pPr>
        <w:pStyle w:val="TextBody"/>
        <w:bidi w:val="0"/>
        <w:spacing w:before="0" w:after="0"/>
        <w:jc w:val="left"/>
        <w:rPr/>
      </w:pPr>
      <w:r>
        <w:rPr/>
      </w:r>
    </w:p>
    <w:p>
      <w:pPr>
        <w:pStyle w:val="TextBody"/>
        <w:bidi w:val="0"/>
        <w:spacing w:lineRule="auto" w:line="345" w:before="0" w:after="0"/>
        <w:jc w:val="center"/>
        <w:rPr>
          <w:rFonts w:ascii="Roboto;sans-serif" w:hAnsi="Roboto;sans-serif"/>
          <w:b/>
          <w:color w:val="000000"/>
          <w:sz w:val="20"/>
        </w:rPr>
      </w:pPr>
      <w:r>
        <w:rPr>
          <w:rFonts w:ascii="Roboto;sans-serif" w:hAnsi="Roboto;sans-serif"/>
          <w:b/>
          <w:color w:val="000000"/>
          <w:sz w:val="20"/>
        </w:rPr>
        <w:t>For the transition period from to</w:t>
      </w:r>
    </w:p>
    <w:p>
      <w:pPr>
        <w:pStyle w:val="TextBody"/>
        <w:bidi w:val="0"/>
        <w:spacing w:lineRule="auto" w:line="345" w:before="0" w:after="0"/>
        <w:jc w:val="center"/>
        <w:rPr>
          <w:rFonts w:ascii="Roboto;sans-serif" w:hAnsi="Roboto;sans-serif"/>
          <w:b/>
          <w:color w:val="000000"/>
          <w:sz w:val="20"/>
        </w:rPr>
      </w:pPr>
      <w:r>
        <w:rPr>
          <w:rFonts w:ascii="Roboto;sans-serif" w:hAnsi="Roboto;sans-serif"/>
          <w:b/>
          <w:color w:val="000000"/>
          <w:sz w:val="20"/>
        </w:rPr>
        <w:t>Commission File Number: 001-39058</w:t>
      </w:r>
    </w:p>
    <w:p>
      <w:pPr>
        <w:pStyle w:val="TextBody"/>
        <w:bidi w:val="0"/>
        <w:spacing w:before="0" w:after="0"/>
        <w:jc w:val="center"/>
        <w:rPr/>
      </w:pPr>
      <w:r>
        <w:rPr/>
      </w:r>
    </w:p>
    <w:p>
      <w:pPr>
        <w:pStyle w:val="TextBody"/>
        <w:bidi w:val="0"/>
        <w:spacing w:lineRule="auto" w:line="288" w:before="0" w:after="0"/>
        <w:jc w:val="center"/>
        <w:rPr>
          <w:rFonts w:ascii="Roboto;sans-serif" w:hAnsi="Roboto;sans-serif"/>
          <w:b/>
          <w:color w:val="000000"/>
          <w:sz w:val="36"/>
        </w:rPr>
      </w:pPr>
      <w:r>
        <w:rPr>
          <w:rFonts w:ascii="Roboto;sans-serif" w:hAnsi="Roboto;sans-serif"/>
          <w:b/>
          <w:color w:val="000000"/>
          <w:sz w:val="36"/>
        </w:rPr>
        <w:t>Peloton Interactive, Inc.</w:t>
      </w:r>
    </w:p>
    <w:p>
      <w:pPr>
        <w:pStyle w:val="TextBody"/>
        <w:bidi w:val="0"/>
        <w:spacing w:lineRule="auto" w:line="345" w:before="0" w:after="0"/>
        <w:jc w:val="center"/>
        <w:rPr>
          <w:rFonts w:ascii="Roboto;sans-serif" w:hAnsi="Roboto;sans-serif"/>
          <w:b/>
          <w:color w:val="000000"/>
          <w:sz w:val="24"/>
        </w:rPr>
      </w:pPr>
      <w:r>
        <w:rPr>
          <w:rFonts w:ascii="Roboto;sans-serif" w:hAnsi="Roboto;sans-serif"/>
          <w:b/>
          <w:color w:val="000000"/>
          <w:sz w:val="24"/>
        </w:rPr>
        <w:t>(Exact name of registrant as specified in its charter)</w:t>
      </w:r>
    </w:p>
    <w:tbl>
      <w:tblPr>
        <w:tblW w:w="5320" w:type="dxa"/>
        <w:jc w:val="center"/>
        <w:tblInd w:w="0" w:type="dxa"/>
        <w:tblLayout w:type="fixed"/>
        <w:tblCellMar>
          <w:top w:w="28" w:type="dxa"/>
          <w:left w:w="28" w:type="dxa"/>
          <w:bottom w:w="28" w:type="dxa"/>
          <w:right w:w="28" w:type="dxa"/>
        </w:tblCellMar>
      </w:tblPr>
      <w:tblGrid>
        <w:gridCol w:w="1227"/>
        <w:gridCol w:w="1077"/>
        <w:gridCol w:w="1085"/>
        <w:gridCol w:w="109"/>
        <w:gridCol w:w="109"/>
        <w:gridCol w:w="109"/>
        <w:gridCol w:w="470"/>
        <w:gridCol w:w="470"/>
        <w:gridCol w:w="664"/>
      </w:tblGrid>
      <w:tr>
        <w:trPr/>
        <w:tc>
          <w:tcPr>
            <w:tcW w:w="1227"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Roboto;sans-serif" w:hAnsi="Roboto;sans-serif"/>
                <w:b/>
                <w:color w:val="000000"/>
                <w:sz w:val="20"/>
              </w:rPr>
            </w:pPr>
            <w:r>
              <w:rPr>
                <w:rFonts w:ascii="Roboto;sans-serif" w:hAnsi="Roboto;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Roboto;sans-serif" w:hAnsi="Roboto;sans-serif"/>
                <w:b/>
                <w:color w:val="000000"/>
                <w:sz w:val="20"/>
              </w:rPr>
            </w:pPr>
            <w:r>
              <w:rPr>
                <w:rFonts w:ascii="Roboto;sans-serif" w:hAnsi="Roboto;sans-serif"/>
                <w:b/>
                <w:color w:val="000000"/>
                <w:sz w:val="20"/>
              </w:rPr>
              <w:t>47-3533761</w:t>
            </w:r>
          </w:p>
        </w:tc>
      </w:tr>
      <w:tr>
        <w:trPr/>
        <w:tc>
          <w:tcPr>
            <w:tcW w:w="338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Roboto;sans-serif" w:hAnsi="Roboto;sans-serif"/>
                <w:b w:val="false"/>
                <w:i/>
                <w:color w:val="000000"/>
                <w:sz w:val="16"/>
              </w:rPr>
            </w:pPr>
            <w:r>
              <w:rPr>
                <w:rFonts w:ascii="Roboto;sans-serif" w:hAnsi="Roboto;sans-serif"/>
                <w:b w:val="false"/>
                <w:i/>
                <w:color w:val="000000"/>
                <w:sz w:val="16"/>
              </w:rPr>
              <w:t>(State or other jurisdiction of</w:t>
            </w:r>
          </w:p>
          <w:p>
            <w:pPr>
              <w:pStyle w:val="TableContents"/>
              <w:bidi w:val="0"/>
              <w:spacing w:lineRule="auto" w:line="240" w:before="0" w:after="20"/>
              <w:jc w:val="center"/>
              <w:rPr>
                <w:rFonts w:ascii="Roboto;sans-serif" w:hAnsi="Roboto;sans-serif"/>
                <w:b w:val="false"/>
                <w:i/>
                <w:color w:val="000000"/>
                <w:sz w:val="16"/>
              </w:rPr>
            </w:pPr>
            <w:r>
              <w:rPr>
                <w:rFonts w:ascii="Roboto;sans-serif" w:hAnsi="Roboto;sans-serif"/>
                <w:b w:val="false"/>
                <w:i/>
                <w:color w:val="000000"/>
                <w:sz w:val="16"/>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Roboto;sans-serif" w:hAnsi="Roboto;sans-serif"/>
                <w:b w:val="false"/>
                <w:i/>
                <w:color w:val="000000"/>
                <w:sz w:val="16"/>
              </w:rPr>
            </w:pPr>
            <w:r>
              <w:rPr>
                <w:rFonts w:ascii="Roboto;sans-serif" w:hAnsi="Roboto;sans-serif"/>
                <w:b w:val="false"/>
                <w:i/>
                <w:color w:val="000000"/>
                <w:sz w:val="16"/>
              </w:rPr>
              <w:t>(I.R.S. Employer</w:t>
            </w:r>
          </w:p>
          <w:p>
            <w:pPr>
              <w:pStyle w:val="TableContents"/>
              <w:bidi w:val="0"/>
              <w:spacing w:lineRule="auto" w:line="240" w:before="0" w:after="20"/>
              <w:jc w:val="center"/>
              <w:rPr>
                <w:rFonts w:ascii="Roboto;sans-serif" w:hAnsi="Roboto;sans-serif"/>
                <w:b w:val="false"/>
                <w:i/>
                <w:color w:val="000000"/>
                <w:sz w:val="16"/>
              </w:rPr>
            </w:pPr>
            <w:r>
              <w:rPr>
                <w:rFonts w:ascii="Roboto;sans-serif" w:hAnsi="Roboto;sans-serif"/>
                <w:b w:val="false"/>
                <w:i/>
                <w:color w:val="000000"/>
                <w:sz w:val="16"/>
              </w:rPr>
              <w:t>Identification No.)</w:t>
            </w:r>
          </w:p>
        </w:tc>
      </w:tr>
      <w:tr>
        <w:trPr/>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20"/>
              </w:rPr>
            </w:pPr>
            <w:r>
              <w:rPr>
                <w:rFonts w:ascii="Roboto;sans-serif" w:hAnsi="Roboto;sans-serif"/>
                <w:b/>
                <w:color w:val="000000"/>
                <w:sz w:val="20"/>
              </w:rPr>
              <w:t>441 Ninth Avenue, Sixth Floor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20"/>
              </w:rPr>
            </w:pPr>
            <w:r>
              <w:rPr>
                <w:rFonts w:ascii="Roboto;sans-serif" w:hAnsi="Roboto;sans-serif"/>
                <w:b/>
                <w:color w:val="000000"/>
                <w:sz w:val="20"/>
              </w:rPr>
              <w:t>10001</w:t>
            </w:r>
          </w:p>
        </w:tc>
      </w:tr>
      <w:tr>
        <w:trPr/>
        <w:tc>
          <w:tcPr>
            <w:tcW w:w="338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Roboto;sans-serif" w:hAnsi="Roboto;sans-serif"/>
                <w:b/>
                <w:color w:val="000000"/>
                <w:sz w:val="20"/>
              </w:rPr>
            </w:pPr>
            <w:r>
              <w:rPr>
                <w:rFonts w:ascii="Roboto;sans-serif" w:hAnsi="Roboto;sans-serif"/>
                <w:b/>
                <w:color w:val="000000"/>
                <w:sz w:val="20"/>
              </w:rPr>
              <w:t>New York, New York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i/>
                <w:color w:val="000000"/>
                <w:sz w:val="16"/>
              </w:rPr>
            </w:pPr>
            <w:r>
              <w:rPr>
                <w:rFonts w:ascii="Roboto;sans-serif" w:hAnsi="Roboto;sans-serif"/>
                <w:b w:val="false"/>
                <w:i/>
                <w:color w:val="000000"/>
                <w:sz w:val="16"/>
              </w:rPr>
              <w:t>(Zip Code)</w:t>
            </w:r>
          </w:p>
        </w:tc>
      </w:tr>
      <w:tr>
        <w:trPr/>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i/>
                <w:color w:val="000000"/>
                <w:sz w:val="16"/>
              </w:rPr>
            </w:pPr>
            <w:r>
              <w:rPr>
                <w:rFonts w:ascii="Roboto;sans-serif" w:hAnsi="Roboto;sans-serif"/>
                <w:b w:val="false"/>
                <w:i/>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0"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Roboto;sans-serif" w:hAnsi="Roboto;sans-serif"/>
                <w:b/>
                <w:color w:val="000000"/>
                <w:sz w:val="20"/>
              </w:rPr>
            </w:pPr>
            <w:r>
              <w:rPr>
                <w:rFonts w:ascii="Roboto;sans-serif" w:hAnsi="Roboto;sans-serif"/>
                <w:b/>
                <w:color w:val="000000"/>
                <w:sz w:val="20"/>
              </w:rPr>
              <w:t>(929) 567-0006</w:t>
            </w:r>
          </w:p>
          <w:p>
            <w:pPr>
              <w:pStyle w:val="TableContents"/>
              <w:bidi w:val="0"/>
              <w:spacing w:lineRule="auto" w:line="240" w:before="0" w:after="0"/>
              <w:jc w:val="center"/>
              <w:rPr>
                <w:rFonts w:ascii="Roboto;sans-serif" w:hAnsi="Roboto;sans-serif"/>
                <w:b w:val="false"/>
                <w:i/>
                <w:color w:val="000000"/>
                <w:sz w:val="16"/>
              </w:rPr>
            </w:pPr>
            <w:r>
              <w:rPr>
                <w:rFonts w:ascii="Roboto;sans-serif" w:hAnsi="Roboto;sans-serif"/>
                <w:b w:val="false"/>
                <w:i/>
                <w:color w:val="000000"/>
                <w:sz w:val="16"/>
              </w:rPr>
              <w:t>(Registrant’s telephone number, including area code)</w:t>
            </w:r>
          </w:p>
        </w:tc>
      </w:tr>
      <w:tr>
        <w:trPr/>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Roboto;sans-serif" w:hAnsi="Roboto;sans-serif"/>
          <w:b w:val="false"/>
          <w:color w:val="000000"/>
          <w:sz w:val="20"/>
        </w:rPr>
      </w:pPr>
      <w:r>
        <w:rPr>
          <w:rFonts w:ascii="Roboto;sans-serif" w:hAnsi="Roboto;sans-serif"/>
          <w:b w:val="false"/>
          <w:color w:val="000000"/>
          <w:sz w:val="20"/>
        </w:rPr>
        <w:t>Securities registered pursuant to Section 12(b) of the Act:</w:t>
      </w:r>
    </w:p>
    <w:tbl>
      <w:tblPr>
        <w:tblW w:w="10205" w:type="dxa"/>
        <w:jc w:val="center"/>
        <w:tblInd w:w="0" w:type="dxa"/>
        <w:tblLayout w:type="fixed"/>
        <w:tblCellMar>
          <w:top w:w="28" w:type="dxa"/>
          <w:left w:w="28" w:type="dxa"/>
          <w:bottom w:w="28" w:type="dxa"/>
          <w:right w:w="28" w:type="dxa"/>
        </w:tblCellMar>
      </w:tblPr>
      <w:tblGrid>
        <w:gridCol w:w="1719"/>
        <w:gridCol w:w="1437"/>
        <w:gridCol w:w="1455"/>
        <w:gridCol w:w="569"/>
        <w:gridCol w:w="569"/>
        <w:gridCol w:w="571"/>
        <w:gridCol w:w="1136"/>
        <w:gridCol w:w="1136"/>
        <w:gridCol w:w="1613"/>
      </w:tblGrid>
      <w:tr>
        <w:trPr/>
        <w:tc>
          <w:tcPr>
            <w:tcW w:w="1719"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613" w:type="dxa"/>
            <w:tcBorders/>
            <w:vAlign w:val="center"/>
          </w:tcPr>
          <w:p>
            <w:pPr>
              <w:pStyle w:val="TableContents"/>
              <w:bidi w:val="0"/>
              <w:spacing w:before="0" w:after="283"/>
              <w:jc w:val="left"/>
              <w:rPr>
                <w:sz w:val="4"/>
                <w:szCs w:val="4"/>
              </w:rPr>
            </w:pPr>
            <w:r>
              <w:rPr>
                <w:sz w:val="4"/>
                <w:szCs w:val="4"/>
              </w:rPr>
            </w:r>
          </w:p>
        </w:tc>
      </w:tr>
      <w:tr>
        <w:trPr/>
        <w:tc>
          <w:tcPr>
            <w:tcW w:w="461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before="0" w:after="283"/>
              <w:jc w:val="center"/>
              <w:rPr/>
            </w:pPr>
            <w:r>
              <w:rPr/>
              <w:t>Title of each class</w:t>
            </w:r>
          </w:p>
        </w:tc>
        <w:tc>
          <w:tcPr>
            <w:tcW w:w="170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20"/>
              </w:rPr>
            </w:pPr>
            <w:r>
              <w:rPr>
                <w:rFonts w:ascii="Roboto;sans-serif" w:hAnsi="Roboto;sans-serif"/>
                <w:b w:val="false"/>
                <w:color w:val="000000"/>
                <w:sz w:val="20"/>
              </w:rPr>
              <w:t>Trading Symbol(s)</w:t>
            </w:r>
          </w:p>
        </w:tc>
        <w:tc>
          <w:tcPr>
            <w:tcW w:w="388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Roboto;sans-serif" w:hAnsi="Roboto;sans-serif"/>
                <w:b w:val="false"/>
                <w:color w:val="000000"/>
                <w:sz w:val="20"/>
              </w:rPr>
            </w:pPr>
            <w:r>
              <w:rPr>
                <w:rFonts w:ascii="Roboto;sans-serif" w:hAnsi="Roboto;sans-serif"/>
                <w:b w:val="false"/>
                <w:color w:val="000000"/>
                <w:sz w:val="20"/>
              </w:rPr>
              <w:t>Name of each exchange on which registered</w:t>
            </w:r>
          </w:p>
        </w:tc>
      </w:tr>
      <w:tr>
        <w:trPr/>
        <w:tc>
          <w:tcPr>
            <w:tcW w:w="461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Roboto;sans-serif" w:hAnsi="Roboto;sans-serif"/>
                <w:b w:val="false"/>
                <w:color w:val="000000"/>
                <w:sz w:val="20"/>
              </w:rPr>
            </w:pPr>
            <w:r>
              <w:rPr>
                <w:rFonts w:ascii="Roboto;sans-serif" w:hAnsi="Roboto;sans-serif"/>
                <w:b w:val="false"/>
                <w:color w:val="000000"/>
                <w:sz w:val="20"/>
              </w:rPr>
              <w:t>Class A common stock, $0.000025 par value per share</w:t>
            </w:r>
          </w:p>
        </w:tc>
        <w:tc>
          <w:tcPr>
            <w:tcW w:w="170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Roboto;sans-serif" w:hAnsi="Roboto;sans-serif"/>
                <w:b w:val="false"/>
                <w:color w:val="000000"/>
                <w:sz w:val="20"/>
              </w:rPr>
            </w:pPr>
            <w:r>
              <w:rPr>
                <w:rFonts w:ascii="Roboto;sans-serif" w:hAnsi="Roboto;sans-serif"/>
                <w:b w:val="false"/>
                <w:color w:val="000000"/>
                <w:sz w:val="20"/>
              </w:rPr>
              <w:t>PTON</w:t>
            </w:r>
          </w:p>
        </w:tc>
        <w:tc>
          <w:tcPr>
            <w:tcW w:w="388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Roboto;sans-serif" w:hAnsi="Roboto;sans-serif"/>
                <w:b w:val="false"/>
                <w:color w:val="000000"/>
                <w:sz w:val="20"/>
              </w:rPr>
            </w:pPr>
            <w:r>
              <w:rPr>
                <w:rFonts w:ascii="Roboto;sans-serif" w:hAnsi="Roboto;sans-serif"/>
                <w:b w:val="false"/>
                <w:color w:val="000000"/>
                <w:sz w:val="20"/>
              </w:rPr>
              <w:t>The Nasdaq Stock Market LLC</w:t>
            </w:r>
          </w:p>
        </w:tc>
      </w:tr>
    </w:tbl>
    <w:p>
      <w:pPr>
        <w:pStyle w:val="TextBody"/>
        <w:bidi w:val="0"/>
        <w:spacing w:before="0" w:after="0"/>
        <w:jc w:val="center"/>
        <w:rPr/>
      </w:pPr>
      <w:r>
        <w:rPr/>
      </w:r>
    </w:p>
    <w:p>
      <w:pPr>
        <w:pStyle w:val="TextBody"/>
        <w:bidi w:val="0"/>
        <w:spacing w:lineRule="auto" w:line="252" w:before="0" w:after="60"/>
        <w:jc w:val="left"/>
        <w:rPr/>
      </w:pPr>
      <w:r>
        <w:rPr>
          <w:rFonts w:ascii="Roboto;sans-serif" w:hAnsi="Roboto;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Roboto;sans-serif" w:hAnsi="Roboto;sans-serif"/>
          <w:b w:val="false"/>
          <w:color w:val="000000"/>
          <w:sz w:val="20"/>
        </w:rPr>
        <w:t>No </w:t>
      </w:r>
      <w:r>
        <w:rPr>
          <w:color w:val="000000"/>
        </w:rPr>
        <w:t>☐   </w:t>
      </w:r>
    </w:p>
    <w:p>
      <w:pPr>
        <w:pStyle w:val="TextBody"/>
        <w:bidi w:val="0"/>
        <w:spacing w:before="0" w:after="60"/>
        <w:jc w:val="both"/>
        <w:rPr/>
      </w:pPr>
      <w:r>
        <w:rPr/>
      </w:r>
    </w:p>
    <w:p>
      <w:pPr>
        <w:pStyle w:val="TextBody"/>
        <w:bidi w:val="0"/>
        <w:spacing w:lineRule="auto" w:line="252" w:before="0" w:after="60"/>
        <w:jc w:val="left"/>
        <w:rPr/>
      </w:pPr>
      <w:r>
        <w:rPr>
          <w:rFonts w:ascii="Roboto;sans-serif" w:hAnsi="Roboto;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Roboto;sans-serif" w:hAnsi="Roboto;sans-serif"/>
          <w:b w:val="false"/>
          <w:color w:val="000000"/>
          <w:sz w:val="20"/>
        </w:rPr>
        <w:t>No  </w:t>
      </w:r>
      <w:r>
        <w:rPr>
          <w:color w:val="000000"/>
        </w:rPr>
        <w:t>☐ </w:t>
      </w:r>
    </w:p>
    <w:p>
      <w:pPr>
        <w:pStyle w:val="TextBody"/>
        <w:bidi w:val="0"/>
        <w:spacing w:before="0" w:after="60"/>
        <w:jc w:val="both"/>
        <w:rPr/>
      </w:pPr>
      <w:r>
        <w:rPr/>
      </w:r>
    </w:p>
    <w:p>
      <w:pPr>
        <w:pStyle w:val="TextBody"/>
        <w:bidi w:val="0"/>
        <w:spacing w:lineRule="auto" w:line="252" w:before="0" w:after="60"/>
        <w:jc w:val="left"/>
        <w:rPr>
          <w:rFonts w:ascii="Roboto;sans-serif" w:hAnsi="Roboto;sans-serif"/>
          <w:b w:val="false"/>
          <w:color w:val="000000"/>
          <w:sz w:val="20"/>
        </w:rPr>
      </w:pPr>
      <w:r>
        <w:rPr>
          <w:rFonts w:ascii="Roboto;sans-serif" w:hAnsi="Roboto;sans-serif"/>
          <w:b w:val="false"/>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5754" w:type="dxa"/>
        <w:jc w:val="center"/>
        <w:tblInd w:w="0" w:type="dxa"/>
        <w:tblLayout w:type="fixed"/>
        <w:tblCellMar>
          <w:top w:w="28" w:type="dxa"/>
          <w:left w:w="28" w:type="dxa"/>
          <w:bottom w:w="28" w:type="dxa"/>
          <w:right w:w="28" w:type="dxa"/>
        </w:tblCellMar>
      </w:tblPr>
      <w:tblGrid>
        <w:gridCol w:w="832"/>
        <w:gridCol w:w="730"/>
        <w:gridCol w:w="733"/>
        <w:gridCol w:w="109"/>
        <w:gridCol w:w="109"/>
        <w:gridCol w:w="109"/>
        <w:gridCol w:w="919"/>
        <w:gridCol w:w="919"/>
        <w:gridCol w:w="922"/>
        <w:gridCol w:w="109"/>
        <w:gridCol w:w="109"/>
        <w:gridCol w:w="154"/>
      </w:tblGrid>
      <w:tr>
        <w:trPr/>
        <w:tc>
          <w:tcPr>
            <w:tcW w:w="832"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20"/>
              </w:rPr>
            </w:pPr>
            <w:r>
              <w:rPr>
                <w:rFonts w:ascii="Roboto;sans-serif" w:hAnsi="Roboto;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0"/>
              <w:jc w:val="left"/>
              <w:rPr>
                <w:color w:val="000000"/>
              </w:rPr>
            </w:pPr>
            <w:r>
              <w:rPr>
                <w:color w:val="000000"/>
              </w:rPr>
              <w:t>☒</w:t>
            </w:r>
          </w:p>
        </w:tc>
        <w:tc>
          <w:tcPr>
            <w:tcW w:w="2760" w:type="dxa"/>
            <w:gridSpan w:val="3"/>
            <w:tcBorders/>
            <w:tcMar>
              <w:top w:w="0" w:type="dxa"/>
              <w:left w:w="0" w:type="dxa"/>
              <w:bottom w:w="0" w:type="dxa"/>
              <w:right w:w="0" w:type="dxa"/>
            </w:tcMar>
            <w:vAlign w:val="center"/>
          </w:tcPr>
          <w:p>
            <w:pPr>
              <w:pStyle w:val="TableContents"/>
              <w:bidi w:val="0"/>
              <w:spacing w:lineRule="auto" w:line="240" w:before="0" w:after="20"/>
              <w:jc w:val="both"/>
              <w:rPr>
                <w:rFonts w:ascii="Roboto;sans-serif" w:hAnsi="Roboto;sans-serif"/>
                <w:b w:val="false"/>
                <w:color w:val="000000"/>
                <w:sz w:val="20"/>
              </w:rPr>
            </w:pPr>
            <w:r>
              <w:rPr>
                <w:rFonts w:ascii="Roboto;sans-serif" w:hAnsi="Roboto;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0"/>
              <w:jc w:val="left"/>
              <w:rPr>
                <w:color w:val="000000"/>
              </w:rPr>
            </w:pPr>
            <w:r>
              <w:rPr>
                <w:color w:val="000000"/>
              </w:rPr>
              <w:t>☐</w:t>
            </w:r>
          </w:p>
        </w:tc>
      </w:tr>
      <w:tr>
        <w:trPr/>
        <w:tc>
          <w:tcPr>
            <w:tcW w:w="2295" w:type="dxa"/>
            <w:gridSpan w:val="3"/>
            <w:tcBorders/>
            <w:tcMar>
              <w:top w:w="0" w:type="dxa"/>
              <w:left w:w="0" w:type="dxa"/>
              <w:bottom w:w="0" w:type="dxa"/>
              <w:right w:w="0" w:type="dxa"/>
            </w:tcMar>
            <w:vAlign w:val="center"/>
          </w:tcPr>
          <w:p>
            <w:pPr>
              <w:pStyle w:val="TableContents"/>
              <w:bidi w:val="0"/>
              <w:spacing w:lineRule="auto" w:line="240" w:before="0" w:after="20"/>
              <w:jc w:val="both"/>
              <w:rPr>
                <w:rFonts w:ascii="Roboto;sans-serif" w:hAnsi="Roboto;sans-serif"/>
                <w:b w:val="false"/>
                <w:color w:val="000000"/>
                <w:sz w:val="20"/>
              </w:rPr>
            </w:pPr>
            <w:r>
              <w:rPr>
                <w:rFonts w:ascii="Roboto;sans-serif" w:hAnsi="Roboto;sans-serif"/>
                <w:b w:val="false"/>
                <w:color w:val="000000"/>
                <w:sz w:val="20"/>
              </w:rPr>
              <w:t>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0"/>
              <w:jc w:val="left"/>
              <w:rPr>
                <w:color w:val="000000"/>
              </w:rPr>
            </w:pPr>
            <w:r>
              <w:rPr>
                <w:color w:val="000000"/>
              </w:rPr>
              <w:t>☐</w:t>
            </w:r>
          </w:p>
        </w:tc>
        <w:tc>
          <w:tcPr>
            <w:tcW w:w="2760" w:type="dxa"/>
            <w:gridSpan w:val="3"/>
            <w:tcBorders/>
            <w:tcMar>
              <w:top w:w="0" w:type="dxa"/>
              <w:left w:w="0" w:type="dxa"/>
              <w:bottom w:w="0" w:type="dxa"/>
              <w:right w:w="0" w:type="dxa"/>
            </w:tcMar>
            <w:vAlign w:val="center"/>
          </w:tcPr>
          <w:p>
            <w:pPr>
              <w:pStyle w:val="TableContents"/>
              <w:bidi w:val="0"/>
              <w:spacing w:lineRule="auto" w:line="240" w:before="0" w:after="20"/>
              <w:jc w:val="both"/>
              <w:rPr>
                <w:rFonts w:ascii="Roboto;sans-serif" w:hAnsi="Roboto;sans-serif"/>
                <w:b w:val="false"/>
                <w:color w:val="000000"/>
                <w:sz w:val="20"/>
              </w:rPr>
            </w:pPr>
            <w:r>
              <w:rPr>
                <w:rFonts w:ascii="Roboto;sans-serif" w:hAnsi="Roboto;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0"/>
              <w:jc w:val="left"/>
              <w:rPr>
                <w:color w:val="000000"/>
              </w:rPr>
            </w:pPr>
            <w:r>
              <w:rPr>
                <w:color w:val="000000"/>
              </w:rPr>
              <w:t>☐</w:t>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cMar>
              <w:top w:w="0" w:type="dxa"/>
              <w:left w:w="0" w:type="dxa"/>
              <w:bottom w:w="0" w:type="dxa"/>
              <w:right w:w="0" w:type="dxa"/>
            </w:tcMar>
            <w:vAlign w:val="center"/>
          </w:tcPr>
          <w:p>
            <w:pPr>
              <w:pStyle w:val="TableContents"/>
              <w:bidi w:val="0"/>
              <w:spacing w:lineRule="auto" w:line="240" w:before="0" w:after="20"/>
              <w:jc w:val="both"/>
              <w:rPr>
                <w:rFonts w:ascii="Roboto;sans-serif" w:hAnsi="Roboto;sans-serif"/>
                <w:b w:val="false"/>
                <w:color w:val="000000"/>
                <w:sz w:val="20"/>
              </w:rPr>
            </w:pPr>
            <w:r>
              <w:rPr>
                <w:rFonts w:ascii="Roboto;sans-serif" w:hAnsi="Roboto;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before="0" w:after="0"/>
        <w:ind w:left="0" w:right="0" w:firstLine="2880"/>
        <w:jc w:val="center"/>
        <w:rPr/>
      </w:pPr>
      <w:r>
        <w:rPr/>
      </w:r>
    </w:p>
    <w:p>
      <w:pPr>
        <w:pStyle w:val="TextBody"/>
        <w:bidi w:val="0"/>
        <w:spacing w:lineRule="auto" w:line="240" w:before="0" w:after="0"/>
        <w:jc w:val="left"/>
        <w:rPr/>
      </w:pPr>
      <w:r>
        <w:rPr>
          <w:rFonts w:ascii="Roboto;sans-serif" w:hAnsi="Roboto;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pPr>
      <w:r>
        <w:rPr>
          <w:rFonts w:ascii="Roboto;sans-serif" w:hAnsi="Roboto;sans-serif"/>
          <w:b w:val="false"/>
          <w:color w:val="000000"/>
          <w:sz w:val="20"/>
        </w:rPr>
        <w:t>Indicate by check mark whether the registrant is a shell company (as defined in Rule 12b-2 of the Exchange Act).     Yes  </w:t>
      </w:r>
      <w:r>
        <w:rPr>
          <w:color w:val="000000"/>
        </w:rPr>
        <w:t>☐     </w:t>
      </w:r>
      <w:r>
        <w:rPr>
          <w:rFonts w:ascii="Roboto;sans-serif" w:hAnsi="Roboto;sans-serif"/>
          <w:b w:val="false"/>
          <w:color w:val="000000"/>
          <w:sz w:val="20"/>
        </w:rPr>
        <w:t>No  </w:t>
      </w:r>
      <w:r>
        <w:rPr>
          <w:color w:val="000000"/>
        </w:rPr>
        <w: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Roboto;sans-serif" w:hAnsi="Roboto;sans-serif"/>
          <w:b w:val="false"/>
          <w:color w:val="000000"/>
          <w:sz w:val="20"/>
        </w:rPr>
      </w:pPr>
      <w:r>
        <w:rPr>
          <w:rFonts w:ascii="Roboto;sans-serif" w:hAnsi="Roboto;sans-serif"/>
          <w:b w:val="false"/>
          <w:color w:val="000000"/>
          <w:sz w:val="20"/>
        </w:rPr>
        <w:t>As of May 6, 2025, the number of shares of the registrant’s Class A common stock outstanding was 382,593,779, and the number of shares of the registrant’s Class B common stock outstanding was 15,965,806.</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before="0" w:after="0"/>
        <w:ind w:left="0" w:right="0" w:hanging="180"/>
        <w:jc w:val="center"/>
        <w:rPr/>
      </w:pPr>
      <w:r>
        <w:rPr/>
      </w:r>
    </w:p>
    <w:tbl>
      <w:tblPr>
        <w:tblW w:w="10205" w:type="dxa"/>
        <w:jc w:val="center"/>
        <w:tblInd w:w="0" w:type="dxa"/>
        <w:tblLayout w:type="fixed"/>
        <w:tblCellMar>
          <w:top w:w="28" w:type="dxa"/>
          <w:left w:w="28" w:type="dxa"/>
          <w:bottom w:w="28" w:type="dxa"/>
          <w:right w:w="28" w:type="dxa"/>
        </w:tblCellMar>
      </w:tblPr>
      <w:tblGrid>
        <w:gridCol w:w="270"/>
        <w:gridCol w:w="237"/>
        <w:gridCol w:w="238"/>
        <w:gridCol w:w="3013"/>
        <w:gridCol w:w="2904"/>
        <w:gridCol w:w="2878"/>
        <w:gridCol w:w="193"/>
        <w:gridCol w:w="193"/>
        <w:gridCol w:w="279"/>
      </w:tblGrid>
      <w:tr>
        <w:trPr/>
        <w:tc>
          <w:tcPr>
            <w:tcW w:w="270"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3013" w:type="dxa"/>
            <w:tcBorders/>
            <w:vAlign w:val="center"/>
          </w:tcPr>
          <w:p>
            <w:pPr>
              <w:pStyle w:val="TableContents"/>
              <w:bidi w:val="0"/>
              <w:spacing w:before="0" w:after="283"/>
              <w:jc w:val="left"/>
              <w:rPr>
                <w:sz w:val="4"/>
                <w:szCs w:val="4"/>
              </w:rPr>
            </w:pPr>
            <w:r>
              <w:rPr>
                <w:sz w:val="4"/>
                <w:szCs w:val="4"/>
              </w:rPr>
            </w:r>
          </w:p>
        </w:tc>
        <w:tc>
          <w:tcPr>
            <w:tcW w:w="2904" w:type="dxa"/>
            <w:tcBorders/>
            <w:vAlign w:val="center"/>
          </w:tcPr>
          <w:p>
            <w:pPr>
              <w:pStyle w:val="TableContents"/>
              <w:bidi w:val="0"/>
              <w:spacing w:before="0" w:after="283"/>
              <w:jc w:val="left"/>
              <w:rPr>
                <w:sz w:val="4"/>
                <w:szCs w:val="4"/>
              </w:rPr>
            </w:pPr>
            <w:r>
              <w:rPr>
                <w:sz w:val="4"/>
                <w:szCs w:val="4"/>
              </w:rPr>
            </w:r>
          </w:p>
        </w:tc>
        <w:tc>
          <w:tcPr>
            <w:tcW w:w="287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TABLE OF CONTENTS</w:t>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Page</w:t>
            </w:r>
          </w:p>
        </w:tc>
      </w:tr>
      <w:tr>
        <w:trPr/>
        <w:tc>
          <w:tcPr>
            <w:tcW w:w="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684464035b409abc4df4c9ee4629ea_10">
              <w:r>
                <w:rPr>
                  <w:rStyle w:val="InternetLink"/>
                  <w:rFonts w:ascii="Roboto;sans-serif" w:hAnsi="Roboto;sans-serif"/>
                  <w:b w:val="false"/>
                  <w:color w:val="0000FF"/>
                  <w:sz w:val="18"/>
                  <w:u w:val="single"/>
                </w:rPr>
                <w:t>Special Note Regarding Forward-Looking Statements</w:t>
              </w:r>
            </w:hyperlink>
          </w:p>
        </w:tc>
        <w:tc>
          <w:tcPr>
            <w:tcW w:w="66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2684464035b409abc4df4c9ee4629ea_10">
              <w:r>
                <w:rPr>
                  <w:rStyle w:val="InternetLink"/>
                  <w:rFonts w:ascii="Roboto;sans-serif" w:hAnsi="Roboto;sans-serif"/>
                  <w:b w:val="false"/>
                  <w:color w:val="0000FF"/>
                  <w:sz w:val="18"/>
                  <w:u w:val="single"/>
                </w:rPr>
                <w:t>3</w:t>
              </w:r>
            </w:hyperlink>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Part I. Financial Information</w:t>
            </w:r>
          </w:p>
        </w:tc>
      </w:tr>
      <w:tr>
        <w:trPr/>
        <w:tc>
          <w:tcPr>
            <w:tcW w:w="7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684464035b409abc4df4c9ee4629ea_16">
              <w:r>
                <w:rPr>
                  <w:rStyle w:val="InternetLink"/>
                  <w:rFonts w:ascii="Roboto;sans-serif" w:hAnsi="Roboto;sans-serif"/>
                  <w:b w:val="false"/>
                  <w:color w:val="0000FF"/>
                  <w:sz w:val="18"/>
                  <w:u w:val="single"/>
                </w:rPr>
                <w:t>Item 1.</w:t>
              </w:r>
            </w:hyperlink>
          </w:p>
        </w:tc>
        <w:tc>
          <w:tcPr>
            <w:tcW w:w="8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684464035b409abc4df4c9ee4629ea_16">
              <w:r>
                <w:rPr>
                  <w:rStyle w:val="InternetLink"/>
                  <w:rFonts w:ascii="Roboto;sans-serif" w:hAnsi="Roboto;sans-serif"/>
                  <w:b w:val="false"/>
                  <w:color w:val="0000FF"/>
                  <w:sz w:val="18"/>
                  <w:u w:val="single"/>
                </w:rPr>
                <w:t>Financial Statements</w:t>
              </w:r>
            </w:hyperlink>
          </w:p>
        </w:tc>
        <w:tc>
          <w:tcPr>
            <w:tcW w:w="66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2684464035b409abc4df4c9ee4629ea_16">
              <w:r>
                <w:rPr>
                  <w:rStyle w:val="InternetLink"/>
                  <w:rFonts w:ascii="Roboto;sans-serif" w:hAnsi="Roboto;sans-serif"/>
                  <w:b w:val="false"/>
                  <w:color w:val="0000FF"/>
                  <w:sz w:val="18"/>
                  <w:u w:val="single"/>
                </w:rPr>
                <w:t>4</w:t>
              </w:r>
            </w:hyperlink>
          </w:p>
        </w:tc>
      </w:tr>
      <w:tr>
        <w:trPr/>
        <w:tc>
          <w:tcPr>
            <w:tcW w:w="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684464035b409abc4df4c9ee4629ea_19">
              <w:r>
                <w:rPr>
                  <w:rStyle w:val="InternetLink"/>
                  <w:rFonts w:ascii="Roboto;sans-serif" w:hAnsi="Roboto;sans-serif"/>
                  <w:b w:val="false"/>
                  <w:color w:val="000080"/>
                  <w:sz w:val="18"/>
                  <w:u w:val="single"/>
                </w:rPr>
                <w:t xml:space="preserve">Condensed Consolidated Balance Sheets as of </w:t>
              </w:r>
            </w:hyperlink>
            <w:hyperlink w:anchor="i32684464035b409abc4df4c9ee4629ea_19">
              <w:r>
                <w:rPr>
                  <w:rStyle w:val="InternetLink"/>
                  <w:rFonts w:ascii="Roboto;sans-serif" w:hAnsi="Roboto;sans-serif"/>
                  <w:b w:val="false"/>
                  <w:color w:val="000080"/>
                  <w:sz w:val="18"/>
                  <w:u w:val="single"/>
                </w:rPr>
                <w:t>March</w:t>
              </w:r>
            </w:hyperlink>
            <w:hyperlink w:anchor="i32684464035b409abc4df4c9ee4629ea_19">
              <w:r>
                <w:rPr>
                  <w:rStyle w:val="InternetLink"/>
                  <w:rFonts w:ascii="Roboto;sans-serif" w:hAnsi="Roboto;sans-serif"/>
                  <w:b w:val="false"/>
                  <w:color w:val="000080"/>
                  <w:sz w:val="18"/>
                  <w:u w:val="single"/>
                </w:rPr>
                <w:t xml:space="preserve"> 31, 202</w:t>
              </w:r>
            </w:hyperlink>
            <w:hyperlink w:anchor="i32684464035b409abc4df4c9ee4629ea_19">
              <w:r>
                <w:rPr>
                  <w:rStyle w:val="InternetLink"/>
                  <w:rFonts w:ascii="Roboto;sans-serif" w:hAnsi="Roboto;sans-serif"/>
                  <w:b w:val="false"/>
                  <w:color w:val="000080"/>
                  <w:sz w:val="18"/>
                  <w:u w:val="single"/>
                </w:rPr>
                <w:t>5</w:t>
              </w:r>
            </w:hyperlink>
            <w:hyperlink w:anchor="i32684464035b409abc4df4c9ee4629ea_19">
              <w:r>
                <w:rPr>
                  <w:rStyle w:val="InternetLink"/>
                  <w:rFonts w:ascii="Roboto;sans-serif" w:hAnsi="Roboto;sans-serif"/>
                  <w:b w:val="false"/>
                  <w:color w:val="000080"/>
                  <w:sz w:val="18"/>
                  <w:u w:val="single"/>
                </w:rPr>
                <w:t xml:space="preserve"> (unaudited) and June 30, 2024</w:t>
              </w:r>
            </w:hyperlink>
          </w:p>
        </w:tc>
        <w:tc>
          <w:tcPr>
            <w:tcW w:w="66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2684464035b409abc4df4c9ee4629ea_19">
              <w:r>
                <w:rPr>
                  <w:rStyle w:val="InternetLink"/>
                  <w:rFonts w:ascii="Roboto;sans-serif" w:hAnsi="Roboto;sans-serif"/>
                  <w:b w:val="false"/>
                  <w:color w:val="0000FF"/>
                  <w:sz w:val="18"/>
                  <w:u w:val="single"/>
                </w:rPr>
                <w:t>4</w:t>
              </w:r>
            </w:hyperlink>
          </w:p>
        </w:tc>
      </w:tr>
      <w:tr>
        <w:trPr/>
        <w:tc>
          <w:tcPr>
            <w:tcW w:w="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684464035b409abc4df4c9ee4629ea_22">
              <w:r>
                <w:rPr>
                  <w:rStyle w:val="InternetLink"/>
                  <w:rFonts w:ascii="Roboto;sans-serif" w:hAnsi="Roboto;sans-serif"/>
                  <w:b w:val="false"/>
                  <w:color w:val="000080"/>
                  <w:sz w:val="18"/>
                  <w:u w:val="single"/>
                </w:rPr>
                <w:t xml:space="preserve">Condensed Consolidated Statements of Operations and Comprehensive Loss for the Three and </w:t>
              </w:r>
            </w:hyperlink>
            <w:hyperlink w:anchor="i32684464035b409abc4df4c9ee4629ea_22">
              <w:r>
                <w:rPr>
                  <w:rStyle w:val="InternetLink"/>
                  <w:rFonts w:ascii="Roboto;sans-serif" w:hAnsi="Roboto;sans-serif"/>
                  <w:b w:val="false"/>
                  <w:color w:val="000080"/>
                  <w:sz w:val="18"/>
                  <w:u w:val="single"/>
                </w:rPr>
                <w:t>Nine</w:t>
              </w:r>
            </w:hyperlink>
            <w:hyperlink w:anchor="i32684464035b409abc4df4c9ee4629ea_22">
              <w:r>
                <w:rPr>
                  <w:rStyle w:val="InternetLink"/>
                  <w:rFonts w:ascii="Roboto;sans-serif" w:hAnsi="Roboto;sans-serif"/>
                  <w:b w:val="false"/>
                  <w:color w:val="000080"/>
                  <w:sz w:val="18"/>
                  <w:u w:val="single"/>
                </w:rPr>
                <w:t xml:space="preserve"> Months Ended </w:t>
              </w:r>
            </w:hyperlink>
            <w:hyperlink w:anchor="i32684464035b409abc4df4c9ee4629ea_22">
              <w:r>
                <w:rPr>
                  <w:rStyle w:val="InternetLink"/>
                  <w:rFonts w:ascii="Roboto;sans-serif" w:hAnsi="Roboto;sans-serif"/>
                  <w:b w:val="false"/>
                  <w:color w:val="000080"/>
                  <w:sz w:val="18"/>
                  <w:u w:val="single"/>
                </w:rPr>
                <w:t>March</w:t>
              </w:r>
            </w:hyperlink>
            <w:hyperlink w:anchor="i32684464035b409abc4df4c9ee4629ea_22">
              <w:r>
                <w:rPr>
                  <w:rStyle w:val="InternetLink"/>
                  <w:rFonts w:ascii="Roboto;sans-serif" w:hAnsi="Roboto;sans-serif"/>
                  <w:b w:val="false"/>
                  <w:color w:val="000080"/>
                  <w:sz w:val="18"/>
                  <w:u w:val="single"/>
                </w:rPr>
                <w:t xml:space="preserve"> 31, 202</w:t>
              </w:r>
            </w:hyperlink>
            <w:hyperlink w:anchor="i32684464035b409abc4df4c9ee4629ea_22">
              <w:r>
                <w:rPr>
                  <w:rStyle w:val="InternetLink"/>
                  <w:rFonts w:ascii="Roboto;sans-serif" w:hAnsi="Roboto;sans-serif"/>
                  <w:b w:val="false"/>
                  <w:color w:val="000080"/>
                  <w:sz w:val="18"/>
                  <w:u w:val="single"/>
                </w:rPr>
                <w:t>5</w:t>
              </w:r>
            </w:hyperlink>
            <w:hyperlink w:anchor="i32684464035b409abc4df4c9ee4629ea_22">
              <w:r>
                <w:rPr>
                  <w:rStyle w:val="InternetLink"/>
                  <w:rFonts w:ascii="Roboto;sans-serif" w:hAnsi="Roboto;sans-serif"/>
                  <w:b w:val="false"/>
                  <w:color w:val="000080"/>
                  <w:sz w:val="18"/>
                  <w:u w:val="single"/>
                </w:rPr>
                <w:t xml:space="preserve"> and 202</w:t>
              </w:r>
            </w:hyperlink>
            <w:hyperlink w:anchor="i32684464035b409abc4df4c9ee4629ea_22">
              <w:r>
                <w:rPr>
                  <w:rStyle w:val="InternetLink"/>
                  <w:rFonts w:ascii="Roboto;sans-serif" w:hAnsi="Roboto;sans-serif"/>
                  <w:b w:val="false"/>
                  <w:color w:val="000080"/>
                  <w:sz w:val="18"/>
                  <w:u w:val="single"/>
                </w:rPr>
                <w:t>4</w:t>
              </w:r>
            </w:hyperlink>
            <w:hyperlink w:anchor="i32684464035b409abc4df4c9ee4629ea_22">
              <w:r>
                <w:rPr>
                  <w:rStyle w:val="InternetLink"/>
                  <w:rFonts w:ascii="Roboto;sans-serif" w:hAnsi="Roboto;sans-serif"/>
                  <w:b w:val="false"/>
                  <w:color w:val="000080"/>
                  <w:sz w:val="18"/>
                  <w:u w:val="single"/>
                </w:rPr>
                <w:t xml:space="preserve"> (unaudited)</w:t>
              </w:r>
            </w:hyperlink>
          </w:p>
        </w:tc>
        <w:tc>
          <w:tcPr>
            <w:tcW w:w="66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2684464035b409abc4df4c9ee4629ea_22">
              <w:r>
                <w:rPr>
                  <w:rStyle w:val="InternetLink"/>
                  <w:rFonts w:ascii="Roboto;sans-serif" w:hAnsi="Roboto;sans-serif"/>
                  <w:b w:val="false"/>
                  <w:color w:val="0000FF"/>
                  <w:sz w:val="18"/>
                  <w:u w:val="single"/>
                </w:rPr>
                <w:t>5</w:t>
              </w:r>
            </w:hyperlink>
          </w:p>
        </w:tc>
      </w:tr>
      <w:tr>
        <w:trPr/>
        <w:tc>
          <w:tcPr>
            <w:tcW w:w="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684464035b409abc4df4c9ee4629ea_25">
              <w:r>
                <w:rPr>
                  <w:rStyle w:val="InternetLink"/>
                  <w:rFonts w:ascii="Roboto;sans-serif" w:hAnsi="Roboto;sans-serif"/>
                  <w:b w:val="false"/>
                  <w:color w:val="000080"/>
                  <w:sz w:val="18"/>
                  <w:u w:val="single"/>
                </w:rPr>
                <w:t xml:space="preserve">Condensed Consolidated Statements of Cash Flows for the </w:t>
              </w:r>
            </w:hyperlink>
            <w:hyperlink w:anchor="i32684464035b409abc4df4c9ee4629ea_25">
              <w:r>
                <w:rPr>
                  <w:rStyle w:val="InternetLink"/>
                  <w:rFonts w:ascii="Roboto;sans-serif" w:hAnsi="Roboto;sans-serif"/>
                  <w:b w:val="false"/>
                  <w:color w:val="000080"/>
                  <w:sz w:val="18"/>
                  <w:u w:val="single"/>
                </w:rPr>
                <w:t>Nine</w:t>
              </w:r>
            </w:hyperlink>
            <w:hyperlink w:anchor="i32684464035b409abc4df4c9ee4629ea_25">
              <w:r>
                <w:rPr>
                  <w:rStyle w:val="InternetLink"/>
                  <w:rFonts w:ascii="Roboto;sans-serif" w:hAnsi="Roboto;sans-serif"/>
                  <w:b w:val="false"/>
                  <w:color w:val="000080"/>
                  <w:sz w:val="18"/>
                  <w:u w:val="single"/>
                </w:rPr>
                <w:t xml:space="preserve"> Months Ended </w:t>
              </w:r>
            </w:hyperlink>
            <w:hyperlink w:anchor="i32684464035b409abc4df4c9ee4629ea_25">
              <w:r>
                <w:rPr>
                  <w:rStyle w:val="InternetLink"/>
                  <w:rFonts w:ascii="Roboto;sans-serif" w:hAnsi="Roboto;sans-serif"/>
                  <w:b w:val="false"/>
                  <w:color w:val="000080"/>
                  <w:sz w:val="18"/>
                  <w:u w:val="single"/>
                </w:rPr>
                <w:t>March</w:t>
              </w:r>
            </w:hyperlink>
            <w:hyperlink w:anchor="i32684464035b409abc4df4c9ee4629ea_25">
              <w:r>
                <w:rPr>
                  <w:rStyle w:val="InternetLink"/>
                  <w:rFonts w:ascii="Roboto;sans-serif" w:hAnsi="Roboto;sans-serif"/>
                  <w:b w:val="false"/>
                  <w:color w:val="000080"/>
                  <w:sz w:val="18"/>
                  <w:u w:val="single"/>
                </w:rPr>
                <w:t xml:space="preserve"> 31, 202</w:t>
              </w:r>
            </w:hyperlink>
            <w:hyperlink w:anchor="i32684464035b409abc4df4c9ee4629ea_25">
              <w:r>
                <w:rPr>
                  <w:rStyle w:val="InternetLink"/>
                  <w:rFonts w:ascii="Roboto;sans-serif" w:hAnsi="Roboto;sans-serif"/>
                  <w:b w:val="false"/>
                  <w:color w:val="000080"/>
                  <w:sz w:val="18"/>
                  <w:u w:val="single"/>
                </w:rPr>
                <w:t xml:space="preserve">5 </w:t>
              </w:r>
            </w:hyperlink>
            <w:hyperlink w:anchor="i32684464035b409abc4df4c9ee4629ea_25">
              <w:r>
                <w:rPr>
                  <w:rStyle w:val="InternetLink"/>
                  <w:rFonts w:ascii="Roboto;sans-serif" w:hAnsi="Roboto;sans-serif"/>
                  <w:b w:val="false"/>
                  <w:color w:val="000080"/>
                  <w:sz w:val="18"/>
                  <w:u w:val="single"/>
                </w:rPr>
                <w:t>and 202</w:t>
              </w:r>
            </w:hyperlink>
            <w:hyperlink w:anchor="i32684464035b409abc4df4c9ee4629ea_25">
              <w:r>
                <w:rPr>
                  <w:rStyle w:val="InternetLink"/>
                  <w:rFonts w:ascii="Roboto;sans-serif" w:hAnsi="Roboto;sans-serif"/>
                  <w:b w:val="false"/>
                  <w:color w:val="000080"/>
                  <w:sz w:val="18"/>
                  <w:u w:val="single"/>
                </w:rPr>
                <w:t xml:space="preserve">4 </w:t>
              </w:r>
            </w:hyperlink>
            <w:hyperlink w:anchor="i32684464035b409abc4df4c9ee4629ea_25">
              <w:r>
                <w:rPr>
                  <w:rStyle w:val="InternetLink"/>
                  <w:rFonts w:ascii="Roboto;sans-serif" w:hAnsi="Roboto;sans-serif"/>
                  <w:b w:val="false"/>
                  <w:color w:val="000080"/>
                  <w:sz w:val="18"/>
                  <w:u w:val="single"/>
                </w:rPr>
                <w:t>(unaudited)</w:t>
              </w:r>
            </w:hyperlink>
          </w:p>
        </w:tc>
        <w:tc>
          <w:tcPr>
            <w:tcW w:w="66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2684464035b409abc4df4c9ee4629ea_25">
              <w:r>
                <w:rPr>
                  <w:rStyle w:val="InternetLink"/>
                  <w:rFonts w:ascii="Roboto;sans-serif" w:hAnsi="Roboto;sans-serif"/>
                  <w:b w:val="false"/>
                  <w:color w:val="0000FF"/>
                  <w:sz w:val="18"/>
                  <w:u w:val="single"/>
                </w:rPr>
                <w:t>6</w:t>
              </w:r>
            </w:hyperlink>
          </w:p>
        </w:tc>
      </w:tr>
      <w:tr>
        <w:trPr/>
        <w:tc>
          <w:tcPr>
            <w:tcW w:w="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684464035b409abc4df4c9ee4629ea_28">
              <w:r>
                <w:rPr>
                  <w:rStyle w:val="InternetLink"/>
                  <w:rFonts w:ascii="Roboto;sans-serif" w:hAnsi="Roboto;sans-serif"/>
                  <w:b w:val="false"/>
                  <w:color w:val="000080"/>
                  <w:sz w:val="18"/>
                  <w:u w:val="single"/>
                </w:rPr>
                <w:t xml:space="preserve">Condensed Consolidated Statements of Stockholders' Deficit for the Three and </w:t>
              </w:r>
            </w:hyperlink>
            <w:hyperlink w:anchor="i32684464035b409abc4df4c9ee4629ea_28">
              <w:r>
                <w:rPr>
                  <w:rStyle w:val="InternetLink"/>
                  <w:rFonts w:ascii="Roboto;sans-serif" w:hAnsi="Roboto;sans-serif"/>
                  <w:b w:val="false"/>
                  <w:color w:val="000080"/>
                  <w:sz w:val="18"/>
                  <w:u w:val="single"/>
                </w:rPr>
                <w:t>Nine</w:t>
              </w:r>
            </w:hyperlink>
            <w:hyperlink w:anchor="i32684464035b409abc4df4c9ee4629ea_28">
              <w:r>
                <w:rPr>
                  <w:rStyle w:val="InternetLink"/>
                  <w:rFonts w:ascii="Roboto;sans-serif" w:hAnsi="Roboto;sans-serif"/>
                  <w:b w:val="false"/>
                  <w:color w:val="000080"/>
                  <w:sz w:val="18"/>
                  <w:u w:val="single"/>
                </w:rPr>
                <w:t xml:space="preserve"> Months Ended </w:t>
              </w:r>
            </w:hyperlink>
            <w:hyperlink w:anchor="i32684464035b409abc4df4c9ee4629ea_28">
              <w:r>
                <w:rPr>
                  <w:rStyle w:val="InternetLink"/>
                  <w:rFonts w:ascii="Roboto;sans-serif" w:hAnsi="Roboto;sans-serif"/>
                  <w:b w:val="false"/>
                  <w:color w:val="000080"/>
                  <w:sz w:val="18"/>
                  <w:u w:val="single"/>
                </w:rPr>
                <w:t>March</w:t>
              </w:r>
            </w:hyperlink>
            <w:hyperlink w:anchor="i32684464035b409abc4df4c9ee4629ea_28">
              <w:r>
                <w:rPr>
                  <w:rStyle w:val="InternetLink"/>
                  <w:rFonts w:ascii="Roboto;sans-serif" w:hAnsi="Roboto;sans-serif"/>
                  <w:b w:val="false"/>
                  <w:color w:val="000080"/>
                  <w:sz w:val="18"/>
                  <w:u w:val="single"/>
                </w:rPr>
                <w:t xml:space="preserve"> 31, 202</w:t>
              </w:r>
            </w:hyperlink>
            <w:hyperlink w:anchor="i32684464035b409abc4df4c9ee4629ea_28">
              <w:r>
                <w:rPr>
                  <w:rStyle w:val="InternetLink"/>
                  <w:rFonts w:ascii="Roboto;sans-serif" w:hAnsi="Roboto;sans-serif"/>
                  <w:b w:val="false"/>
                  <w:color w:val="000080"/>
                  <w:sz w:val="18"/>
                  <w:u w:val="single"/>
                </w:rPr>
                <w:t>5</w:t>
              </w:r>
            </w:hyperlink>
            <w:hyperlink w:anchor="i32684464035b409abc4df4c9ee4629ea_28">
              <w:r>
                <w:rPr>
                  <w:rStyle w:val="InternetLink"/>
                  <w:rFonts w:ascii="Roboto;sans-serif" w:hAnsi="Roboto;sans-serif"/>
                  <w:b w:val="false"/>
                  <w:color w:val="000080"/>
                  <w:sz w:val="18"/>
                  <w:u w:val="single"/>
                </w:rPr>
                <w:t xml:space="preserve"> and 202</w:t>
              </w:r>
            </w:hyperlink>
            <w:hyperlink w:anchor="i32684464035b409abc4df4c9ee4629ea_28">
              <w:r>
                <w:rPr>
                  <w:rStyle w:val="InternetLink"/>
                  <w:rFonts w:ascii="Roboto;sans-serif" w:hAnsi="Roboto;sans-serif"/>
                  <w:b w:val="false"/>
                  <w:color w:val="000080"/>
                  <w:sz w:val="18"/>
                  <w:u w:val="single"/>
                </w:rPr>
                <w:t xml:space="preserve">4 </w:t>
              </w:r>
            </w:hyperlink>
            <w:hyperlink w:anchor="i32684464035b409abc4df4c9ee4629ea_28">
              <w:r>
                <w:rPr>
                  <w:rStyle w:val="InternetLink"/>
                  <w:rFonts w:ascii="Roboto;sans-serif" w:hAnsi="Roboto;sans-serif"/>
                  <w:b w:val="false"/>
                  <w:color w:val="000080"/>
                  <w:sz w:val="18"/>
                  <w:u w:val="single"/>
                </w:rPr>
                <w:t>(unaudited)</w:t>
              </w:r>
            </w:hyperlink>
          </w:p>
        </w:tc>
        <w:tc>
          <w:tcPr>
            <w:tcW w:w="66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2684464035b409abc4df4c9ee4629ea_28">
              <w:r>
                <w:rPr>
                  <w:rStyle w:val="InternetLink"/>
                  <w:rFonts w:ascii="Roboto;sans-serif" w:hAnsi="Roboto;sans-serif"/>
                  <w:b w:val="false"/>
                  <w:color w:val="0000FF"/>
                  <w:sz w:val="18"/>
                  <w:u w:val="single"/>
                </w:rPr>
                <w:t>7</w:t>
              </w:r>
            </w:hyperlink>
          </w:p>
        </w:tc>
      </w:tr>
      <w:tr>
        <w:trPr/>
        <w:tc>
          <w:tcPr>
            <w:tcW w:w="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684464035b409abc4df4c9ee4629ea_31">
              <w:r>
                <w:rPr>
                  <w:rStyle w:val="InternetLink"/>
                  <w:rFonts w:ascii="Roboto;sans-serif" w:hAnsi="Roboto;sans-serif"/>
                  <w:b w:val="false"/>
                  <w:color w:val="0000FF"/>
                  <w:sz w:val="18"/>
                  <w:u w:val="single"/>
                </w:rPr>
                <w:t>Notes to Condensed Consolidated Financial Statements (unaudited)</w:t>
              </w:r>
            </w:hyperlink>
          </w:p>
        </w:tc>
        <w:tc>
          <w:tcPr>
            <w:tcW w:w="66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2684464035b409abc4df4c9ee4629ea_31">
              <w:r>
                <w:rPr>
                  <w:rStyle w:val="InternetLink"/>
                  <w:rFonts w:ascii="Roboto;sans-serif" w:hAnsi="Roboto;sans-serif"/>
                  <w:b w:val="false"/>
                  <w:color w:val="0000FF"/>
                  <w:sz w:val="18"/>
                  <w:u w:val="single"/>
                </w:rPr>
                <w:t>8</w:t>
              </w:r>
            </w:hyperlink>
          </w:p>
        </w:tc>
      </w:tr>
      <w:tr>
        <w:trPr/>
        <w:tc>
          <w:tcPr>
            <w:tcW w:w="7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684464035b409abc4df4c9ee4629ea_79">
              <w:r>
                <w:rPr>
                  <w:rStyle w:val="InternetLink"/>
                  <w:rFonts w:ascii="Roboto;sans-serif" w:hAnsi="Roboto;sans-serif"/>
                  <w:b w:val="false"/>
                  <w:color w:val="0000FF"/>
                  <w:sz w:val="18"/>
                  <w:u w:val="single"/>
                </w:rPr>
                <w:t>Item 2.</w:t>
              </w:r>
            </w:hyperlink>
          </w:p>
        </w:tc>
        <w:tc>
          <w:tcPr>
            <w:tcW w:w="8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684464035b409abc4df4c9ee4629ea_79">
              <w:r>
                <w:rPr>
                  <w:rStyle w:val="InternetLink"/>
                  <w:rFonts w:ascii="Roboto;sans-serif" w:hAnsi="Roboto;sans-serif"/>
                  <w:b w:val="false"/>
                  <w:color w:val="0000FF"/>
                  <w:sz w:val="18"/>
                  <w:u w:val="single"/>
                </w:rPr>
                <w:t>Management’s Discussion and Analysis of Financial Condition and Results of Operations</w:t>
              </w:r>
            </w:hyperlink>
          </w:p>
        </w:tc>
        <w:tc>
          <w:tcPr>
            <w:tcW w:w="66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2684464035b409abc4df4c9ee4629ea_79">
              <w:r>
                <w:rPr>
                  <w:rStyle w:val="InternetLink"/>
                  <w:rFonts w:ascii="Roboto;sans-serif" w:hAnsi="Roboto;sans-serif"/>
                  <w:b w:val="false"/>
                  <w:color w:val="0000FF"/>
                  <w:sz w:val="18"/>
                  <w:u w:val="single"/>
                </w:rPr>
                <w:t>26</w:t>
              </w:r>
            </w:hyperlink>
          </w:p>
        </w:tc>
      </w:tr>
      <w:tr>
        <w:trPr/>
        <w:tc>
          <w:tcPr>
            <w:tcW w:w="7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684464035b409abc4df4c9ee4629ea_109">
              <w:r>
                <w:rPr>
                  <w:rStyle w:val="InternetLink"/>
                  <w:rFonts w:ascii="Roboto;sans-serif" w:hAnsi="Roboto;sans-serif"/>
                  <w:b w:val="false"/>
                  <w:color w:val="0000FF"/>
                  <w:sz w:val="18"/>
                  <w:u w:val="single"/>
                </w:rPr>
                <w:t>Item 3.</w:t>
              </w:r>
            </w:hyperlink>
          </w:p>
        </w:tc>
        <w:tc>
          <w:tcPr>
            <w:tcW w:w="8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684464035b409abc4df4c9ee4629ea_109">
              <w:r>
                <w:rPr>
                  <w:rStyle w:val="InternetLink"/>
                  <w:rFonts w:ascii="Roboto;sans-serif" w:hAnsi="Roboto;sans-serif"/>
                  <w:b w:val="false"/>
                  <w:color w:val="0000FF"/>
                  <w:sz w:val="18"/>
                  <w:u w:val="single"/>
                </w:rPr>
                <w:t>Quantitative and Qualitative Disclosures About Market Risk</w:t>
              </w:r>
            </w:hyperlink>
          </w:p>
        </w:tc>
        <w:tc>
          <w:tcPr>
            <w:tcW w:w="66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2684464035b409abc4df4c9ee4629ea_109">
              <w:r>
                <w:rPr>
                  <w:rStyle w:val="InternetLink"/>
                  <w:rFonts w:ascii="Roboto;sans-serif" w:hAnsi="Roboto;sans-serif"/>
                  <w:b w:val="false"/>
                  <w:color w:val="0000FF"/>
                  <w:sz w:val="18"/>
                  <w:u w:val="single"/>
                </w:rPr>
                <w:t>43</w:t>
              </w:r>
            </w:hyperlink>
          </w:p>
        </w:tc>
      </w:tr>
      <w:tr>
        <w:trPr/>
        <w:tc>
          <w:tcPr>
            <w:tcW w:w="7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684464035b409abc4df4c9ee4629ea_112">
              <w:r>
                <w:rPr>
                  <w:rStyle w:val="InternetLink"/>
                  <w:rFonts w:ascii="Roboto;sans-serif" w:hAnsi="Roboto;sans-serif"/>
                  <w:b w:val="false"/>
                  <w:color w:val="0000FF"/>
                  <w:sz w:val="18"/>
                  <w:u w:val="single"/>
                </w:rPr>
                <w:t>Item 4.</w:t>
              </w:r>
            </w:hyperlink>
          </w:p>
        </w:tc>
        <w:tc>
          <w:tcPr>
            <w:tcW w:w="8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684464035b409abc4df4c9ee4629ea_112">
              <w:r>
                <w:rPr>
                  <w:rStyle w:val="InternetLink"/>
                  <w:rFonts w:ascii="Roboto;sans-serif" w:hAnsi="Roboto;sans-serif"/>
                  <w:b w:val="false"/>
                  <w:color w:val="0000FF"/>
                  <w:sz w:val="18"/>
                  <w:u w:val="single"/>
                </w:rPr>
                <w:t>Controls and Procedures</w:t>
              </w:r>
            </w:hyperlink>
          </w:p>
        </w:tc>
        <w:tc>
          <w:tcPr>
            <w:tcW w:w="66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2684464035b409abc4df4c9ee4629ea_112">
              <w:r>
                <w:rPr>
                  <w:rStyle w:val="InternetLink"/>
                  <w:rFonts w:ascii="Roboto;sans-serif" w:hAnsi="Roboto;sans-serif"/>
                  <w:b w:val="false"/>
                  <w:color w:val="0000FF"/>
                  <w:sz w:val="18"/>
                  <w:u w:val="single"/>
                </w:rPr>
                <w:t>44</w:t>
              </w:r>
            </w:hyperlink>
          </w:p>
        </w:tc>
      </w:tr>
      <w:tr>
        <w:trPr/>
        <w:tc>
          <w:tcPr>
            <w:tcW w:w="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Part II. Other Information</w:t>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684464035b409abc4df4c9ee4629ea_118">
              <w:r>
                <w:rPr>
                  <w:rStyle w:val="InternetLink"/>
                  <w:rFonts w:ascii="Roboto;sans-serif" w:hAnsi="Roboto;sans-serif"/>
                  <w:b w:val="false"/>
                  <w:color w:val="0000FF"/>
                  <w:sz w:val="18"/>
                  <w:u w:val="single"/>
                </w:rPr>
                <w:t>Item 1.</w:t>
              </w:r>
            </w:hyperlink>
          </w:p>
        </w:tc>
        <w:tc>
          <w:tcPr>
            <w:tcW w:w="8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684464035b409abc4df4c9ee4629ea_118">
              <w:r>
                <w:rPr>
                  <w:rStyle w:val="InternetLink"/>
                  <w:rFonts w:ascii="Roboto;sans-serif" w:hAnsi="Roboto;sans-serif"/>
                  <w:b w:val="false"/>
                  <w:color w:val="0000FF"/>
                  <w:sz w:val="18"/>
                  <w:u w:val="single"/>
                </w:rPr>
                <w:t>Legal Proceedings</w:t>
              </w:r>
            </w:hyperlink>
          </w:p>
        </w:tc>
        <w:tc>
          <w:tcPr>
            <w:tcW w:w="66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2684464035b409abc4df4c9ee4629ea_118">
              <w:r>
                <w:rPr>
                  <w:rStyle w:val="InternetLink"/>
                  <w:rFonts w:ascii="Roboto;sans-serif" w:hAnsi="Roboto;sans-serif"/>
                  <w:b w:val="false"/>
                  <w:color w:val="0000FF"/>
                  <w:sz w:val="18"/>
                  <w:u w:val="single"/>
                </w:rPr>
                <w:t>45</w:t>
              </w:r>
            </w:hyperlink>
          </w:p>
        </w:tc>
      </w:tr>
      <w:tr>
        <w:trPr/>
        <w:tc>
          <w:tcPr>
            <w:tcW w:w="7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684464035b409abc4df4c9ee4629ea_121">
              <w:r>
                <w:rPr>
                  <w:rStyle w:val="InternetLink"/>
                  <w:rFonts w:ascii="Roboto;sans-serif" w:hAnsi="Roboto;sans-serif"/>
                  <w:b w:val="false"/>
                  <w:color w:val="0000FF"/>
                  <w:sz w:val="18"/>
                  <w:u w:val="single"/>
                </w:rPr>
                <w:t>Item 1A.</w:t>
              </w:r>
            </w:hyperlink>
          </w:p>
        </w:tc>
        <w:tc>
          <w:tcPr>
            <w:tcW w:w="8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684464035b409abc4df4c9ee4629ea_121">
              <w:r>
                <w:rPr>
                  <w:rStyle w:val="InternetLink"/>
                  <w:rFonts w:ascii="Roboto;sans-serif" w:hAnsi="Roboto;sans-serif"/>
                  <w:b w:val="false"/>
                  <w:color w:val="0000FF"/>
                  <w:sz w:val="18"/>
                  <w:u w:val="single"/>
                </w:rPr>
                <w:t>Risk Factors</w:t>
              </w:r>
            </w:hyperlink>
          </w:p>
        </w:tc>
        <w:tc>
          <w:tcPr>
            <w:tcW w:w="66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2684464035b409abc4df4c9ee4629ea_121">
              <w:r>
                <w:rPr>
                  <w:rStyle w:val="InternetLink"/>
                  <w:rFonts w:ascii="Roboto;sans-serif" w:hAnsi="Roboto;sans-serif"/>
                  <w:b w:val="false"/>
                  <w:color w:val="0000FF"/>
                  <w:sz w:val="18"/>
                  <w:u w:val="single"/>
                </w:rPr>
                <w:t>45</w:t>
              </w:r>
            </w:hyperlink>
          </w:p>
        </w:tc>
      </w:tr>
      <w:tr>
        <w:trPr/>
        <w:tc>
          <w:tcPr>
            <w:tcW w:w="7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684464035b409abc4df4c9ee4629ea_124">
              <w:r>
                <w:rPr>
                  <w:rStyle w:val="InternetLink"/>
                  <w:rFonts w:ascii="Roboto;sans-serif" w:hAnsi="Roboto;sans-serif"/>
                  <w:b w:val="false"/>
                  <w:color w:val="0000FF"/>
                  <w:sz w:val="18"/>
                  <w:u w:val="single"/>
                </w:rPr>
                <w:t>Item 2.</w:t>
              </w:r>
            </w:hyperlink>
          </w:p>
        </w:tc>
        <w:tc>
          <w:tcPr>
            <w:tcW w:w="8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684464035b409abc4df4c9ee4629ea_124">
              <w:r>
                <w:rPr>
                  <w:rStyle w:val="InternetLink"/>
                  <w:rFonts w:ascii="Roboto;sans-serif" w:hAnsi="Roboto;sans-serif"/>
                  <w:b w:val="false"/>
                  <w:color w:val="0000FF"/>
                  <w:sz w:val="18"/>
                  <w:u w:val="single"/>
                </w:rPr>
                <w:t>Unregistered Sales of Equity Securities and Use of Proceeds</w:t>
              </w:r>
            </w:hyperlink>
          </w:p>
        </w:tc>
        <w:tc>
          <w:tcPr>
            <w:tcW w:w="66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2684464035b409abc4df4c9ee4629ea_124">
              <w:r>
                <w:rPr>
                  <w:rStyle w:val="InternetLink"/>
                  <w:rFonts w:ascii="Roboto;sans-serif" w:hAnsi="Roboto;sans-serif"/>
                  <w:b w:val="false"/>
                  <w:color w:val="0000FF"/>
                  <w:sz w:val="18"/>
                  <w:u w:val="single"/>
                </w:rPr>
                <w:t>46</w:t>
              </w:r>
            </w:hyperlink>
          </w:p>
        </w:tc>
      </w:tr>
      <w:tr>
        <w:trPr/>
        <w:tc>
          <w:tcPr>
            <w:tcW w:w="7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684464035b409abc4df4c9ee4629ea_127">
              <w:r>
                <w:rPr>
                  <w:rStyle w:val="InternetLink"/>
                  <w:rFonts w:ascii="Roboto;sans-serif" w:hAnsi="Roboto;sans-serif"/>
                  <w:b w:val="false"/>
                  <w:color w:val="0000FF"/>
                  <w:sz w:val="18"/>
                  <w:u w:val="single"/>
                </w:rPr>
                <w:t>Item 3.</w:t>
              </w:r>
            </w:hyperlink>
          </w:p>
        </w:tc>
        <w:tc>
          <w:tcPr>
            <w:tcW w:w="8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684464035b409abc4df4c9ee4629ea_127">
              <w:r>
                <w:rPr>
                  <w:rStyle w:val="InternetLink"/>
                  <w:rFonts w:ascii="Roboto;sans-serif" w:hAnsi="Roboto;sans-serif"/>
                  <w:b w:val="false"/>
                  <w:color w:val="0000FF"/>
                  <w:sz w:val="18"/>
                  <w:u w:val="single"/>
                </w:rPr>
                <w:t>Defaults Upon Senior Securities</w:t>
              </w:r>
            </w:hyperlink>
          </w:p>
        </w:tc>
        <w:tc>
          <w:tcPr>
            <w:tcW w:w="66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2684464035b409abc4df4c9ee4629ea_127">
              <w:r>
                <w:rPr>
                  <w:rStyle w:val="InternetLink"/>
                  <w:rFonts w:ascii="Roboto;sans-serif" w:hAnsi="Roboto;sans-serif"/>
                  <w:b w:val="false"/>
                  <w:color w:val="0000FF"/>
                  <w:sz w:val="18"/>
                  <w:u w:val="single"/>
                </w:rPr>
                <w:t>46</w:t>
              </w:r>
            </w:hyperlink>
          </w:p>
        </w:tc>
      </w:tr>
      <w:tr>
        <w:trPr/>
        <w:tc>
          <w:tcPr>
            <w:tcW w:w="7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684464035b409abc4df4c9ee4629ea_130">
              <w:r>
                <w:rPr>
                  <w:rStyle w:val="InternetLink"/>
                  <w:rFonts w:ascii="Roboto;sans-serif" w:hAnsi="Roboto;sans-serif"/>
                  <w:b w:val="false"/>
                  <w:color w:val="0000FF"/>
                  <w:sz w:val="18"/>
                  <w:u w:val="single"/>
                </w:rPr>
                <w:t>Item 4.</w:t>
              </w:r>
            </w:hyperlink>
          </w:p>
        </w:tc>
        <w:tc>
          <w:tcPr>
            <w:tcW w:w="8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684464035b409abc4df4c9ee4629ea_130">
              <w:r>
                <w:rPr>
                  <w:rStyle w:val="InternetLink"/>
                  <w:rFonts w:ascii="Roboto;sans-serif" w:hAnsi="Roboto;sans-serif"/>
                  <w:b w:val="false"/>
                  <w:color w:val="0000FF"/>
                  <w:sz w:val="18"/>
                  <w:u w:val="single"/>
                </w:rPr>
                <w:t>Mine Safety Disclosures</w:t>
              </w:r>
            </w:hyperlink>
          </w:p>
        </w:tc>
        <w:tc>
          <w:tcPr>
            <w:tcW w:w="66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2684464035b409abc4df4c9ee4629ea_130">
              <w:r>
                <w:rPr>
                  <w:rStyle w:val="InternetLink"/>
                  <w:rFonts w:ascii="Roboto;sans-serif" w:hAnsi="Roboto;sans-serif"/>
                  <w:b w:val="false"/>
                  <w:color w:val="0000FF"/>
                  <w:sz w:val="18"/>
                  <w:u w:val="single"/>
                </w:rPr>
                <w:t>46</w:t>
              </w:r>
            </w:hyperlink>
          </w:p>
        </w:tc>
      </w:tr>
      <w:tr>
        <w:trPr/>
        <w:tc>
          <w:tcPr>
            <w:tcW w:w="7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684464035b409abc4df4c9ee4629ea_133">
              <w:r>
                <w:rPr>
                  <w:rStyle w:val="InternetLink"/>
                  <w:rFonts w:ascii="Roboto;sans-serif" w:hAnsi="Roboto;sans-serif"/>
                  <w:b w:val="false"/>
                  <w:color w:val="0000FF"/>
                  <w:sz w:val="18"/>
                  <w:u w:val="single"/>
                </w:rPr>
                <w:t>Item 5.</w:t>
              </w:r>
            </w:hyperlink>
          </w:p>
        </w:tc>
        <w:tc>
          <w:tcPr>
            <w:tcW w:w="8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684464035b409abc4df4c9ee4629ea_133">
              <w:r>
                <w:rPr>
                  <w:rStyle w:val="InternetLink"/>
                  <w:rFonts w:ascii="Roboto;sans-serif" w:hAnsi="Roboto;sans-serif"/>
                  <w:b w:val="false"/>
                  <w:color w:val="0000FF"/>
                  <w:sz w:val="18"/>
                  <w:u w:val="single"/>
                </w:rPr>
                <w:t>Other Information</w:t>
              </w:r>
            </w:hyperlink>
          </w:p>
        </w:tc>
        <w:tc>
          <w:tcPr>
            <w:tcW w:w="66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2684464035b409abc4df4c9ee4629ea_133">
              <w:r>
                <w:rPr>
                  <w:rStyle w:val="InternetLink"/>
                  <w:rFonts w:ascii="Roboto;sans-serif" w:hAnsi="Roboto;sans-serif"/>
                  <w:b w:val="false"/>
                  <w:color w:val="0000FF"/>
                  <w:sz w:val="18"/>
                  <w:u w:val="single"/>
                </w:rPr>
                <w:t>46</w:t>
              </w:r>
            </w:hyperlink>
          </w:p>
        </w:tc>
      </w:tr>
      <w:tr>
        <w:trPr/>
        <w:tc>
          <w:tcPr>
            <w:tcW w:w="7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684464035b409abc4df4c9ee4629ea_139">
              <w:r>
                <w:rPr>
                  <w:rStyle w:val="InternetLink"/>
                  <w:rFonts w:ascii="Roboto;sans-serif" w:hAnsi="Roboto;sans-serif"/>
                  <w:b w:val="false"/>
                  <w:color w:val="0000FF"/>
                  <w:sz w:val="18"/>
                  <w:u w:val="single"/>
                </w:rPr>
                <w:t>Item 6.</w:t>
              </w:r>
            </w:hyperlink>
          </w:p>
        </w:tc>
        <w:tc>
          <w:tcPr>
            <w:tcW w:w="8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684464035b409abc4df4c9ee4629ea_139">
              <w:r>
                <w:rPr>
                  <w:rStyle w:val="InternetLink"/>
                  <w:rFonts w:ascii="Roboto;sans-serif" w:hAnsi="Roboto;sans-serif"/>
                  <w:b w:val="false"/>
                  <w:color w:val="0000FF"/>
                  <w:sz w:val="18"/>
                  <w:u w:val="single"/>
                </w:rPr>
                <w:t>Exhibits</w:t>
              </w:r>
            </w:hyperlink>
          </w:p>
        </w:tc>
        <w:tc>
          <w:tcPr>
            <w:tcW w:w="66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2684464035b409abc4df4c9ee4629ea_139">
              <w:r>
                <w:rPr>
                  <w:rStyle w:val="InternetLink"/>
                  <w:rFonts w:ascii="Roboto;sans-serif" w:hAnsi="Roboto;sans-serif"/>
                  <w:b w:val="false"/>
                  <w:color w:val="0000FF"/>
                  <w:sz w:val="18"/>
                  <w:u w:val="single"/>
                </w:rPr>
                <w:t>47</w:t>
              </w:r>
            </w:hyperlink>
          </w:p>
        </w:tc>
      </w:tr>
      <w:tr>
        <w:trPr/>
        <w:tc>
          <w:tcPr>
            <w:tcW w:w="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4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32684464035b409abc4df4c9ee4629ea_142">
              <w:r>
                <w:rPr>
                  <w:rStyle w:val="InternetLink"/>
                  <w:rFonts w:ascii="Roboto;sans-serif" w:hAnsi="Roboto;sans-serif"/>
                  <w:b w:val="false"/>
                  <w:color w:val="0000FF"/>
                  <w:sz w:val="18"/>
                  <w:u w:val="single"/>
                </w:rPr>
                <w:t>SIGNATURES</w:t>
              </w:r>
            </w:hyperlink>
          </w:p>
        </w:tc>
        <w:tc>
          <w:tcPr>
            <w:tcW w:w="66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2684464035b409abc4df4c9ee4629ea_142">
              <w:r>
                <w:rPr>
                  <w:rStyle w:val="InternetLink"/>
                  <w:rFonts w:ascii="Roboto;sans-serif" w:hAnsi="Roboto;sans-serif"/>
                  <w:b w:val="false"/>
                  <w:color w:val="0000FF"/>
                  <w:sz w:val="18"/>
                  <w:u w:val="single"/>
                </w:rPr>
                <w:t>48</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Roboto;sans-serif" w:hAnsi="Roboto;sans-serif"/>
          <w:b/>
          <w:color w:val="000000"/>
          <w:sz w:val="20"/>
        </w:rPr>
      </w:pPr>
      <w:r>
        <w:rPr>
          <w:rFonts w:ascii="Roboto;sans-serif" w:hAnsi="Roboto;sans-serif"/>
          <w:b/>
          <w:color w:val="000000"/>
          <w:sz w:val="20"/>
        </w:rPr>
        <w:t>SPECIAL NOTE REGARDING FORWARD-LOOKING STATEMENTS</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This Quarterly Report on Form 10-Q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contained in this Quarterly Report on Form 10-Q other than statements of historical fact, including, without limitation, statements regarding our execution of and timing of and the expected benefits from our restructuring initiatives and cost-saving measures, the cost savings and other efficiencies of expanding relationships with our third-party partners, details regarding and the timing of the launch of new products and services, our new initiatives with retailer partners and our efforts to optimize our retail showroom footprint, the prices of our products and services in the future, our future operating results and financial position, our business strategy and plans, market growth, and our objectives for future operations, are forward-looking statements. The words “believe,” “may,” “will,” “estimate,” “potential,” “continue,” “anticipate,” “intend,” “expect,” “could,” “would,” “project,” “plan,” “target,” and similar expressions are intended to identify forward-looking statements, though not all forward-looking statements use these words or expressions.</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We have based these forward-looking statements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and other important factors that could cause actual results to differ materially from those stated, including, but not limited to:</w:t>
      </w:r>
    </w:p>
    <w:p>
      <w:pPr>
        <w:pStyle w:val="TextBody"/>
        <w:bidi w:val="0"/>
        <w:spacing w:before="0" w:after="0"/>
        <w:jc w:val="both"/>
        <w:rPr/>
      </w:pPr>
      <w:r>
        <w:rPr/>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our ability to achieve and maintain profitability and positive free cash flow;</w:t>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our ability to attract and maintain Subscribers;</w:t>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our ability to accurately forecast consumer demand for our products and services and adequately manage our inventory;</w:t>
      </w:r>
    </w:p>
    <w:p>
      <w:pPr>
        <w:pStyle w:val="TextBody"/>
        <w:bidi w:val="0"/>
        <w:spacing w:lineRule="auto" w:line="288" w:before="60" w:after="60"/>
        <w:ind w:left="0" w:right="0" w:hanging="360"/>
        <w:jc w:val="left"/>
        <w:rPr/>
      </w:pPr>
      <w:r>
        <w:rPr>
          <w:color w:val="000000"/>
        </w:rPr>
        <w:t>•</w:t>
      </w:r>
      <w:r>
        <w:rPr>
          <w:rFonts w:ascii="Roboto;sans-serif" w:hAnsi="Roboto;sans-serif"/>
          <w:b w:val="false"/>
          <w:color w:val="000000"/>
          <w:sz w:val="18"/>
        </w:rPr>
        <w:t>our ability to execute and achieve the expected benefits of our restructuring initiatives and other cost-saving measures and whether our efforts will result in further actions or additional asset impairment charges that adversely affect our business;</w:t>
      </w:r>
    </w:p>
    <w:p>
      <w:pPr>
        <w:pStyle w:val="TextBody"/>
        <w:bidi w:val="0"/>
        <w:spacing w:lineRule="auto" w:line="288" w:before="60" w:after="60"/>
        <w:ind w:left="0" w:right="0" w:hanging="360"/>
        <w:jc w:val="left"/>
        <w:rPr/>
      </w:pPr>
      <w:r>
        <w:rPr>
          <w:color w:val="000000"/>
        </w:rPr>
        <w:t>•</w:t>
      </w:r>
      <w:r>
        <w:rPr>
          <w:rFonts w:ascii="Roboto;sans-serif" w:hAnsi="Roboto;sans-serif"/>
          <w:b w:val="false"/>
          <w:color w:val="000000"/>
          <w:sz w:val="18"/>
        </w:rPr>
        <w:t xml:space="preserve">our ability to effectively manage our growth and costs; </w:t>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our ability to anticipate consumer preferences and successfully develop and offer new products and services in a timely manner, and effectively manage the introduction of new or enhanced products and services;</w:t>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demand for our products and services and growth of the Connected Fitness Products market;</w:t>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our ability to maintain the value and reputation of the Peloton brand;</w:t>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disruptions or failures of our information technology systems or websites, or those of third parties on whom we rely;</w:t>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our reliance on a limited number of suppliers, contract manufacturers, and logistics partners for our Connected Fitness Products;</w:t>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our lack of control over suppliers, contract manufacturers and logistics partners for our Connected Fitness Products;</w:t>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our ability to predict our long-term performance and changes to our revenue as our business matures;</w:t>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any declines in sales of our Connected Fitness Products;</w:t>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the effects of increased competition in our markets and our ability to compete effectively;</w:t>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our dependence on third-party licenses for use of music in our content;</w:t>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 xml:space="preserve">actual or perceived defects in, or safety of, our products, including any impact of product recalls or legal or regulatory claims, proceedings or investigations involving our products; </w:t>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increases in component costs, long lead times, supply shortages or other supply chain disruptions;</w:t>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accidents, safety incidents or workforce disruptions;</w:t>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seasonality or other fluctuations in our quarterly results;</w:t>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our ability to generate class content;</w:t>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risks related to acquisitions or dispositions and our ability to integrate any such acquired companies into our operations and control environment, including Precor;</w:t>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risks related to expansion into international markets;</w:t>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risks related to payment processing, cybersecurity, or data privacy;</w:t>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risks related to the Peloton App and its ability to work with a range of mobile and streaming technologies, systems, networks, and standards;</w:t>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our ability to effectively price and market our Connected Fitness Products and subscriptions and our limited operating history with which to predict the profitability of our subscription model;</w:t>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any inaccuracies in, or failure to achieve, operational and business metrics or forecasts of market growth;</w:t>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our ability to maintain effective internal control over our financial and management systems and remediate material weaknesses, including with respect to Precor;</w:t>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impacts from warranty claims or product returns;</w:t>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our ability to maintain, protect, and enhance our intellectual property;</w:t>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 xml:space="preserve">our ability to comply with laws and regulations that currently apply or become applicable to our business both in the United States and internationally; </w:t>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risks related to changes in global trade policies, including our ability to mitigate the effects of tariffs and other non-tariff restrictions, such as taxes, quotas, local content rules, customs detentions and other protectionist measures;</w:t>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our reliance on third parties for computing, storage, processing and similar services and delivery and installation of our products;</w:t>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our ability to attract and retain highly skilled personnel and maintain our culture;</w:t>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 xml:space="preserve">risks related to our common stock and indebtedness; and </w:t>
      </w:r>
    </w:p>
    <w:p>
      <w:pPr>
        <w:pStyle w:val="TextBody"/>
        <w:bidi w:val="0"/>
        <w:spacing w:lineRule="auto" w:line="288" w:before="60" w:after="60"/>
        <w:ind w:left="0" w:right="0" w:hanging="360"/>
        <w:jc w:val="both"/>
        <w:rPr/>
      </w:pPr>
      <w:r>
        <w:rPr>
          <w:color w:val="000000"/>
        </w:rPr>
        <w:t>•</w:t>
      </w:r>
      <w:r>
        <w:rPr>
          <w:rFonts w:ascii="Roboto;sans-serif" w:hAnsi="Roboto;sans-serif"/>
          <w:b w:val="false"/>
          <w:color w:val="000000"/>
          <w:sz w:val="18"/>
        </w:rPr>
        <w:t>those risks and uncertainties described in the section titled “Management’s Discussion and Analysis of Financial Condition and Results of Operations” in Part I, Item 2 in this Quarterly Report on Form 10-Q and the sections titled “Risk Factors” in Part I, Item 1A and “Management’s Discussion and Analysis of Financial Condition and Results of Operations” in Part II, Item 7 in our Annual Report on Form 10-K for the fiscal year ended June 30, 2024, as such factors may be updated in our filings with the Securities and Exchange Commission (the “SEC”).</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Quarterly Report on Form 10-Q may not occur and actual results could differ materially and adversely from those anticipated or implied in the forward-looking statements.</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You should not rely upon forward-looking statements as predictions of future events. The events and circumstances reflected in the forward-looking statements may not be achieved or occur. Although we believe that the expectations reflected in our forward-looking statements are reasonable, we cannot guarantee future results, performance, or achievements. Our forward-looking statements speak only as of the date of this Quarterly Report on Form 10-Q, and we undertake no obligation to update any of these forward-looking statements for any reason after the date of this Quarterly Report on Form 10-Q or to conform these statements to actual results or revised expectations, except as required by law.</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You should read this Quarterly Report on Form 10-Q, and the documents that we reference in this Quarterly Report on Form 10-Q and have filed with the SEC, with the understanding that our actual future results, performance, and events and circumstances may be materially different from what we expect.</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In this Quarterly Report on Form 10-Q, the words “we,” “us,” “our,” and “Peloton” refer to Peloton Interactive, Inc. and its wholly owned subsidiaries, unless the context requires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33350"/>
                <wp:effectExtent l="0" t="0" r="0" b="0"/>
                <wp:wrapNone/>
                <wp:docPr id="3" name="Frame3"/>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Roboto;sans-serif" w:hAnsi="Roboto;sans-serif"/>
          <w:b/>
          <w:color w:val="000000"/>
          <w:sz w:val="20"/>
        </w:rPr>
      </w:pPr>
      <w:r>
        <w:rPr>
          <w:rFonts w:ascii="Roboto;sans-serif" w:hAnsi="Roboto;sans-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Roboto;sans-serif" w:hAnsi="Roboto;sans-serif"/>
          <w:b/>
          <w:color w:val="000000"/>
          <w:sz w:val="20"/>
        </w:rPr>
      </w:pPr>
      <w:r>
        <w:rPr>
          <w:rFonts w:ascii="Roboto;sans-serif" w:hAnsi="Roboto;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Roboto;sans-serif" w:hAnsi="Roboto;sans-serif"/>
          <w:b/>
          <w:color w:val="000000"/>
          <w:sz w:val="20"/>
        </w:rPr>
      </w:pPr>
      <w:r>
        <w:rPr>
          <w:rFonts w:ascii="Roboto;sans-serif" w:hAnsi="Roboto;sans-serif"/>
          <w:b/>
          <w:color w:val="000000"/>
          <w:sz w:val="20"/>
        </w:rPr>
        <w:t>PELOTON INTERACTIVE, INC.</w:t>
      </w:r>
    </w:p>
    <w:p>
      <w:pPr>
        <w:pStyle w:val="TextBody"/>
        <w:bidi w:val="0"/>
        <w:spacing w:lineRule="auto" w:line="288" w:before="0" w:after="0"/>
        <w:jc w:val="center"/>
        <w:rPr>
          <w:rFonts w:ascii="Roboto;sans-serif" w:hAnsi="Roboto;sans-serif"/>
          <w:b/>
          <w:color w:val="000000"/>
          <w:sz w:val="20"/>
        </w:rPr>
      </w:pPr>
      <w:r>
        <w:rPr>
          <w:rFonts w:ascii="Roboto;sans-serif" w:hAnsi="Roboto;sans-serif"/>
          <w:b/>
          <w:color w:val="000000"/>
          <w:sz w:val="20"/>
        </w:rPr>
        <w:t>CONDENSED CONSOLIDATED BALANCE SHEETS</w:t>
      </w:r>
    </w:p>
    <w:p>
      <w:pPr>
        <w:pStyle w:val="TextBody"/>
        <w:bidi w:val="0"/>
        <w:spacing w:lineRule="auto" w:line="288" w:before="0" w:after="180"/>
        <w:jc w:val="center"/>
        <w:rPr>
          <w:rFonts w:ascii="Roboto;sans-serif" w:hAnsi="Roboto;sans-serif"/>
          <w:b/>
          <w:color w:val="000000"/>
          <w:sz w:val="20"/>
        </w:rPr>
      </w:pPr>
      <w:r>
        <w:rPr>
          <w:rFonts w:ascii="Roboto;sans-serif" w:hAnsi="Roboto;sans-serif"/>
          <w:b/>
          <w:color w:val="000000"/>
          <w:sz w:val="20"/>
        </w:rPr>
        <w:t>(in millions, except share and per share amounts)</w:t>
      </w:r>
    </w:p>
    <w:tbl>
      <w:tblPr>
        <w:tblW w:w="10205" w:type="dxa"/>
        <w:jc w:val="center"/>
        <w:tblInd w:w="0" w:type="dxa"/>
        <w:tblLayout w:type="fixed"/>
        <w:tblCellMar>
          <w:top w:w="28" w:type="dxa"/>
          <w:left w:w="28" w:type="dxa"/>
          <w:bottom w:w="28" w:type="dxa"/>
          <w:right w:w="28" w:type="dxa"/>
        </w:tblCellMar>
      </w:tblPr>
      <w:tblGrid>
        <w:gridCol w:w="3143"/>
        <w:gridCol w:w="2168"/>
        <w:gridCol w:w="2044"/>
        <w:gridCol w:w="231"/>
        <w:gridCol w:w="911"/>
        <w:gridCol w:w="112"/>
        <w:gridCol w:w="109"/>
        <w:gridCol w:w="109"/>
        <w:gridCol w:w="109"/>
        <w:gridCol w:w="226"/>
        <w:gridCol w:w="886"/>
        <w:gridCol w:w="157"/>
      </w:tblGrid>
      <w:tr>
        <w:trPr/>
        <w:tc>
          <w:tcPr>
            <w:tcW w:w="3143" w:type="dxa"/>
            <w:tcBorders/>
            <w:vAlign w:val="center"/>
          </w:tcPr>
          <w:p>
            <w:pPr>
              <w:pStyle w:val="TableContents"/>
              <w:bidi w:val="0"/>
              <w:spacing w:before="0" w:after="283"/>
              <w:jc w:val="left"/>
              <w:rPr>
                <w:sz w:val="4"/>
                <w:szCs w:val="4"/>
              </w:rPr>
            </w:pPr>
            <w:r>
              <w:rPr>
                <w:sz w:val="4"/>
                <w:szCs w:val="4"/>
              </w:rPr>
            </w:r>
          </w:p>
        </w:tc>
        <w:tc>
          <w:tcPr>
            <w:tcW w:w="2168" w:type="dxa"/>
            <w:tcBorders/>
            <w:vAlign w:val="center"/>
          </w:tcPr>
          <w:p>
            <w:pPr>
              <w:pStyle w:val="TableContents"/>
              <w:bidi w:val="0"/>
              <w:spacing w:before="0" w:after="283"/>
              <w:jc w:val="left"/>
              <w:rPr>
                <w:sz w:val="4"/>
                <w:szCs w:val="4"/>
              </w:rPr>
            </w:pPr>
            <w:r>
              <w:rPr>
                <w:sz w:val="4"/>
                <w:szCs w:val="4"/>
              </w:rPr>
            </w:r>
          </w:p>
        </w:tc>
        <w:tc>
          <w:tcPr>
            <w:tcW w:w="2044"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355"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June 30,</w:t>
            </w:r>
          </w:p>
        </w:tc>
      </w:tr>
      <w:tr>
        <w:trPr/>
        <w:tc>
          <w:tcPr>
            <w:tcW w:w="7355" w:type="dxa"/>
            <w:gridSpan w:val="3"/>
            <w:vMerge w:val="continue"/>
            <w:tcBorders/>
            <w:tcMar>
              <w:top w:w="0" w:type="dxa"/>
              <w:left w:w="0" w:type="dxa"/>
              <w:bottom w:w="0" w:type="dxa"/>
              <w:right w:w="0" w:type="dxa"/>
            </w:tcMar>
            <w:vAlign w:val="center"/>
          </w:tcPr>
          <w:p>
            <w:pPr>
              <w:pStyle w:val="Normal"/>
              <w:bidi w:val="0"/>
              <w:jc w:val="left"/>
              <w:rPr/>
            </w:pPr>
            <w:r>
              <w:rPr/>
            </w:r>
          </w:p>
        </w:tc>
        <w:tc>
          <w:tcPr>
            <w:tcW w:w="1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r>
      <w:tr>
        <w:trPr/>
        <w:tc>
          <w:tcPr>
            <w:tcW w:w="7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Roboto;sans-serif" w:hAnsi="Roboto;sans-serif"/>
                <w:b/>
                <w:color w:val="000000"/>
                <w:sz w:val="18"/>
              </w:rPr>
            </w:pPr>
            <w:r>
              <w:rPr>
                <w:rFonts w:ascii="Roboto;sans-serif" w:hAnsi="Roboto;sans-serif"/>
                <w:b/>
                <w:color w:val="000000"/>
                <w:sz w:val="18"/>
              </w:rPr>
              <w:t>ASSETS</w:t>
            </w:r>
          </w:p>
        </w:tc>
        <w:tc>
          <w:tcPr>
            <w:tcW w:w="12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Current assets:</w:t>
            </w:r>
          </w:p>
        </w:tc>
        <w:tc>
          <w:tcPr>
            <w:tcW w:w="1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Cash and cash equivalents</w:t>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914.3 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697.6 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Accounts receivable, net</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93.6 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103.6 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Inventories, net</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213.5 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329.7 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Prepaid expenses and other current assets</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118.9 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135.1 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current assets</w:t>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1,340.3 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1,266.0 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Property and equipment, net</w:t>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257.5 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353.7 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Intangible assets, net</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Goodwill</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41.2 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41.2 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Restricted cash</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47.7 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53.2 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Operating lease right-of-use assets, net</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351.4 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435.0 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Other assets</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assets</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2,064.8 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2,185.2 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8"/>
              </w:rPr>
            </w:pPr>
            <w:r>
              <w:rPr>
                <w:rFonts w:ascii="Roboto;sans-serif" w:hAnsi="Roboto;sans-serif"/>
                <w:b/>
                <w:color w:val="000000"/>
                <w:sz w:val="18"/>
              </w:rPr>
              <w:t>LIABILITIES AND STOCKHOLDERS’ DEFICIT</w:t>
            </w:r>
          </w:p>
        </w:tc>
        <w:tc>
          <w:tcPr>
            <w:tcW w:w="12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Current liabilities:</w:t>
            </w:r>
          </w:p>
        </w:tc>
        <w:tc>
          <w:tcPr>
            <w:tcW w:w="1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Accounts payable and accrued expenses</w:t>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375.7 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432.3 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Deferred revenue and customer deposits</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156.4 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163.7 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Current portion of debt</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208.2 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10.0 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Operating lease liabilities, current</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70.5 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75.3 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Other current liabilities</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current liabilities</w:t>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811.7 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685.2 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Convertible senior notes, net of current portion</w:t>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343.3 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540.0 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Term loan, net of current portion</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947.6 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950.1 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Operating lease liabilities, non-current</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422.2 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503.3 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Other non-current liabilities</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31.3 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25.7 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liabilities</w:t>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2,556.2 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2,704.3 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Roboto;sans-serif" w:hAnsi="Roboto;sans-serif"/>
                <w:b w:val="false"/>
                <w:color w:val="000000"/>
                <w:sz w:val="18"/>
              </w:rPr>
            </w:pPr>
            <w:r>
              <w:rPr>
                <w:rFonts w:ascii="Roboto;sans-serif" w:hAnsi="Roboto;sans-serif"/>
                <w:b w:val="false"/>
                <w:color w:val="000000"/>
                <w:sz w:val="18"/>
              </w:rPr>
              <w:t>Commitments and contingencies (Note 8)</w:t>
            </w:r>
          </w:p>
        </w:tc>
        <w:tc>
          <w:tcPr>
            <w:tcW w:w="12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Roboto;sans-serif" w:hAnsi="Roboto;sans-serif"/>
                <w:b w:val="false"/>
                <w:color w:val="000000"/>
                <w:sz w:val="18"/>
              </w:rPr>
            </w:pPr>
            <w:r>
              <w:rPr>
                <w:rFonts w:ascii="Roboto;sans-serif" w:hAnsi="Roboto;sans-serif"/>
                <w:b w:val="false"/>
                <w:color w:val="000000"/>
                <w:sz w:val="18"/>
              </w:rPr>
              <w:t>Stockholders’ deficit</w:t>
            </w:r>
          </w:p>
        </w:tc>
        <w:tc>
          <w:tcPr>
            <w:tcW w:w="12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Common stock, $0.000025 par value; 2,500,000,000 and 2,500,000,000 shares of Class A common stock authorized, 382,310,538 and 358,120,105 shares of Class A common stock issued and outstanding as of March 31, 2025 and June 30, 2024, respectively; 2,500,000,000 and 2,500,000,000 shares of Class B common stock authorized, 15,965,806 and 18,141,608 shares of Class B common stock issued and outstanding as of March 31, 2025 and June 30, 2024, respectively.</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Additional paid-in capital</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5,129.7 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4,948.6 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Accumulated other comprehensive income</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15.9 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Accumulated deficit</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(5,624.2)</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(5,483.7)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stockholders’ deficit</w:t>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(491.3)</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(519.1)</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liabilities and stockholders' deficit</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2,064.8 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2,185.2 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pPr>
      <w:r>
        <w:rPr>
          <w:rFonts w:ascii="Roboto;sans-serif" w:hAnsi="Roboto;sans-serif"/>
          <w:b w:val="false"/>
          <w:i/>
          <w:color w:val="000000"/>
          <w:sz w:val="18"/>
        </w:rPr>
        <w:t>See accompanying notes to these unaudited condensed consolidated financial statements.</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33350"/>
                <wp:effectExtent l="0" t="0" r="0" b="0"/>
                <wp:wrapNone/>
                <wp:docPr id="4" name="Frame4"/>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4</w:t>
                      </w:r>
                    </w:p>
                  </w:txbxContent>
                </v:textbox>
                <w10:wrap type="none"/>
              </v:rect>
            </w:pict>
          </mc:Fallback>
        </mc:AlternateContent>
      </w:r>
    </w:p>
    <w:p>
      <w:pPr>
        <w:pStyle w:val="TextBody"/>
        <w:bidi w:val="0"/>
        <w:spacing w:lineRule="auto" w:line="288" w:before="0" w:after="0"/>
        <w:jc w:val="center"/>
        <w:rPr>
          <w:rFonts w:ascii="Roboto;sans-serif" w:hAnsi="Roboto;sans-serif"/>
          <w:b/>
          <w:color w:val="000000"/>
          <w:sz w:val="20"/>
        </w:rPr>
      </w:pPr>
      <w:r>
        <w:rPr>
          <w:rFonts w:ascii="Roboto;sans-serif" w:hAnsi="Roboto;sans-serif"/>
          <w:b/>
          <w:color w:val="000000"/>
          <w:sz w:val="20"/>
        </w:rPr>
        <w:t>PELOTON INTERACTIVE, INC.</w:t>
      </w:r>
    </w:p>
    <w:p>
      <w:pPr>
        <w:pStyle w:val="TextBody"/>
        <w:bidi w:val="0"/>
        <w:spacing w:lineRule="auto" w:line="288" w:before="0" w:after="0"/>
        <w:jc w:val="center"/>
        <w:rPr>
          <w:rFonts w:ascii="Roboto;sans-serif" w:hAnsi="Roboto;sans-serif"/>
          <w:b/>
          <w:color w:val="000000"/>
          <w:sz w:val="20"/>
        </w:rPr>
      </w:pPr>
      <w:r>
        <w:rPr>
          <w:rFonts w:ascii="Roboto;sans-serif" w:hAnsi="Roboto;sans-serif"/>
          <w:b/>
          <w:color w:val="000000"/>
          <w:sz w:val="20"/>
        </w:rPr>
        <w:t>CONDENSED CONSOLIDATED STATEMENTS OF OPERATIONS AND COMPREHENSIVE LOSS</w:t>
      </w:r>
    </w:p>
    <w:p>
      <w:pPr>
        <w:pStyle w:val="TextBody"/>
        <w:bidi w:val="0"/>
        <w:spacing w:lineRule="auto" w:line="288" w:before="0" w:after="0"/>
        <w:jc w:val="center"/>
        <w:rPr>
          <w:rFonts w:ascii="Roboto;sans-serif" w:hAnsi="Roboto;sans-serif"/>
          <w:b/>
          <w:color w:val="000000"/>
          <w:sz w:val="20"/>
        </w:rPr>
      </w:pPr>
      <w:r>
        <w:rPr>
          <w:rFonts w:ascii="Roboto;sans-serif" w:hAnsi="Roboto;sans-serif"/>
          <w:b/>
          <w:color w:val="000000"/>
          <w:sz w:val="20"/>
        </w:rPr>
        <w:t>(unaudited)</w:t>
      </w:r>
    </w:p>
    <w:p>
      <w:pPr>
        <w:pStyle w:val="TextBody"/>
        <w:bidi w:val="0"/>
        <w:spacing w:lineRule="auto" w:line="288" w:before="0" w:after="0"/>
        <w:jc w:val="center"/>
        <w:rPr>
          <w:rFonts w:ascii="Roboto;sans-serif" w:hAnsi="Roboto;sans-serif"/>
          <w:b/>
          <w:color w:val="000000"/>
          <w:sz w:val="20"/>
        </w:rPr>
      </w:pPr>
      <w:r>
        <w:rPr>
          <w:rFonts w:ascii="Roboto;sans-serif" w:hAnsi="Roboto;sans-serif"/>
          <w:b/>
          <w:color w:val="000000"/>
          <w:sz w:val="20"/>
        </w:rPr>
        <w:t>(in millions, except share and per share amounts)</w:t>
      </w:r>
    </w:p>
    <w:tbl>
      <w:tblPr>
        <w:tblW w:w="10205" w:type="dxa"/>
        <w:jc w:val="left"/>
        <w:tblInd w:w="0" w:type="dxa"/>
        <w:tblLayout w:type="fixed"/>
        <w:tblCellMar>
          <w:top w:w="28" w:type="dxa"/>
          <w:left w:w="28" w:type="dxa"/>
          <w:bottom w:w="28" w:type="dxa"/>
          <w:right w:w="28" w:type="dxa"/>
        </w:tblCellMar>
      </w:tblPr>
      <w:tblGrid>
        <w:gridCol w:w="1606"/>
        <w:gridCol w:w="804"/>
        <w:gridCol w:w="806"/>
        <w:gridCol w:w="331"/>
        <w:gridCol w:w="1035"/>
        <w:gridCol w:w="115"/>
        <w:gridCol w:w="115"/>
        <w:gridCol w:w="115"/>
        <w:gridCol w:w="115"/>
        <w:gridCol w:w="325"/>
        <w:gridCol w:w="1042"/>
        <w:gridCol w:w="115"/>
        <w:gridCol w:w="109"/>
        <w:gridCol w:w="109"/>
        <w:gridCol w:w="109"/>
        <w:gridCol w:w="325"/>
        <w:gridCol w:w="1041"/>
        <w:gridCol w:w="113"/>
        <w:gridCol w:w="113"/>
        <w:gridCol w:w="113"/>
        <w:gridCol w:w="113"/>
        <w:gridCol w:w="325"/>
        <w:gridCol w:w="1041"/>
        <w:gridCol w:w="170"/>
      </w:tblGrid>
      <w:tr>
        <w:trPr/>
        <w:tc>
          <w:tcPr>
            <w:tcW w:w="1606"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Nine Months Ended March 31,</w:t>
            </w:r>
          </w:p>
        </w:tc>
      </w:tr>
      <w:tr>
        <w:trPr/>
        <w:tc>
          <w:tcPr>
            <w:tcW w:w="3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r>
      <w:tr>
        <w:trPr/>
        <w:tc>
          <w:tcPr>
            <w:tcW w:w="3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 xml:space="preserve">Revenue: </w:t>
            </w:r>
          </w:p>
        </w:tc>
        <w:tc>
          <w:tcPr>
            <w:tcW w:w="14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Roboto;sans-serif" w:hAnsi="Roboto;sans-serif"/>
                <w:b w:val="false"/>
                <w:color w:val="000000"/>
                <w:sz w:val="18"/>
              </w:rPr>
            </w:pPr>
            <w:r>
              <w:rPr>
                <w:rFonts w:ascii="Roboto;sans-serif" w:hAnsi="Roboto;sans-serif"/>
                <w:b w:val="false"/>
                <w:color w:val="000000"/>
                <w:sz w:val="18"/>
              </w:rPr>
              <w:t xml:space="preserve">Connected Fitness Products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205.5 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279.9 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618.5 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779.6 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Roboto;sans-serif" w:hAnsi="Roboto;sans-serif"/>
                <w:b w:val="false"/>
                <w:color w:val="000000"/>
                <w:sz w:val="18"/>
              </w:rPr>
            </w:pPr>
            <w:r>
              <w:rPr>
                <w:rFonts w:ascii="Roboto;sans-serif" w:hAnsi="Roboto;sans-serif"/>
                <w:b w:val="false"/>
                <w:color w:val="000000"/>
                <w:sz w:val="18"/>
              </w:rPr>
              <w:t xml:space="preserve">Subscription </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418.5 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437.8 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1,265.4 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1,277.3 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6" w:type="dxa"/>
            <w:gridSpan w:val="3"/>
            <w:tcBorders/>
            <w:vAlign w:val="center"/>
          </w:tcPr>
          <w:p>
            <w:pPr>
              <w:pStyle w:val="TableContents"/>
              <w:bidi w:val="0"/>
              <w:spacing w:before="0" w:after="283"/>
              <w:jc w:val="left"/>
              <w:rPr>
                <w:sz w:val="4"/>
                <w:szCs w:val="4"/>
              </w:rPr>
            </w:pPr>
            <w:r>
              <w:rPr>
                <w:sz w:val="4"/>
                <w:szCs w:val="4"/>
              </w:rPr>
            </w:r>
          </w:p>
        </w:tc>
        <w:tc>
          <w:tcPr>
            <w:tcW w:w="148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536" w:type="dxa"/>
            <w:gridSpan w:val="3"/>
            <w:tcBorders/>
            <w:vAlign w:val="center"/>
          </w:tcPr>
          <w:p>
            <w:pPr>
              <w:pStyle w:val="TableContents"/>
              <w:bidi w:val="0"/>
              <w:spacing w:before="0" w:after="283"/>
              <w:jc w:val="left"/>
              <w:rPr>
                <w:sz w:val="4"/>
                <w:szCs w:val="4"/>
              </w:rPr>
            </w:pPr>
            <w:r>
              <w:rPr>
                <w:sz w:val="4"/>
                <w:szCs w:val="4"/>
              </w:rPr>
            </w:r>
          </w:p>
        </w:tc>
      </w:tr>
      <w:tr>
        <w:trPr/>
        <w:tc>
          <w:tcPr>
            <w:tcW w:w="3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Roboto;sans-serif" w:hAnsi="Roboto;sans-serif"/>
                <w:b w:val="false"/>
                <w:color w:val="000000"/>
                <w:sz w:val="18"/>
              </w:rPr>
            </w:pPr>
            <w:r>
              <w:rPr>
                <w:rFonts w:ascii="Roboto;sans-serif" w:hAnsi="Roboto;sans-serif"/>
                <w:b w:val="false"/>
                <w:color w:val="000000"/>
                <w:sz w:val="18"/>
              </w:rPr>
              <w:t>Total revenue</w:t>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624.0 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717.7 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1,883.9 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2,056.9 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 xml:space="preserve">Cost of revenue: </w:t>
            </w:r>
          </w:p>
        </w:tc>
        <w:tc>
          <w:tcPr>
            <w:tcW w:w="14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Roboto;sans-serif" w:hAnsi="Roboto;sans-serif"/>
                <w:b w:val="false"/>
                <w:color w:val="000000"/>
                <w:sz w:val="18"/>
              </w:rPr>
            </w:pPr>
            <w:r>
              <w:rPr>
                <w:rFonts w:ascii="Roboto;sans-serif" w:hAnsi="Roboto;sans-serif"/>
                <w:b w:val="false"/>
                <w:color w:val="000000"/>
                <w:sz w:val="18"/>
              </w:rPr>
              <w:t xml:space="preserve">Connected Fitness Products </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176.2 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268.3 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541.7 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748.5 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Roboto;sans-serif" w:hAnsi="Roboto;sans-serif"/>
                <w:b w:val="false"/>
                <w:color w:val="000000"/>
                <w:sz w:val="18"/>
              </w:rPr>
            </w:pPr>
            <w:r>
              <w:rPr>
                <w:rFonts w:ascii="Roboto;sans-serif" w:hAnsi="Roboto;sans-serif"/>
                <w:b w:val="false"/>
                <w:color w:val="000000"/>
                <w:sz w:val="18"/>
              </w:rPr>
              <w:t xml:space="preserve">Subscription </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129.8 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139.8 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402.0 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414.0 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6" w:type="dxa"/>
            <w:gridSpan w:val="3"/>
            <w:tcBorders/>
            <w:vAlign w:val="center"/>
          </w:tcPr>
          <w:p>
            <w:pPr>
              <w:pStyle w:val="TableContents"/>
              <w:bidi w:val="0"/>
              <w:spacing w:before="0" w:after="283"/>
              <w:jc w:val="left"/>
              <w:rPr>
                <w:sz w:val="4"/>
                <w:szCs w:val="4"/>
              </w:rPr>
            </w:pPr>
            <w:r>
              <w:rPr>
                <w:sz w:val="4"/>
                <w:szCs w:val="4"/>
              </w:rPr>
            </w:r>
          </w:p>
        </w:tc>
        <w:tc>
          <w:tcPr>
            <w:tcW w:w="148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536" w:type="dxa"/>
            <w:gridSpan w:val="3"/>
            <w:tcBorders/>
            <w:vAlign w:val="center"/>
          </w:tcPr>
          <w:p>
            <w:pPr>
              <w:pStyle w:val="TableContents"/>
              <w:bidi w:val="0"/>
              <w:spacing w:before="0" w:after="283"/>
              <w:jc w:val="left"/>
              <w:rPr>
                <w:sz w:val="4"/>
                <w:szCs w:val="4"/>
              </w:rPr>
            </w:pPr>
            <w:r>
              <w:rPr>
                <w:sz w:val="4"/>
                <w:szCs w:val="4"/>
              </w:rPr>
            </w:r>
          </w:p>
        </w:tc>
      </w:tr>
      <w:tr>
        <w:trPr/>
        <w:tc>
          <w:tcPr>
            <w:tcW w:w="3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Roboto;sans-serif" w:hAnsi="Roboto;sans-serif"/>
                <w:b w:val="false"/>
                <w:color w:val="000000"/>
                <w:sz w:val="18"/>
              </w:rPr>
            </w:pPr>
            <w:r>
              <w:rPr>
                <w:rFonts w:ascii="Roboto;sans-serif" w:hAnsi="Roboto;sans-serif"/>
                <w:b w:val="false"/>
                <w:color w:val="000000"/>
                <w:sz w:val="18"/>
              </w:rPr>
              <w:t>Total cost of revenue</w:t>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306.0 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408.0 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943.7 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1,162.4 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 xml:space="preserve">Gross profit </w:t>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318.1 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309.7 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940.2 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894.5 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Roboto;sans-serif" w:hAnsi="Roboto;sans-serif"/>
                <w:b w:val="false"/>
                <w:color w:val="000000"/>
                <w:sz w:val="18"/>
              </w:rPr>
            </w:pPr>
            <w:r>
              <w:rPr>
                <w:rFonts w:ascii="Roboto;sans-serif" w:hAnsi="Roboto;sans-serif"/>
                <w:b w:val="false"/>
                <w:color w:val="000000"/>
                <w:sz w:val="18"/>
              </w:rPr>
              <w:t>Operating expenses:</w:t>
            </w:r>
          </w:p>
        </w:tc>
        <w:tc>
          <w:tcPr>
            <w:tcW w:w="1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Roboto;sans-serif" w:hAnsi="Roboto;sans-serif"/>
                <w:b w:val="false"/>
                <w:color w:val="000000"/>
                <w:sz w:val="18"/>
              </w:rPr>
            </w:pPr>
            <w:r>
              <w:rPr>
                <w:rFonts w:ascii="Roboto;sans-serif" w:hAnsi="Roboto;sans-serif"/>
                <w:b w:val="false"/>
                <w:color w:val="000000"/>
                <w:sz w:val="18"/>
              </w:rPr>
              <w:t xml:space="preserve">Sales and marketing </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106.5 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170.3 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341.1 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546.7 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Roboto;sans-serif" w:hAnsi="Roboto;sans-serif"/>
                <w:b w:val="false"/>
                <w:color w:val="000000"/>
                <w:sz w:val="18"/>
              </w:rPr>
            </w:pPr>
            <w:r>
              <w:rPr>
                <w:rFonts w:ascii="Roboto;sans-serif" w:hAnsi="Roboto;sans-serif"/>
                <w:b w:val="false"/>
                <w:color w:val="000000"/>
                <w:sz w:val="18"/>
              </w:rPr>
              <w:t xml:space="preserve">General and administrative </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151.4 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153.0 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402.2 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464.9 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Roboto;sans-serif" w:hAnsi="Roboto;sans-serif"/>
                <w:b w:val="false"/>
                <w:color w:val="000000"/>
                <w:sz w:val="18"/>
              </w:rPr>
            </w:pPr>
            <w:r>
              <w:rPr>
                <w:rFonts w:ascii="Roboto;sans-serif" w:hAnsi="Roboto;sans-serif"/>
                <w:b w:val="false"/>
                <w:color w:val="000000"/>
                <w:sz w:val="18"/>
              </w:rPr>
              <w:t xml:space="preserve">Research and development </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59.6 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76.8 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178.4 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235.4 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6" w:type="dxa"/>
            <w:gridSpan w:val="3"/>
            <w:tcBorders/>
            <w:vAlign w:val="center"/>
          </w:tcPr>
          <w:p>
            <w:pPr>
              <w:pStyle w:val="TableContents"/>
              <w:bidi w:val="0"/>
              <w:spacing w:before="0" w:after="283"/>
              <w:jc w:val="left"/>
              <w:rPr>
                <w:sz w:val="4"/>
                <w:szCs w:val="4"/>
              </w:rPr>
            </w:pPr>
            <w:r>
              <w:rPr>
                <w:sz w:val="4"/>
                <w:szCs w:val="4"/>
              </w:rPr>
            </w:r>
          </w:p>
        </w:tc>
        <w:tc>
          <w:tcPr>
            <w:tcW w:w="148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536" w:type="dxa"/>
            <w:gridSpan w:val="3"/>
            <w:tcBorders/>
            <w:vAlign w:val="center"/>
          </w:tcPr>
          <w:p>
            <w:pPr>
              <w:pStyle w:val="TableContents"/>
              <w:bidi w:val="0"/>
              <w:spacing w:before="0" w:after="283"/>
              <w:jc w:val="left"/>
              <w:rPr>
                <w:sz w:val="4"/>
                <w:szCs w:val="4"/>
              </w:rPr>
            </w:pPr>
            <w:r>
              <w:rPr>
                <w:sz w:val="4"/>
                <w:szCs w:val="4"/>
              </w:rPr>
            </w:r>
          </w:p>
        </w:tc>
      </w:tr>
      <w:tr>
        <w:trPr/>
        <w:tc>
          <w:tcPr>
            <w:tcW w:w="3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 xml:space="preserve">Impairment expense </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30.7 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52.3 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46.7 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Restructuring expense</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37.6 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68.8 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Supplier settlements</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(0.9)</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(2.4)</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25"/>
              <w:jc w:val="left"/>
              <w:rPr>
                <w:rFonts w:ascii="Roboto;sans-serif" w:hAnsi="Roboto;sans-serif"/>
                <w:b w:val="false"/>
                <w:color w:val="000000"/>
                <w:sz w:val="18"/>
              </w:rPr>
            </w:pPr>
            <w:r>
              <w:rPr>
                <w:rFonts w:ascii="Roboto;sans-serif" w:hAnsi="Roboto;sans-serif"/>
                <w:b w:val="false"/>
                <w:color w:val="000000"/>
                <w:sz w:val="18"/>
              </w:rPr>
              <w:t xml:space="preserve">Total operating expenses </w:t>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350.5 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455.9 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1,006.0 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1,360.1 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Roboto;sans-serif" w:hAnsi="Roboto;sans-serif"/>
                <w:b w:val="false"/>
                <w:color w:val="000000"/>
                <w:sz w:val="18"/>
              </w:rPr>
            </w:pPr>
            <w:r>
              <w:rPr>
                <w:rFonts w:ascii="Roboto;sans-serif" w:hAnsi="Roboto;sans-serif"/>
                <w:b w:val="false"/>
                <w:color w:val="000000"/>
                <w:sz w:val="18"/>
              </w:rPr>
              <w:t xml:space="preserve">Loss from operations </w:t>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(32.4)</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(146.2)</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(65.8)</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(465.7)</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Other expense, net:</w:t>
            </w:r>
          </w:p>
        </w:tc>
        <w:tc>
          <w:tcPr>
            <w:tcW w:w="1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Interest expense</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(32.6)</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(27.7)</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(102.6)</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(82.6)</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Roboto;sans-serif" w:hAnsi="Roboto;sans-serif"/>
                <w:b w:val="false"/>
                <w:color w:val="000000"/>
                <w:sz w:val="18"/>
              </w:rPr>
            </w:pPr>
            <w:r>
              <w:rPr>
                <w:rFonts w:ascii="Roboto;sans-serif" w:hAnsi="Roboto;sans-serif"/>
                <w:b w:val="false"/>
                <w:color w:val="000000"/>
                <w:sz w:val="18"/>
              </w:rPr>
              <w:t>Interest income</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26.2 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Foreign exchange gain (loss)</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(0.2)</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Roboto;sans-serif" w:hAnsi="Roboto;sans-serif"/>
                <w:b w:val="false"/>
                <w:color w:val="000000"/>
                <w:sz w:val="18"/>
              </w:rPr>
            </w:pPr>
            <w:r>
              <w:rPr>
                <w:rFonts w:ascii="Roboto;sans-serif" w:hAnsi="Roboto;sans-serif"/>
                <w:b w:val="false"/>
                <w:color w:val="000000"/>
                <w:sz w:val="18"/>
              </w:rPr>
              <w:t xml:space="preserve">Other (expense) income, net </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(0.1)</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0.5 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other expense, net</w:t>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(14.5)</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(20.4)</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(72.3)</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(56.1)</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 xml:space="preserve">Loss before provision for income taxes </w:t>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(46.9)</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(166.7)</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(138.2)</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(521.8)</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Income tax expense (benefit)</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(0.3)</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Net loss</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(47.7)</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(167.3)</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(140.5)</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(521.4)</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Net loss attributable to Class A and Class B common stockholders</w:t>
            </w:r>
          </w:p>
        </w:tc>
        <w:tc>
          <w:tcPr>
            <w:tcW w:w="33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3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(47.7)</w:t>
            </w:r>
          </w:p>
        </w:tc>
        <w:tc>
          <w:tcPr>
            <w:tcW w:w="11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4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(167.3)</w:t>
            </w:r>
          </w:p>
        </w:tc>
        <w:tc>
          <w:tcPr>
            <w:tcW w:w="11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(140.5)</w:t>
            </w:r>
          </w:p>
        </w:tc>
        <w:tc>
          <w:tcPr>
            <w:tcW w:w="11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(521.4)</w:t>
            </w:r>
          </w:p>
        </w:tc>
        <w:tc>
          <w:tcPr>
            <w:tcW w:w="17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Net loss per share attributable to common stockholders, basic and diluted</w:t>
            </w:r>
          </w:p>
        </w:tc>
        <w:tc>
          <w:tcPr>
            <w:tcW w:w="33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3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(0.12)</w:t>
            </w:r>
          </w:p>
        </w:tc>
        <w:tc>
          <w:tcPr>
            <w:tcW w:w="11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4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(0.45)</w:t>
            </w:r>
          </w:p>
        </w:tc>
        <w:tc>
          <w:tcPr>
            <w:tcW w:w="11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(0.36)</w:t>
            </w:r>
          </w:p>
        </w:tc>
        <w:tc>
          <w:tcPr>
            <w:tcW w:w="11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(1.44)</w:t>
            </w:r>
          </w:p>
        </w:tc>
        <w:tc>
          <w:tcPr>
            <w:tcW w:w="17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6" w:type="dxa"/>
            <w:gridSpan w:val="3"/>
            <w:tcBorders/>
            <w:vAlign w:val="center"/>
          </w:tcPr>
          <w:p>
            <w:pPr>
              <w:pStyle w:val="TableContents"/>
              <w:bidi w:val="0"/>
              <w:spacing w:before="0" w:after="283"/>
              <w:jc w:val="left"/>
              <w:rPr>
                <w:sz w:val="4"/>
                <w:szCs w:val="4"/>
              </w:rPr>
            </w:pPr>
            <w:r>
              <w:rPr>
                <w:sz w:val="4"/>
                <w:szCs w:val="4"/>
              </w:rPr>
            </w:r>
          </w:p>
        </w:tc>
        <w:tc>
          <w:tcPr>
            <w:tcW w:w="148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536" w:type="dxa"/>
            <w:gridSpan w:val="3"/>
            <w:tcBorders/>
            <w:vAlign w:val="center"/>
          </w:tcPr>
          <w:p>
            <w:pPr>
              <w:pStyle w:val="TableContents"/>
              <w:bidi w:val="0"/>
              <w:spacing w:before="0" w:after="283"/>
              <w:jc w:val="left"/>
              <w:rPr>
                <w:sz w:val="4"/>
                <w:szCs w:val="4"/>
              </w:rPr>
            </w:pPr>
            <w:r>
              <w:rPr>
                <w:sz w:val="4"/>
                <w:szCs w:val="4"/>
              </w:rPr>
            </w:r>
          </w:p>
        </w:tc>
      </w:tr>
      <w:tr>
        <w:trPr/>
        <w:tc>
          <w:tcPr>
            <w:tcW w:w="3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Weighted-average of shares of Class A and Class B common stock outstanding, basic and diluted</w:t>
            </w:r>
          </w:p>
        </w:tc>
        <w:tc>
          <w:tcPr>
            <w:tcW w:w="136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394,010,264 </w:t>
            </w:r>
          </w:p>
        </w:tc>
        <w:tc>
          <w:tcPr>
            <w:tcW w:w="11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367,931,183 </w:t>
            </w:r>
          </w:p>
        </w:tc>
        <w:tc>
          <w:tcPr>
            <w:tcW w:w="11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385,954,344 </w:t>
            </w:r>
          </w:p>
        </w:tc>
        <w:tc>
          <w:tcPr>
            <w:tcW w:w="11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362,910,381 </w:t>
            </w:r>
          </w:p>
        </w:tc>
        <w:tc>
          <w:tcPr>
            <w:tcW w:w="17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6" w:type="dxa"/>
            <w:gridSpan w:val="3"/>
            <w:tcBorders/>
            <w:vAlign w:val="center"/>
          </w:tcPr>
          <w:p>
            <w:pPr>
              <w:pStyle w:val="TableContents"/>
              <w:bidi w:val="0"/>
              <w:spacing w:before="0" w:after="283"/>
              <w:jc w:val="left"/>
              <w:rPr>
                <w:sz w:val="4"/>
                <w:szCs w:val="4"/>
              </w:rPr>
            </w:pPr>
            <w:r>
              <w:rPr>
                <w:sz w:val="4"/>
                <w:szCs w:val="4"/>
              </w:rPr>
            </w:r>
          </w:p>
        </w:tc>
        <w:tc>
          <w:tcPr>
            <w:tcW w:w="148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536" w:type="dxa"/>
            <w:gridSpan w:val="3"/>
            <w:tcBorders/>
            <w:vAlign w:val="center"/>
          </w:tcPr>
          <w:p>
            <w:pPr>
              <w:pStyle w:val="TableContents"/>
              <w:bidi w:val="0"/>
              <w:spacing w:before="0" w:after="283"/>
              <w:jc w:val="left"/>
              <w:rPr>
                <w:sz w:val="4"/>
                <w:szCs w:val="4"/>
              </w:rPr>
            </w:pPr>
            <w:r>
              <w:rPr>
                <w:sz w:val="4"/>
                <w:szCs w:val="4"/>
              </w:rPr>
            </w:r>
          </w:p>
        </w:tc>
      </w:tr>
      <w:tr>
        <w:trPr/>
        <w:tc>
          <w:tcPr>
            <w:tcW w:w="3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Other comprehensive (loss) income:</w:t>
            </w:r>
          </w:p>
        </w:tc>
        <w:tc>
          <w:tcPr>
            <w:tcW w:w="14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6" w:type="dxa"/>
            <w:gridSpan w:val="3"/>
            <w:tcBorders/>
            <w:vAlign w:val="center"/>
          </w:tcPr>
          <w:p>
            <w:pPr>
              <w:pStyle w:val="TableContents"/>
              <w:bidi w:val="0"/>
              <w:spacing w:before="0" w:after="283"/>
              <w:jc w:val="left"/>
              <w:rPr>
                <w:sz w:val="4"/>
                <w:szCs w:val="4"/>
              </w:rPr>
            </w:pPr>
            <w:r>
              <w:rPr>
                <w:sz w:val="4"/>
                <w:szCs w:val="4"/>
              </w:rPr>
            </w:r>
          </w:p>
        </w:tc>
        <w:tc>
          <w:tcPr>
            <w:tcW w:w="148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536" w:type="dxa"/>
            <w:gridSpan w:val="3"/>
            <w:tcBorders/>
            <w:vAlign w:val="center"/>
          </w:tcPr>
          <w:p>
            <w:pPr>
              <w:pStyle w:val="TableContents"/>
              <w:bidi w:val="0"/>
              <w:spacing w:before="0" w:after="283"/>
              <w:jc w:val="left"/>
              <w:rPr>
                <w:sz w:val="4"/>
                <w:szCs w:val="4"/>
              </w:rPr>
            </w:pPr>
            <w:r>
              <w:rPr>
                <w:sz w:val="4"/>
                <w:szCs w:val="4"/>
              </w:rPr>
            </w:r>
          </w:p>
        </w:tc>
      </w:tr>
      <w:tr>
        <w:trPr/>
        <w:tc>
          <w:tcPr>
            <w:tcW w:w="3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Change in foreign currency translation adjustment</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(15.8)</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(12.7)</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6" w:type="dxa"/>
            <w:gridSpan w:val="3"/>
            <w:tcBorders/>
            <w:vAlign w:val="center"/>
          </w:tcPr>
          <w:p>
            <w:pPr>
              <w:pStyle w:val="TableContents"/>
              <w:bidi w:val="0"/>
              <w:spacing w:before="0" w:after="283"/>
              <w:jc w:val="left"/>
              <w:rPr>
                <w:sz w:val="4"/>
                <w:szCs w:val="4"/>
              </w:rPr>
            </w:pPr>
            <w:r>
              <w:rPr>
                <w:sz w:val="4"/>
                <w:szCs w:val="4"/>
              </w:rPr>
            </w:r>
          </w:p>
        </w:tc>
        <w:tc>
          <w:tcPr>
            <w:tcW w:w="148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536" w:type="dxa"/>
            <w:gridSpan w:val="3"/>
            <w:tcBorders/>
            <w:vAlign w:val="center"/>
          </w:tcPr>
          <w:p>
            <w:pPr>
              <w:pStyle w:val="TableContents"/>
              <w:bidi w:val="0"/>
              <w:spacing w:before="0" w:after="283"/>
              <w:jc w:val="left"/>
              <w:rPr>
                <w:sz w:val="4"/>
                <w:szCs w:val="4"/>
              </w:rPr>
            </w:pPr>
            <w:r>
              <w:rPr>
                <w:sz w:val="4"/>
                <w:szCs w:val="4"/>
              </w:rPr>
            </w:r>
          </w:p>
        </w:tc>
      </w:tr>
      <w:tr>
        <w:trPr/>
        <w:tc>
          <w:tcPr>
            <w:tcW w:w="3216" w:type="dxa"/>
            <w:gridSpan w:val="3"/>
            <w:tcBorders/>
            <w:vAlign w:val="center"/>
          </w:tcPr>
          <w:p>
            <w:pPr>
              <w:pStyle w:val="TableContents"/>
              <w:bidi w:val="0"/>
              <w:spacing w:before="0" w:after="283"/>
              <w:jc w:val="left"/>
              <w:rPr>
                <w:sz w:val="4"/>
                <w:szCs w:val="4"/>
              </w:rPr>
            </w:pPr>
            <w:r>
              <w:rPr>
                <w:sz w:val="4"/>
                <w:szCs w:val="4"/>
              </w:rPr>
            </w:r>
          </w:p>
        </w:tc>
        <w:tc>
          <w:tcPr>
            <w:tcW w:w="148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536" w:type="dxa"/>
            <w:gridSpan w:val="3"/>
            <w:tcBorders/>
            <w:vAlign w:val="center"/>
          </w:tcPr>
          <w:p>
            <w:pPr>
              <w:pStyle w:val="TableContents"/>
              <w:bidi w:val="0"/>
              <w:spacing w:before="0" w:after="283"/>
              <w:jc w:val="left"/>
              <w:rPr>
                <w:sz w:val="4"/>
                <w:szCs w:val="4"/>
              </w:rPr>
            </w:pPr>
            <w:r>
              <w:rPr>
                <w:sz w:val="4"/>
                <w:szCs w:val="4"/>
              </w:rPr>
            </w:r>
          </w:p>
        </w:tc>
      </w:tr>
      <w:tr>
        <w:trPr/>
        <w:tc>
          <w:tcPr>
            <w:tcW w:w="3216" w:type="dxa"/>
            <w:gridSpan w:val="3"/>
            <w:tcBorders/>
            <w:vAlign w:val="center"/>
          </w:tcPr>
          <w:p>
            <w:pPr>
              <w:pStyle w:val="TableContents"/>
              <w:bidi w:val="0"/>
              <w:spacing w:before="0" w:after="283"/>
              <w:jc w:val="left"/>
              <w:rPr>
                <w:sz w:val="4"/>
                <w:szCs w:val="4"/>
              </w:rPr>
            </w:pPr>
            <w:r>
              <w:rPr>
                <w:sz w:val="4"/>
                <w:szCs w:val="4"/>
              </w:rPr>
            </w:r>
          </w:p>
        </w:tc>
        <w:tc>
          <w:tcPr>
            <w:tcW w:w="148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536" w:type="dxa"/>
            <w:gridSpan w:val="3"/>
            <w:tcBorders/>
            <w:vAlign w:val="center"/>
          </w:tcPr>
          <w:p>
            <w:pPr>
              <w:pStyle w:val="TableContents"/>
              <w:bidi w:val="0"/>
              <w:spacing w:before="0" w:after="283"/>
              <w:jc w:val="left"/>
              <w:rPr>
                <w:sz w:val="4"/>
                <w:szCs w:val="4"/>
              </w:rPr>
            </w:pPr>
            <w:r>
              <w:rPr>
                <w:sz w:val="4"/>
                <w:szCs w:val="4"/>
              </w:rPr>
            </w:r>
          </w:p>
        </w:tc>
      </w:tr>
      <w:tr>
        <w:trPr/>
        <w:tc>
          <w:tcPr>
            <w:tcW w:w="3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other comprehensive (loss) income</w:t>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(15.8)</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(12.7)</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0.6 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Comprehensive loss</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(63.5)</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(169.4)</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(153.2)</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(520.9)</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Roboto;sans-serif" w:hAnsi="Roboto;sans-serif"/>
          <w:b w:val="false"/>
          <w:i/>
          <w:color w:val="000000"/>
          <w:sz w:val="18"/>
        </w:rPr>
      </w:pPr>
      <w:r>
        <w:rPr>
          <w:rFonts w:ascii="Roboto;sans-serif" w:hAnsi="Roboto;sans-serif"/>
          <w:b w:val="false"/>
          <w:i/>
          <w:color w:val="000000"/>
          <w:sz w:val="18"/>
        </w:rPr>
        <w:t>See accompanying notes to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33350"/>
                <wp:effectExtent l="0" t="0" r="0" b="0"/>
                <wp:wrapNone/>
                <wp:docPr id="5" name="Frame5"/>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5</w:t>
                      </w:r>
                    </w:p>
                  </w:txbxContent>
                </v:textbox>
                <w10:wrap type="none"/>
              </v:rect>
            </w:pict>
          </mc:Fallback>
        </mc:AlternateContent>
      </w:r>
    </w:p>
    <w:p>
      <w:pPr>
        <w:pStyle w:val="TextBody"/>
        <w:bidi w:val="0"/>
        <w:spacing w:lineRule="auto" w:line="288" w:before="0" w:after="0"/>
        <w:jc w:val="center"/>
        <w:rPr>
          <w:rFonts w:ascii="Roboto;sans-serif" w:hAnsi="Roboto;sans-serif"/>
          <w:b/>
          <w:color w:val="000000"/>
          <w:sz w:val="20"/>
        </w:rPr>
      </w:pPr>
      <w:r>
        <w:rPr>
          <w:rFonts w:ascii="Roboto;sans-serif" w:hAnsi="Roboto;sans-serif"/>
          <w:b/>
          <w:color w:val="000000"/>
          <w:sz w:val="20"/>
        </w:rPr>
        <w:t>PELOTON INTERACTIVE, INC.</w:t>
      </w:r>
    </w:p>
    <w:p>
      <w:pPr>
        <w:pStyle w:val="TextBody"/>
        <w:bidi w:val="0"/>
        <w:spacing w:lineRule="auto" w:line="288" w:before="0" w:after="0"/>
        <w:jc w:val="center"/>
        <w:rPr>
          <w:rFonts w:ascii="Roboto;sans-serif" w:hAnsi="Roboto;sans-serif"/>
          <w:b/>
          <w:color w:val="000000"/>
          <w:sz w:val="20"/>
        </w:rPr>
      </w:pPr>
      <w:r>
        <w:rPr>
          <w:rFonts w:ascii="Roboto;sans-serif" w:hAnsi="Roboto;sans-serif"/>
          <w:b/>
          <w:color w:val="000000"/>
          <w:sz w:val="20"/>
        </w:rPr>
        <w:t>CONDENSED CONSOLIDATED STATEMENTS OF CASH FLOWS</w:t>
      </w:r>
    </w:p>
    <w:p>
      <w:pPr>
        <w:pStyle w:val="TextBody"/>
        <w:bidi w:val="0"/>
        <w:spacing w:lineRule="auto" w:line="288" w:before="0" w:after="0"/>
        <w:jc w:val="center"/>
        <w:rPr>
          <w:rFonts w:ascii="Roboto;sans-serif" w:hAnsi="Roboto;sans-serif"/>
          <w:b/>
          <w:color w:val="000000"/>
          <w:sz w:val="20"/>
        </w:rPr>
      </w:pPr>
      <w:r>
        <w:rPr>
          <w:rFonts w:ascii="Roboto;sans-serif" w:hAnsi="Roboto;sans-serif"/>
          <w:b/>
          <w:color w:val="000000"/>
          <w:sz w:val="20"/>
        </w:rPr>
        <w:t>(unaudited)</w:t>
      </w:r>
    </w:p>
    <w:p>
      <w:pPr>
        <w:pStyle w:val="TextBody"/>
        <w:bidi w:val="0"/>
        <w:spacing w:lineRule="auto" w:line="288" w:before="0" w:after="0"/>
        <w:jc w:val="center"/>
        <w:rPr>
          <w:rFonts w:ascii="Roboto;sans-serif" w:hAnsi="Roboto;sans-serif"/>
          <w:b/>
          <w:color w:val="000000"/>
          <w:sz w:val="20"/>
        </w:rPr>
      </w:pPr>
      <w:r>
        <w:rPr>
          <w:rFonts w:ascii="Roboto;sans-serif" w:hAnsi="Roboto;sans-serif"/>
          <w:b/>
          <w:color w:val="000000"/>
          <w:sz w:val="20"/>
        </w:rPr>
        <w:t>(in millions)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549"/>
        <w:gridCol w:w="2183"/>
        <w:gridCol w:w="2189"/>
        <w:gridCol w:w="284"/>
        <w:gridCol w:w="987"/>
        <w:gridCol w:w="136"/>
        <w:gridCol w:w="136"/>
        <w:gridCol w:w="136"/>
        <w:gridCol w:w="136"/>
        <w:gridCol w:w="284"/>
        <w:gridCol w:w="987"/>
        <w:gridCol w:w="198"/>
      </w:tblGrid>
      <w:tr>
        <w:trPr/>
        <w:tc>
          <w:tcPr>
            <w:tcW w:w="2549"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218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6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20"/>
              </w:rPr>
            </w:pPr>
            <w:r>
              <w:rPr>
                <w:rFonts w:ascii="Roboto;sans-serif" w:hAnsi="Roboto;sans-serif"/>
                <w:b/>
                <w:color w:val="000000"/>
                <w:sz w:val="20"/>
              </w:rPr>
              <w:t>Nine Months Ended March 31,</w:t>
            </w:r>
          </w:p>
        </w:tc>
      </w:tr>
      <w:tr>
        <w:trPr/>
        <w:tc>
          <w:tcPr>
            <w:tcW w:w="6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r>
      <w:tr>
        <w:trPr/>
        <w:tc>
          <w:tcPr>
            <w:tcW w:w="6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Cash Flows from Operating Activities:</w:t>
            </w:r>
          </w:p>
        </w:tc>
        <w:tc>
          <w:tcPr>
            <w:tcW w:w="14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Net loss</w:t>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(140.5)</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(521.4)</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Adjustments to reconcile net loss to net cash provided by (used in) operating activities:</w:t>
            </w:r>
          </w:p>
        </w:tc>
        <w:tc>
          <w:tcPr>
            <w:tcW w:w="14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Depreciation and amortization expense</w:t>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68.8 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83.0 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Stock-based compensation expense</w:t>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176.2 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208.6 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Non-cash operating lease expense</w:t>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41.9 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50.0 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Amortization of debt discount and issuance costs</w:t>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6.8 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10.5 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 xml:space="preserve">Impairment expense </w:t>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52.3 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46.7 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Loss on sale of subsidiary</w:t>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3.8 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r>
      <w:tr>
        <w:trPr/>
        <w:tc>
          <w:tcPr>
            <w:tcW w:w="6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Foreign exchange (gain) loss</w:t>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(6.6)</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0.2 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Changes in operating assets and liabilities:</w:t>
            </w:r>
          </w:p>
        </w:tc>
        <w:tc>
          <w:tcPr>
            <w:tcW w:w="14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Accounts receivable</w:t>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(5.1)</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Inventories</w:t>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125.0 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136.8 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Prepaid expenses and other current assets</w:t>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25.2 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Other assets</w:t>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(0.2)</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Accounts payable and accrued expenses</w:t>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(79.5)</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(40.5)</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Deferred revenue and customer deposits</w:t>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(7.5)</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(4.9)</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Operating lease liabilities, net</w:t>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(64.1)</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(64.5)</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Other liabilities</w:t>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(3.8)</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cash provided by (used in) operating activities</w:t>
            </w:r>
          </w:p>
        </w:tc>
        <w:tc>
          <w:tcPr>
            <w:tcW w:w="12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215.9 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(98.8)</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Cash Flows from Investing Activities:</w:t>
            </w:r>
          </w:p>
        </w:tc>
        <w:tc>
          <w:tcPr>
            <w:tcW w:w="14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r>
      <w:tr>
        <w:trPr/>
        <w:tc>
          <w:tcPr>
            <w:tcW w:w="6921"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r>
      <w:tr>
        <w:trPr/>
        <w:tc>
          <w:tcPr>
            <w:tcW w:w="69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Capital expenditures</w:t>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(4.6)</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(13.0)</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r>
      <w:tr>
        <w:trPr/>
        <w:tc>
          <w:tcPr>
            <w:tcW w:w="6921"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r>
      <w:tr>
        <w:trPr/>
        <w:tc>
          <w:tcPr>
            <w:tcW w:w="6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Proceeds from sale of subsidiary and net assets</w:t>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14.6 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Proceeds from sale of Peloton Output Park</w:t>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31.9 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cash (used in) provided by investing activities</w:t>
            </w:r>
          </w:p>
        </w:tc>
        <w:tc>
          <w:tcPr>
            <w:tcW w:w="12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(0.4)</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33.5 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Cash Flows from Financing Activities:</w:t>
            </w:r>
          </w:p>
        </w:tc>
        <w:tc>
          <w:tcPr>
            <w:tcW w:w="14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r>
      <w:tr>
        <w:trPr/>
        <w:tc>
          <w:tcPr>
            <w:tcW w:w="6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Principal repayment of Term Loan</w:t>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(7.5)</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(5.6)</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r>
      <w:tr>
        <w:trPr/>
        <w:tc>
          <w:tcPr>
            <w:tcW w:w="69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Proceeds, net from employee stock purchase plan withholdings</w:t>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Proceeds from employee stock plans</w:t>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33.1 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Principal repayments of finance leases</w:t>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(0.1)</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(0.5)</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cash provided by financing activities</w:t>
            </w:r>
          </w:p>
        </w:tc>
        <w:tc>
          <w:tcPr>
            <w:tcW w:w="12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29.0 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Effect of exchange rate changes</w:t>
            </w:r>
          </w:p>
        </w:tc>
        <w:tc>
          <w:tcPr>
            <w:tcW w:w="12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(6.5)</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(0.5)</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change in cash, cash equivalents, and restricted cash</w:t>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211.1 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(36.7)</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Cash, cash equivalents, and restricted cash — Beginning of period</w:t>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750.9 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885.5 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Cash, cash equivalents, and restricted cash — End of period</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961.9 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848.7 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Supplemental Disclosures of Cash Flow Information:</w:t>
            </w:r>
          </w:p>
        </w:tc>
        <w:tc>
          <w:tcPr>
            <w:tcW w:w="14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Cash paid for interest</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92.9 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71.8 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Cash paid for income taxes</w:t>
            </w:r>
          </w:p>
        </w:tc>
        <w:tc>
          <w:tcPr>
            <w:tcW w:w="28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8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4.0 </w:t>
            </w:r>
          </w:p>
        </w:tc>
        <w:tc>
          <w:tcPr>
            <w:tcW w:w="13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8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w:t>
            </w:r>
          </w:p>
        </w:tc>
        <w:tc>
          <w:tcPr>
            <w:tcW w:w="19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Supplemental Disclosures of Non-Cash Investing and Financing Information:</w:t>
            </w:r>
          </w:p>
        </w:tc>
        <w:tc>
          <w:tcPr>
            <w:tcW w:w="14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Accrued and unpaid capital expenditures, including software</w:t>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0.7 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2.3 </w:t>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46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Roboto;sans-serif" w:hAnsi="Roboto;sans-serif"/>
          <w:b w:val="false"/>
          <w:i/>
          <w:color w:val="000000"/>
          <w:sz w:val="18"/>
        </w:rPr>
      </w:pPr>
      <w:r>
        <w:rPr>
          <w:rFonts w:ascii="Roboto;sans-serif" w:hAnsi="Roboto;sans-serif"/>
          <w:b w:val="false"/>
          <w:i/>
          <w:color w:val="000000"/>
          <w:sz w:val="18"/>
        </w:rPr>
        <w:t>See accompanying notes to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33350"/>
                <wp:effectExtent l="0" t="0" r="0" b="0"/>
                <wp:wrapNone/>
                <wp:docPr id="6" name="Frame6"/>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6</w:t>
                      </w:r>
                    </w:p>
                  </w:txbxContent>
                </v:textbox>
                <w10:wrap type="none"/>
              </v:rect>
            </w:pict>
          </mc:Fallback>
        </mc:AlternateContent>
      </w:r>
    </w:p>
    <w:p>
      <w:pPr>
        <w:pStyle w:val="TextBody"/>
        <w:bidi w:val="0"/>
        <w:spacing w:lineRule="auto" w:line="288" w:before="0" w:after="0"/>
        <w:jc w:val="center"/>
        <w:rPr>
          <w:rFonts w:ascii="Roboto;sans-serif" w:hAnsi="Roboto;sans-serif"/>
          <w:b/>
          <w:color w:val="000000"/>
          <w:sz w:val="20"/>
        </w:rPr>
      </w:pPr>
      <w:r>
        <w:rPr>
          <w:rFonts w:ascii="Roboto;sans-serif" w:hAnsi="Roboto;sans-serif"/>
          <w:b/>
          <w:color w:val="000000"/>
          <w:sz w:val="20"/>
        </w:rPr>
        <w:t>PELOTON INTERACTIVE, INC.</w:t>
      </w:r>
    </w:p>
    <w:p>
      <w:pPr>
        <w:pStyle w:val="TextBody"/>
        <w:bidi w:val="0"/>
        <w:spacing w:lineRule="auto" w:line="288" w:before="0" w:after="0"/>
        <w:jc w:val="center"/>
        <w:rPr>
          <w:rFonts w:ascii="Roboto;sans-serif" w:hAnsi="Roboto;sans-serif"/>
          <w:b/>
          <w:color w:val="000000"/>
          <w:sz w:val="20"/>
        </w:rPr>
      </w:pPr>
      <w:r>
        <w:rPr>
          <w:rFonts w:ascii="Roboto;sans-serif" w:hAnsi="Roboto;sans-serif"/>
          <w:b/>
          <w:color w:val="000000"/>
          <w:sz w:val="20"/>
        </w:rPr>
        <w:t>CONDENSED CONSOLIDATED STATEMENTS OF STOCKHOLDERS' DEFICIT</w:t>
      </w:r>
    </w:p>
    <w:p>
      <w:pPr>
        <w:pStyle w:val="TextBody"/>
        <w:bidi w:val="0"/>
        <w:spacing w:lineRule="auto" w:line="288" w:before="0" w:after="0"/>
        <w:jc w:val="center"/>
        <w:rPr>
          <w:rFonts w:ascii="Roboto;sans-serif" w:hAnsi="Roboto;sans-serif"/>
          <w:b/>
          <w:color w:val="000000"/>
          <w:sz w:val="20"/>
        </w:rPr>
      </w:pPr>
      <w:r>
        <w:rPr>
          <w:rFonts w:ascii="Roboto;sans-serif" w:hAnsi="Roboto;sans-serif"/>
          <w:b/>
          <w:color w:val="000000"/>
          <w:sz w:val="20"/>
        </w:rPr>
        <w:t>(unaudited)</w:t>
      </w:r>
    </w:p>
    <w:p>
      <w:pPr>
        <w:pStyle w:val="TextBody"/>
        <w:bidi w:val="0"/>
        <w:spacing w:lineRule="auto" w:line="288" w:before="0" w:after="0"/>
        <w:jc w:val="center"/>
        <w:rPr>
          <w:rFonts w:ascii="Roboto;sans-serif" w:hAnsi="Roboto;sans-serif"/>
          <w:b/>
          <w:color w:val="000000"/>
          <w:sz w:val="20"/>
        </w:rPr>
      </w:pPr>
      <w:r>
        <w:rPr>
          <w:rFonts w:ascii="Roboto;sans-serif" w:hAnsi="Roboto;sans-serif"/>
          <w:b/>
          <w:color w:val="000000"/>
          <w:sz w:val="20"/>
        </w:rPr>
        <w:t>(in millions)</w:t>
      </w:r>
    </w:p>
    <w:tbl>
      <w:tblPr>
        <w:tblW w:w="11085" w:type="dxa"/>
        <w:jc w:val="center"/>
        <w:tblInd w:w="0" w:type="dxa"/>
        <w:tblLayout w:type="fixed"/>
        <w:tblCellMar>
          <w:top w:w="28" w:type="dxa"/>
          <w:left w:w="28" w:type="dxa"/>
          <w:bottom w:w="28" w:type="dxa"/>
          <w:right w:w="28" w:type="dxa"/>
        </w:tblCellMar>
      </w:tblPr>
      <w:tblGrid>
        <w:gridCol w:w="604"/>
        <w:gridCol w:w="530"/>
        <w:gridCol w:w="532"/>
        <w:gridCol w:w="353"/>
        <w:gridCol w:w="353"/>
        <w:gridCol w:w="243"/>
        <w:gridCol w:w="109"/>
        <w:gridCol w:w="109"/>
        <w:gridCol w:w="109"/>
        <w:gridCol w:w="401"/>
        <w:gridCol w:w="406"/>
        <w:gridCol w:w="109"/>
        <w:gridCol w:w="109"/>
        <w:gridCol w:w="109"/>
        <w:gridCol w:w="109"/>
        <w:gridCol w:w="226"/>
        <w:gridCol w:w="886"/>
        <w:gridCol w:w="109"/>
        <w:gridCol w:w="109"/>
        <w:gridCol w:w="109"/>
        <w:gridCol w:w="109"/>
        <w:gridCol w:w="416"/>
        <w:gridCol w:w="1079"/>
        <w:gridCol w:w="201"/>
        <w:gridCol w:w="109"/>
        <w:gridCol w:w="109"/>
        <w:gridCol w:w="109"/>
        <w:gridCol w:w="263"/>
        <w:gridCol w:w="1050"/>
        <w:gridCol w:w="128"/>
        <w:gridCol w:w="109"/>
        <w:gridCol w:w="109"/>
        <w:gridCol w:w="109"/>
        <w:gridCol w:w="320"/>
        <w:gridCol w:w="1022"/>
        <w:gridCol w:w="219"/>
      </w:tblGrid>
      <w:tr>
        <w:trPr/>
        <w:tc>
          <w:tcPr>
            <w:tcW w:w="604"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Class A and Class B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Additional Paid-In 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Accumulated Other Comprehensive Income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Accumulated 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Total Stockholders’ Deficit</w:t>
            </w:r>
          </w:p>
        </w:tc>
      </w:tr>
      <w:tr>
        <w:trP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6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4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56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color w:val="000000"/>
                <w:sz w:val="18"/>
              </w:rPr>
            </w:pPr>
            <w:r>
              <w:rPr>
                <w:rFonts w:ascii="Roboto;sans-serif" w:hAnsi="Roboto;sans-serif"/>
                <w:b/>
                <w:color w:val="000000"/>
                <w:sz w:val="18"/>
              </w:rPr>
              <w:t>Balance - December 31, 2023</w:t>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364.2 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4,767.1 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19.5 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(5,285.9)</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(499.3)</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Activity related to stock-based compensation</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5.9 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76.1 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Issuance of common stock under employee stock purchase plan</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0.6 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Other comprehensive loss</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loss</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(167.3)</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(167.3)</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color w:val="000000"/>
                <w:sz w:val="18"/>
              </w:rPr>
            </w:pPr>
            <w:r>
              <w:rPr>
                <w:rFonts w:ascii="Roboto;sans-serif" w:hAnsi="Roboto;sans-serif"/>
                <w:b/>
                <w:color w:val="000000"/>
                <w:sz w:val="18"/>
              </w:rPr>
              <w:t>Balance - March 31, 2024</w:t>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370.6 </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4,845.4 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17.4 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(5,453.2)</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(590.4)</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color w:val="000000"/>
                <w:sz w:val="18"/>
              </w:rPr>
            </w:pPr>
            <w:r>
              <w:rPr>
                <w:rFonts w:ascii="Roboto;sans-serif" w:hAnsi="Roboto;sans-serif"/>
                <w:b/>
                <w:color w:val="000000"/>
                <w:sz w:val="18"/>
              </w:rPr>
              <w:t>Balance - December 31, 2024</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389.9 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5,060.3 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19.0 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(5,576.5)</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(497.2)</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Activity related to stock-based compensation, net of withholding taxes</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8.0 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67.4 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Issuance of common stock under employee stock purchase plan</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0.5 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Other comprehensive loss</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(15.8)</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(15.8)</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loss</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(47.7)</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(47.7)</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color w:val="000000"/>
                <w:sz w:val="18"/>
              </w:rPr>
            </w:pPr>
            <w:r>
              <w:rPr>
                <w:rFonts w:ascii="Roboto;sans-serif" w:hAnsi="Roboto;sans-serif"/>
                <w:b/>
                <w:color w:val="000000"/>
                <w:sz w:val="18"/>
              </w:rPr>
              <w:t>Balance - March 31, 2025</w:t>
            </w:r>
          </w:p>
        </w:tc>
        <w:tc>
          <w:tcPr>
            <w:tcW w:w="7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398.3 </w:t>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5,129.7 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3.2 </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(5,624.2)</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(491.3)</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920" w:type="dxa"/>
        <w:jc w:val="center"/>
        <w:tblInd w:w="0" w:type="dxa"/>
        <w:tblLayout w:type="fixed"/>
        <w:tblCellMar>
          <w:top w:w="28" w:type="dxa"/>
          <w:left w:w="28" w:type="dxa"/>
          <w:bottom w:w="28" w:type="dxa"/>
          <w:right w:w="28" w:type="dxa"/>
        </w:tblCellMar>
      </w:tblPr>
      <w:tblGrid>
        <w:gridCol w:w="811"/>
        <w:gridCol w:w="344"/>
        <w:gridCol w:w="346"/>
        <w:gridCol w:w="353"/>
        <w:gridCol w:w="353"/>
        <w:gridCol w:w="243"/>
        <w:gridCol w:w="109"/>
        <w:gridCol w:w="109"/>
        <w:gridCol w:w="109"/>
        <w:gridCol w:w="401"/>
        <w:gridCol w:w="406"/>
        <w:gridCol w:w="109"/>
        <w:gridCol w:w="109"/>
        <w:gridCol w:w="109"/>
        <w:gridCol w:w="109"/>
        <w:gridCol w:w="226"/>
        <w:gridCol w:w="886"/>
        <w:gridCol w:w="109"/>
        <w:gridCol w:w="109"/>
        <w:gridCol w:w="109"/>
        <w:gridCol w:w="109"/>
        <w:gridCol w:w="416"/>
        <w:gridCol w:w="1079"/>
        <w:gridCol w:w="201"/>
        <w:gridCol w:w="109"/>
        <w:gridCol w:w="109"/>
        <w:gridCol w:w="109"/>
        <w:gridCol w:w="263"/>
        <w:gridCol w:w="1050"/>
        <w:gridCol w:w="128"/>
        <w:gridCol w:w="109"/>
        <w:gridCol w:w="109"/>
        <w:gridCol w:w="109"/>
        <w:gridCol w:w="320"/>
        <w:gridCol w:w="1022"/>
        <w:gridCol w:w="219"/>
      </w:tblGrid>
      <w:tr>
        <w:trPr/>
        <w:tc>
          <w:tcPr>
            <w:tcW w:w="81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Class A and Class B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Additional Paid-In 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Accumulated Other Comprehensive Income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Accumulated 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Total Stockholders’ Deficit</w:t>
            </w:r>
          </w:p>
        </w:tc>
      </w:tr>
      <w:tr>
        <w:trPr/>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6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4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56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color w:val="000000"/>
                <w:sz w:val="18"/>
              </w:rPr>
            </w:pPr>
            <w:r>
              <w:rPr>
                <w:rFonts w:ascii="Roboto;sans-serif" w:hAnsi="Roboto;sans-serif"/>
                <w:b/>
                <w:color w:val="000000"/>
                <w:sz w:val="18"/>
              </w:rPr>
              <w:t>Balance - June 30, 2023</w:t>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356.8 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4,619.8 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16.8 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(4,931.8)</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(295.1)</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Activity related to stock-based compensation</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12.9 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221.3 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Issuance of common stock under employee stock purchase plan</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0.9 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4.3 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Other comprehensive income</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0.6 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0.6 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loss</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(521.4)</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(521.4)</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color w:val="000000"/>
                <w:sz w:val="18"/>
              </w:rPr>
            </w:pPr>
            <w:r>
              <w:rPr>
                <w:rFonts w:ascii="Roboto;sans-serif" w:hAnsi="Roboto;sans-serif"/>
                <w:b/>
                <w:color w:val="000000"/>
                <w:sz w:val="18"/>
              </w:rPr>
              <w:t>Balance - March 31, 2024</w:t>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370.6 </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4,845.4 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17.4 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(5,453.2)</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(590.4)</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color w:val="000000"/>
                <w:sz w:val="18"/>
              </w:rPr>
            </w:pPr>
            <w:r>
              <w:rPr>
                <w:rFonts w:ascii="Roboto;sans-serif" w:hAnsi="Roboto;sans-serif"/>
                <w:b/>
                <w:color w:val="000000"/>
                <w:sz w:val="18"/>
              </w:rPr>
              <w:t>Balance - June 30, 2024</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376.3 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4,948.6 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15.9 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(5,483.7)</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(519.1)</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Activity related to stock-based compensation, net of withholding taxes</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21.1 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177.6 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Issuance of common stock under employee stock purchase plan</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0.9 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3.4 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Other comprehensive loss</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(12.7)</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(12.7)</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loss</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(140.5)</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(140.5)</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color w:val="000000"/>
                <w:sz w:val="18"/>
              </w:rPr>
            </w:pPr>
            <w:r>
              <w:rPr>
                <w:rFonts w:ascii="Roboto;sans-serif" w:hAnsi="Roboto;sans-serif"/>
                <w:b/>
                <w:color w:val="000000"/>
                <w:sz w:val="18"/>
              </w:rPr>
              <w:t>Balance - March 31, 2025</w:t>
            </w:r>
          </w:p>
        </w:tc>
        <w:tc>
          <w:tcPr>
            <w:tcW w:w="7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398.3 </w:t>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5,129.7 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3.2 </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(5,624.2)</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(491.3)</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Roboto;sans-serif" w:hAnsi="Roboto;sans-serif"/>
          <w:b w:val="false"/>
          <w:i/>
          <w:color w:val="000000"/>
          <w:sz w:val="18"/>
        </w:rPr>
      </w:pPr>
      <w:r>
        <w:rPr>
          <w:rFonts w:ascii="Roboto;sans-serif" w:hAnsi="Roboto;sans-serif"/>
          <w:b w:val="false"/>
          <w:i/>
          <w:color w:val="000000"/>
          <w:sz w:val="18"/>
        </w:rPr>
        <w:t>See accompanying notes to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33350"/>
                <wp:effectExtent l="0" t="0" r="0" b="0"/>
                <wp:wrapNone/>
                <wp:docPr id="7" name="Frame7"/>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7</w:t>
                      </w:r>
                    </w:p>
                  </w:txbxContent>
                </v:textbox>
                <w10:wrap type="none"/>
              </v:rect>
            </w:pict>
          </mc:Fallback>
        </mc:AlternateContent>
      </w:r>
    </w:p>
    <w:p>
      <w:pPr>
        <w:pStyle w:val="TextBody"/>
        <w:bidi w:val="0"/>
        <w:spacing w:lineRule="auto" w:line="288" w:before="0" w:after="0"/>
        <w:jc w:val="center"/>
        <w:rPr>
          <w:rFonts w:ascii="Roboto;sans-serif" w:hAnsi="Roboto;sans-serif"/>
          <w:b/>
          <w:color w:val="000000"/>
          <w:sz w:val="20"/>
        </w:rPr>
      </w:pPr>
      <w:r>
        <w:rPr>
          <w:rFonts w:ascii="Roboto;sans-serif" w:hAnsi="Roboto;sans-serif"/>
          <w:b/>
          <w:color w:val="000000"/>
          <w:sz w:val="20"/>
        </w:rPr>
        <w:t>PELOTON INTERACTIVE, INC.</w:t>
      </w:r>
    </w:p>
    <w:p>
      <w:pPr>
        <w:pStyle w:val="TextBody"/>
        <w:bidi w:val="0"/>
        <w:spacing w:lineRule="auto" w:line="288" w:before="0" w:after="0"/>
        <w:jc w:val="center"/>
        <w:rPr>
          <w:rFonts w:ascii="Roboto;sans-serif" w:hAnsi="Roboto;sans-serif"/>
          <w:b/>
          <w:color w:val="000000"/>
          <w:sz w:val="20"/>
        </w:rPr>
      </w:pPr>
      <w:r>
        <w:rPr>
          <w:rFonts w:ascii="Roboto;sans-serif" w:hAnsi="Roboto;sans-serif"/>
          <w:b/>
          <w:color w:val="000000"/>
          <w:sz w:val="20"/>
        </w:rPr>
        <w:t>NOTES TO CONDENSED CONSOLIDATED FINANCIAL STATEMENTS</w:t>
      </w:r>
    </w:p>
    <w:p>
      <w:pPr>
        <w:pStyle w:val="TextBody"/>
        <w:bidi w:val="0"/>
        <w:spacing w:lineRule="auto" w:line="288" w:before="0" w:after="0"/>
        <w:jc w:val="center"/>
        <w:rPr>
          <w:rFonts w:ascii="Roboto;sans-serif" w:hAnsi="Roboto;sans-serif"/>
          <w:b/>
          <w:color w:val="000000"/>
          <w:sz w:val="20"/>
        </w:rPr>
      </w:pPr>
      <w:r>
        <w:rPr>
          <w:rFonts w:ascii="Roboto;sans-serif" w:hAnsi="Roboto;sans-serif"/>
          <w:b/>
          <w:color w:val="000000"/>
          <w:sz w:val="20"/>
        </w:rPr>
        <w:t>(unaudited)</w:t>
      </w:r>
    </w:p>
    <w:p>
      <w:pPr>
        <w:pStyle w:val="TextBody"/>
        <w:bidi w:val="0"/>
        <w:spacing w:lineRule="auto" w:line="288" w:before="0" w:after="0"/>
        <w:jc w:val="center"/>
        <w:rPr>
          <w:rFonts w:ascii="Roboto;sans-serif" w:hAnsi="Roboto;sans-serif"/>
          <w:b/>
          <w:color w:val="000000"/>
          <w:sz w:val="20"/>
        </w:rPr>
      </w:pPr>
      <w:r>
        <w:rPr>
          <w:rFonts w:ascii="Roboto;sans-serif" w:hAnsi="Roboto;sans-serif"/>
          <w:b/>
          <w:color w:val="000000"/>
          <w:sz w:val="20"/>
        </w:rPr>
        <w:t>(in millions, except share and per share amounts)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Roboto;sans-serif" w:hAnsi="Roboto;sans-serif"/>
          <w:b/>
          <w:color w:val="000000"/>
          <w:sz w:val="18"/>
        </w:rPr>
      </w:pPr>
      <w:r>
        <w:rPr>
          <w:rFonts w:ascii="Roboto;sans-serif" w:hAnsi="Roboto;sans-serif"/>
          <w:b/>
          <w:color w:val="000000"/>
          <w:sz w:val="18"/>
        </w:rPr>
        <w:t>1. Description of Business and Basis of Presentation</w:t>
      </w:r>
    </w:p>
    <w:p>
      <w:pPr>
        <w:pStyle w:val="TextBody"/>
        <w:bidi w:val="0"/>
        <w:spacing w:lineRule="auto" w:line="417" w:before="0" w:after="0"/>
        <w:jc w:val="left"/>
        <w:rPr>
          <w:rFonts w:ascii="Roboto;sans-serif" w:hAnsi="Roboto;sans-serif"/>
          <w:b/>
          <w:i/>
          <w:color w:val="000000"/>
          <w:sz w:val="18"/>
        </w:rPr>
      </w:pPr>
      <w:r>
        <w:rPr>
          <w:rFonts w:ascii="Roboto;sans-serif" w:hAnsi="Roboto;sans-serif"/>
          <w:b/>
          <w:i/>
          <w:color w:val="000000"/>
          <w:sz w:val="18"/>
        </w:rPr>
        <w:t>Description and Organization</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Peloton Interactive, Inc. (“Peloton” or the “Company”) is a leading global fitness company with a highly engaged community of Members, which the Company defines as any individual who has a Peloton account through a paid Connected Fitness Subscription or a paid App Subscription, inclusive of the Peloton App One and App+ Memberships and the Strength+ App Membership, and completes one or more workouts in the trailing 12 month period. The Company is a category innovator at the nexus of fitness, technology, and media, with a first-of-its-kind subscription platform that seamlessly combines innovative hardware, distinctive software, and exclusive content. Its world-renowned Instructors coach and motivate Members to be the best version of themselves anytime, anywhere.</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The Company’s Connected Fitness Products portfolio includes the Peloton Bike, Bike+, Tread, Tread+, Guide, Row, and various Precor products. Access to the Peloton App is available with an All-Access or Guide Membership for Members who have Connected Fitness Products or through a standalone App Membership with multiple Membership tiers. Access to the Strength+ App is available with an All Access, Guide, or App+ Membership or through a standalone Strength+ subscription. The Company’s revenue is generated primarily from recurring Subscription revenue and the sale of its Connected Fitness Products. The Company defines a “Connected Fitness Subscription” as a person, household, or commercial property, such as a hotel or residential building, who has paid for a subscription to a Connected Fitness Product (a Connected Fitness Subscription with a successful credit card billing or with prepaid subscription credits or waivers).</w:t>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Basis of Presentation and Consolidation</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The accompanying interim condensed consolidated financial statements have been prepared in accordance with accounting principles generally accepted in the United States ("GAAP") and applicable rules and regulations of the U.S. Securities and Exchange Commission ("SEC") regarding interim financial reporting. The condensed consolidated balance sheet as of June 30, 2024, included herein, was derived from the audited financial statements as of that date, but does not include all disclosures including certain notes required by GAAP on an annual reporting basis. Certain information and note disclosures normally included in the financial statements prepared in accordance with GAAP have been condensed or omitted pursuant to such rules and regulations of the SEC. Therefore, these interim condensed consolidated financial statements should be read in conjunction with the consolidated financial statements and notes included in the Company's Annual Report on Form 10-K for the fiscal year ended June 30, 2024 (the "Form 10-K"). However, the Company believes that the disclosures provided herein are adequate to prevent the information presented from being misleading.</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The condensed consolidated financial statements include the accounts of Peloton Interactive, Inc. and its subsidiaries in which the Company has a controlling financial interest. All significant intercompany balances and transactions have been eliminated.</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In the opinion of management, the accompanying unaudited interim condensed consolidated financial statements reflect all normal recurring adjustments necessary to present fairly the financial position, results of operations, cash flows, and the changes in stockholders’ deficit for the interim periods. The results for the three and nine months ended March 31, 2025 are not necessarily indicative of the results to be expected for any subsequent quarter, the fiscal year ending June 30, 2025, or any other period.</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Certain monetary amounts, percentages, and other figures included elsewhere in these financial statements have been subject to rounding adjustments. Accordingly, figures shown as totals in certain tables may not be the arithmetic aggregation of the figures that precede them, and figures expressed as percentages in the text may not total 100% or, as applicable, when aggregated may not be the arithmetic aggregation of the percentages that precede them.</w:t>
      </w:r>
    </w:p>
    <w:p>
      <w:pPr>
        <w:pStyle w:val="TextBody"/>
        <w:bidi w:val="0"/>
        <w:spacing w:lineRule="auto" w:line="288" w:before="0" w:after="240"/>
        <w:jc w:val="both"/>
        <w:rPr/>
      </w:pPr>
      <w:r>
        <w:rPr>
          <w:rFonts w:ascii="Roboto;sans-serif" w:hAnsi="Roboto;sans-serif"/>
          <w:b w:val="false"/>
          <w:color w:val="000000"/>
          <w:sz w:val="18"/>
        </w:rPr>
        <w:t xml:space="preserve">Except as described elsewhere in </w:t>
      </w:r>
      <w:r>
        <w:rPr>
          <w:rFonts w:ascii="Roboto;sans-serif" w:hAnsi="Roboto;sans-serif"/>
          <w:b w:val="false"/>
          <w:i/>
          <w:color w:val="000000"/>
          <w:sz w:val="18"/>
        </w:rPr>
        <w:t>Note 2, Summary of Significant Accounting Policies</w:t>
      </w:r>
      <w:r>
        <w:rPr>
          <w:color w:val="000000"/>
        </w:rPr>
        <w:t xml:space="preserve"> </w:t>
      </w:r>
      <w:r>
        <w:rPr>
          <w:rFonts w:ascii="Roboto;sans-serif" w:hAnsi="Roboto;sans-serif"/>
          <w:b w:val="false"/>
          <w:color w:val="000000"/>
          <w:sz w:val="18"/>
        </w:rPr>
        <w:t xml:space="preserve">in the section titled </w:t>
      </w:r>
      <w:r>
        <w:rPr>
          <w:color w:val="000000"/>
        </w:rPr>
        <w:t>“</w:t>
      </w:r>
      <w:r>
        <w:rPr>
          <w:rFonts w:ascii="Roboto;sans-serif" w:hAnsi="Roboto;sans-serif"/>
          <w:b w:val="false"/>
          <w:i/>
          <w:color w:val="000000"/>
          <w:sz w:val="18"/>
        </w:rPr>
        <w:t>Recently Issued Accounting Pronouncements,”</w:t>
      </w:r>
      <w:r>
        <w:rPr>
          <w:color w:val="000000"/>
        </w:rPr>
        <w:t xml:space="preserve"> </w:t>
      </w:r>
      <w:r>
        <w:rPr>
          <w:rFonts w:ascii="Roboto;sans-serif" w:hAnsi="Roboto;sans-serif"/>
          <w:b w:val="false"/>
          <w:color w:val="000000"/>
          <w:sz w:val="18"/>
        </w:rPr>
        <w:t>there have been no material changes to the Company’s significant accounting policies as described in the Form 10-K.</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33350"/>
                <wp:effectExtent l="0" t="0" r="0" b="0"/>
                <wp:wrapNone/>
                <wp:docPr id="8" name="Frame8"/>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240"/>
        <w:jc w:val="left"/>
        <w:rPr>
          <w:rFonts w:ascii="Roboto;sans-serif" w:hAnsi="Roboto;sans-serif"/>
          <w:b/>
          <w:color w:val="000000"/>
          <w:sz w:val="18"/>
        </w:rPr>
      </w:pPr>
      <w:r>
        <w:rPr>
          <w:rFonts w:ascii="Roboto;sans-serif" w:hAnsi="Roboto;sans-serif"/>
          <w:b/>
          <w:color w:val="000000"/>
          <w:sz w:val="18"/>
        </w:rPr>
        <w:t>2. Summary of Significant Accounting Policies</w:t>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Use of Estimates</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The preparation of these financial statements requires the Company to make estimates and judgments that affect the reported amounts of assets, liabilities, revenue, expenses, and related disclosures. On an ongoing basis, the Company evaluates its estimates, including, among others, those related to revenue related reserves, product recall and corrective action cost, the realizability of inventory, fair value measurements, the incremental borrowing rate associated with lease liabilities, impairment of long-lived and intangible assets, useful lives of long-lived assets, including property and equipment and finite-lived intangible assets, product warranty, goodwill, accounting for income taxes, stock-based compensation expense, standalone selling price and transaction price estimates, the fair values of assets acquired and liabilities assumed in business combinations and asset acquisitions, future restructuring charges, contingent consideration, and commitments and contingencies. Actual results may differ from these estimates.</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There have been no material changes to the Company’s significant accounting policies from its Annual Report on Form 10-K for the fiscal year ended June 30, 2024.</w:t>
      </w:r>
    </w:p>
    <w:p>
      <w:pPr>
        <w:pStyle w:val="TextBody"/>
        <w:bidi w:val="0"/>
        <w:spacing w:before="0" w:after="0"/>
        <w:jc w:val="both"/>
        <w:rPr/>
      </w:pPr>
      <w:r>
        <w:rPr/>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Recently Issued Accounting Pronouncements</w:t>
      </w:r>
    </w:p>
    <w:p>
      <w:pPr>
        <w:pStyle w:val="TextBody"/>
        <w:bidi w:val="0"/>
        <w:spacing w:lineRule="auto" w:line="417" w:before="0" w:after="0"/>
        <w:jc w:val="both"/>
        <w:rPr>
          <w:rFonts w:ascii="Roboto;sans-serif" w:hAnsi="Roboto;sans-serif"/>
          <w:b w:val="false"/>
          <w:i/>
          <w:color w:val="000000"/>
          <w:sz w:val="18"/>
        </w:rPr>
      </w:pPr>
      <w:r>
        <w:rPr>
          <w:rFonts w:ascii="Roboto;sans-serif" w:hAnsi="Roboto;sans-serif"/>
          <w:b w:val="false"/>
          <w:i/>
          <w:color w:val="000000"/>
          <w:sz w:val="18"/>
        </w:rPr>
        <w:t>Accounting Pronouncements Not Yet Adopted</w:t>
      </w:r>
    </w:p>
    <w:p>
      <w:pPr>
        <w:pStyle w:val="TextBody"/>
        <w:bidi w:val="0"/>
        <w:spacing w:lineRule="auto" w:line="417" w:before="0" w:after="0"/>
        <w:jc w:val="both"/>
        <w:rPr>
          <w:rFonts w:ascii="Roboto;sans-serif" w:hAnsi="Roboto;sans-serif"/>
          <w:b w:val="false"/>
          <w:i/>
          <w:color w:val="000000"/>
          <w:sz w:val="18"/>
          <w:u w:val="single"/>
        </w:rPr>
      </w:pPr>
      <w:r>
        <w:rPr>
          <w:rFonts w:ascii="Roboto;sans-serif" w:hAnsi="Roboto;sans-serif"/>
          <w:b w:val="false"/>
          <w:i/>
          <w:color w:val="000000"/>
          <w:sz w:val="18"/>
          <w:u w:val="single"/>
        </w:rPr>
        <w:t>ASU 2023-07</w:t>
      </w:r>
    </w:p>
    <w:p>
      <w:pPr>
        <w:pStyle w:val="TextBody"/>
        <w:bidi w:val="0"/>
        <w:spacing w:lineRule="auto" w:line="288" w:before="0" w:after="240"/>
        <w:jc w:val="both"/>
        <w:rPr/>
      </w:pPr>
      <w:r>
        <w:rPr>
          <w:rFonts w:ascii="Roboto;sans-serif" w:hAnsi="Roboto;sans-serif"/>
          <w:b w:val="false"/>
          <w:color w:val="000000"/>
          <w:sz w:val="18"/>
        </w:rPr>
        <w:t xml:space="preserve">In November 2023, the Financial Accounting Standards Board (“FASB”) issued ASU 2023-07, </w:t>
      </w:r>
      <w:r>
        <w:rPr>
          <w:rFonts w:ascii="Roboto;sans-serif" w:hAnsi="Roboto;sans-serif"/>
          <w:b w:val="false"/>
          <w:i/>
          <w:color w:val="000000"/>
          <w:sz w:val="18"/>
        </w:rPr>
        <w:t xml:space="preserve">Segment Reporting (Topic 280): Improvements to Reportable Segment Disclosures </w:t>
      </w:r>
      <w:r>
        <w:rPr>
          <w:rFonts w:ascii="Roboto;sans-serif" w:hAnsi="Roboto;sans-serif"/>
          <w:b w:val="false"/>
          <w:color w:val="000000"/>
          <w:sz w:val="18"/>
        </w:rPr>
        <w:t>(“ASU 2023-07”). ASU 2023-07 improves reportable segment disclosure requirements, primarily through enhanced disclosures about significant segment expenses, and is effective for fiscal years beginning after December 15, 2023, and interim periods within fiscal years beginning after December 15, 2024 on a retrospective basis. The Company is currently evaluating the impact of adopting ASU 2023-07.</w:t>
      </w:r>
    </w:p>
    <w:p>
      <w:pPr>
        <w:pStyle w:val="TextBody"/>
        <w:bidi w:val="0"/>
        <w:spacing w:lineRule="auto" w:line="417" w:before="0" w:after="0"/>
        <w:jc w:val="both"/>
        <w:rPr>
          <w:rFonts w:ascii="Roboto;sans-serif" w:hAnsi="Roboto;sans-serif"/>
          <w:b w:val="false"/>
          <w:i/>
          <w:color w:val="000000"/>
          <w:sz w:val="18"/>
          <w:u w:val="single"/>
        </w:rPr>
      </w:pPr>
      <w:r>
        <w:rPr>
          <w:rFonts w:ascii="Roboto;sans-serif" w:hAnsi="Roboto;sans-serif"/>
          <w:b w:val="false"/>
          <w:i/>
          <w:color w:val="000000"/>
          <w:sz w:val="18"/>
          <w:u w:val="single"/>
        </w:rPr>
        <w:t>ASU 2023-09</w:t>
      </w:r>
    </w:p>
    <w:p>
      <w:pPr>
        <w:pStyle w:val="TextBody"/>
        <w:bidi w:val="0"/>
        <w:spacing w:lineRule="auto" w:line="288" w:before="0" w:after="240"/>
        <w:jc w:val="both"/>
        <w:rPr/>
      </w:pPr>
      <w:r>
        <w:rPr>
          <w:rFonts w:ascii="Roboto;sans-serif" w:hAnsi="Roboto;sans-serif"/>
          <w:b w:val="false"/>
          <w:color w:val="000000"/>
          <w:sz w:val="18"/>
        </w:rPr>
        <w:t xml:space="preserve">In December 2023, the FASB issued ASU 2023-09, </w:t>
      </w:r>
      <w:r>
        <w:rPr>
          <w:rFonts w:ascii="Roboto;sans-serif" w:hAnsi="Roboto;sans-serif"/>
          <w:b w:val="false"/>
          <w:i/>
          <w:color w:val="000000"/>
          <w:sz w:val="18"/>
        </w:rPr>
        <w:t>Income Taxes (Topic 740):</w:t>
      </w:r>
      <w:r>
        <w:rPr>
          <w:color w:val="000000"/>
        </w:rPr>
        <w:t xml:space="preserve"> </w:t>
      </w:r>
      <w:r>
        <w:rPr>
          <w:rFonts w:ascii="Roboto;sans-serif" w:hAnsi="Roboto;sans-serif"/>
          <w:b w:val="false"/>
          <w:i/>
          <w:color w:val="000000"/>
          <w:sz w:val="18"/>
        </w:rPr>
        <w:t xml:space="preserve">Improvements to Income Tax Disclosures </w:t>
      </w:r>
      <w:r>
        <w:rPr>
          <w:rFonts w:ascii="Roboto;sans-serif" w:hAnsi="Roboto;sans-serif"/>
          <w:b w:val="false"/>
          <w:color w:val="000000"/>
          <w:sz w:val="18"/>
        </w:rPr>
        <w:t>(“ASU 2023-09”)</w:t>
      </w:r>
      <w:r>
        <w:rPr>
          <w:rFonts w:ascii="Roboto;sans-serif" w:hAnsi="Roboto;sans-serif"/>
          <w:b w:val="false"/>
          <w:i/>
          <w:color w:val="000000"/>
          <w:sz w:val="18"/>
        </w:rPr>
        <w:t xml:space="preserve">. </w:t>
      </w:r>
      <w:r>
        <w:rPr>
          <w:rFonts w:ascii="Roboto;sans-serif" w:hAnsi="Roboto;sans-serif"/>
          <w:b w:val="false"/>
          <w:color w:val="000000"/>
          <w:sz w:val="18"/>
        </w:rPr>
        <w:t>ASU 2023-09 enhances income tax information primarily through changes in the rate reconciliation and income taxes paid information, and is effective for fiscal years beginning after December 15, 2024 on a prospective basis. The Company is currently evaluating the impact of adopting ASU 2023-09.</w:t>
      </w:r>
    </w:p>
    <w:p>
      <w:pPr>
        <w:pStyle w:val="TextBody"/>
        <w:bidi w:val="0"/>
        <w:spacing w:lineRule="auto" w:line="417" w:before="0" w:after="0"/>
        <w:jc w:val="both"/>
        <w:rPr>
          <w:rFonts w:ascii="Roboto;sans-serif" w:hAnsi="Roboto;sans-serif"/>
          <w:b w:val="false"/>
          <w:i/>
          <w:color w:val="000000"/>
          <w:sz w:val="18"/>
          <w:u w:val="single"/>
        </w:rPr>
      </w:pPr>
      <w:r>
        <w:rPr>
          <w:rFonts w:ascii="Roboto;sans-serif" w:hAnsi="Roboto;sans-serif"/>
          <w:b w:val="false"/>
          <w:i/>
          <w:color w:val="000000"/>
          <w:sz w:val="18"/>
          <w:u w:val="single"/>
        </w:rPr>
        <w:t>ASU 2024-03</w:t>
      </w:r>
    </w:p>
    <w:p>
      <w:pPr>
        <w:pStyle w:val="TextBody"/>
        <w:bidi w:val="0"/>
        <w:spacing w:lineRule="auto" w:line="288" w:before="0" w:after="240"/>
        <w:jc w:val="both"/>
        <w:rPr/>
      </w:pPr>
      <w:r>
        <w:rPr>
          <w:rFonts w:ascii="Roboto;sans-serif" w:hAnsi="Roboto;sans-serif"/>
          <w:b w:val="false"/>
          <w:color w:val="000000"/>
          <w:sz w:val="18"/>
        </w:rPr>
        <w:t xml:space="preserve">In November 2024, the FASB issued ASU 2024-03, </w:t>
      </w:r>
      <w:r>
        <w:rPr>
          <w:rFonts w:ascii="Roboto;sans-serif" w:hAnsi="Roboto;sans-serif"/>
          <w:b w:val="false"/>
          <w:i/>
          <w:color w:val="000000"/>
          <w:sz w:val="18"/>
        </w:rPr>
        <w:t xml:space="preserve">Income Statement-Reporting Comprehensive Income-Expense Disaggregation Disclosures (Subtopic 220-40) </w:t>
      </w:r>
      <w:r>
        <w:rPr>
          <w:rFonts w:ascii="Roboto;sans-serif" w:hAnsi="Roboto;sans-serif"/>
          <w:b w:val="false"/>
          <w:color w:val="000000"/>
          <w:sz w:val="18"/>
        </w:rPr>
        <w:t>(“ASU 2024-03”)</w:t>
      </w:r>
      <w:r>
        <w:rPr>
          <w:rFonts w:ascii="Roboto;sans-serif" w:hAnsi="Roboto;sans-serif"/>
          <w:b w:val="false"/>
          <w:i/>
          <w:color w:val="000000"/>
          <w:sz w:val="18"/>
        </w:rPr>
        <w:t xml:space="preserve">. </w:t>
      </w:r>
      <w:r>
        <w:rPr>
          <w:rFonts w:ascii="Roboto;sans-serif" w:hAnsi="Roboto;sans-serif"/>
          <w:b w:val="false"/>
          <w:color w:val="000000"/>
          <w:sz w:val="18"/>
        </w:rPr>
        <w:t>ASU 2024-03 requires the disaggregation of certain expense captions on the face of the income statement into specified categories in disclosures within the footnotes to the financial statements. It is effective for fiscal years beginning after December 15, 2026 on a prospective basis. The Company is currently evaluating the impact of adopting ASU 2024-03.</w:t>
      </w:r>
    </w:p>
    <w:p>
      <w:pPr>
        <w:pStyle w:val="TextBody"/>
        <w:bidi w:val="0"/>
        <w:spacing w:lineRule="auto" w:line="417" w:before="0" w:after="0"/>
        <w:jc w:val="both"/>
        <w:rPr>
          <w:rFonts w:ascii="Roboto;sans-serif" w:hAnsi="Roboto;sans-serif"/>
          <w:b w:val="false"/>
          <w:i/>
          <w:color w:val="000000"/>
          <w:sz w:val="18"/>
          <w:u w:val="single"/>
        </w:rPr>
      </w:pPr>
      <w:r>
        <w:rPr>
          <w:rFonts w:ascii="Roboto;sans-serif" w:hAnsi="Roboto;sans-serif"/>
          <w:b w:val="false"/>
          <w:i/>
          <w:color w:val="000000"/>
          <w:sz w:val="18"/>
          <w:u w:val="single"/>
        </w:rPr>
        <w:t>ASU 2024-04</w:t>
      </w:r>
    </w:p>
    <w:p>
      <w:pPr>
        <w:pStyle w:val="TextBody"/>
        <w:bidi w:val="0"/>
        <w:spacing w:lineRule="auto" w:line="288" w:before="0" w:after="0"/>
        <w:jc w:val="both"/>
        <w:rPr/>
      </w:pPr>
      <w:r>
        <w:rPr>
          <w:rFonts w:ascii="Roboto;sans-serif" w:hAnsi="Roboto;sans-serif"/>
          <w:b w:val="false"/>
          <w:color w:val="000000"/>
          <w:sz w:val="18"/>
        </w:rPr>
        <w:t xml:space="preserve">In November 2024, the FASB issued ASU 2024-04, </w:t>
      </w:r>
      <w:r>
        <w:rPr>
          <w:rFonts w:ascii="Roboto;sans-serif" w:hAnsi="Roboto;sans-serif"/>
          <w:b w:val="false"/>
          <w:i/>
          <w:color w:val="000000"/>
          <w:sz w:val="18"/>
        </w:rPr>
        <w:t xml:space="preserve">Debt-Debt with Conversion and Other Options (Subtopic 470-20): Induced Conversions of Convertible Debt Instruments </w:t>
      </w:r>
      <w:r>
        <w:rPr>
          <w:rFonts w:ascii="Roboto;sans-serif" w:hAnsi="Roboto;sans-serif"/>
          <w:b w:val="false"/>
          <w:color w:val="000000"/>
          <w:sz w:val="18"/>
        </w:rPr>
        <w:t>(“ASU 2024-04”)</w:t>
      </w:r>
      <w:r>
        <w:rPr>
          <w:rFonts w:ascii="Roboto;sans-serif" w:hAnsi="Roboto;sans-serif"/>
          <w:b w:val="false"/>
          <w:i/>
          <w:color w:val="000000"/>
          <w:sz w:val="18"/>
        </w:rPr>
        <w:t xml:space="preserve">. </w:t>
      </w:r>
      <w:r>
        <w:rPr>
          <w:rFonts w:ascii="Roboto;sans-serif" w:hAnsi="Roboto;sans-serif"/>
          <w:b w:val="false"/>
          <w:color w:val="000000"/>
          <w:sz w:val="18"/>
        </w:rPr>
        <w:t>ASU 2024-04 clarifies the requirements for determining whether certain settlements of convertible debt instruments should be accounted for as an induced conversion. It is effective for fiscal years beginning after December 15, 2025 and is permitted on either a prospective or retrospective basis. The Company is currently evaluating the impact of adopting ASU 2024-04.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Roboto;sans-serif" w:hAnsi="Roboto;sans-serif"/>
          <w:b/>
          <w:color w:val="000000"/>
          <w:sz w:val="18"/>
        </w:rPr>
      </w:pPr>
      <w:r>
        <w:rPr>
          <w:rFonts w:ascii="Roboto;sans-serif" w:hAnsi="Roboto;sans-serif"/>
          <w:b/>
          <w:color w:val="000000"/>
          <w:sz w:val="18"/>
        </w:rPr>
        <w:t>3. Revenue</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Company’s primary sources of revenue are its recurring content Subscription revenue and revenue from sales of its Connected Fitness Products and related accessories, as well as Precor branded fitness products, delivery and installation services.</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Company determines revenue recognition through the following steps:</w:t>
      </w:r>
    </w:p>
    <w:p>
      <w:pPr>
        <w:pStyle w:val="TextBody"/>
        <w:bidi w:val="0"/>
        <w:spacing w:before="0" w:after="0"/>
        <w:jc w:val="both"/>
        <w:rPr/>
      </w:pPr>
      <w:r>
        <w:rPr/>
      </w:r>
    </w:p>
    <w:p>
      <w:pPr>
        <w:pStyle w:val="TextBody"/>
        <w:bidi w:val="0"/>
        <w:spacing w:lineRule="auto" w:line="288" w:before="0" w:after="60"/>
        <w:ind w:left="0" w:right="0" w:hanging="360"/>
        <w:jc w:val="left"/>
        <w:rPr/>
      </w:pPr>
      <w:r>
        <w:rPr>
          <w:color w:val="000000"/>
        </w:rPr>
        <w:t>•</w:t>
      </w:r>
      <w:r>
        <w:rPr>
          <w:rFonts w:ascii="Roboto;sans-serif" w:hAnsi="Roboto;sans-serif"/>
          <w:b w:val="false"/>
          <w:color w:val="000000"/>
          <w:sz w:val="18"/>
        </w:rPr>
        <w:t>Identification of the contract, or contracts, with a customer;</w:t>
      </w:r>
    </w:p>
    <w:p>
      <w:pPr>
        <w:pStyle w:val="TextBody"/>
        <w:bidi w:val="0"/>
        <w:spacing w:lineRule="auto" w:line="288" w:before="0" w:after="60"/>
        <w:ind w:left="0" w:right="0" w:hanging="360"/>
        <w:jc w:val="left"/>
        <w:rPr/>
      </w:pPr>
      <w:r>
        <w:rPr>
          <w:color w:val="000000"/>
        </w:rPr>
        <w:t>•</w:t>
      </w:r>
      <w:r>
        <w:rPr>
          <w:rFonts w:ascii="Roboto;sans-serif" w:hAnsi="Roboto;sans-serif"/>
          <w:b w:val="false"/>
          <w:color w:val="000000"/>
          <w:sz w:val="18"/>
        </w:rPr>
        <w:t>Identification of the performance obligations in the contract;</w:t>
      </w:r>
    </w:p>
    <w:p>
      <w:pPr>
        <w:pStyle w:val="TextBody"/>
        <w:bidi w:val="0"/>
        <w:spacing w:lineRule="auto" w:line="288" w:before="0" w:after="60"/>
        <w:ind w:left="0" w:right="0" w:hanging="360"/>
        <w:jc w:val="left"/>
        <w:rPr/>
      </w:pPr>
      <w:r>
        <w:rPr>
          <w:color w:val="000000"/>
        </w:rPr>
        <w:t>•</w:t>
      </w:r>
      <w:r>
        <w:rPr>
          <w:rFonts w:ascii="Roboto;sans-serif" w:hAnsi="Roboto;sans-serif"/>
          <w:b w:val="false"/>
          <w:color w:val="000000"/>
          <w:sz w:val="18"/>
        </w:rPr>
        <w:t>Determination of the transaction price;</w:t>
      </w:r>
    </w:p>
    <w:p>
      <w:pPr>
        <w:pStyle w:val="TextBody"/>
        <w:bidi w:val="0"/>
        <w:spacing w:lineRule="auto" w:line="288" w:before="0" w:after="60"/>
        <w:ind w:left="0" w:right="0" w:hanging="360"/>
        <w:jc w:val="left"/>
        <w:rPr/>
      </w:pPr>
      <w:r>
        <w:rPr>
          <w:color w:val="000000"/>
        </w:rPr>
        <w:t>•</w:t>
      </w:r>
      <w:r>
        <w:rPr>
          <w:rFonts w:ascii="Roboto;sans-serif" w:hAnsi="Roboto;sans-serif"/>
          <w:b w:val="false"/>
          <w:color w:val="000000"/>
          <w:sz w:val="18"/>
        </w:rPr>
        <w:t>Allocation of the transaction price to the performance obligations in the contract; and</w:t>
      </w:r>
    </w:p>
    <w:p>
      <w:pPr>
        <w:pStyle w:val="TextBody"/>
        <w:bidi w:val="0"/>
        <w:spacing w:lineRule="auto" w:line="288" w:before="0" w:after="0"/>
        <w:ind w:left="0" w:right="0" w:hanging="360"/>
        <w:jc w:val="left"/>
        <w:rPr/>
      </w:pPr>
      <w:r>
        <w:rPr>
          <w:color w:val="000000"/>
        </w:rPr>
        <w:t>•</w:t>
      </w:r>
      <w:r>
        <w:rPr>
          <w:rFonts w:ascii="Roboto;sans-serif" w:hAnsi="Roboto;sans-serif"/>
          <w:b w:val="false"/>
          <w:color w:val="000000"/>
          <w:sz w:val="18"/>
        </w:rPr>
        <w:t>Recognition of revenue when, or as, the Company satisfies a performance obligation.</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Revenue is recognized when control of the promised goods or services is transferred to the Company’s customers, in an amount that reflects the consideration that the Company expects to be entitled to in exchange for those goods or services. The Company’s revenue is reported net of sales returns and concessions, discounts and allowances, incentives, and rebates to commercial distributors as a reduction of the transaction price. Certain contracts include consideration payable that is accounted for as a payment for distinct goods or services. The Company’s transaction price estimate includes its estimate for product returns and concessions based on the terms and conditions of home trial programs, historical return trends by product category, impact of seasonality, an evaluation of current economic and market conditions, and current business practices, and the Company records the expected customer refund liability as a reduction to revenue, and the expected inventory right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33350"/>
                <wp:effectExtent l="0" t="0" r="0" b="0"/>
                <wp:wrapNone/>
                <wp:docPr id="9" name="Frame9"/>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to return asset as a reduction of cost of revenue. If actual return costs differ from previous estimates, the amount of the liability and corresponding revenue are adjusted in the period in which such costs occur.</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For customer contracts that include multiple performance obligations, the Company accounts for individual performance obligations if they are distinct. The transaction price is then allocated to each performance obligation based on its standalone selling price. The Company generally determines the standalone selling price based on the prices charged to customers.</w:t>
      </w:r>
    </w:p>
    <w:p>
      <w:pPr>
        <w:pStyle w:val="TextBody"/>
        <w:bidi w:val="0"/>
        <w:spacing w:before="0" w:after="0"/>
        <w:jc w:val="both"/>
        <w:rPr/>
      </w:pPr>
      <w:r>
        <w:rPr/>
      </w:r>
    </w:p>
    <w:p>
      <w:pPr>
        <w:pStyle w:val="TextBody"/>
        <w:bidi w:val="0"/>
        <w:spacing w:lineRule="auto" w:line="288" w:before="0" w:after="0"/>
        <w:jc w:val="both"/>
        <w:rPr/>
      </w:pPr>
      <w:r>
        <w:rPr>
          <w:rFonts w:ascii="Roboto;sans-serif" w:hAnsi="Roboto;sans-serif"/>
          <w:b w:val="false"/>
          <w:color w:val="000000"/>
          <w:sz w:val="18"/>
        </w:rPr>
        <w:t xml:space="preserve">The Company applies the practical expedient as per ASC 606-10-50-14, </w:t>
      </w:r>
      <w:r>
        <w:rPr>
          <w:rFonts w:ascii="Roboto;sans-serif" w:hAnsi="Roboto;sans-serif"/>
          <w:b w:val="false"/>
          <w:i/>
          <w:color w:val="000000"/>
          <w:sz w:val="18"/>
        </w:rPr>
        <w:t>Revenue from Contracts with Customers</w:t>
      </w:r>
      <w:r>
        <w:rPr>
          <w:color w:val="000000"/>
        </w:rPr>
        <w:t xml:space="preserve"> </w:t>
      </w:r>
      <w:r>
        <w:rPr>
          <w:rFonts w:ascii="Roboto;sans-serif" w:hAnsi="Roboto;sans-serif"/>
          <w:b w:val="false"/>
          <w:color w:val="000000"/>
          <w:sz w:val="18"/>
        </w:rPr>
        <w:t>and does not disclose information related to remaining performance obligations due to their original expected terms being one year or less.</w:t>
      </w:r>
    </w:p>
    <w:p>
      <w:pPr>
        <w:pStyle w:val="TextBody"/>
        <w:bidi w:val="0"/>
        <w:spacing w:before="0" w:after="0"/>
        <w:jc w:val="both"/>
        <w:rPr/>
      </w:pPr>
      <w:r>
        <w:rPr/>
      </w:r>
    </w:p>
    <w:p>
      <w:pPr>
        <w:pStyle w:val="TextBody"/>
        <w:bidi w:val="0"/>
        <w:spacing w:lineRule="auto" w:line="288" w:before="0" w:after="240"/>
        <w:jc w:val="both"/>
        <w:rPr/>
      </w:pPr>
      <w:r>
        <w:rPr>
          <w:rFonts w:ascii="Roboto;sans-serif" w:hAnsi="Roboto;sans-serif"/>
          <w:b w:val="false"/>
          <w:color w:val="000000"/>
          <w:sz w:val="18"/>
        </w:rPr>
        <w:t xml:space="preserve">The Company applies the practical expedient as per ASC 340-40-25-4, </w:t>
      </w:r>
      <w:r>
        <w:rPr>
          <w:rFonts w:ascii="Roboto;sans-serif" w:hAnsi="Roboto;sans-serif"/>
          <w:b w:val="false"/>
          <w:i/>
          <w:color w:val="000000"/>
          <w:sz w:val="18"/>
        </w:rPr>
        <w:t>Other Assets and Deferred Costs – Contracts with Customers</w:t>
      </w:r>
      <w:r>
        <w:rPr>
          <w:color w:val="000000"/>
        </w:rPr>
        <w:t xml:space="preserve"> </w:t>
      </w:r>
      <w:r>
        <w:rPr>
          <w:rFonts w:ascii="Roboto;sans-serif" w:hAnsi="Roboto;sans-serif"/>
          <w:b w:val="false"/>
          <w:color w:val="000000"/>
          <w:sz w:val="18"/>
        </w:rPr>
        <w:t>and expenses sales commissions when incurred if the amortization period of the asset that the Company otherwise would have recognized is one year or less. These costs are recorded in Sales and marketing in the Company’s Condensed Consolidated Statements of Operations and Comprehensive Loss.</w:t>
      </w:r>
    </w:p>
    <w:p>
      <w:pPr>
        <w:pStyle w:val="TextBody"/>
        <w:bidi w:val="0"/>
        <w:spacing w:lineRule="auto" w:line="288" w:before="0" w:after="240"/>
        <w:jc w:val="both"/>
        <w:rPr/>
      </w:pPr>
      <w:r>
        <w:rPr>
          <w:rFonts w:ascii="Roboto;sans-serif" w:hAnsi="Roboto;sans-serif"/>
          <w:b w:val="false"/>
          <w:color w:val="000000"/>
          <w:sz w:val="18"/>
        </w:rPr>
        <w:t xml:space="preserve">Some of the Company’s revenues relate to arrangements for our Bike rental products. The Company’s rental program allows Members to lease certain Bike products with a Peloton Rental Membership for a single monthly cost and a one-time delivery fee, and gives the Member the option to purchase the equipment outright or cancel at any time with no penalty. These lease arrangements include both lease and non-lease components. Consideration is allocated between the lease and non-lease components based on management’s best estimate of the relative standalone selling price of each component. The lease component relates to the customer’s right to use the equipment over the lease term and is accounted for as an operating lease in accordance with ASC 842, </w:t>
      </w:r>
      <w:r>
        <w:rPr>
          <w:rFonts w:ascii="Roboto;sans-serif" w:hAnsi="Roboto;sans-serif"/>
          <w:b w:val="false"/>
          <w:i/>
          <w:color w:val="000000"/>
          <w:sz w:val="18"/>
        </w:rPr>
        <w:t>Leases</w:t>
      </w:r>
      <w:r>
        <w:rPr>
          <w:rFonts w:ascii="Roboto;sans-serif" w:hAnsi="Roboto;sans-serif"/>
          <w:b w:val="false"/>
          <w:color w:val="000000"/>
          <w:sz w:val="18"/>
        </w:rPr>
        <w:t>. Lease revenue is recognized on a straight-line basis over the term of the lease within Connected Fitness Products Revenue and was $11.1 million and $35.5 million for the three and nine months ended March 31, 2025, respectively, and $11.8 million and $38.4 million for the three and nine months ended March 31, 2024, respectively. The underlying equipment subject to the lease remains within Property and equipment, net on the Company’s Condensed Consolidated Balance Sheets and depreciates over the equipment’s useful life. Depreciation expense associated with the underlying equipment is reflected in Connected Fitness Products Cost of revenue in the Company’s Condensed Consolidated Statements of Operations and Comprehensive Loss. Non-lease components primarily consist of an All-Access Membership, which is recognized ratably over the subscription term within Subscription Revenue.</w:t>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Connected Fitness Products</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Connected Fitness Products include the Company’s portfolio of Connected Fitness Products and related accessories, Precor branded fitness products, delivery and installation services, Bike rental products, extended warranty agreements, branded apparel, and commercial service contracts. The Company recognizes Connected Fitness Products Revenue net of sales returns and concessions, discounts and allowances, and third-party financing program fees, when the product has been delivered to the customer, except for extended warranty revenue that is recognized over the warranty period and service revenue that is recognized over the term of the service contract. The Company generally allows customers to return Peloton branded Connected Fitness Products within thirty days of purchase, as stated in its return policy.</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Company records fees paid to third-party financing partners in connection with its consumer financing program as a reduction of revenue, as it considers such costs to be a customer sales incentive. The Company records payment processing fees for its credit card sales for Connected Fitness Products within Sales and marketing in the Company’s Condensed Consolidated Statements of Operations and Comprehensive Loss.</w:t>
      </w:r>
    </w:p>
    <w:p>
      <w:pPr>
        <w:pStyle w:val="TextBody"/>
        <w:bidi w:val="0"/>
        <w:spacing w:before="0" w:after="0"/>
        <w:jc w:val="both"/>
        <w:rPr/>
      </w:pPr>
      <w:r>
        <w:rPr/>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Subscription</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Company’s subscriptions provide access to Peloton content and its library of live and on-demand fitness classes. The Company’s subscriptions are offered on a month-to-month or prepaid basis.</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Amounts paid for subscription fees, net of refunds are included within Deferred revenue and customer deposits on the Company’s Condensed Consolidated Balance Sheets and recognized ratably over the subscription term. The Company records payment processing fees for its monthly subscription charges within Subscription Cost of revenue in the Company’s Condensed Consolidated Statements of Operations and Comprehensive Loss.</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Sales tax collected from customers and remitted to governmental authorities is not included in revenue and is reflected as a liability on the Company’s Condensed Consolidated Balance Sheets.</w:t>
      </w:r>
    </w:p>
    <w:p>
      <w:pPr>
        <w:pStyle w:val="TextBody"/>
        <w:bidi w:val="0"/>
        <w:spacing w:before="0" w:after="0"/>
        <w:jc w:val="both"/>
        <w:rPr/>
      </w:pPr>
      <w:r>
        <w:rPr/>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Product Warranty</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The Company offers a standard product warranty that its Connected Fitness Products will operate under normal, non-commercial use covering the touchscreen and most original Bike, Bike+, Tread, Tread+, Row, and Guide components. The Company has the obligation, at its option, to either repair or replace the defective product. At the time revenue is recognized, an estimate of future warranty costs is recorded as a component of cost of revenue. Factors that affect the warranty obligation include historical as well as current product failure rates, service delivery costs incurred in correcting product failures, and warranty policies and business practices. The Company’s products are manufactured by contract manufacturers and, in certain cases, the Company may have recourse to such contract manufacturers.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33350"/>
                <wp:effectExtent l="0" t="0" r="0" b="0"/>
                <wp:wrapNone/>
                <wp:docPr id="10" name="Frame10"/>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240"/>
        <w:jc w:val="both"/>
        <w:rPr>
          <w:rFonts w:ascii="Roboto;sans-serif" w:hAnsi="Roboto;sans-serif"/>
          <w:b w:val="false"/>
          <w:color w:val="000000"/>
          <w:sz w:val="18"/>
          <w:shd w:fill="FFFFFF" w:val="clear"/>
        </w:rPr>
      </w:pPr>
      <w:r>
        <w:rPr>
          <w:rFonts w:ascii="Roboto;sans-serif" w:hAnsi="Roboto;sans-serif"/>
          <w:b w:val="false"/>
          <w:color w:val="000000"/>
          <w:sz w:val="18"/>
          <w:shd w:fill="FFFFFF" w:val="clear"/>
        </w:rPr>
        <w:t>Activity related to the Company’s accrual for its estimated future product warranty obligation was as follows:</w:t>
      </w:r>
    </w:p>
    <w:tbl>
      <w:tblPr>
        <w:tblW w:w="9712" w:type="dxa"/>
        <w:jc w:val="left"/>
        <w:tblInd w:w="0" w:type="dxa"/>
        <w:tblLayout w:type="fixed"/>
        <w:tblCellMar>
          <w:top w:w="28" w:type="dxa"/>
          <w:left w:w="28" w:type="dxa"/>
          <w:bottom w:w="28" w:type="dxa"/>
          <w:right w:w="28" w:type="dxa"/>
        </w:tblCellMar>
      </w:tblPr>
      <w:tblGrid>
        <w:gridCol w:w="1048"/>
        <w:gridCol w:w="922"/>
        <w:gridCol w:w="925"/>
        <w:gridCol w:w="342"/>
        <w:gridCol w:w="887"/>
        <w:gridCol w:w="165"/>
        <w:gridCol w:w="165"/>
        <w:gridCol w:w="165"/>
        <w:gridCol w:w="165"/>
        <w:gridCol w:w="342"/>
        <w:gridCol w:w="887"/>
        <w:gridCol w:w="165"/>
        <w:gridCol w:w="109"/>
        <w:gridCol w:w="109"/>
        <w:gridCol w:w="109"/>
        <w:gridCol w:w="327"/>
        <w:gridCol w:w="849"/>
        <w:gridCol w:w="158"/>
        <w:gridCol w:w="158"/>
        <w:gridCol w:w="158"/>
        <w:gridCol w:w="158"/>
        <w:gridCol w:w="327"/>
        <w:gridCol w:w="849"/>
        <w:gridCol w:w="223"/>
      </w:tblGrid>
      <w:tr>
        <w:trPr/>
        <w:tc>
          <w:tcPr>
            <w:tcW w:w="1048"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March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Nine Months Ended March 31,</w:t>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4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Balance at beginning of period</w:t>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21.5 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26.4 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Provision for warranty accrual</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31.3 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19.0 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Warranty claims</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(8.7)</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(9.6)</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(25.6)</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(24.3)</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Balance at end of period</w:t>
            </w:r>
          </w:p>
        </w:tc>
        <w:tc>
          <w:tcPr>
            <w:tcW w:w="3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26.1 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21.1 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26.1 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21.1 </w:t>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Company also offers the option for customers in some markets to purchase an extended warranty and service contract that extends or enhances the technical support, parts, and labor coverage offered as part of the base warranty included with the Connected Fitness Products for additional periods beyond the standard product warranty period.</w:t>
      </w:r>
    </w:p>
    <w:p>
      <w:pPr>
        <w:pStyle w:val="TextBody"/>
        <w:bidi w:val="0"/>
        <w:spacing w:before="0" w:after="0"/>
        <w:jc w:val="both"/>
        <w:rPr/>
      </w:pPr>
      <w:r>
        <w:rPr/>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Extended warranty revenue is recognized ratably over the extended warranty coverage period and is included in Connected Fitness Product revenue in the Condensed Consolidated Statements of Operations and Comprehensive Loss. The Company’s revenue attributable to extended warranty was $5.1 million and $16.8 million, respectively, representing 1% of total revenue for both the three and nine months ended March 31, 2025, and $8.5 million and $28.2 million, respectively, representing 1% of total revenue for both the three and nine months ended March 31, 2024.</w:t>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Disaggregation of Revenue</w:t>
      </w:r>
    </w:p>
    <w:p>
      <w:pPr>
        <w:pStyle w:val="TextBody"/>
        <w:bidi w:val="0"/>
        <w:spacing w:lineRule="auto" w:line="288" w:before="0" w:after="0"/>
        <w:jc w:val="both"/>
        <w:rPr/>
      </w:pPr>
      <w:r>
        <w:rPr>
          <w:rFonts w:ascii="Roboto;sans-serif" w:hAnsi="Roboto;sans-serif"/>
          <w:b w:val="false"/>
          <w:color w:val="000000"/>
          <w:sz w:val="18"/>
        </w:rPr>
        <w:t xml:space="preserve">The Company’s revenue disaggregated by segment, excluding sales-based taxes, is included in </w:t>
      </w:r>
      <w:r>
        <w:rPr>
          <w:rFonts w:ascii="Roboto;sans-serif" w:hAnsi="Roboto;sans-serif"/>
          <w:b w:val="false"/>
          <w:i/>
          <w:color w:val="000000"/>
          <w:sz w:val="18"/>
        </w:rPr>
        <w:t>Note 12, Segment Information</w:t>
      </w:r>
      <w:r>
        <w:rPr>
          <w:rFonts w:ascii="Roboto;sans-serif" w:hAnsi="Roboto;sans-serif"/>
          <w:b w:val="false"/>
          <w:color w:val="000000"/>
          <w:sz w:val="18"/>
        </w:rPr>
        <w:t>.</w:t>
      </w:r>
    </w:p>
    <w:p>
      <w:pPr>
        <w:pStyle w:val="TextBody"/>
        <w:bidi w:val="0"/>
        <w:spacing w:before="0" w:after="0"/>
        <w:jc w:val="both"/>
        <w:rPr/>
      </w:pPr>
      <w:r>
        <w:rPr/>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The Company’s revenue disaggregated by geographic region was as follows:</w:t>
      </w:r>
    </w:p>
    <w:tbl>
      <w:tblPr>
        <w:tblW w:w="8239" w:type="dxa"/>
        <w:jc w:val="left"/>
        <w:tblInd w:w="0" w:type="dxa"/>
        <w:tblLayout w:type="fixed"/>
        <w:tblCellMar>
          <w:top w:w="28" w:type="dxa"/>
          <w:left w:w="28" w:type="dxa"/>
          <w:bottom w:w="28" w:type="dxa"/>
          <w:right w:w="28" w:type="dxa"/>
        </w:tblCellMar>
      </w:tblPr>
      <w:tblGrid>
        <w:gridCol w:w="516"/>
        <w:gridCol w:w="453"/>
        <w:gridCol w:w="456"/>
        <w:gridCol w:w="308"/>
        <w:gridCol w:w="963"/>
        <w:gridCol w:w="148"/>
        <w:gridCol w:w="148"/>
        <w:gridCol w:w="148"/>
        <w:gridCol w:w="148"/>
        <w:gridCol w:w="308"/>
        <w:gridCol w:w="963"/>
        <w:gridCol w:w="148"/>
        <w:gridCol w:w="109"/>
        <w:gridCol w:w="109"/>
        <w:gridCol w:w="109"/>
        <w:gridCol w:w="257"/>
        <w:gridCol w:w="1010"/>
        <w:gridCol w:w="124"/>
        <w:gridCol w:w="124"/>
        <w:gridCol w:w="124"/>
        <w:gridCol w:w="124"/>
        <w:gridCol w:w="257"/>
        <w:gridCol w:w="1010"/>
        <w:gridCol w:w="175"/>
      </w:tblGrid>
      <w:tr>
        <w:trPr/>
        <w:tc>
          <w:tcPr>
            <w:tcW w:w="51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Nine Months Ended March 31,</w:t>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North America</w:t>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572.1 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659.7 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1,724.6 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1,894.8 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vAlign w:val="center"/>
          </w:tcPr>
          <w:p>
            <w:pPr>
              <w:pStyle w:val="TableContents"/>
              <w:bidi w:val="0"/>
              <w:spacing w:before="0" w:after="283"/>
              <w:jc w:val="left"/>
              <w:rPr>
                <w:sz w:val="4"/>
                <w:szCs w:val="4"/>
              </w:rPr>
            </w:pPr>
            <w:r>
              <w:rPr>
                <w:sz w:val="4"/>
                <w:szCs w:val="4"/>
              </w:rPr>
            </w:r>
          </w:p>
        </w:tc>
        <w:tc>
          <w:tcPr>
            <w:tcW w:w="1419"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r>
      <w:tr>
        <w:trPr/>
        <w:tc>
          <w:tcPr>
            <w:tcW w:w="1425" w:type="dxa"/>
            <w:gridSpan w:val="3"/>
            <w:tcBorders/>
            <w:vAlign w:val="center"/>
          </w:tcPr>
          <w:p>
            <w:pPr>
              <w:pStyle w:val="TableContents"/>
              <w:bidi w:val="0"/>
              <w:spacing w:before="0" w:after="283"/>
              <w:jc w:val="left"/>
              <w:rPr>
                <w:sz w:val="4"/>
                <w:szCs w:val="4"/>
              </w:rPr>
            </w:pPr>
            <w:r>
              <w:rPr>
                <w:sz w:val="4"/>
                <w:szCs w:val="4"/>
              </w:rPr>
            </w:r>
          </w:p>
        </w:tc>
        <w:tc>
          <w:tcPr>
            <w:tcW w:w="1419"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International</w:t>
            </w:r>
          </w:p>
        </w:tc>
        <w:tc>
          <w:tcPr>
            <w:tcW w:w="12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52.0 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58.0 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159.3 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162.1 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Revenue</w:t>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624.0 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717.7 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1,883.9 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2,056.9 </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During the three and nine months ended March 31, 2025, the Company’s revenue attributable to the United States, included within North America above, was $549.5 million and $1,657.1 million, respectively, or 88% of total revenue. During the three and nine months ended March 31, 2024, the Company’s revenue attributable to the United States, included within North America above, was $632.4 million and $1,818.5 million, or 88% of total revenue.</w:t>
      </w:r>
    </w:p>
    <w:p>
      <w:pPr>
        <w:pStyle w:val="TextBody"/>
        <w:bidi w:val="0"/>
        <w:spacing w:before="0" w:after="0"/>
        <w:jc w:val="both"/>
        <w:rPr/>
      </w:pPr>
      <w:r>
        <w:rPr/>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Deferred Revenue and Customer Deposits</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Deferred revenue is recorded for nonrefundable cash payments received for the Company’s performance obligation to transfer, or stand ready to transfer, goods or services in the future. Customer deposits represent payments received in advance before the Company transfers a good or service to the customer and are refundable.</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As of March 31, 2025 and June 30, 2024, deferred revenue of $90.2 million and $95.9 million, respectively, and customer deposits of $66.2 million and $67.7 million, respectively, were included in Deferred revenue and customer deposits on the Company’s Condensed Consolidated Balance Sheets.</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In the nine months ended March 31, 2025 and 2024, the Company recognized revenue of $90.2 million and $95.2 million, respectively, that was included in the deferred revenue balance as of June 30, 2024 and 2023, respectively.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Roboto;sans-serif" w:hAnsi="Roboto;sans-serif"/>
          <w:b/>
          <w:color w:val="000000"/>
          <w:sz w:val="18"/>
        </w:rPr>
      </w:pPr>
      <w:r>
        <w:rPr>
          <w:rFonts w:ascii="Roboto;sans-serif" w:hAnsi="Roboto;sans-serif"/>
          <w:b/>
          <w:color w:val="000000"/>
          <w:sz w:val="18"/>
        </w:rPr>
        <w:t>4. Restructuring</w:t>
      </w:r>
    </w:p>
    <w:p>
      <w:pPr>
        <w:pStyle w:val="TextBody"/>
        <w:bidi w:val="0"/>
        <w:spacing w:before="0" w:after="0"/>
        <w:jc w:val="left"/>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In February 2022, the Company announced and began implementing a restructuring plan to realign the Company’s operational focus to support its multi-year growth, scale the business, and improve costs (the “2022 Restructuring Plan”). The 2022 Restructuring Plan originally included: (i) reducing the Company’s headcount; (ii) closing several assembly and manufacturing plants, including the completion and subsequent sale of the shell facility for the Company’s previously planned Peloton Output Park; (iii) closing and consolidating several distribution facilities; and (iv) shifting to third-party logistics providers in certain locations.</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Throughout fiscal year 2023 and 2024, the Company continued to take actions to implement the 2022 Restructuring Plan and announced that it was (i) exiting all owned-manufacturing operations and fully transitioning its North American Field Operations to third-party providers, including a significant reduction in its delivery workforce teams; (ii) eliminating a significant number of roles on the North America Member support team and exiting its real-estate footprints in its Plano and Tempe locations; and (iii) reducing its retail showroom presence.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33350"/>
                <wp:effectExtent l="0" t="0" r="0" b="0"/>
                <wp:wrapNone/>
                <wp:docPr id="11" name="Frame11"/>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11</w:t>
                      </w:r>
                    </w:p>
                  </w:txbxContent>
                </v:textbox>
                <w10:wrap type="none"/>
              </v:rect>
            </w:pict>
          </mc:Fallback>
        </mc:AlternateContent>
      </w:r>
    </w:p>
    <w:p>
      <w:pPr>
        <w:pStyle w:val="TextBody"/>
        <w:bidi w:val="0"/>
        <w:spacing w:before="0" w:after="0"/>
        <w:jc w:val="center"/>
        <w:rPr/>
      </w:pPr>
      <w:r>
        <w:rPr/>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In April 2024, the Company’s Board of Directors approved a new restructuring plan to expand upon its 2022 Restructuring Plan (as expanded, the “2024 Restructuring Plan”, collectively, the “Restructuring Plans”). The Company believes the 2024 Restructuring Plan will position Peloton for sustained, positive free cash flow, while enabling the Company to continue to invest in software, hardware and content innovation, improvements to its Member support experience, and optimizations to marketing efforts to scale the business. The 2024 Restructuring Plan includes: (i) a reduction in global headcount; and (ii) continued closures of the Company’s retail locations. The Company expects the majority of the 2024 Restructuring Plan to be implemented by the end of fiscal 2025.</w:t>
      </w:r>
    </w:p>
    <w:p>
      <w:pPr>
        <w:pStyle w:val="TextBody"/>
        <w:bidi w:val="0"/>
        <w:spacing w:before="0" w:after="0"/>
        <w:jc w:val="both"/>
        <w:rPr/>
      </w:pPr>
      <w:r>
        <w:rPr/>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As a result of these restructuring initiatives, the Company incurred the charges shown in the following table. Asset write-downs and write-offs are included within Impairment expense, and Write-offs of inventory related to restructuring activities are included within Connected Fitness Products Cost of revenue, in the Condensed Consolidated Statements of Operations and Comprehensive Loss. The remaining charges incurred during the relevant periods are included within Restructuring expense in the Condensed Consolidated Statements of Operations and Comprehensive Loss:</w:t>
      </w:r>
    </w:p>
    <w:tbl>
      <w:tblPr>
        <w:tblW w:w="10205" w:type="dxa"/>
        <w:jc w:val="left"/>
        <w:tblInd w:w="0" w:type="dxa"/>
        <w:tblLayout w:type="fixed"/>
        <w:tblCellMar>
          <w:top w:w="28" w:type="dxa"/>
          <w:left w:w="28" w:type="dxa"/>
          <w:bottom w:w="28" w:type="dxa"/>
          <w:right w:w="28" w:type="dxa"/>
        </w:tblCellMar>
      </w:tblPr>
      <w:tblGrid>
        <w:gridCol w:w="1478"/>
        <w:gridCol w:w="1298"/>
        <w:gridCol w:w="1301"/>
        <w:gridCol w:w="317"/>
        <w:gridCol w:w="655"/>
        <w:gridCol w:w="152"/>
        <w:gridCol w:w="152"/>
        <w:gridCol w:w="152"/>
        <w:gridCol w:w="152"/>
        <w:gridCol w:w="317"/>
        <w:gridCol w:w="823"/>
        <w:gridCol w:w="152"/>
        <w:gridCol w:w="109"/>
        <w:gridCol w:w="109"/>
        <w:gridCol w:w="109"/>
        <w:gridCol w:w="282"/>
        <w:gridCol w:w="734"/>
        <w:gridCol w:w="135"/>
        <w:gridCol w:w="135"/>
        <w:gridCol w:w="135"/>
        <w:gridCol w:w="135"/>
        <w:gridCol w:w="282"/>
        <w:gridCol w:w="884"/>
        <w:gridCol w:w="207"/>
      </w:tblGrid>
      <w:tr>
        <w:trPr/>
        <w:tc>
          <w:tcPr>
            <w:tcW w:w="1478"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4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March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Nine Months Ended March 31,</w:t>
            </w:r>
          </w:p>
        </w:tc>
      </w:tr>
      <w:tr>
        <w:trPr/>
        <w:tc>
          <w:tcPr>
            <w:tcW w:w="4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r>
      <w:tr>
        <w:trPr/>
        <w:tc>
          <w:tcPr>
            <w:tcW w:w="407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color w:val="000000"/>
                <w:sz w:val="18"/>
              </w:rPr>
              <w:t>Cash restructuring charges:</w:t>
            </w:r>
            <w:r>
              <w:rPr>
                <w:rFonts w:ascii="Roboto;sans-serif" w:hAnsi="Roboto;sans-serif"/>
                <w:b/>
                <w:color w:val="000000"/>
                <w:sz w:val="12"/>
              </w:rPr>
              <w:t>(1)</w:t>
            </w:r>
          </w:p>
        </w:tc>
        <w:tc>
          <w:tcPr>
            <w:tcW w:w="612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r>
      <w:tr>
        <w:trPr/>
        <w:tc>
          <w:tcPr>
            <w:tcW w:w="40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8"/>
              </w:rPr>
              <w:t>Severance and other personnel costs</w:t>
            </w:r>
            <w:r>
              <w:rPr>
                <w:rFonts w:ascii="Roboto;sans-serif" w:hAnsi="Roboto;sans-serif"/>
                <w:b w:val="false"/>
                <w:color w:val="000000"/>
                <w:sz w:val="12"/>
              </w:rPr>
              <w:t>(2)</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6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0.2 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33.6 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40.0 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8"/>
              </w:rPr>
              <w:t>Exit and disposal costs and professional fees</w:t>
            </w:r>
            <w:r>
              <w:rPr>
                <w:rFonts w:ascii="Roboto;sans-serif" w:hAnsi="Roboto;sans-serif"/>
                <w:b w:val="false"/>
                <w:color w:val="000000"/>
                <w:sz w:val="12"/>
              </w:rPr>
              <w:t>(3)</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2.2 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8.3 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16.1 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cash restructuring charges</w:t>
            </w:r>
          </w:p>
        </w:tc>
        <w:tc>
          <w:tcPr>
            <w:tcW w:w="9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2.4 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35.9 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8.6 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56.1 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color w:val="000000"/>
                <w:sz w:val="18"/>
              </w:rPr>
              <w:t>Non-cash restructuring charges:</w:t>
            </w:r>
            <w:r>
              <w:rPr>
                <w:rFonts w:ascii="Roboto;sans-serif" w:hAnsi="Roboto;sans-serif"/>
                <w:b/>
                <w:color w:val="000000"/>
                <w:sz w:val="12"/>
              </w:rPr>
              <w:t>(1)</w:t>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8"/>
              </w:rPr>
              <w:t>Asset write-downs and write-offs</w:t>
            </w:r>
            <w:r>
              <w:rPr>
                <w:rFonts w:ascii="Roboto;sans-serif" w:hAnsi="Roboto;sans-serif"/>
                <w:b w:val="false"/>
                <w:color w:val="000000"/>
                <w:sz w:val="12"/>
              </w:rPr>
              <w:t>(4)</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6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17.8 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22.4 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41.9 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8"/>
              </w:rPr>
              <w:t>Stock-based compensation expense</w:t>
            </w:r>
            <w:r>
              <w:rPr>
                <w:rFonts w:ascii="Roboto;sans-serif" w:hAnsi="Roboto;sans-serif"/>
                <w:b w:val="false"/>
                <w:color w:val="000000"/>
                <w:sz w:val="12"/>
              </w:rPr>
              <w:t>(5)</w:t>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8.9 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8"/>
              </w:rPr>
              <w:t>Write-offs of inventory related to restructuring activities</w:t>
            </w:r>
            <w:r>
              <w:rPr>
                <w:rFonts w:ascii="Roboto;sans-serif" w:hAnsi="Roboto;sans-serif"/>
                <w:b w:val="false"/>
                <w:color w:val="000000"/>
                <w:sz w:val="12"/>
              </w:rPr>
              <w:t>(6)</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8"/>
              </w:rPr>
              <w:t>Loss on sale of subsidiary</w:t>
            </w:r>
            <w:r>
              <w:rPr>
                <w:rFonts w:ascii="Roboto;sans-serif" w:hAnsi="Roboto;sans-serif"/>
                <w:b w:val="false"/>
                <w:color w:val="000000"/>
                <w:sz w:val="12"/>
              </w:rPr>
              <w:t>(7)</w:t>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3.8 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non-cash restructuring charges</w:t>
            </w:r>
          </w:p>
        </w:tc>
        <w:tc>
          <w:tcPr>
            <w:tcW w:w="9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19.5 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22.4 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55.6 </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8"/>
              </w:rPr>
            </w:pPr>
            <w:r>
              <w:rPr>
                <w:rFonts w:ascii="Roboto;sans-serif" w:hAnsi="Roboto;sans-serif"/>
                <w:b/>
                <w:color w:val="000000"/>
                <w:sz w:val="18"/>
              </w:rPr>
              <w:t>Total</w:t>
            </w:r>
          </w:p>
        </w:tc>
        <w:tc>
          <w:tcPr>
            <w:tcW w:w="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6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4.1 </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55.4 </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31.0 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111.8 </w:t>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Roboto;sans-serif" w:hAnsi="Roboto;sans-serif"/>
          <w:b w:val="false"/>
          <w:color w:val="000000"/>
          <w:sz w:val="18"/>
        </w:rPr>
      </w:pPr>
      <w:r>
        <w:rPr>
          <w:rFonts w:ascii="Roboto;sans-serif" w:hAnsi="Roboto;sans-serif"/>
          <w:b w:val="false"/>
          <w:color w:val="000000"/>
          <w:sz w:val="18"/>
        </w:rPr>
        <w:t>_________________________</w:t>
      </w:r>
    </w:p>
    <w:p>
      <w:pPr>
        <w:pStyle w:val="TextBody"/>
        <w:bidi w:val="0"/>
        <w:spacing w:lineRule="auto" w:line="288" w:before="0" w:after="0"/>
        <w:jc w:val="left"/>
        <w:rPr>
          <w:rFonts w:ascii="Roboto;sans-serif" w:hAnsi="Roboto;sans-serif"/>
          <w:b w:val="false"/>
          <w:color w:val="000000"/>
          <w:sz w:val="14"/>
        </w:rPr>
      </w:pPr>
      <w:r>
        <w:rPr>
          <w:rFonts w:ascii="Roboto;sans-serif" w:hAnsi="Roboto;sans-serif"/>
          <w:b w:val="false"/>
          <w:color w:val="000000"/>
          <w:sz w:val="14"/>
        </w:rPr>
        <w:t xml:space="preserve">(1) All cash and non-cash restructuring charges for the three and nine months ended March 31, 2025 related to the 2024 Restructuring Plan. </w:t>
      </w:r>
    </w:p>
    <w:p>
      <w:pPr>
        <w:pStyle w:val="TextBody"/>
        <w:bidi w:val="0"/>
        <w:spacing w:lineRule="auto" w:line="288" w:before="0" w:after="0"/>
        <w:jc w:val="left"/>
        <w:rPr>
          <w:rFonts w:ascii="Roboto;sans-serif" w:hAnsi="Roboto;sans-serif"/>
          <w:b w:val="false"/>
          <w:color w:val="000000"/>
          <w:sz w:val="14"/>
        </w:rPr>
      </w:pPr>
      <w:r>
        <w:rPr>
          <w:rFonts w:ascii="Roboto;sans-serif" w:hAnsi="Roboto;sans-serif"/>
          <w:b w:val="false"/>
          <w:color w:val="000000"/>
          <w:sz w:val="14"/>
        </w:rPr>
        <w:t>(2) Includes $1.1 million and $7.5 million of severance and other personnel costs related to the 2022 Restructuring Plan for the three and nine months ended March 31, 2024, respectively, and $32.5 million related to the 2024 Restructuring Plan for both the three and nine months ended March 31, 2024.</w:t>
      </w:r>
    </w:p>
    <w:p>
      <w:pPr>
        <w:pStyle w:val="TextBody"/>
        <w:bidi w:val="0"/>
        <w:spacing w:lineRule="auto" w:line="288" w:before="0" w:after="0"/>
        <w:jc w:val="left"/>
        <w:rPr>
          <w:rFonts w:ascii="Roboto;sans-serif" w:hAnsi="Roboto;sans-serif"/>
          <w:b w:val="false"/>
          <w:color w:val="000000"/>
          <w:sz w:val="14"/>
        </w:rPr>
      </w:pPr>
      <w:r>
        <w:rPr>
          <w:rFonts w:ascii="Roboto;sans-serif" w:hAnsi="Roboto;sans-serif"/>
          <w:b w:val="false"/>
          <w:color w:val="000000"/>
          <w:sz w:val="14"/>
        </w:rPr>
        <w:t>(3) Includes exit and disposal costs and professional fees related to the 2022 Restructuring Plan for the three and nine months ended March 31, 2024.</w:t>
      </w:r>
    </w:p>
    <w:p>
      <w:pPr>
        <w:pStyle w:val="TextBody"/>
        <w:bidi w:val="0"/>
        <w:spacing w:lineRule="auto" w:line="288" w:before="0" w:after="0"/>
        <w:jc w:val="left"/>
        <w:rPr>
          <w:rFonts w:ascii="Roboto;sans-serif" w:hAnsi="Roboto;sans-serif"/>
          <w:b w:val="false"/>
          <w:color w:val="000000"/>
          <w:sz w:val="14"/>
        </w:rPr>
      </w:pPr>
      <w:r>
        <w:rPr>
          <w:rFonts w:ascii="Roboto;sans-serif" w:hAnsi="Roboto;sans-serif"/>
          <w:b w:val="false"/>
          <w:color w:val="000000"/>
          <w:sz w:val="14"/>
        </w:rPr>
        <w:t xml:space="preserve">(4) Includes $7.0 million and $31.1 million of asset write-downs and write-offs related to the 2022 Restructuring Plan for the three and nine months ended March 31, 2024, respectively and $10.8 million related to the 2024 Restructuring Plan for both the three and nine months ended March 31, 2024. </w:t>
      </w:r>
    </w:p>
    <w:p>
      <w:pPr>
        <w:pStyle w:val="TextBody"/>
        <w:bidi w:val="0"/>
        <w:spacing w:lineRule="auto" w:line="288" w:before="0" w:after="0"/>
        <w:jc w:val="left"/>
        <w:rPr>
          <w:rFonts w:ascii="Roboto;sans-serif" w:hAnsi="Roboto;sans-serif"/>
          <w:b w:val="false"/>
          <w:color w:val="000000"/>
          <w:sz w:val="14"/>
        </w:rPr>
      </w:pPr>
      <w:r>
        <w:rPr>
          <w:rFonts w:ascii="Roboto;sans-serif" w:hAnsi="Roboto;sans-serif"/>
          <w:b w:val="false"/>
          <w:color w:val="000000"/>
          <w:sz w:val="14"/>
        </w:rPr>
        <w:t>(5) Includes $7.2 million of stock-based compensation expense related to the 2022 Restructuring Plan for the nine months ended March 31, 2024, and $1.7 million related to the 2024 Restructuring Plan for both the three and nine months ended March 31, 2024.</w:t>
      </w:r>
    </w:p>
    <w:p>
      <w:pPr>
        <w:pStyle w:val="TextBody"/>
        <w:bidi w:val="0"/>
        <w:spacing w:lineRule="auto" w:line="288" w:before="0" w:after="0"/>
        <w:jc w:val="left"/>
        <w:rPr>
          <w:rFonts w:ascii="Roboto;sans-serif" w:hAnsi="Roboto;sans-serif"/>
          <w:b w:val="false"/>
          <w:color w:val="000000"/>
          <w:sz w:val="14"/>
        </w:rPr>
      </w:pPr>
      <w:r>
        <w:rPr>
          <w:rFonts w:ascii="Roboto;sans-serif" w:hAnsi="Roboto;sans-serif"/>
          <w:b w:val="false"/>
          <w:color w:val="000000"/>
          <w:sz w:val="14"/>
        </w:rPr>
        <w:t>(6) Includes write-offs of inventory related to the 2022 Restructuring Plan.</w:t>
      </w:r>
    </w:p>
    <w:p>
      <w:pPr>
        <w:pStyle w:val="TextBody"/>
        <w:bidi w:val="0"/>
        <w:spacing w:lineRule="auto" w:line="288" w:before="0" w:after="0"/>
        <w:jc w:val="left"/>
        <w:rPr>
          <w:rFonts w:ascii="Roboto;sans-serif" w:hAnsi="Roboto;sans-serif"/>
          <w:b w:val="false"/>
          <w:color w:val="000000"/>
          <w:sz w:val="14"/>
        </w:rPr>
      </w:pPr>
      <w:r>
        <w:rPr>
          <w:rFonts w:ascii="Roboto;sans-serif" w:hAnsi="Roboto;sans-serif"/>
          <w:b w:val="false"/>
          <w:color w:val="000000"/>
          <w:sz w:val="14"/>
        </w:rPr>
        <w:t>(7) Includes loss on sale of subsidiary recognized in connection with the 2022 Restructuring Plan.</w:t>
      </w:r>
    </w:p>
    <w:p>
      <w:pPr>
        <w:pStyle w:val="TextBody"/>
        <w:bidi w:val="0"/>
        <w:spacing w:before="0" w:after="60"/>
        <w:jc w:val="left"/>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Due to the actions taken pursuant to the Restructuring Plans, the Company tested certain long-lived assets (asset groups) for recoverability by comparing the carrying values of the asset group to estimates of their future undiscounted cash flows, which were generally the liquidation value, or for operating lease right-of-use assets, income from a sublease arrangement. Based on the results of the recoverability tests, the Company determined that during the three and nine months ended March 31, 2025 and 2024, the undiscounted cash flows of certain assets (asset groups) were below their carrying values, indicating impairment. The assets were written down to their estimated fair values, which were determined based on their estimated liquidation or sales value, or for operating lease right-of-use assets, discounted cash flows of a sublease arrangement.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33350"/>
                <wp:effectExtent l="0" t="0" r="0" b="0"/>
                <wp:wrapNone/>
                <wp:docPr id="12" name="Frame12"/>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The following table presents a roll-forward of cash restructuring-related liabilities, which are included within Accounts payable and accrued expenses in the Condensed Consolidated Balance Sheets:</w:t>
      </w:r>
    </w:p>
    <w:tbl>
      <w:tblPr>
        <w:tblW w:w="10205" w:type="dxa"/>
        <w:jc w:val="left"/>
        <w:tblInd w:w="0" w:type="dxa"/>
        <w:tblLayout w:type="fixed"/>
        <w:tblCellMar>
          <w:top w:w="28" w:type="dxa"/>
          <w:left w:w="28" w:type="dxa"/>
          <w:bottom w:w="28" w:type="dxa"/>
          <w:right w:w="28" w:type="dxa"/>
        </w:tblCellMar>
      </w:tblPr>
      <w:tblGrid>
        <w:gridCol w:w="895"/>
        <w:gridCol w:w="786"/>
        <w:gridCol w:w="789"/>
        <w:gridCol w:w="684"/>
        <w:gridCol w:w="1776"/>
        <w:gridCol w:w="331"/>
        <w:gridCol w:w="109"/>
        <w:gridCol w:w="109"/>
        <w:gridCol w:w="109"/>
        <w:gridCol w:w="936"/>
        <w:gridCol w:w="1929"/>
        <w:gridCol w:w="454"/>
        <w:gridCol w:w="109"/>
        <w:gridCol w:w="109"/>
        <w:gridCol w:w="109"/>
        <w:gridCol w:w="226"/>
        <w:gridCol w:w="586"/>
        <w:gridCol w:w="159"/>
      </w:tblGrid>
      <w:tr>
        <w:trPr/>
        <w:tc>
          <w:tcPr>
            <w:tcW w:w="895"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77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92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Severance and other personnel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Exit and disposal costs and professional fees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Total</w:t>
            </w:r>
          </w:p>
        </w:tc>
      </w:tr>
      <w:tr>
        <w:trPr/>
        <w:tc>
          <w:tcPr>
            <w:tcW w:w="2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r>
      <w:tr>
        <w:trPr/>
        <w:tc>
          <w:tcPr>
            <w:tcW w:w="24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Balance as of December 31, 2023</w:t>
            </w:r>
          </w:p>
        </w:tc>
        <w:tc>
          <w:tcPr>
            <w:tcW w:w="6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7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2.2 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9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4.7 </w:t>
            </w:r>
          </w:p>
        </w:tc>
        <w:tc>
          <w:tcPr>
            <w:tcW w:w="4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8"/>
              </w:rPr>
              <w:t>Cash restructuring charges</w:t>
            </w:r>
            <w:r>
              <w:rPr>
                <w:rFonts w:ascii="Roboto;sans-serif" w:hAnsi="Roboto;sans-serif"/>
                <w:b w:val="false"/>
                <w:color w:val="000000"/>
                <w:sz w:val="12"/>
              </w:rPr>
              <w:t>(1)</w:t>
            </w:r>
          </w:p>
        </w:tc>
        <w:tc>
          <w:tcPr>
            <w:tcW w:w="24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33.6 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35.9 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Cash payments</w:t>
            </w:r>
          </w:p>
        </w:tc>
        <w:tc>
          <w:tcPr>
            <w:tcW w:w="24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(0.7)</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(4.0)</w:t>
            </w:r>
          </w:p>
        </w:tc>
        <w:tc>
          <w:tcPr>
            <w:tcW w:w="4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(4.7)</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Balance as of March 31, 2024</w:t>
            </w:r>
          </w:p>
        </w:tc>
        <w:tc>
          <w:tcPr>
            <w:tcW w:w="6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7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35.2 </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9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3.0 </w:t>
            </w:r>
          </w:p>
        </w:tc>
        <w:tc>
          <w:tcPr>
            <w:tcW w:w="4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5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38.2 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Balance as of December 31, 2024</w:t>
            </w:r>
          </w:p>
        </w:tc>
        <w:tc>
          <w:tcPr>
            <w:tcW w:w="6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7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9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2.6 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8"/>
              </w:rPr>
              <w:t>Cash restructuring charges</w:t>
            </w:r>
            <w:r>
              <w:rPr>
                <w:rFonts w:ascii="Roboto;sans-serif" w:hAnsi="Roboto;sans-serif"/>
                <w:b w:val="false"/>
                <w:color w:val="000000"/>
                <w:sz w:val="12"/>
              </w:rPr>
              <w:t>(2)</w:t>
            </w:r>
          </w:p>
        </w:tc>
        <w:tc>
          <w:tcPr>
            <w:tcW w:w="24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0.2 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2.2 </w:t>
            </w:r>
          </w:p>
        </w:tc>
        <w:tc>
          <w:tcPr>
            <w:tcW w:w="4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Cash payments</w:t>
            </w:r>
          </w:p>
        </w:tc>
        <w:tc>
          <w:tcPr>
            <w:tcW w:w="24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(0.4)</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(3.1)</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(3.5)</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Balance as of March 31, 2025</w:t>
            </w:r>
          </w:p>
        </w:tc>
        <w:tc>
          <w:tcPr>
            <w:tcW w:w="6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7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0.8 </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9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1.7 </w:t>
            </w:r>
          </w:p>
        </w:tc>
        <w:tc>
          <w:tcPr>
            <w:tcW w:w="4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5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2.5 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Roboto;sans-serif" w:hAnsi="Roboto;sans-serif"/>
          <w:b w:val="false"/>
          <w:color w:val="000000"/>
          <w:sz w:val="18"/>
        </w:rPr>
      </w:pPr>
      <w:r>
        <w:rPr>
          <w:rFonts w:ascii="Roboto;sans-serif" w:hAnsi="Roboto;sans-serif"/>
          <w:b w:val="false"/>
          <w:color w:val="000000"/>
          <w:sz w:val="18"/>
        </w:rPr>
        <w:t>_________________________</w:t>
      </w:r>
    </w:p>
    <w:p>
      <w:pPr>
        <w:pStyle w:val="TextBody"/>
        <w:bidi w:val="0"/>
        <w:spacing w:lineRule="auto" w:line="288" w:before="0" w:after="0"/>
        <w:jc w:val="left"/>
        <w:rPr>
          <w:rFonts w:ascii="Roboto;sans-serif" w:hAnsi="Roboto;sans-serif"/>
          <w:b w:val="false"/>
          <w:color w:val="000000"/>
          <w:sz w:val="14"/>
        </w:rPr>
      </w:pPr>
      <w:r>
        <w:rPr>
          <w:rFonts w:ascii="Roboto;sans-serif" w:hAnsi="Roboto;sans-serif"/>
          <w:b w:val="false"/>
          <w:color w:val="000000"/>
          <w:sz w:val="14"/>
        </w:rPr>
        <w:t>(1) Includes $1.1 million and $32.5 million of cash charges for severance and other personnel costs related to the 2022 Restructuring Plan and 2024 Restructuring Plan, respectively, for the three months ended March 31, 2024.</w:t>
      </w:r>
    </w:p>
    <w:p>
      <w:pPr>
        <w:pStyle w:val="TextBody"/>
        <w:bidi w:val="0"/>
        <w:spacing w:lineRule="auto" w:line="288" w:before="0" w:after="0"/>
        <w:jc w:val="left"/>
        <w:rPr>
          <w:rFonts w:ascii="Roboto;sans-serif" w:hAnsi="Roboto;sans-serif"/>
          <w:b w:val="false"/>
          <w:color w:val="000000"/>
          <w:sz w:val="14"/>
        </w:rPr>
      </w:pPr>
      <w:r>
        <w:rPr>
          <w:rFonts w:ascii="Roboto;sans-serif" w:hAnsi="Roboto;sans-serif"/>
          <w:b w:val="false"/>
          <w:color w:val="000000"/>
          <w:sz w:val="14"/>
        </w:rPr>
        <w:t>(2) All cash restructuring-related liabilities for the three months ended March 31, 2025 related to the 2024 Restructuring Plan.</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22"/>
        <w:gridCol w:w="668"/>
        <w:gridCol w:w="671"/>
        <w:gridCol w:w="707"/>
        <w:gridCol w:w="1836"/>
        <w:gridCol w:w="342"/>
        <w:gridCol w:w="109"/>
        <w:gridCol w:w="109"/>
        <w:gridCol w:w="109"/>
        <w:gridCol w:w="968"/>
        <w:gridCol w:w="1996"/>
        <w:gridCol w:w="469"/>
        <w:gridCol w:w="109"/>
        <w:gridCol w:w="109"/>
        <w:gridCol w:w="109"/>
        <w:gridCol w:w="226"/>
        <w:gridCol w:w="586"/>
        <w:gridCol w:w="160"/>
      </w:tblGrid>
      <w:tr>
        <w:trPr/>
        <w:tc>
          <w:tcPr>
            <w:tcW w:w="922"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83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Severance and other personnel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Exit and disposal costs and professional fees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Total</w:t>
            </w:r>
          </w:p>
        </w:tc>
      </w:tr>
      <w:tr>
        <w:trPr/>
        <w:tc>
          <w:tcPr>
            <w:tcW w:w="2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r>
      <w:tr>
        <w:trPr/>
        <w:tc>
          <w:tcPr>
            <w:tcW w:w="2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Balance as of June 30, 2023</w:t>
            </w:r>
          </w:p>
        </w:tc>
        <w:tc>
          <w:tcPr>
            <w:tcW w:w="7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8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13.6 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9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0.3 </w:t>
            </w:r>
          </w:p>
        </w:tc>
        <w:tc>
          <w:tcPr>
            <w:tcW w:w="4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8"/>
              </w:rPr>
              <w:t>Cash restructuring charges</w:t>
            </w:r>
            <w:r>
              <w:rPr>
                <w:rFonts w:ascii="Roboto;sans-serif" w:hAnsi="Roboto;sans-serif"/>
                <w:b w:val="false"/>
                <w:color w:val="000000"/>
                <w:sz w:val="12"/>
              </w:rPr>
              <w:t>(1)</w:t>
            </w:r>
          </w:p>
        </w:tc>
        <w:tc>
          <w:tcPr>
            <w:tcW w:w="25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40.0 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16.1 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56.1 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Cash payments</w:t>
            </w:r>
          </w:p>
        </w:tc>
        <w:tc>
          <w:tcPr>
            <w:tcW w:w="25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(18.4)</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(13.5)</w:t>
            </w:r>
          </w:p>
        </w:tc>
        <w:tc>
          <w:tcPr>
            <w:tcW w:w="4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(31.9)</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Balance as of March 31, 2024</w:t>
            </w:r>
          </w:p>
        </w:tc>
        <w:tc>
          <w:tcPr>
            <w:tcW w:w="7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8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35.2 </w:t>
            </w:r>
          </w:p>
        </w:tc>
        <w:tc>
          <w:tcPr>
            <w:tcW w:w="3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9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3.0 </w:t>
            </w:r>
          </w:p>
        </w:tc>
        <w:tc>
          <w:tcPr>
            <w:tcW w:w="4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5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38.2 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Balance as of June 30, 2024</w:t>
            </w:r>
          </w:p>
        </w:tc>
        <w:tc>
          <w:tcPr>
            <w:tcW w:w="7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12.7 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9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4.3 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8"/>
              </w:rPr>
              <w:t>Cash restructuring charges</w:t>
            </w:r>
            <w:r>
              <w:rPr>
                <w:rFonts w:ascii="Roboto;sans-serif" w:hAnsi="Roboto;sans-serif"/>
                <w:b w:val="false"/>
                <w:color w:val="000000"/>
                <w:sz w:val="12"/>
              </w:rPr>
              <w:t>(2)</w:t>
            </w:r>
          </w:p>
        </w:tc>
        <w:tc>
          <w:tcPr>
            <w:tcW w:w="25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0.3 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8.3 </w:t>
            </w:r>
          </w:p>
        </w:tc>
        <w:tc>
          <w:tcPr>
            <w:tcW w:w="4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Cash payments</w:t>
            </w:r>
          </w:p>
        </w:tc>
        <w:tc>
          <w:tcPr>
            <w:tcW w:w="25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(12.2)</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(10.9)</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(23.1)</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Balance as of March 31, 2025</w:t>
            </w:r>
          </w:p>
        </w:tc>
        <w:tc>
          <w:tcPr>
            <w:tcW w:w="7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8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0.8 </w:t>
            </w:r>
          </w:p>
        </w:tc>
        <w:tc>
          <w:tcPr>
            <w:tcW w:w="3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9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1.7 </w:t>
            </w:r>
          </w:p>
        </w:tc>
        <w:tc>
          <w:tcPr>
            <w:tcW w:w="4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5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2.5 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rFonts w:ascii="Roboto;sans-serif" w:hAnsi="Roboto;sans-serif"/>
          <w:b w:val="false"/>
          <w:color w:val="000000"/>
          <w:sz w:val="18"/>
        </w:rPr>
      </w:pPr>
      <w:r>
        <w:rPr>
          <w:rFonts w:ascii="Roboto;sans-serif" w:hAnsi="Roboto;sans-serif"/>
          <w:b w:val="false"/>
          <w:color w:val="000000"/>
          <w:sz w:val="18"/>
        </w:rPr>
        <w:t>_________________________</w:t>
      </w:r>
    </w:p>
    <w:p>
      <w:pPr>
        <w:pStyle w:val="TextBody"/>
        <w:bidi w:val="0"/>
        <w:spacing w:lineRule="auto" w:line="288" w:before="0" w:after="0"/>
        <w:jc w:val="left"/>
        <w:rPr>
          <w:rFonts w:ascii="Roboto;sans-serif" w:hAnsi="Roboto;sans-serif"/>
          <w:b w:val="false"/>
          <w:color w:val="000000"/>
          <w:sz w:val="14"/>
        </w:rPr>
      </w:pPr>
      <w:r>
        <w:rPr>
          <w:rFonts w:ascii="Roboto;sans-serif" w:hAnsi="Roboto;sans-serif"/>
          <w:b w:val="false"/>
          <w:color w:val="000000"/>
          <w:sz w:val="14"/>
        </w:rPr>
        <w:t>(1) Includes $7.5 million and $32.5 million of cash charges for severance and other personnel costs related to the 2022 Restructuring Plan and 2024 Restructuring Plan, respectively, for the nine months ended March 31, 2024.</w:t>
      </w:r>
    </w:p>
    <w:p>
      <w:pPr>
        <w:pStyle w:val="TextBody"/>
        <w:bidi w:val="0"/>
        <w:spacing w:lineRule="auto" w:line="288" w:before="0" w:after="0"/>
        <w:jc w:val="left"/>
        <w:rPr>
          <w:rFonts w:ascii="Roboto;sans-serif" w:hAnsi="Roboto;sans-serif"/>
          <w:b w:val="false"/>
          <w:color w:val="000000"/>
          <w:sz w:val="14"/>
        </w:rPr>
      </w:pPr>
      <w:r>
        <w:rPr>
          <w:rFonts w:ascii="Roboto;sans-serif" w:hAnsi="Roboto;sans-serif"/>
          <w:b w:val="false"/>
          <w:color w:val="000000"/>
          <w:sz w:val="14"/>
        </w:rPr>
        <w:t>(2) All cash restructuring-related liabilities for the nine months ended March 31, 2025 related to the 2024 Restructuring Plan.</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Under the 2024 Restructuring Plan, which includes any remaining restructuring activity under the original 2022 Restructuring Plan, the Company estimates that it will incur additional cash restructuring charges of approximately $20.0 million, primarily composed of lease termination and other exit costs, and non-cash restructuring charges of approximately $10.0 million, primarily composed of asset write-downs and write-offs, in connection with the continued exit of the Company’s retail and other leased locations. The Company expects actions pursuant to the 2024 Restructuring Plan to be substantially complete by the end of fiscal year 2025.</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33350"/>
                <wp:effectExtent l="0" t="0" r="0" b="0"/>
                <wp:wrapNone/>
                <wp:docPr id="13" name="Frame13"/>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rFonts w:ascii="Roboto;sans-serif" w:hAnsi="Roboto;sans-serif"/>
          <w:b/>
          <w:color w:val="000000"/>
          <w:sz w:val="18"/>
        </w:rPr>
      </w:pPr>
      <w:r>
        <w:rPr>
          <w:rFonts w:ascii="Roboto;sans-serif" w:hAnsi="Roboto;sans-serif"/>
          <w:b/>
          <w:color w:val="000000"/>
          <w:sz w:val="18"/>
        </w:rPr>
        <w:t>5. Fair Value Measurements</w:t>
      </w:r>
    </w:p>
    <w:p>
      <w:pPr>
        <w:pStyle w:val="TextBody"/>
        <w:bidi w:val="0"/>
        <w:spacing w:before="0" w:after="0"/>
        <w:jc w:val="left"/>
        <w:rPr/>
      </w:pPr>
      <w:r>
        <w:rPr/>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Fair Value Measurements of Other Financial Instruments</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The following table presents the estimated fair values and carrying amounts of the Company’s financial instruments that are not recorded at fair value on the Condensed Consolidated Balance Sheets. All of these liabilities’ fair value are considered Level 2.</w:t>
      </w:r>
    </w:p>
    <w:tbl>
      <w:tblPr>
        <w:tblW w:w="10205" w:type="dxa"/>
        <w:jc w:val="left"/>
        <w:tblInd w:w="0" w:type="dxa"/>
        <w:tblLayout w:type="fixed"/>
        <w:tblCellMar>
          <w:top w:w="28" w:type="dxa"/>
          <w:left w:w="28" w:type="dxa"/>
          <w:bottom w:w="28" w:type="dxa"/>
          <w:right w:w="28" w:type="dxa"/>
        </w:tblCellMar>
      </w:tblPr>
      <w:tblGrid>
        <w:gridCol w:w="1161"/>
        <w:gridCol w:w="990"/>
        <w:gridCol w:w="995"/>
        <w:gridCol w:w="332"/>
        <w:gridCol w:w="1302"/>
        <w:gridCol w:w="159"/>
        <w:gridCol w:w="109"/>
        <w:gridCol w:w="109"/>
        <w:gridCol w:w="109"/>
        <w:gridCol w:w="226"/>
        <w:gridCol w:w="886"/>
        <w:gridCol w:w="109"/>
        <w:gridCol w:w="109"/>
        <w:gridCol w:w="109"/>
        <w:gridCol w:w="109"/>
        <w:gridCol w:w="332"/>
        <w:gridCol w:w="1302"/>
        <w:gridCol w:w="159"/>
        <w:gridCol w:w="109"/>
        <w:gridCol w:w="109"/>
        <w:gridCol w:w="109"/>
        <w:gridCol w:w="226"/>
        <w:gridCol w:w="886"/>
        <w:gridCol w:w="159"/>
      </w:tblGrid>
      <w:tr>
        <w:trPr/>
        <w:tc>
          <w:tcPr>
            <w:tcW w:w="1161"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June 30, 2024</w:t>
            </w:r>
          </w:p>
        </w:tc>
      </w:tr>
      <w:tr>
        <w:trPr/>
        <w:tc>
          <w:tcPr>
            <w:tcW w:w="3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Roboto;sans-serif" w:hAnsi="Roboto;sans-serif"/>
                <w:b/>
                <w:color w:val="000000"/>
                <w:sz w:val="18"/>
              </w:rPr>
              <w:t>Carrying Amount</w:t>
            </w:r>
            <w:r>
              <w:rPr>
                <w:rFonts w:ascii="Roboto;sans-serif" w:hAnsi="Roboto;sans-serif"/>
                <w:b/>
                <w:color w:val="000000"/>
                <w:sz w:val="12"/>
              </w:rPr>
              <w:t>(1)</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 xml:space="preserve">Estimated </w:t>
              <w:br/>
              <w:t>Fair Value</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pPr>
            <w:r>
              <w:rPr>
                <w:rFonts w:ascii="Roboto;sans-serif" w:hAnsi="Roboto;sans-serif"/>
                <w:b/>
                <w:color w:val="000000"/>
                <w:sz w:val="18"/>
              </w:rPr>
              <w:t>Carrying Amount</w:t>
            </w:r>
            <w:r>
              <w:rPr>
                <w:rFonts w:ascii="Roboto;sans-serif" w:hAnsi="Roboto;sans-serif"/>
                <w:b/>
                <w:color w:val="000000"/>
                <w:sz w:val="12"/>
              </w:rPr>
              <w:t>(1)</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 xml:space="preserve">Estimated </w:t>
              <w:br/>
              <w:t>Fair Value</w:t>
            </w:r>
          </w:p>
        </w:tc>
      </w:tr>
      <w:tr>
        <w:trPr/>
        <w:tc>
          <w:tcPr>
            <w:tcW w:w="3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9"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r>
      <w:tr>
        <w:trPr/>
        <w:tc>
          <w:tcPr>
            <w:tcW w:w="31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0.00% Convertible Senior Notes due 2026</w:t>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3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199.0 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3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199.0 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175.0 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5.50% Convertible Senior Notes due 2029</w:t>
            </w:r>
          </w:p>
        </w:tc>
        <w:tc>
          <w:tcPr>
            <w:tcW w:w="1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350.0 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592.2 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350.0 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353.0 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Term Loan due and payable on May 30, 2029</w:t>
            </w:r>
          </w:p>
        </w:tc>
        <w:tc>
          <w:tcPr>
            <w:tcW w:w="1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992.5 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1,000.0 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1,000.0 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 xml:space="preserve">Total </w:t>
            </w:r>
          </w:p>
        </w:tc>
        <w:tc>
          <w:tcPr>
            <w:tcW w:w="3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3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1,541.5 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1,773.3 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3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1,549.0 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1,528.0 </w:t>
            </w:r>
          </w:p>
        </w:tc>
        <w:tc>
          <w:tcPr>
            <w:tcW w:w="159" w:type="dxa"/>
            <w:tcBorders>
              <w:top w:val="single" w:sz="8" w:space="0" w:color="000000"/>
              <w:bottom w:val="double" w:sz="8" w:space="0" w:color="000000"/>
              <w:right w:val="single" w:sz="8" w:space="0" w:color="000000"/>
            </w:tcBorders>
            <w:shd w:fill="FFFFFF" w:val="clear"/>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_________________________</w:t>
      </w:r>
    </w:p>
    <w:p>
      <w:pPr>
        <w:pStyle w:val="TextBody"/>
        <w:bidi w:val="0"/>
        <w:spacing w:lineRule="auto" w:line="288" w:before="0" w:after="0"/>
        <w:jc w:val="left"/>
        <w:rPr/>
      </w:pPr>
      <w:r>
        <w:rPr>
          <w:rFonts w:ascii="Roboto;sans-serif" w:hAnsi="Roboto;sans-serif"/>
          <w:b w:val="false"/>
          <w:color w:val="000000"/>
          <w:sz w:val="14"/>
        </w:rPr>
        <w:t>(1) Carrying Amount excludes unamortized debt discount and issuance costs of $23.9 million</w:t>
      </w:r>
      <w:r>
        <w:rPr>
          <w:color w:val="000000"/>
        </w:rPr>
        <w:t xml:space="preserve"> </w:t>
      </w:r>
      <w:r>
        <w:rPr>
          <w:rFonts w:ascii="Roboto;sans-serif" w:hAnsi="Roboto;sans-serif"/>
          <w:b w:val="false"/>
          <w:color w:val="000000"/>
          <w:sz w:val="14"/>
        </w:rPr>
        <w:t>and</w:t>
      </w:r>
      <w:r>
        <w:rPr>
          <w:color w:val="000000"/>
        </w:rPr>
        <w:t xml:space="preserve"> </w:t>
      </w:r>
      <w:r>
        <w:rPr>
          <w:rFonts w:ascii="Roboto;sans-serif" w:hAnsi="Roboto;sans-serif"/>
          <w:b w:val="false"/>
          <w:color w:val="000000"/>
          <w:sz w:val="14"/>
        </w:rPr>
        <w:t>$18.4 million, respectively, as of March 31, 2025, and unamortized debt discount and issuance costs of $27.4 million</w:t>
      </w:r>
      <w:r>
        <w:rPr>
          <w:color w:val="000000"/>
        </w:rPr>
        <w:t xml:space="preserve"> </w:t>
      </w:r>
      <w:r>
        <w:rPr>
          <w:rFonts w:ascii="Roboto;sans-serif" w:hAnsi="Roboto;sans-serif"/>
          <w:b w:val="false"/>
          <w:color w:val="000000"/>
          <w:sz w:val="14"/>
        </w:rPr>
        <w:t>and</w:t>
      </w:r>
      <w:r>
        <w:rPr>
          <w:color w:val="000000"/>
        </w:rPr>
        <w:t xml:space="preserve"> </w:t>
      </w:r>
      <w:r>
        <w:rPr>
          <w:rFonts w:ascii="Roboto;sans-serif" w:hAnsi="Roboto;sans-serif"/>
          <w:b w:val="false"/>
          <w:color w:val="000000"/>
          <w:sz w:val="14"/>
        </w:rPr>
        <w:t>$21.6 million, respectively, as of June 30, 2024.</w:t>
      </w:r>
    </w:p>
    <w:p>
      <w:pPr>
        <w:pStyle w:val="TextBody"/>
        <w:bidi w:val="0"/>
        <w:spacing w:before="0" w:after="0"/>
        <w:jc w:val="left"/>
        <w:rPr/>
      </w:pPr>
      <w:r>
        <w:rPr/>
      </w:r>
    </w:p>
    <w:p>
      <w:pPr>
        <w:pStyle w:val="TextBody"/>
        <w:bidi w:val="0"/>
        <w:spacing w:lineRule="auto" w:line="288" w:before="0" w:after="0"/>
        <w:jc w:val="left"/>
        <w:rPr/>
      </w:pPr>
      <w:r>
        <w:rPr>
          <w:rFonts w:ascii="Roboto;sans-serif" w:hAnsi="Roboto;sans-serif"/>
          <w:b w:val="false"/>
          <w:color w:val="000000"/>
          <w:sz w:val="18"/>
        </w:rPr>
        <w:t xml:space="preserve">The estimated fair value of the 2026 Notes and the estimated fair value of the 2029 Notes (each as defined in </w:t>
      </w:r>
      <w:r>
        <w:rPr>
          <w:rFonts w:ascii="Roboto;sans-serif" w:hAnsi="Roboto;sans-serif"/>
          <w:b w:val="false"/>
          <w:i/>
          <w:color w:val="000000"/>
          <w:sz w:val="18"/>
        </w:rPr>
        <w:t>Note 7 - Debt</w:t>
      </w:r>
      <w:r>
        <w:rPr>
          <w:rFonts w:ascii="Roboto;sans-serif" w:hAnsi="Roboto;sans-serif"/>
          <w:b w:val="false"/>
          <w:color w:val="000000"/>
          <w:sz w:val="18"/>
        </w:rPr>
        <w:t>) are determined based on the respective closing prices on the last trading day of the reporting period.</w:t>
      </w:r>
    </w:p>
    <w:p>
      <w:pPr>
        <w:pStyle w:val="TextBody"/>
        <w:bidi w:val="0"/>
        <w:spacing w:before="0" w:after="0"/>
        <w:jc w:val="left"/>
        <w:rPr/>
      </w:pPr>
      <w:r>
        <w:rPr/>
      </w:r>
    </w:p>
    <w:p>
      <w:pPr>
        <w:pStyle w:val="TextBody"/>
        <w:bidi w:val="0"/>
        <w:spacing w:lineRule="auto" w:line="288" w:before="0" w:after="0"/>
        <w:jc w:val="both"/>
        <w:rPr/>
      </w:pPr>
      <w:r>
        <w:rPr>
          <w:rFonts w:ascii="Roboto;sans-serif" w:hAnsi="Roboto;sans-serif"/>
          <w:b w:val="false"/>
          <w:color w:val="000000"/>
          <w:sz w:val="18"/>
        </w:rPr>
        <w:t xml:space="preserve">The carrying value of the Term Loan (as defined in </w:t>
      </w:r>
      <w:r>
        <w:rPr>
          <w:rFonts w:ascii="Roboto;sans-serif" w:hAnsi="Roboto;sans-serif"/>
          <w:b w:val="false"/>
          <w:i/>
          <w:color w:val="000000"/>
          <w:sz w:val="18"/>
        </w:rPr>
        <w:t>Note 7 - Debt</w:t>
      </w:r>
      <w:r>
        <w:rPr>
          <w:rFonts w:ascii="Roboto;sans-serif" w:hAnsi="Roboto;sans-serif"/>
          <w:b w:val="false"/>
          <w:color w:val="000000"/>
          <w:sz w:val="18"/>
        </w:rPr>
        <w:t>) approximates the fair value of the Term Loan as of March 31, 2025 and June 30,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Roboto;sans-serif" w:hAnsi="Roboto;sans-serif"/>
          <w:b/>
          <w:color w:val="000000"/>
          <w:sz w:val="18"/>
        </w:rPr>
      </w:pPr>
      <w:r>
        <w:rPr>
          <w:rFonts w:ascii="Roboto;sans-serif" w:hAnsi="Roboto;sans-serif"/>
          <w:b/>
          <w:color w:val="000000"/>
          <w:sz w:val="18"/>
        </w:rPr>
        <w:t>6. Inventories</w:t>
      </w:r>
    </w:p>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Inventories, net were as follows:</w:t>
      </w:r>
    </w:p>
    <w:tbl>
      <w:tblPr>
        <w:tblW w:w="5514" w:type="dxa"/>
        <w:jc w:val="left"/>
        <w:tblInd w:w="0" w:type="dxa"/>
        <w:tblLayout w:type="fixed"/>
        <w:tblCellMar>
          <w:top w:w="28" w:type="dxa"/>
          <w:left w:w="28" w:type="dxa"/>
          <w:bottom w:w="28" w:type="dxa"/>
          <w:right w:w="28" w:type="dxa"/>
        </w:tblCellMar>
      </w:tblPr>
      <w:tblGrid>
        <w:gridCol w:w="732"/>
        <w:gridCol w:w="644"/>
        <w:gridCol w:w="648"/>
        <w:gridCol w:w="358"/>
        <w:gridCol w:w="1119"/>
        <w:gridCol w:w="172"/>
        <w:gridCol w:w="109"/>
        <w:gridCol w:w="109"/>
        <w:gridCol w:w="109"/>
        <w:gridCol w:w="315"/>
        <w:gridCol w:w="985"/>
        <w:gridCol w:w="214"/>
      </w:tblGrid>
      <w:tr>
        <w:trPr/>
        <w:tc>
          <w:tcPr>
            <w:tcW w:w="73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June 30, 2024</w:t>
            </w:r>
          </w:p>
        </w:tc>
      </w:tr>
      <w:tr>
        <w:trPr/>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r>
      <w:tr>
        <w:trPr/>
        <w:tc>
          <w:tcPr>
            <w:tcW w:w="2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Raw materials</w:t>
            </w:r>
          </w:p>
        </w:tc>
        <w:tc>
          <w:tcPr>
            <w:tcW w:w="3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1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24.4 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29.8 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r>
      <w:tr>
        <w:trPr/>
        <w:tc>
          <w:tcPr>
            <w:tcW w:w="20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8"/>
              </w:rPr>
              <w:t>Finished products</w:t>
            </w:r>
            <w:r>
              <w:rPr>
                <w:rFonts w:ascii="Roboto;sans-serif" w:hAnsi="Roboto;sans-serif"/>
                <w:b w:val="false"/>
                <w:color w:val="000000"/>
                <w:sz w:val="12"/>
              </w:rPr>
              <w:t>(1)</w:t>
            </w:r>
          </w:p>
        </w:tc>
        <w:tc>
          <w:tcPr>
            <w:tcW w:w="1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355.9 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487.6 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inventories</w:t>
            </w:r>
          </w:p>
        </w:tc>
        <w:tc>
          <w:tcPr>
            <w:tcW w:w="14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380.2 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517.4 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Less: Reserves</w:t>
            </w:r>
          </w:p>
        </w:tc>
        <w:tc>
          <w:tcPr>
            <w:tcW w:w="1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(166.7)</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(187.7)</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inventories, net</w:t>
            </w:r>
          </w:p>
        </w:tc>
        <w:tc>
          <w:tcPr>
            <w:tcW w:w="3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213.5 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329.7 </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_________________________</w:t>
      </w:r>
    </w:p>
    <w:p>
      <w:pPr>
        <w:pStyle w:val="TextBody"/>
        <w:bidi w:val="0"/>
        <w:spacing w:lineRule="auto" w:line="288" w:before="0" w:after="240"/>
        <w:jc w:val="left"/>
        <w:rPr>
          <w:rFonts w:ascii="Roboto;sans-serif" w:hAnsi="Roboto;sans-serif"/>
          <w:b w:val="false"/>
          <w:color w:val="000000"/>
          <w:sz w:val="14"/>
        </w:rPr>
      </w:pPr>
      <w:r>
        <w:rPr>
          <w:rFonts w:ascii="Roboto;sans-serif" w:hAnsi="Roboto;sans-serif"/>
          <w:b w:val="false"/>
          <w:color w:val="000000"/>
          <w:sz w:val="14"/>
        </w:rPr>
        <w:t>(1) Includes $20.9 million and $35.2 million of finished goods inventory in transit, products owned by the Company that have not yet been received at a Company distribution center, as of March 31, 2025 and June 30, 2024, respectively.</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Company periodically assesses and adjusts the value of inventory for estimated excess and obsolete inventory based upon estimates of future demand and market conditions, as well as damaged or otherwise impaired goods. The Company’s recorded inventory reserves as of March 31, 2025 and June 30, 2024 primarily consisted of $73.3 million and $78.3 million, respectively, related to excess accessories and apparel inventory, and $70.2 million and $85.2 million, respectively, related to excess returned Connected Fitness Products, including Guide.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Roboto;sans-serif" w:hAnsi="Roboto;sans-serif"/>
          <w:b/>
          <w:color w:val="000000"/>
          <w:sz w:val="18"/>
        </w:rPr>
      </w:pPr>
      <w:r>
        <w:rPr>
          <w:rFonts w:ascii="Roboto;sans-serif" w:hAnsi="Roboto;sans-serif"/>
          <w:b/>
          <w:color w:val="000000"/>
          <w:sz w:val="18"/>
        </w:rPr>
        <w:t>7. Debt</w:t>
      </w:r>
    </w:p>
    <w:p>
      <w:pPr>
        <w:pStyle w:val="TextBody"/>
        <w:bidi w:val="0"/>
        <w:spacing w:before="0" w:after="0"/>
        <w:jc w:val="left"/>
        <w:rPr/>
      </w:pPr>
      <w:r>
        <w:rPr/>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Convertible Notes due 2029</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In May 2024, the Company issued $350.0 million aggregate principal amount of 5.50% Convertible Senior Notes due 2029 (the “2029 Notes”) in a private offering, including the exercise in full of the option granted to the initial purchasers to purchase $50.0 million of the 2029 Notes. The 2029 Notes were issued pursuant to an Indenture (the “2029 Notes Indenture”) between the Company and U.S. Bank Trust Company, National Association, as trustee. The 2029 Notes bear interest at a rate of 5.50% per annum, payable semi-annually in arrears on June 1 and December 1 of each year, beginning on December 1, 2024. The net proceeds from this offering of 2029 Notes were approximately $342.3 million, after deducting the initial purchasers' discounts and commissions of $7.7 million.</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Each $1,000 principal amount of the 2029 Notes is initially convertible into 218.4360 shares of Class A common stock, which is equivalent to an initial conversion price of approximately $4.58 per share. The conversion rate is subject to customary adjustments under certain circumstances in accordance with the terms of the 2029 Notes Indenture. In addition, if certain corporate events that constitute a make-whole fundamental change occur or the Company elects to redeem the 2029 Notes, then the conversion rate will, in certain circumstances, be increased for a specified period of time.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33350"/>
                <wp:effectExtent l="0" t="0" r="0" b="0"/>
                <wp:wrapNone/>
                <wp:docPr id="14" name="Frame14"/>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2029 Notes will mature on December 1, 2029, unless earlier converted, redeemed, or repurchased. The 2029 Notes will be convertible at the option of the holders at certain times and upon the occurrence of certain events. A holder may convert its 2029 Notes during any calendar quarter (and only during such calendar quarter), if the last reported sale price per share of the Class A common stock exceeds 130% of the conversion price for each of at least 20 trading days (whether or not consecutive) during the 30 consecutive trading days ending on, and including, the last trading day of the immediately preceding calendar quarter. The last reported sale price of the Class A common stock exceeded 130% of the conversion price of the 2029 Notes for more than 20 trading days during the 30 consecutive trading days, including the last trading day, ended March 31, 2025. Accordingly, as of April 1, 2025, the 2029 Notes may be converted at the option of the applicable holder through June 30, 2025.</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On or after September 1, 2029, until the close of business on the second scheduled trading day immediately preceding the maturity date, holders may convert all or any portion of their 2029 Notes, in multiples of $1,000 principal amount, at the option of the holder. </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Company may satisfy any conversion obligation under the 2029 Notes by paying and/or delivering, as the case may be, cash, shares of the Class A common stock or a combination of cash and shares of the Class A common stock, at the Company’s election, in the manner and subject to the terms and conditions provided in the 2029 Notes Indenture. If all of the 2029 Notes were to be converted prior to June 30, 2025, the Company’s current intention would be to settle such conversion in shares of the Class A common stock.</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Company may redeem for cash all or any portion (subject to the partial redemption limitation described in the 2029 Notes Indenture) of the 2029 Notes, at its option, on or after June 7, 2027 and on or before the 20th scheduled trading day immediately before the maturity date, if the last reported sale price per share of the Class A common stock exceeds 130% of the conversion price then in effect on (1) each of at least 20 trading days (whether or not consecutive) during the 30 consecutive trading days ending on, and including, the trading day immediately preceding the date on which the Company provides notice of redemption and (2) the trading day immediately before the date the Company sends such notice at a redemption price equal to 100% of the principal amount of the 2029 Notes to be redeemed, plus any accrued and unpaid interest to, but excluding, the redemption date. No sinking fund is provided for the 2029 Notes, which means that the Company is not required to redeem or retire the 2029 Notes periodically.</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Upon the occurrence of a fundamental change (as defined in the 2029 Notes Indenture), subject to certain conditions, holders may require the Company to repurchase all or a portion of the 2029 Notes for cash at a price equal to 100% of the principal amount of the 2029 Notes to be repurchased, plus any accrued and unpaid interest to, but excluding, the fundamental change repurchase date. The definition of fundamental change includes certain business combination transactions involving the Company and certain de-listing events with respect to the Company’s common stock.</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2029 Notes are senior unsecured obligations of the Company and rank senior in right of payment to any of the Company’s future indebtedness that is expressly subordinated in right of payment to the 2029 Notes; equal in right of payment to any of the Company’s existing and future indebtedness that is not so subordinated; effectively subordinated in right of payment to any of the Company’s existing and future secured indebtedness to the extent of the value of the collateral securing such indebtedness; and structurally subordinated to all existing and future indebtedness and other liabilities of current or future subsidiaries of the Company (including trade payables and to the extent the Company is not a holder thereof, preferred equity, if any, of the Company’s subsidiaries).</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effective interest rate upon issuance of the 2029 Notes was 5.97%, which is the effective interest rate as of March 31, 2025.</w:t>
      </w:r>
    </w:p>
    <w:p>
      <w:pPr>
        <w:pStyle w:val="TextBody"/>
        <w:bidi w:val="0"/>
        <w:spacing w:before="0" w:after="0"/>
        <w:jc w:val="both"/>
        <w:rPr/>
      </w:pPr>
      <w:r>
        <w:rPr/>
      </w:r>
    </w:p>
    <w:p>
      <w:pPr>
        <w:pStyle w:val="TextBody"/>
        <w:bidi w:val="0"/>
        <w:spacing w:lineRule="auto" w:line="417" w:before="60" w:after="60"/>
        <w:jc w:val="left"/>
        <w:rPr>
          <w:rFonts w:ascii="Roboto;sans-serif" w:hAnsi="Roboto;sans-serif"/>
          <w:b w:val="false"/>
          <w:color w:val="000000"/>
          <w:sz w:val="18"/>
        </w:rPr>
      </w:pPr>
      <w:r>
        <w:rPr>
          <w:rFonts w:ascii="Roboto;sans-serif" w:hAnsi="Roboto;sans-serif"/>
          <w:b w:val="false"/>
          <w:color w:val="000000"/>
          <w:sz w:val="18"/>
        </w:rPr>
        <w:t>The net carrying amount of the 2029 Notes was as follows:</w:t>
      </w:r>
    </w:p>
    <w:tbl>
      <w:tblPr>
        <w:tblW w:w="6610" w:type="dxa"/>
        <w:jc w:val="left"/>
        <w:tblInd w:w="0" w:type="dxa"/>
        <w:tblLayout w:type="fixed"/>
        <w:tblCellMar>
          <w:top w:w="28" w:type="dxa"/>
          <w:left w:w="28" w:type="dxa"/>
          <w:bottom w:w="28" w:type="dxa"/>
          <w:right w:w="28" w:type="dxa"/>
        </w:tblCellMar>
      </w:tblPr>
      <w:tblGrid>
        <w:gridCol w:w="1130"/>
        <w:gridCol w:w="993"/>
        <w:gridCol w:w="997"/>
        <w:gridCol w:w="358"/>
        <w:gridCol w:w="1119"/>
        <w:gridCol w:w="172"/>
        <w:gridCol w:w="109"/>
        <w:gridCol w:w="109"/>
        <w:gridCol w:w="109"/>
        <w:gridCol w:w="315"/>
        <w:gridCol w:w="985"/>
        <w:gridCol w:w="214"/>
      </w:tblGrid>
      <w:tr>
        <w:trPr/>
        <w:tc>
          <w:tcPr>
            <w:tcW w:w="1130"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June 30, 2024</w:t>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Principal</w:t>
            </w:r>
          </w:p>
        </w:tc>
        <w:tc>
          <w:tcPr>
            <w:tcW w:w="3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1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350.0 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350.0 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Unamortized debt issuance costs</w:t>
            </w:r>
          </w:p>
        </w:tc>
        <w:tc>
          <w:tcPr>
            <w:tcW w:w="1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(6.7)</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(7.6)</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carrying amount</w:t>
            </w:r>
          </w:p>
        </w:tc>
        <w:tc>
          <w:tcPr>
            <w:tcW w:w="3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343.3 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342.4 </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417" w:before="0" w:after="0"/>
        <w:jc w:val="both"/>
        <w:rPr>
          <w:rFonts w:ascii="Roboto;sans-serif" w:hAnsi="Roboto;sans-serif"/>
          <w:b w:val="false"/>
          <w:color w:val="000000"/>
          <w:sz w:val="18"/>
        </w:rPr>
      </w:pPr>
      <w:r>
        <w:rPr>
          <w:rFonts w:ascii="Roboto;sans-serif" w:hAnsi="Roboto;sans-serif"/>
          <w:b w:val="false"/>
          <w:color w:val="000000"/>
          <w:sz w:val="18"/>
        </w:rPr>
        <w:t>The following table sets forth the interest expense recognized related to the 2029 Notes:</w:t>
      </w:r>
    </w:p>
    <w:tbl>
      <w:tblPr>
        <w:tblW w:w="10205" w:type="dxa"/>
        <w:jc w:val="left"/>
        <w:tblInd w:w="0" w:type="dxa"/>
        <w:tblLayout w:type="fixed"/>
        <w:tblCellMar>
          <w:top w:w="28" w:type="dxa"/>
          <w:left w:w="28" w:type="dxa"/>
          <w:bottom w:w="28" w:type="dxa"/>
          <w:right w:w="28" w:type="dxa"/>
        </w:tblCellMar>
      </w:tblPr>
      <w:tblGrid>
        <w:gridCol w:w="1403"/>
        <w:gridCol w:w="1231"/>
        <w:gridCol w:w="1237"/>
        <w:gridCol w:w="673"/>
        <w:gridCol w:w="1390"/>
        <w:gridCol w:w="329"/>
        <w:gridCol w:w="109"/>
        <w:gridCol w:w="2319"/>
        <w:gridCol w:w="109"/>
        <w:gridCol w:w="109"/>
        <w:gridCol w:w="109"/>
        <w:gridCol w:w="226"/>
        <w:gridCol w:w="586"/>
        <w:gridCol w:w="109"/>
        <w:gridCol w:w="109"/>
        <w:gridCol w:w="157"/>
      </w:tblGrid>
      <w:tr>
        <w:trPr/>
        <w:tc>
          <w:tcPr>
            <w:tcW w:w="1403"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March 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Nine Months Ended March 31,</w:t>
            </w:r>
          </w:p>
        </w:tc>
        <w:tc>
          <w:tcPr>
            <w:tcW w:w="1514" w:type="dxa"/>
            <w:gridSpan w:val="8"/>
            <w:tcBorders/>
          </w:tcPr>
          <w:p>
            <w:pPr>
              <w:pStyle w:val="TableContents"/>
              <w:bidi w:val="0"/>
              <w:spacing w:before="0" w:after="283"/>
              <w:jc w:val="left"/>
              <w:rPr>
                <w:sz w:val="4"/>
                <w:szCs w:val="4"/>
              </w:rPr>
            </w:pPr>
            <w:r>
              <w:rPr>
                <w:sz w:val="4"/>
                <w:szCs w:val="4"/>
              </w:rPr>
            </w:r>
          </w:p>
        </w:tc>
      </w:tr>
      <w:tr>
        <w:trPr/>
        <w:tc>
          <w:tcPr>
            <w:tcW w:w="3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231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0"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c>
          <w:tcPr>
            <w:tcW w:w="1514" w:type="dxa"/>
            <w:gridSpan w:val="8"/>
            <w:tcBorders/>
          </w:tcPr>
          <w:p>
            <w:pPr>
              <w:pStyle w:val="TableContents"/>
              <w:bidi w:val="0"/>
              <w:spacing w:before="0" w:after="283"/>
              <w:jc w:val="left"/>
              <w:rPr>
                <w:sz w:val="4"/>
                <w:szCs w:val="4"/>
              </w:rPr>
            </w:pPr>
            <w:r>
              <w:rPr>
                <w:sz w:val="4"/>
                <w:szCs w:val="4"/>
              </w:rPr>
            </w:r>
          </w:p>
        </w:tc>
      </w:tr>
      <w:tr>
        <w:trPr/>
        <w:tc>
          <w:tcPr>
            <w:tcW w:w="3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Amortization of debt issuance costs</w:t>
            </w:r>
          </w:p>
        </w:tc>
        <w:tc>
          <w:tcPr>
            <w:tcW w:w="6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3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0.3 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non-cash interest expense related to the 2029 Notes</w:t>
            </w:r>
          </w:p>
        </w:tc>
        <w:tc>
          <w:tcPr>
            <w:tcW w:w="20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0.3 </w:t>
            </w:r>
          </w:p>
        </w:tc>
        <w:tc>
          <w:tcPr>
            <w:tcW w:w="3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Cash interest expense</w:t>
            </w:r>
          </w:p>
        </w:tc>
        <w:tc>
          <w:tcPr>
            <w:tcW w:w="2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4.8 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8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Total interest expense related to the 2029 Notes</w:t>
            </w:r>
          </w:p>
        </w:tc>
        <w:tc>
          <w:tcPr>
            <w:tcW w:w="6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3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5.1 </w:t>
            </w:r>
          </w:p>
        </w:tc>
        <w:tc>
          <w:tcPr>
            <w:tcW w:w="3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5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33350"/>
                <wp:effectExtent l="0" t="0" r="0" b="0"/>
                <wp:wrapNone/>
                <wp:docPr id="15" name="Frame15"/>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15</w:t>
                      </w:r>
                    </w:p>
                  </w:txbxContent>
                </v:textbox>
                <w10:wrap type="none"/>
              </v:rect>
            </w:pict>
          </mc:Fallback>
        </mc:AlternateContent>
      </w:r>
    </w:p>
    <w:p>
      <w:pPr>
        <w:pStyle w:val="TextBody"/>
        <w:bidi w:val="0"/>
        <w:spacing w:before="0" w:after="0"/>
        <w:jc w:val="center"/>
        <w:rPr/>
      </w:pPr>
      <w:r>
        <w:rPr/>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Convertible Notes due 2026</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In February 2021, the Company issued $1.0 billion aggregate principal amount of 0.00% Convertible Senior Notes due 2026 (the “2026 Notes”) in a private offering, including the exercise in full of the option granted to the initial purchasers to purchase $125.0 million of the 2026 Notes. The 2026 Notes were issued pursuant to an Indenture (the “2026 Notes Indenture”) between the Company and U.S. Bank Trust Company, National Association, as trustee. The net proceeds from the offering were approximately $977.2 million, after deducting the initial purchasers’ discounts and commissions and our offering expenses. The 2026 Notes do not bear regular interest, and the principal amount of the 2026 Notes does not accrete.</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Each $1,000 principal amount of the 2026 Notes is initially convertible into 4.1800 shares of Class A common stock, which is equivalent to an initial conversion price of approximately $239.23 per share. The conversion rate is subject to customary adjustments under certain circumstances in accordance with the terms of the 2026 Notes Indenture. In addition, if certain corporate events that constitute a make-whole fundamental change occur or the Company elects to redeem the 2026 Notes, then the conversion rate will, in certain circumstances, be increased for a specified period of time.</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2026 Notes will mature on February 15, 2026, unless earlier converted, redeemed, or repurchased. The 2026 Notes will be convertible at the option of the holders at certain times and upon the occurrence of certain events. As of March 31, 2025, the 2026 Notes are classified as Current portion of debt on the Condensed Consolidated Balance Sheets due to their upcoming maturity date.</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On or after August 15, 2025, until the close of business on the second scheduled trading day immediately preceding the maturity date, holders may convert all or any portion of their 2026 Notes, in multiples of $1,000 principal amount, at the option of the holder. Upon conversion, the Company may satisfy its conversion obligation by paying and/or delivering, as the case may be, cash, shares of Class A common stock or a combination of cash and shares of Class A common stock, at the Company’s election, in the manner and subject to the terms and conditions provided in the 2026 Notes Indenture. </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Company may redeem for cash all or any portion (subject to the partial redemption limitation described in the 2026 Notes Indenture) of the 2026 Notes, at its option, on or before the 20th scheduled trading day immediately before the maturity date, if the last reported sale price per share of the Class A common stock exceeds 130% of the conversion price then in effect on (1) each of at least 20 trading days (whether or not consecutive) during the 30 consecutive trading days ending on, and including, the trading day immediately preceding the date on which the Company provides notice of redemption and (2) the trading day immediately before the date the Company sends such notice at a redemption price equal to 100% of the principal amount of the 2026 Notes to be redeemed, plus any accrued and unpaid special interest, if any, to, but excluding, the redemption date. No sinking fund is provided for the 2026 Notes, which means that the Company is not required to redeem or retire the 2026 Notes periodically.</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Upon the occurrence of a fundamental change (as defined in the 2026 Notes Indenture), subject to certain conditions, holders may require the Company to repurchase all or a portion of the 2026 Notes for cash at a price equal to 100% of the principal amount of the 2026 Notes to be repurchased, plus any accrued and unpaid special interest, if any, to, but excluding, the fundamental change repurchase date. The definition of fundamental change includes certain business combination transactions involving the Company and certain de-listing events with respect to the Company’s common stock.</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2026 Notes are senior unsecured obligations of the Company and rank senior in right of payment to any of the Company’s future indebtedness that is expressly subordinated in right of payment to the 2026 Notes; equal in right of payment to any of the Company’s existing and future indebtedness that is not so subordinated; effectively subordinated in right of payment to any of the Company’s existing and future secured indebtedness to the extent of the value of the collateral securing such indebtedness; and structurally subordinated to all existing and future indebtedness and other liabilities of current or future subsidiaries of the Company (including trade payables and to the extent the Company is not a holder thereof, preferred equity, if any, of the Company’s subsidiaries).</w:t>
      </w:r>
    </w:p>
    <w:p>
      <w:pPr>
        <w:pStyle w:val="TextBody"/>
        <w:bidi w:val="0"/>
        <w:spacing w:before="0" w:after="0"/>
        <w:jc w:val="both"/>
        <w:rPr/>
      </w:pPr>
      <w:r>
        <w:rPr/>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Repurchase of a Portion of the 2026 Convertible Notes</w:t>
      </w:r>
    </w:p>
    <w:p>
      <w:pPr>
        <w:pStyle w:val="TextBody"/>
        <w:bidi w:val="0"/>
        <w:spacing w:lineRule="auto" w:line="288" w:before="0" w:after="0"/>
        <w:jc w:val="both"/>
        <w:rPr/>
      </w:pPr>
      <w:r>
        <w:rPr>
          <w:rFonts w:ascii="Roboto;sans-serif" w:hAnsi="Roboto;sans-serif"/>
          <w:b w:val="false"/>
          <w:color w:val="000000"/>
          <w:sz w:val="18"/>
        </w:rPr>
        <w:t xml:space="preserve">In May 2024, the Company entered into separate, privately negotiated transactions with certain holders of the 2026 Notes to repurchase $801.0 million of aggregate principal amount of the 2026 Notes for an aggregate of $724.9 million of cash. The Company accounted for this repurchase of the 2026 Notes as a debt extinguishment under ASC 470-50, </w:t>
      </w:r>
      <w:r>
        <w:rPr>
          <w:rFonts w:ascii="Roboto;sans-serif" w:hAnsi="Roboto;sans-serif"/>
          <w:b w:val="false"/>
          <w:i/>
          <w:color w:val="000000"/>
          <w:sz w:val="18"/>
        </w:rPr>
        <w:t>Debt – Modifications and Extinguishments</w:t>
      </w:r>
      <w:r>
        <w:rPr>
          <w:color w:val="000000"/>
        </w:rPr>
        <w:t xml:space="preserve"> </w:t>
      </w:r>
      <w:r>
        <w:rPr>
          <w:rFonts w:ascii="Roboto;sans-serif" w:hAnsi="Roboto;sans-serif"/>
          <w:b w:val="false"/>
          <w:color w:val="000000"/>
          <w:sz w:val="18"/>
        </w:rPr>
        <w:t>(“ASC 470-50”). The Company recorded a $69.8 million gain on early extinguishment of debt during the fiscal year ending June 30, 2024, which included the write-off of previously deferred debt issuance costs of $6.3 million, which was included within Net gain on debt refinancing on the Consolidated Statements of Operations and Comprehensive Loss within the Company’s Annual Report on Form 10-K for the fiscal year ended June 30, 2024.</w:t>
      </w:r>
    </w:p>
    <w:p>
      <w:pPr>
        <w:pStyle w:val="TextBody"/>
        <w:bidi w:val="0"/>
        <w:spacing w:before="0" w:after="0"/>
        <w:jc w:val="left"/>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effective interest rate upon issuance of the 2026 Notes was 0.45%, which is the effective interest rate as of March 31, 2025.</w:t>
      </w:r>
    </w:p>
    <w:p>
      <w:pPr>
        <w:pStyle w:val="TextBody"/>
        <w:bidi w:val="0"/>
        <w:spacing w:before="0" w:after="0"/>
        <w:jc w:val="left"/>
        <w:rPr/>
      </w:pPr>
      <w:r>
        <w:rPr/>
      </w:r>
    </w:p>
    <w:p>
      <w:pPr>
        <w:pStyle w:val="TextBody"/>
        <w:bidi w:val="0"/>
        <w:spacing w:lineRule="auto" w:line="417" w:before="0" w:after="0"/>
        <w:jc w:val="left"/>
        <w:rPr>
          <w:rFonts w:ascii="Roboto;sans-serif" w:hAnsi="Roboto;sans-serif"/>
          <w:b w:val="false"/>
          <w:color w:val="000000"/>
          <w:sz w:val="18"/>
        </w:rPr>
      </w:pPr>
      <w:r>
        <w:rPr>
          <w:rFonts w:ascii="Roboto;sans-serif" w:hAnsi="Roboto;sans-serif"/>
          <w:b w:val="false"/>
          <w:color w:val="000000"/>
          <w:sz w:val="18"/>
        </w:rPr>
        <w:t>The net carrying amount of the 2026 Notes was as follows:</w:t>
      </w:r>
    </w:p>
    <w:tbl>
      <w:tblPr>
        <w:tblW w:w="6610" w:type="dxa"/>
        <w:jc w:val="left"/>
        <w:tblInd w:w="0" w:type="dxa"/>
        <w:tblLayout w:type="fixed"/>
        <w:tblCellMar>
          <w:top w:w="28" w:type="dxa"/>
          <w:left w:w="28" w:type="dxa"/>
          <w:bottom w:w="28" w:type="dxa"/>
          <w:right w:w="28" w:type="dxa"/>
        </w:tblCellMar>
      </w:tblPr>
      <w:tblGrid>
        <w:gridCol w:w="1130"/>
        <w:gridCol w:w="993"/>
        <w:gridCol w:w="997"/>
        <w:gridCol w:w="358"/>
        <w:gridCol w:w="1119"/>
        <w:gridCol w:w="172"/>
        <w:gridCol w:w="109"/>
        <w:gridCol w:w="109"/>
        <w:gridCol w:w="109"/>
        <w:gridCol w:w="315"/>
        <w:gridCol w:w="985"/>
        <w:gridCol w:w="214"/>
      </w:tblGrid>
      <w:tr>
        <w:trPr/>
        <w:tc>
          <w:tcPr>
            <w:tcW w:w="1130"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June 30, 2024</w:t>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Principal</w:t>
            </w:r>
          </w:p>
        </w:tc>
        <w:tc>
          <w:tcPr>
            <w:tcW w:w="3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1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199.0 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199.0 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Unamortized debt issuance costs</w:t>
            </w:r>
          </w:p>
        </w:tc>
        <w:tc>
          <w:tcPr>
            <w:tcW w:w="1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(0.8)</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carrying amount</w:t>
            </w:r>
          </w:p>
        </w:tc>
        <w:tc>
          <w:tcPr>
            <w:tcW w:w="3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198.2 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197.6 </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33350"/>
                <wp:effectExtent l="0" t="0" r="0" b="0"/>
                <wp:wrapNone/>
                <wp:docPr id="16" name="Frame16"/>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16</w:t>
                      </w:r>
                    </w:p>
                  </w:txbxContent>
                </v:textbox>
                <w10:wrap type="none"/>
              </v:rect>
            </w:pict>
          </mc:Fallback>
        </mc:AlternateContent>
      </w:r>
    </w:p>
    <w:p>
      <w:pPr>
        <w:pStyle w:val="TextBody"/>
        <w:bidi w:val="0"/>
        <w:spacing w:before="0" w:after="0"/>
        <w:jc w:val="center"/>
        <w:rPr/>
      </w:pPr>
      <w:r>
        <w:rPr/>
      </w:r>
    </w:p>
    <w:p>
      <w:pPr>
        <w:pStyle w:val="TextBody"/>
        <w:bidi w:val="0"/>
        <w:spacing w:lineRule="auto" w:line="417" w:before="0" w:after="0"/>
        <w:jc w:val="both"/>
        <w:rPr>
          <w:rFonts w:ascii="Roboto;sans-serif" w:hAnsi="Roboto;sans-serif"/>
          <w:b w:val="false"/>
          <w:color w:val="000000"/>
          <w:sz w:val="18"/>
        </w:rPr>
      </w:pPr>
      <w:r>
        <w:rPr>
          <w:rFonts w:ascii="Roboto;sans-serif" w:hAnsi="Roboto;sans-serif"/>
          <w:b w:val="false"/>
          <w:color w:val="000000"/>
          <w:sz w:val="18"/>
        </w:rPr>
        <w:t>The following table sets forth the interest expense recognized related to the 2026 Notes:</w:t>
      </w:r>
    </w:p>
    <w:tbl>
      <w:tblPr>
        <w:tblW w:w="10205" w:type="dxa"/>
        <w:jc w:val="left"/>
        <w:tblInd w:w="0" w:type="dxa"/>
        <w:tblLayout w:type="fixed"/>
        <w:tblCellMar>
          <w:top w:w="28" w:type="dxa"/>
          <w:left w:w="28" w:type="dxa"/>
          <w:bottom w:w="28" w:type="dxa"/>
          <w:right w:w="28" w:type="dxa"/>
        </w:tblCellMar>
      </w:tblPr>
      <w:tblGrid>
        <w:gridCol w:w="1409"/>
        <w:gridCol w:w="1236"/>
        <w:gridCol w:w="1242"/>
        <w:gridCol w:w="353"/>
        <w:gridCol w:w="730"/>
        <w:gridCol w:w="170"/>
        <w:gridCol w:w="170"/>
        <w:gridCol w:w="170"/>
        <w:gridCol w:w="170"/>
        <w:gridCol w:w="353"/>
        <w:gridCol w:w="730"/>
        <w:gridCol w:w="170"/>
        <w:gridCol w:w="109"/>
        <w:gridCol w:w="109"/>
        <w:gridCol w:w="109"/>
        <w:gridCol w:w="339"/>
        <w:gridCol w:w="701"/>
        <w:gridCol w:w="163"/>
        <w:gridCol w:w="163"/>
        <w:gridCol w:w="163"/>
        <w:gridCol w:w="163"/>
        <w:gridCol w:w="339"/>
        <w:gridCol w:w="701"/>
        <w:gridCol w:w="243"/>
      </w:tblGrid>
      <w:tr>
        <w:trPr/>
        <w:tc>
          <w:tcPr>
            <w:tcW w:w="1409"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r>
      <w:tr>
        <w:trPr/>
        <w:tc>
          <w:tcPr>
            <w:tcW w:w="3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Nine Months Ended March 31,</w:t>
            </w:r>
          </w:p>
        </w:tc>
      </w:tr>
      <w:tr>
        <w:trPr/>
        <w:tc>
          <w:tcPr>
            <w:tcW w:w="3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5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r>
      <w:tr>
        <w:trPr/>
        <w:tc>
          <w:tcPr>
            <w:tcW w:w="38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r>
      <w:tr>
        <w:trPr/>
        <w:tc>
          <w:tcPr>
            <w:tcW w:w="3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Amortization of debt issuance costs</w:t>
            </w:r>
          </w:p>
        </w:tc>
        <w:tc>
          <w:tcPr>
            <w:tcW w:w="3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0.2 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3.4 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Total interest expense related to the 2026 Notes</w:t>
            </w:r>
          </w:p>
        </w:tc>
        <w:tc>
          <w:tcPr>
            <w:tcW w:w="3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0.2 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0.7 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3.4 </w:t>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60"/>
        <w:jc w:val="left"/>
        <w:rPr/>
      </w:pPr>
      <w:r>
        <w:rPr/>
      </w:r>
    </w:p>
    <w:p>
      <w:pPr>
        <w:pStyle w:val="TextBody"/>
        <w:bidi w:val="0"/>
        <w:spacing w:lineRule="auto" w:line="417" w:before="0" w:after="0"/>
        <w:jc w:val="both"/>
        <w:rPr>
          <w:rFonts w:ascii="Roboto;sans-serif" w:hAnsi="Roboto;sans-serif"/>
          <w:b w:val="false"/>
          <w:i/>
          <w:color w:val="000000"/>
          <w:sz w:val="18"/>
        </w:rPr>
      </w:pPr>
      <w:r>
        <w:rPr>
          <w:rFonts w:ascii="Roboto;sans-serif" w:hAnsi="Roboto;sans-serif"/>
          <w:b w:val="false"/>
          <w:i/>
          <w:color w:val="000000"/>
          <w:sz w:val="18"/>
        </w:rPr>
        <w:t>Termination of Capped Call Transactions</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In connection with the offering of the 2026 Notes, the Company entered into privately negotiated capped call transactions with certain counterparties (the “Capped Call Transactions”). In the last quarter of its fiscal year ending June 30, 2024, the Company terminated the Capped Call Transactions in their entirety pursuant to negotiated termination agreements with each such counterparty.</w:t>
      </w:r>
    </w:p>
    <w:p>
      <w:pPr>
        <w:pStyle w:val="TextBody"/>
        <w:bidi w:val="0"/>
        <w:spacing w:before="0" w:after="0"/>
        <w:jc w:val="both"/>
        <w:rPr/>
      </w:pPr>
      <w:r>
        <w:rPr/>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Third Amended and Restated Credit Agreement</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On May 30, 2024, the Company entered into a Third Amended and Restated Credit Agreement (as amended, restated, amended and restated, supplemented or otherwise modified from time to time, the “Third Amended and Restated Credit Agreement”), with JPMorgan Chase Bank, N.A., as administrative agent, and certain banks and financial institutions party thereto as lenders and issuing banks.</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Third Amended and Restated Credit Agreement provides for a $1.0 billion term loan facility (the “Term Loan”), which will be due and payable on May 30, 2029. The Term Loan amortizes in quarterly installments of 0.25%, payable at the end of each fiscal quarter and on the maturity date.</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The Third Amended and Restated Credit Agreement also provides for a $100.0 million revolving credit facility (the “Revolving Facility”), which will mature on May 30, 2029. The Company is only required to meet the total liquidity covenant, set at $250.0 million for the last business day of any week, and the subscription revenues covenant, set at $1.2 billion for the four-quarter trailing period, to the extent any revolving loans are borrowed and outstanding. </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The Revolving Facility, when drawn, bears interest at a rate equal to, at the Company’s option, either the Alternate Base Rate (as defined in the Third Amended and Restated Credit Agreement) plus 4.00% per annum or the Term SOFR Rate (as defined in the Third Amended and Restated Credit Agreement) plus 5.00% per annum. The Company is required to pay an annual commitment fee of 0.500% or 0.375% per annum, depending on whether the First Lien Net Leverage Ratio (as defined in the Third Amended and Restated Credit Agreement) is greater or less than 5.00 to 1.00, on a quarterly basis based on the unused portion of the Revolving Facility. </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The Term Loan initially bears interest at a rate equal to, at the Company’s option, either the Alternate Base Rate (as defined in the Third Amended and Restated Credit Agreement) plus 5.00% per annum or the Term SOFR Rate (as defined in the Third Amended and Restated Credit Agreement) plus 6.00% per annum. The applicable rate for Alternate Base Rate loans or Term SOFR Rate loans is subject to a 0.50% step down, depending on whether the First Lien Net Leverage Ratio is less than 5.00 to 1.00 as measured on a quarterly basis. Any borrowing at the Alternate Base Rate is subject to a 1.00% floor and the Term SOFR Rate is subject to a 0.00% floor. </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Third Amended and Restated Credit Agreement contains customary affirmative covenants as well as customary negative covenants that restrict the Company’s ability to, among other things, incur additional indebtedness, incur liens or grant negative pledges, make loans and investments, conduct certain transactions with affiliates, sell certain assets, enter into certain swap agreements, guarantee obligations of third parties, declare dividends or make certain distributions, and undergo a merger or consolidation or certain other transactions. The Third Amended and Restated Credit Agreement also contains certain customary events of default. Certain baskets and covenant levels have been adjusted and will apply equally to both the Term Loan and Revolving Facility for so long as the Term Loan is outstanding.</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obligations under the Third Amended and Restated Credit Agreement with respect to the Term Loan and the Revolving Facility are secured by substantially all of the Company’s assets, with certain exceptions set forth in the Third Amended and Restated Credit Agreement, and are required to be guaranteed by certain material subsidiaries of the Company if, at the end of future financial quarters, certain conditions are not met.</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During the three and nine months ended March 31, 2025, the Company incurred total commitment fees of $0.1 million and $0.4 million, respectively, and $0.3 million and $1.0 million during the three and nine months ended March 31, 2024, respectively, which are included in Interest expense in the Condensed Consolidated Statements of Operations and Comprehensive Loss.</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As of March 31, 2025, the Company had drawn the full amount of the Term Loan and had not drawn on the Revolving Facility, and the Company had $992.5 million total outstanding borrowings under the Third Amended and Restated Credit Agreement.</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In connection with the execution of the Third Amended and Restated Credit Agreement, the Term Loan was accounted for as a modification, extinguishment, or new loan for certain lenders in accordance with ASC 470-50. Accordingly, incremental discount and debt issuance costs of $10.0 million and $2.3 million, respectively, will be amortized to Interest expense using the effective interest method over the term of the Third Amended and Restated Credit Agreement. Furthermore, the Company expensed $8.7 million of debt issuance costs incurred with third parties related to loss on debt modification and recognized a $7.5 million loss on extinguishment related to previously deferred debt discount and debt issuance costs, which was included within Net gain on debt refinancing on the Consolidated Statements of Operations and Comprehensive Loss within the Company’s Annual Report on Form 10-K for the fiscal year ended June 30,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33350"/>
                <wp:effectExtent l="0" t="0" r="0" b="0"/>
                <wp:wrapNone/>
                <wp:docPr id="17" name="Frame17"/>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17</w:t>
                      </w:r>
                    </w:p>
                  </w:txbxContent>
                </v:textbox>
                <w10:wrap type="none"/>
              </v:rect>
            </w:pict>
          </mc:Fallback>
        </mc:AlternateContent>
      </w:r>
    </w:p>
    <w:p>
      <w:pPr>
        <w:pStyle w:val="TextBody"/>
        <w:bidi w:val="0"/>
        <w:spacing w:before="0" w:after="0"/>
        <w:jc w:val="center"/>
        <w:rPr/>
      </w:pPr>
      <w:r>
        <w:rPr/>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As of March 31, 2025, the Company had not drawn any amount under the Revolving Facility and as such did not have to test the financial covenants under the Third Amended and Restated Credit Agreement. The Company is required to pledge or otherwise restrict a portion of cash and cash equivalents as collateral for standby letters of credit. As of March 31, 2025, the Company had outstanding letters of credit totaling $47.7 million, which are classified as Restricted cash on the Condensed Consolidated Balance Sheets.</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Upon entering into the Term Loan, the effective interest rate was 12.4% and the current effective interest rate as of March 31, 2025 is 10.9%.</w:t>
      </w:r>
    </w:p>
    <w:p>
      <w:pPr>
        <w:pStyle w:val="TextBody"/>
        <w:bidi w:val="0"/>
        <w:spacing w:before="0" w:after="0"/>
        <w:jc w:val="both"/>
        <w:rPr/>
      </w:pPr>
      <w:r>
        <w:rPr/>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The net carrying amount of the Term Loan was as follows:</w:t>
      </w:r>
    </w:p>
    <w:tbl>
      <w:tblPr>
        <w:tblW w:w="6611" w:type="dxa"/>
        <w:jc w:val="left"/>
        <w:tblInd w:w="0" w:type="dxa"/>
        <w:tblLayout w:type="fixed"/>
        <w:tblCellMar>
          <w:top w:w="28" w:type="dxa"/>
          <w:left w:w="28" w:type="dxa"/>
          <w:bottom w:w="28" w:type="dxa"/>
          <w:right w:w="28" w:type="dxa"/>
        </w:tblCellMar>
      </w:tblPr>
      <w:tblGrid>
        <w:gridCol w:w="1128"/>
        <w:gridCol w:w="989"/>
        <w:gridCol w:w="1003"/>
        <w:gridCol w:w="305"/>
        <w:gridCol w:w="1198"/>
        <w:gridCol w:w="147"/>
        <w:gridCol w:w="109"/>
        <w:gridCol w:w="109"/>
        <w:gridCol w:w="109"/>
        <w:gridCol w:w="270"/>
        <w:gridCol w:w="1060"/>
        <w:gridCol w:w="184"/>
      </w:tblGrid>
      <w:tr>
        <w:trPr/>
        <w:tc>
          <w:tcPr>
            <w:tcW w:w="1128"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June 30, 2024</w:t>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Principal</w:t>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1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1,000.0 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1,000.0 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Principal payments</w:t>
            </w:r>
          </w:p>
        </w:tc>
        <w:tc>
          <w:tcPr>
            <w:tcW w:w="15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(7.5)</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Unamortized debt discount</w:t>
            </w:r>
          </w:p>
        </w:tc>
        <w:tc>
          <w:tcPr>
            <w:tcW w:w="15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(23.9)</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(27.4)</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Unamortized debt issuance costs</w:t>
            </w:r>
          </w:p>
        </w:tc>
        <w:tc>
          <w:tcPr>
            <w:tcW w:w="15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(11.0)</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(12.6)</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carrying amount</w:t>
            </w:r>
          </w:p>
        </w:tc>
        <w:tc>
          <w:tcPr>
            <w:tcW w:w="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957.6 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960.1 </w:t>
            </w:r>
          </w:p>
        </w:tc>
        <w:tc>
          <w:tcPr>
            <w:tcW w:w="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417" w:before="0" w:after="240"/>
        <w:jc w:val="both"/>
        <w:rPr>
          <w:rFonts w:ascii="Roboto;sans-serif" w:hAnsi="Roboto;sans-serif"/>
          <w:b w:val="false"/>
          <w:color w:val="000000"/>
          <w:sz w:val="18"/>
        </w:rPr>
      </w:pPr>
      <w:r>
        <w:rPr>
          <w:rFonts w:ascii="Roboto;sans-serif" w:hAnsi="Roboto;sans-serif"/>
          <w:b w:val="false"/>
          <w:color w:val="000000"/>
          <w:sz w:val="18"/>
        </w:rPr>
        <w:t>The following table sets forth the interest expense recognized related to the Term Loan:</w:t>
      </w:r>
    </w:p>
    <w:tbl>
      <w:tblPr>
        <w:tblW w:w="10205" w:type="dxa"/>
        <w:jc w:val="left"/>
        <w:tblInd w:w="0" w:type="dxa"/>
        <w:tblLayout w:type="fixed"/>
        <w:tblCellMar>
          <w:top w:w="28" w:type="dxa"/>
          <w:left w:w="28" w:type="dxa"/>
          <w:bottom w:w="28" w:type="dxa"/>
          <w:right w:w="28" w:type="dxa"/>
        </w:tblCellMar>
      </w:tblPr>
      <w:tblGrid>
        <w:gridCol w:w="1465"/>
        <w:gridCol w:w="1286"/>
        <w:gridCol w:w="1292"/>
        <w:gridCol w:w="305"/>
        <w:gridCol w:w="793"/>
        <w:gridCol w:w="147"/>
        <w:gridCol w:w="147"/>
        <w:gridCol w:w="147"/>
        <w:gridCol w:w="147"/>
        <w:gridCol w:w="305"/>
        <w:gridCol w:w="793"/>
        <w:gridCol w:w="147"/>
        <w:gridCol w:w="109"/>
        <w:gridCol w:w="109"/>
        <w:gridCol w:w="109"/>
        <w:gridCol w:w="295"/>
        <w:gridCol w:w="766"/>
        <w:gridCol w:w="142"/>
        <w:gridCol w:w="142"/>
        <w:gridCol w:w="142"/>
        <w:gridCol w:w="142"/>
        <w:gridCol w:w="295"/>
        <w:gridCol w:w="766"/>
        <w:gridCol w:w="214"/>
      </w:tblGrid>
      <w:tr>
        <w:trPr/>
        <w:tc>
          <w:tcPr>
            <w:tcW w:w="1465"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4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March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Nine Months Ended March 31,</w:t>
            </w:r>
          </w:p>
        </w:tc>
      </w:tr>
      <w:tr>
        <w:trPr/>
        <w:tc>
          <w:tcPr>
            <w:tcW w:w="4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r>
      <w:tr>
        <w:trPr/>
        <w:tc>
          <w:tcPr>
            <w:tcW w:w="4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r>
      <w:tr>
        <w:trPr/>
        <w:tc>
          <w:tcPr>
            <w:tcW w:w="4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Amortization of debt discount</w:t>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3.5 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4.3 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Amortization of debt issuance costs</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0.6 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0.9 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2.5 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non-cash interest expense related to the Term Loan</w:t>
            </w:r>
          </w:p>
        </w:tc>
        <w:tc>
          <w:tcPr>
            <w:tcW w:w="10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5.1 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6.9 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Cash interest expense</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25.0 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23.3 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81.2 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70.0 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Total interest expense related to the Term Loan</w:t>
            </w:r>
          </w:p>
        </w:tc>
        <w:tc>
          <w:tcPr>
            <w:tcW w:w="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26.9 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25.7 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86.3 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76.9 </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Maturities of Debt Instruments</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following table sets forth maturities of the Company’s debt instruments, including convertible notes payable, gross of debt issuance costs and debt discounts, as of March 31, 2025:</w:t>
      </w:r>
    </w:p>
    <w:tbl>
      <w:tblPr>
        <w:tblW w:w="5744" w:type="dxa"/>
        <w:jc w:val="left"/>
        <w:tblInd w:w="0" w:type="dxa"/>
        <w:tblLayout w:type="fixed"/>
        <w:tblCellMar>
          <w:top w:w="28" w:type="dxa"/>
          <w:left w:w="28" w:type="dxa"/>
          <w:bottom w:w="28" w:type="dxa"/>
          <w:right w:w="28" w:type="dxa"/>
        </w:tblCellMar>
      </w:tblPr>
      <w:tblGrid>
        <w:gridCol w:w="1014"/>
        <w:gridCol w:w="893"/>
        <w:gridCol w:w="897"/>
        <w:gridCol w:w="525"/>
        <w:gridCol w:w="2058"/>
        <w:gridCol w:w="357"/>
      </w:tblGrid>
      <w:tr>
        <w:trPr/>
        <w:tc>
          <w:tcPr>
            <w:tcW w:w="1014"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2058"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Future Minimum Payments</w:t>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8"/>
              </w:rPr>
            </w:pPr>
            <w:r>
              <w:rPr>
                <w:rFonts w:ascii="Roboto;sans-serif" w:hAnsi="Roboto;sans-serif"/>
                <w:b/>
                <w:color w:val="000000"/>
                <w:sz w:val="18"/>
              </w:rPr>
              <w:t>Fiscal Year Ended June 30,</w:t>
            </w:r>
          </w:p>
        </w:tc>
        <w:tc>
          <w:tcPr>
            <w:tcW w:w="29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2025 (remaining)</w:t>
            </w:r>
          </w:p>
        </w:tc>
        <w:tc>
          <w:tcPr>
            <w:tcW w:w="5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20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2.5 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8"/>
              </w:rPr>
              <w:t>2026</w:t>
            </w:r>
            <w:r>
              <w:rPr>
                <w:rFonts w:ascii="Roboto;sans-serif" w:hAnsi="Roboto;sans-serif"/>
                <w:b w:val="false"/>
                <w:color w:val="000000"/>
                <w:sz w:val="12"/>
              </w:rPr>
              <w:t>(1)</w:t>
            </w:r>
          </w:p>
        </w:tc>
        <w:tc>
          <w:tcPr>
            <w:tcW w:w="25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209.0 </w:t>
            </w:r>
          </w:p>
        </w:tc>
        <w:tc>
          <w:tcPr>
            <w:tcW w:w="3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2027</w:t>
            </w:r>
          </w:p>
        </w:tc>
        <w:tc>
          <w:tcPr>
            <w:tcW w:w="25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10.0 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2028</w:t>
            </w:r>
          </w:p>
        </w:tc>
        <w:tc>
          <w:tcPr>
            <w:tcW w:w="25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10.0 </w:t>
            </w:r>
          </w:p>
        </w:tc>
        <w:tc>
          <w:tcPr>
            <w:tcW w:w="3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2029</w:t>
            </w:r>
          </w:p>
        </w:tc>
        <w:tc>
          <w:tcPr>
            <w:tcW w:w="25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960.0 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8"/>
              </w:rPr>
              <w:t>Thereafter</w:t>
            </w:r>
            <w:r>
              <w:rPr>
                <w:rFonts w:ascii="Roboto;sans-serif" w:hAnsi="Roboto;sans-serif"/>
                <w:b w:val="false"/>
                <w:color w:val="000000"/>
                <w:sz w:val="12"/>
              </w:rPr>
              <w:t>(2)</w:t>
            </w:r>
          </w:p>
        </w:tc>
        <w:tc>
          <w:tcPr>
            <w:tcW w:w="25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350.0 </w:t>
            </w:r>
          </w:p>
        </w:tc>
        <w:tc>
          <w:tcPr>
            <w:tcW w:w="3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w:t>
            </w:r>
          </w:p>
        </w:tc>
        <w:tc>
          <w:tcPr>
            <w:tcW w:w="5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20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1,541.5 </w:t>
            </w:r>
          </w:p>
        </w:tc>
        <w:tc>
          <w:tcPr>
            <w:tcW w:w="3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417" w:before="0" w:after="0"/>
        <w:jc w:val="both"/>
        <w:rPr>
          <w:rFonts w:ascii="Roboto;sans-serif" w:hAnsi="Roboto;sans-serif"/>
          <w:b w:val="false"/>
          <w:color w:val="000000"/>
          <w:sz w:val="18"/>
        </w:rPr>
      </w:pPr>
      <w:r>
        <w:rPr>
          <w:rFonts w:ascii="Roboto;sans-serif" w:hAnsi="Roboto;sans-serif"/>
          <w:b w:val="false"/>
          <w:color w:val="000000"/>
          <w:sz w:val="18"/>
        </w:rPr>
        <w:t>____________________________</w:t>
      </w:r>
    </w:p>
    <w:p>
      <w:pPr>
        <w:pStyle w:val="TextBody"/>
        <w:bidi w:val="0"/>
        <w:spacing w:lineRule="auto" w:line="417" w:before="0" w:after="0"/>
        <w:jc w:val="both"/>
        <w:rPr>
          <w:rFonts w:ascii="Roboto;sans-serif" w:hAnsi="Roboto;sans-serif"/>
          <w:b w:val="false"/>
          <w:color w:val="000000"/>
          <w:sz w:val="14"/>
        </w:rPr>
      </w:pPr>
      <w:r>
        <w:rPr>
          <w:rFonts w:ascii="Roboto;sans-serif" w:hAnsi="Roboto;sans-serif"/>
          <w:b w:val="false"/>
          <w:color w:val="000000"/>
          <w:sz w:val="14"/>
        </w:rPr>
        <w:t>(1) Includes $10.0 million related to the Term Loan and $199.0 million related to the 2026 Notes.</w:t>
      </w:r>
    </w:p>
    <w:p>
      <w:pPr>
        <w:pStyle w:val="TextBody"/>
        <w:bidi w:val="0"/>
        <w:spacing w:lineRule="auto" w:line="417" w:before="0" w:after="0"/>
        <w:jc w:val="both"/>
        <w:rPr>
          <w:rFonts w:ascii="Roboto;sans-serif" w:hAnsi="Roboto;sans-serif"/>
          <w:b w:val="false"/>
          <w:color w:val="000000"/>
          <w:sz w:val="14"/>
        </w:rPr>
      </w:pPr>
      <w:r>
        <w:rPr>
          <w:rFonts w:ascii="Roboto;sans-serif" w:hAnsi="Roboto;sans-serif"/>
          <w:b w:val="false"/>
          <w:color w:val="000000"/>
          <w:sz w:val="14"/>
        </w:rPr>
        <w:t>(2) Consists of $350.0 million related to the 2029 Notes due December 1, 2029.</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33350"/>
                <wp:effectExtent l="0" t="0" r="0" b="0"/>
                <wp:wrapNone/>
                <wp:docPr id="18" name="Frame18"/>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rFonts w:ascii="Roboto;sans-serif" w:hAnsi="Roboto;sans-serif"/>
          <w:b/>
          <w:color w:val="000000"/>
          <w:sz w:val="18"/>
        </w:rPr>
      </w:pPr>
      <w:r>
        <w:rPr>
          <w:rFonts w:ascii="Roboto;sans-serif" w:hAnsi="Roboto;sans-serif"/>
          <w:b/>
          <w:color w:val="000000"/>
          <w:sz w:val="18"/>
        </w:rPr>
        <w:t>8. Commitments and Contingencies</w:t>
      </w:r>
    </w:p>
    <w:p>
      <w:pPr>
        <w:pStyle w:val="TextBody"/>
        <w:bidi w:val="0"/>
        <w:spacing w:before="0" w:after="0"/>
        <w:jc w:val="left"/>
        <w:rPr/>
      </w:pPr>
      <w:r>
        <w:rPr/>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Music License Agreements</w:t>
      </w:r>
    </w:p>
    <w:p>
      <w:pPr>
        <w:pStyle w:val="TextBody"/>
        <w:bidi w:val="0"/>
        <w:spacing w:lineRule="auto" w:line="288" w:before="0" w:after="0"/>
        <w:jc w:val="both"/>
        <w:rPr>
          <w:rFonts w:ascii="Roboto;sans-serif" w:hAnsi="Roboto;sans-serif"/>
          <w:b w:val="false"/>
          <w:color w:val="000000"/>
          <w:sz w:val="18"/>
          <w:shd w:fill="FFFFFF" w:val="clear"/>
        </w:rPr>
      </w:pPr>
      <w:r>
        <w:rPr>
          <w:rFonts w:ascii="Roboto;sans-serif" w:hAnsi="Roboto;sans-serif"/>
          <w:b w:val="false"/>
          <w:color w:val="000000"/>
          <w:sz w:val="18"/>
          <w:shd w:fill="FFFFFF" w:val="clear"/>
        </w:rPr>
        <w:t>The Company is subject to minimum guarantee royalty payments associated under certain music license agreements.</w:t>
      </w:r>
    </w:p>
    <w:p>
      <w:pPr>
        <w:pStyle w:val="TextBody"/>
        <w:bidi w:val="0"/>
        <w:spacing w:before="0" w:after="0"/>
        <w:jc w:val="both"/>
        <w:rPr/>
      </w:pPr>
      <w:r>
        <w:rPr/>
      </w:r>
    </w:p>
    <w:p>
      <w:pPr>
        <w:pStyle w:val="TextBody"/>
        <w:bidi w:val="0"/>
        <w:spacing w:lineRule="auto" w:line="288" w:before="0" w:after="240"/>
        <w:jc w:val="both"/>
        <w:rPr/>
      </w:pPr>
      <w:r>
        <w:rPr>
          <w:rFonts w:ascii="Roboto;sans-serif" w:hAnsi="Roboto;sans-serif"/>
          <w:b w:val="false"/>
          <w:color w:val="000000"/>
          <w:sz w:val="18"/>
          <w:shd w:fill="FFFFFF" w:val="clear"/>
        </w:rPr>
        <w:t xml:space="preserve">The following represents the Company's minimum annual guarantee payments under music license agreements, as of </w:t>
      </w:r>
      <w:r>
        <w:rPr>
          <w:rFonts w:ascii="Roboto;sans-serif" w:hAnsi="Roboto;sans-serif"/>
          <w:b w:val="false"/>
          <w:color w:val="000000"/>
          <w:sz w:val="18"/>
        </w:rPr>
        <w:t>March 31, 2025</w:t>
      </w:r>
      <w:r>
        <w:rPr>
          <w:rFonts w:ascii="Roboto;sans-serif" w:hAnsi="Roboto;sans-serif"/>
          <w:b w:val="false"/>
          <w:color w:val="000000"/>
          <w:sz w:val="18"/>
          <w:shd w:fill="FFFFFF" w:val="clear"/>
        </w:rPr>
        <w:t>:</w:t>
      </w:r>
    </w:p>
    <w:tbl>
      <w:tblPr>
        <w:tblW w:w="5744" w:type="dxa"/>
        <w:jc w:val="left"/>
        <w:tblInd w:w="0" w:type="dxa"/>
        <w:tblLayout w:type="fixed"/>
        <w:tblCellMar>
          <w:top w:w="28" w:type="dxa"/>
          <w:left w:w="28" w:type="dxa"/>
          <w:bottom w:w="28" w:type="dxa"/>
          <w:right w:w="28" w:type="dxa"/>
        </w:tblCellMar>
      </w:tblPr>
      <w:tblGrid>
        <w:gridCol w:w="1014"/>
        <w:gridCol w:w="893"/>
        <w:gridCol w:w="897"/>
        <w:gridCol w:w="610"/>
        <w:gridCol w:w="1911"/>
        <w:gridCol w:w="419"/>
      </w:tblGrid>
      <w:tr>
        <w:trPr/>
        <w:tc>
          <w:tcPr>
            <w:tcW w:w="1014"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911"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Roboto;sans-serif" w:hAnsi="Roboto;sans-serif"/>
                <w:b/>
                <w:color w:val="000000"/>
                <w:sz w:val="18"/>
              </w:rPr>
            </w:pPr>
            <w:r>
              <w:rPr>
                <w:rFonts w:ascii="Roboto;sans-serif" w:hAnsi="Roboto;sans-serif"/>
                <w:b/>
                <w:color w:val="000000"/>
                <w:sz w:val="18"/>
              </w:rPr>
              <w:t>Future Minimum Payments</w:t>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8"/>
              </w:rPr>
            </w:pPr>
            <w:r>
              <w:rPr>
                <w:rFonts w:ascii="Roboto;sans-serif" w:hAnsi="Roboto;sans-serif"/>
                <w:b/>
                <w:color w:val="000000"/>
                <w:sz w:val="18"/>
              </w:rPr>
              <w:t>Fiscal Year Ended June 30,</w:t>
            </w:r>
          </w:p>
        </w:tc>
        <w:tc>
          <w:tcPr>
            <w:tcW w:w="29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2025 (remaining)</w:t>
            </w:r>
          </w:p>
        </w:tc>
        <w:tc>
          <w:tcPr>
            <w:tcW w:w="6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9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13.3 </w:t>
            </w:r>
          </w:p>
        </w:tc>
        <w:tc>
          <w:tcPr>
            <w:tcW w:w="4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2026</w:t>
            </w:r>
          </w:p>
        </w:tc>
        <w:tc>
          <w:tcPr>
            <w:tcW w:w="2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106.7 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2027</w:t>
            </w:r>
          </w:p>
        </w:tc>
        <w:tc>
          <w:tcPr>
            <w:tcW w:w="25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3.0 </w:t>
            </w:r>
          </w:p>
        </w:tc>
        <w:tc>
          <w:tcPr>
            <w:tcW w:w="4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2028</w:t>
            </w:r>
          </w:p>
        </w:tc>
        <w:tc>
          <w:tcPr>
            <w:tcW w:w="2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2029</w:t>
            </w:r>
          </w:p>
        </w:tc>
        <w:tc>
          <w:tcPr>
            <w:tcW w:w="25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Thereafter</w:t>
            </w:r>
          </w:p>
        </w:tc>
        <w:tc>
          <w:tcPr>
            <w:tcW w:w="2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0.3 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w:t>
            </w:r>
          </w:p>
        </w:tc>
        <w:tc>
          <w:tcPr>
            <w:tcW w:w="6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9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123.2 </w:t>
            </w:r>
          </w:p>
        </w:tc>
        <w:tc>
          <w:tcPr>
            <w:tcW w:w="4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417" w:before="240" w:after="283"/>
        <w:jc w:val="both"/>
        <w:rPr>
          <w:rFonts w:ascii="Roboto;sans-serif" w:hAnsi="Roboto;sans-serif"/>
          <w:b/>
          <w:i/>
          <w:color w:val="000000"/>
          <w:sz w:val="18"/>
        </w:rPr>
      </w:pPr>
      <w:r>
        <w:rPr>
          <w:rFonts w:ascii="Roboto;sans-serif" w:hAnsi="Roboto;sans-serif"/>
          <w:b/>
          <w:i/>
          <w:color w:val="000000"/>
          <w:sz w:val="18"/>
        </w:rPr>
        <w:t>Commitments to Suppliers</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Company utilizes contract manufacturers to build its products and accessories. These contract manufacturers acquire components and build products based on demand forecast information the Company supplies, which typically covers a rolling 12-month period. Consistent with industry practice, the Company acquires inventories from such manufacturers through purchase orders against which orders are applied based on projected demand information and availability of goods. Such purchase commitments typically cover the Company’s forecasted product and manufacturing requirements for periods that range a number of months. In certain instances, these agreements allow the Company the option to cancel, reschedule, and/or adjust its requirements based on its business needs for a period of time before the order is due to be fulfilled. While the Company’s purchase orders are legally cancellable in many situations, there are some which are not cancellable in the event of a demand plan change or other circumstances, such as where the supplier has procured unique, Peloton-specific designs, and/or specific non-cancellable, non-returnable components based on the Company’s provided forecasts.</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As of March 31, 2025, the Company’s commitments to contract with third-party manufacturers for their inventory on-hand and component purchase commitments related to the manufacture of Peloton products were estimated to be approximately $83.3 million, of which $76.1 million is expected to be paid over the next twelve months, the majority of which is expected to be paid by the end of fiscal year 2025.</w:t>
      </w:r>
    </w:p>
    <w:p>
      <w:pPr>
        <w:pStyle w:val="TextBody"/>
        <w:bidi w:val="0"/>
        <w:spacing w:before="0" w:after="0"/>
        <w:jc w:val="both"/>
        <w:rPr/>
      </w:pPr>
      <w:r>
        <w:rPr/>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Legal and Regulatory Proceedings</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Company is, or may become, a party to legal and regulatory proceedings with respect to a variety of matters in the ordinary course of its business, including the matters set forth below. The Company denies the allegations in the active matters described below and intends to vigorously defend against such matters.</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Some of the Company’s legal and regulatory proceedings, including matters and litigation that center around intellectual property claims, may be based on complex claims involving substantial uncertainties and unascertainable damages. Accordingly, except for proceedings that have settled or been terminated, or except where otherwise indicated below, it is not possible to determine the probability of loss or estimate damages for such matters, and therefore, the Company has not established reserves for any of these proceedings. When the Company determines that a loss is both probable and reasonably estimable, the Company records a liability, and, if the liability is material, discloses the amount of the liability reserved.</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Unless otherwise disclosed below, while it is reasonably possible that a loss may be incurred, the Company is unable to estimate a range of potential loss due to the complexity and current status of these lawsuits. In these matters, the Company has not established a reserve.</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Company evaluates, on a regular basis, developments in its legal proceedings and other contingencies that could affect the amount of liability, including amounts in excess of any previous accruals and reasonably possible losses disclosed, and makes adjustments and changes to the Company’s accruals and disclosures, as appropriate. For the matters the Company discloses that do not include an estimate of the amount of loss or range of losses, such an estimate is not possible or is immaterial.</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Given that the Company’s legal and regulatory proceedings are subject to uncertainty, there can be no assurance that such legal and regulatory proceedings, either individually or in the aggregate, will not have a material adverse effect on its business, results of operations, financial condition or cash flows.</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In May 2021, the Company initiated a voluntary recall of its Tread+ product in collaboration with the U.S. Consumer Product Safety Commission (“CPSC”). In December 2022, the Company entered into a settlement agreement with the CPSC regarding matters related to the Tread+ recall. In the settlement, the Company agreed to pay a $19.1 million civil penalty, resolving the CPSC’s charges that the Company violated the Consumer Product Safety Act (the “CPSA”). On May 18, 2023, the Company and the CPSC jointly announced the approval of a rear guard repair for the recalled Tread+. In 2021, the U.S. Department of Justice and Department of Homeland Security subpoenaed the Company for documents and other information related to the Company’s statutory obligations, including under the CPSA.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33350"/>
                <wp:effectExtent l="0" t="0" r="0" b="0"/>
                <wp:wrapNone/>
                <wp:docPr id="19" name="Frame19"/>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19</w:t>
                      </w:r>
                    </w:p>
                  </w:txbxContent>
                </v:textbox>
                <w10:wrap type="none"/>
              </v:rect>
            </w:pict>
          </mc:Fallback>
        </mc:AlternateContent>
      </w:r>
    </w:p>
    <w:p>
      <w:pPr>
        <w:pStyle w:val="TextBody"/>
        <w:bidi w:val="0"/>
        <w:spacing w:before="0" w:after="0"/>
        <w:jc w:val="center"/>
        <w:rPr/>
      </w:pPr>
      <w:r>
        <w:rPr/>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On October 26, 2021 and January 24, 2022, the United States District Court for the Eastern District of New York consolidated four stockholder derivative actions purportedly brought on behalf of the Company against certain of the Company’s officers and directors under the caption In re Peloton Interactive, Inc. Derivative Litigation, Master File No. 21-cv-02862-CBA-PK (the “EDNY Derivative Action”), which alleged, among other claims, breaches of fiduciary duties, unjust enrichment, abuse of control, gross mismanagement, waste, and violations of Section 14(a) of the Exchange Act related to the Peloton Tread+ and the safety of the product. Alan Chu, Moshe Genack, Xingqi Liu and Anthony Franchi were appointed as co-lead plaintiffs. On December 14, 2022, two putative verified stockholder derivative actions in the Court of Chancery of the State of Delaware, purportedly brought on behalf of the Company against certain of the Company’s officers and directors asserting similar allegations to those made in the EDNY Derivative Action, were consolidated as In re Peloton Interactive, Inc. Stockholder Derivative Litigation, Consol. Case No. 2022-1051-KSJM (the “Chancery Derivative Action”). On December 22, 2022, a stockholder filed a related putative stockholder derivative action in the United States District Court for the District of Delaware, asserting similar allegations to those in the EDNY Derivative Action and the Chancery Derivative Action against certain of the Company’s officers and directors, captioned Blackburn v. Foley, et al., Case No. 22-cv-01618-GBW (the “Blackburn Action”). The EDNY Derivative Action, the Chancery Derivative Action, and the Blackburn Action were all stayed pending the resolution of a related securities class action in the United States District Court for the Eastern District of New York (the “EDNY Class Action”). The court entered a final judgment in the EDNY Class Action on July 9, 2024. The parties in the EDNY Derivative Action, the Chancery Derivative Action, and the Blackburn Action agreed to a settlement-in-principle to resolve those derivative actions on July 29, 2024, and plaintiffs filed a motion for preliminary approval of that settlement in the EDNY Derivative Action on November 15, 2024, which was granted on April 7, 2025. A final approval hearing is scheduled for June 13, 2025. </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On May 11, 2023, in collaboration with the CPSC, the Company announced a voluntary recall of the original Peloton Bike (not Bike+) sold in the U.S. from January 2018 to May 2023 related to its seat post, and the Company is offering a free replacement seat post as the approved repair. On June 9, 2023, Sam Solomon filed a putative securities class action against the Company and certain of the Company’s officers in the U.S. District Court for the Eastern District of New York, Case No. 1:23-cv-04279-MKB-JRC (the “2023 Securities Litigation”). Jia Tian and David Feigelman were appointed as co-lead plaintiffs. On November 6, 2023, co-lead plaintiffs filed an amended complaint purportedly on behalf of a class consisting of those individuals who purchased or otherwise acquired the Company’s common stock between May 6, 2021 and August 22, 2023, alleging that the defendants made false and/or misleading statements relating to the seat post recall in violation of Sections 10(b) and 20(a) of the Exchange Act. On February 2, 2024, defendants served a motion to dismiss the amended complaint. Briefing on defendants’ motion to dismiss the amended complaint in the 2023 Securities Litigation was completed on May 17, 2024. On February 14, 2025, the court issued a memorandum and order granting defendants’ motion to dismiss and dismissing the amended complaint with leave to file a second amended complaint. On April 11, 2025, co-lead plaintiffs filed a second amended complaint asserting similar claims under Sections 10(b) and 20(a) of the Exchange Act, purportedly on behalf of the same proposed class.</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On September 27, 2023, Courtney Cooper and Abdo P. Faissal filed a verified stockholder derivative complaint, purportedly on behalf of the Company against certain of the Company’s officers and directors, captioned Cooper v. Boone, et. al., Case No. 23-cv-07193-MKB-MMH, in the U.S. District Court for the Eastern District of New York, which alleges breaches of fiduciary duties and violations of Section 14(a) of the Exchange Act, as well as a claim for contribution under Sections 10(b) and 21D of the Exchange Act for any liability the Company may incur as a result of the 2023 Securities Litigation. On January 8, 2024, the court stayed the action pending resolution of the motion to dismiss in the 2023 Securities Litigation.</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On May 5, 2022, the United States District Court for the Southern District of New York consolidated two putative securities class action lawsuits against the Company and certain of the Company’s officers under the caption City of Hialeah Employees Retirement System et al. v. Peloton Interactive, Inc., et al., Case No. 21-CV-09582-ALC-OTW and appointed Robeco Capital Growth Funds SICAV – Robeco Global Consumer Trends as lead plaintiff in the class action (the “SDNY Class Action”). Lead plaintiff filed its amended complaint on June 25, 2022, alleging that the defendants made false and/or misleading statements about demand for the Company’s products and the reasons for the Company’s inventory growth, and engaged in improper trading in violation of Sections 10(b) and 20A of the Exchange Act. On March 30, 2023, the court granted defendants’ motion to dismiss, with leave to amend. Plaintiffs filed an amended complaint on May 6, 2023, purportedly on behalf of a class consisting of those individuals who purchased or otherwise acquired the Company’s common stock between February 5, 2021 and January 19, 2022, and defendants moved to dismiss the complaint on June 16, 2023. On September 30, 2024, the court granted defendants’ motion to dismiss the second amended complaint with prejudice (the “Order”). On October 21, 2024, plaintiffs filed a notice of appeal of the Order with the United States Court of Appeals for the Second Circuit and filed their brief in support of their appeal on December 10, 2024. Defendants filed their responsive brief on January 28, 2025. The United States Court of Appeals for the Second Circuit heard argument on the appeal on April 11, 2025, and the appeal remains pending.</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On July 26, 2023, the Court of Chancery in the State of Delaware consolidated three stockholder derivative actions purportedly on behalf of the Company against certain of the Company’s officers and directors under the caption In re Peloton Interactive, Inc. 2023 Derivative Litigation, Consol. Case No. 2023-0224-KSJM, which alleges that defendants breached their fiduciary duties by purportedly making false statements about the demand for the Company’s products and engaging in improper trading. Allison Manzella, Clark Ovruchesky, Daniel Banks and Karen Florentino are co-lead plaintiffs. The court stayed the action on September 26, 2023 pending final resolution of the motion to dismiss in the SDNY Class Action, including that any appeals have been concluded.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Roboto;sans-serif" w:hAnsi="Roboto;sans-serif"/>
          <w:b/>
          <w:color w:val="000000"/>
          <w:sz w:val="18"/>
        </w:rPr>
      </w:pPr>
      <w:r>
        <w:rPr>
          <w:rFonts w:ascii="Roboto;sans-serif" w:hAnsi="Roboto;sans-serif"/>
          <w:b/>
          <w:color w:val="000000"/>
          <w:sz w:val="18"/>
        </w:rPr>
        <w:t xml:space="preserve">9. Equity-Based Compensation </w:t>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2019 Equity Incentive Plan</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In August 2019, the Board of Directors adopted the 2019 Equity Incentive Plan (the “2019 Plan”), which was subsequently approved by the Company’s stockholders in September 2019. The 2019 Plan serves as the successor to the 2015 Stock Plan (the "2015 Plan"). The 2015 Plan continues to govern the terms and conditions of the outstanding awards previously granted thereunder. Any reserved shares not issued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33350"/>
                <wp:effectExtent l="0" t="0" r="0" b="0"/>
                <wp:wrapNone/>
                <wp:docPr id="20" name="Frame20"/>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20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subject to outstanding grants under the 2015 Plan on the effective date of the 2019 Plan became available for grant under the 2019 Plan and will be issued as Class A common stock.</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Under the terms of the 2019 Plan, for stock option and restricted stock unit grants, vesting generally occurs over two to four years. Stock option grants are not exercisable after the expiration of ten years from the date of grant or such shorter period as specified in a stock award agreement. Restricted stock units are generally granted with a service condition only or both a service and performance condition. During the nine months ended March 31, 2025, the Company granted performance-based restricted stock units to certain members of management. The performance-based restricted stock units generally cliff vest, if earned, two and one-half months after the end of the fiscal year. The number of shares that can be earned generally ranges from 0% to 200% of the target number based on the achievement of the performance condition over the respective measurement period.</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The number of shares reserved for issuance under the 2019 Plan will increase automatically on July 1 of each of 2020 through 2029 by the number of shares of Class A common stock equal to 5% of the total outstanding shares of all of the Company’s classes of common stock as of each June 30 immediately preceding the date of increase (the “evergreen feature”), or a lesser amount as determined by the Board of Directors. On July 1, 2024, the number of shares of Class A common stock available for issuance under the 2019 Plan was automatically increased according to its terms by 18,813,085 shares. </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As of March 31, 2025, 56,679,467 shares of Class A common stock were available for future award under the 2019 Plan.</w:t>
      </w:r>
    </w:p>
    <w:p>
      <w:pPr>
        <w:pStyle w:val="TextBody"/>
        <w:bidi w:val="0"/>
        <w:spacing w:before="0" w:after="0"/>
        <w:jc w:val="both"/>
        <w:rPr/>
      </w:pPr>
      <w:r>
        <w:rPr/>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Stock Options</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The following summary sets forth the stock option activity under the 2019 Plan:</w:t>
      </w:r>
    </w:p>
    <w:tbl>
      <w:tblPr>
        <w:tblW w:w="10205" w:type="dxa"/>
        <w:jc w:val="left"/>
        <w:tblInd w:w="0" w:type="dxa"/>
        <w:tblLayout w:type="fixed"/>
        <w:tblCellMar>
          <w:top w:w="28" w:type="dxa"/>
          <w:left w:w="28" w:type="dxa"/>
          <w:bottom w:w="28" w:type="dxa"/>
          <w:right w:w="28" w:type="dxa"/>
        </w:tblCellMar>
      </w:tblPr>
      <w:tblGrid>
        <w:gridCol w:w="592"/>
        <w:gridCol w:w="498"/>
        <w:gridCol w:w="499"/>
        <w:gridCol w:w="889"/>
        <w:gridCol w:w="418"/>
        <w:gridCol w:w="378"/>
        <w:gridCol w:w="109"/>
        <w:gridCol w:w="109"/>
        <w:gridCol w:w="109"/>
        <w:gridCol w:w="472"/>
        <w:gridCol w:w="1478"/>
        <w:gridCol w:w="229"/>
        <w:gridCol w:w="109"/>
        <w:gridCol w:w="109"/>
        <w:gridCol w:w="109"/>
        <w:gridCol w:w="815"/>
        <w:gridCol w:w="815"/>
        <w:gridCol w:w="816"/>
        <w:gridCol w:w="109"/>
        <w:gridCol w:w="109"/>
        <w:gridCol w:w="109"/>
        <w:gridCol w:w="351"/>
        <w:gridCol w:w="725"/>
        <w:gridCol w:w="249"/>
      </w:tblGrid>
      <w:tr>
        <w:trPr/>
        <w:tc>
          <w:tcPr>
            <w:tcW w:w="592"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Options Outstanding</w:t>
            </w:r>
          </w:p>
        </w:tc>
      </w:tr>
      <w:tr>
        <w:trPr/>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Number of Stock Options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Roboto;sans-serif" w:hAnsi="Roboto;sans-serif"/>
                <w:b/>
                <w:color w:val="000000"/>
                <w:sz w:val="18"/>
              </w:rPr>
            </w:pPr>
            <w:r>
              <w:rPr>
                <w:rFonts w:ascii="Roboto;sans-serif" w:hAnsi="Roboto;sans-serif"/>
                <w:b/>
                <w:color w:val="000000"/>
                <w:sz w:val="18"/>
              </w:rPr>
              <w:t>Weighted-Average Exercise 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Weighted-Average Remaining Contractual Term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Roboto;sans-serif" w:hAnsi="Roboto;sans-serif"/>
                <w:b/>
                <w:color w:val="000000"/>
                <w:sz w:val="18"/>
              </w:rPr>
            </w:pPr>
            <w:r>
              <w:rPr>
                <w:rFonts w:ascii="Roboto;sans-serif" w:hAnsi="Roboto;sans-serif"/>
                <w:b/>
                <w:color w:val="000000"/>
                <w:sz w:val="18"/>
              </w:rPr>
              <w:t>Aggregate</w:t>
            </w:r>
          </w:p>
          <w:p>
            <w:pPr>
              <w:pStyle w:val="TableContents"/>
              <w:bidi w:val="0"/>
              <w:spacing w:lineRule="auto" w:line="240" w:before="0" w:after="0"/>
              <w:jc w:val="center"/>
              <w:rPr>
                <w:rFonts w:ascii="Roboto;sans-serif" w:hAnsi="Roboto;sans-serif"/>
                <w:b/>
                <w:color w:val="000000"/>
                <w:sz w:val="18"/>
              </w:rPr>
            </w:pPr>
            <w:r>
              <w:rPr>
                <w:rFonts w:ascii="Roboto;sans-serif" w:hAnsi="Roboto;sans-serif"/>
                <w:b/>
                <w:color w:val="000000"/>
                <w:sz w:val="18"/>
              </w:rPr>
              <w:t xml:space="preserve">Intrinsic </w:t>
            </w:r>
          </w:p>
          <w:p>
            <w:pPr>
              <w:pStyle w:val="TableContents"/>
              <w:bidi w:val="0"/>
              <w:spacing w:lineRule="auto" w:line="240" w:before="0" w:after="0"/>
              <w:jc w:val="center"/>
              <w:rPr>
                <w:rFonts w:ascii="Roboto;sans-serif" w:hAnsi="Roboto;sans-serif"/>
                <w:b/>
                <w:color w:val="000000"/>
                <w:sz w:val="18"/>
              </w:rPr>
            </w:pPr>
            <w:r>
              <w:rPr>
                <w:rFonts w:ascii="Roboto;sans-serif" w:hAnsi="Roboto;sans-serif"/>
                <w:b/>
                <w:color w:val="000000"/>
                <w:sz w:val="18"/>
              </w:rPr>
              <w:t>Value (in millions)</w:t>
            </w:r>
          </w:p>
        </w:tc>
      </w:tr>
      <w:tr>
        <w:trPr/>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Outstanding — June 30, 2024</w:t>
            </w:r>
          </w:p>
        </w:tc>
        <w:tc>
          <w:tcPr>
            <w:tcW w:w="13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28,901,489 </w:t>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4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20.14 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3.4 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Granted</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1,036,395 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4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7.54 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Exercised</w:t>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(1,344,003)</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4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3.85 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5.7 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Forfeited or expired</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(2,282,540)</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4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15.91 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Outstanding — March 31, 2025</w:t>
            </w:r>
          </w:p>
        </w:tc>
        <w:tc>
          <w:tcPr>
            <w:tcW w:w="13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26,311,341 </w:t>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4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20.84 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9.0 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Vested and Exercisable — March 31, 2025</w:t>
            </w:r>
          </w:p>
        </w:tc>
        <w:tc>
          <w:tcPr>
            <w:tcW w:w="130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24,271,289 </w:t>
            </w:r>
          </w:p>
        </w:tc>
        <w:tc>
          <w:tcPr>
            <w:tcW w:w="3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4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21.76 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9.0 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Unvested option activity is as follows:</w:t>
      </w:r>
    </w:p>
    <w:tbl>
      <w:tblPr>
        <w:tblW w:w="8891" w:type="dxa"/>
        <w:jc w:val="left"/>
        <w:tblInd w:w="0" w:type="dxa"/>
        <w:tblLayout w:type="fixed"/>
        <w:tblCellMar>
          <w:top w:w="28" w:type="dxa"/>
          <w:left w:w="28" w:type="dxa"/>
          <w:bottom w:w="28" w:type="dxa"/>
          <w:right w:w="28" w:type="dxa"/>
        </w:tblCellMar>
      </w:tblPr>
      <w:tblGrid>
        <w:gridCol w:w="989"/>
        <w:gridCol w:w="867"/>
        <w:gridCol w:w="873"/>
        <w:gridCol w:w="607"/>
        <w:gridCol w:w="608"/>
        <w:gridCol w:w="301"/>
        <w:gridCol w:w="109"/>
        <w:gridCol w:w="109"/>
        <w:gridCol w:w="109"/>
        <w:gridCol w:w="897"/>
        <w:gridCol w:w="2807"/>
        <w:gridCol w:w="615"/>
      </w:tblGrid>
      <w:tr>
        <w:trPr/>
        <w:tc>
          <w:tcPr>
            <w:tcW w:w="989"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2807"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Weighted-Average Grant Date Fair Value</w:t>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Unvested — June 30, 2024</w:t>
            </w:r>
          </w:p>
        </w:tc>
        <w:tc>
          <w:tcPr>
            <w:tcW w:w="12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6,348,265 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28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17.24 </w:t>
            </w:r>
          </w:p>
        </w:tc>
        <w:tc>
          <w:tcPr>
            <w:tcW w:w="6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Granted</w:t>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1,036,395 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28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5.53 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Vested</w:t>
            </w:r>
          </w:p>
        </w:tc>
        <w:tc>
          <w:tcPr>
            <w:tcW w:w="12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(4,841,178)</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28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17.40 </w:t>
            </w:r>
          </w:p>
        </w:tc>
        <w:tc>
          <w:tcPr>
            <w:tcW w:w="6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Forfeited or expired</w:t>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(503,430)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28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19.37 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Unvested — March 31, 2025</w:t>
            </w:r>
          </w:p>
        </w:tc>
        <w:tc>
          <w:tcPr>
            <w:tcW w:w="121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2,040,052 </w:t>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28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10.40 </w:t>
            </w:r>
          </w:p>
        </w:tc>
        <w:tc>
          <w:tcPr>
            <w:tcW w:w="6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aggregate intrinsic value of options outstanding and vested and exercisable, were calculated as the difference between the exercise price of the options and the fair value of the Company’s common stock as of March 31, 2025. The fair value of the common stock is the closing stock price of Class A common stock as reported on The Nasdaq Global Select Market. The aggregate intrinsic value of exercised options was $5.7 million and $12.3 million for the nine months ended March 31, 2025 and 2024, respectively.</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33350"/>
                <wp:effectExtent l="0" t="0" r="0" b="0"/>
                <wp:wrapNone/>
                <wp:docPr id="21" name="Frame21"/>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21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For the nine months ended March 31, 2025, the weighted-average grant date fair value per option was $5.53, and for the nine months ended March 31, 2024, no options were granted. The fair value of each option was estimated at the grant date using the Black-Scholes method with the following assumptions:</w:t>
      </w:r>
    </w:p>
    <w:tbl>
      <w:tblPr>
        <w:tblW w:w="7568" w:type="dxa"/>
        <w:jc w:val="left"/>
        <w:tblInd w:w="0" w:type="dxa"/>
        <w:tblLayout w:type="fixed"/>
        <w:tblCellMar>
          <w:top w:w="28" w:type="dxa"/>
          <w:left w:w="28" w:type="dxa"/>
          <w:bottom w:w="28" w:type="dxa"/>
          <w:right w:w="28" w:type="dxa"/>
        </w:tblCellMar>
      </w:tblPr>
      <w:tblGrid>
        <w:gridCol w:w="1500"/>
        <w:gridCol w:w="1316"/>
        <w:gridCol w:w="1324"/>
        <w:gridCol w:w="705"/>
        <w:gridCol w:w="705"/>
        <w:gridCol w:w="1755"/>
        <w:gridCol w:w="109"/>
        <w:gridCol w:w="154"/>
      </w:tblGrid>
      <w:tr>
        <w:trPr/>
        <w:tc>
          <w:tcPr>
            <w:tcW w:w="1500"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7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Roboto;sans-serif" w:hAnsi="Roboto;sans-serif"/>
                <w:b/>
                <w:color w:val="000000"/>
                <w:sz w:val="18"/>
              </w:rPr>
            </w:pPr>
            <w:r>
              <w:rPr>
                <w:rFonts w:ascii="Roboto;sans-serif" w:hAnsi="Roboto;sans-serif"/>
                <w:b/>
                <w:color w:val="000000"/>
                <w:sz w:val="18"/>
              </w:rPr>
              <w:t>Nine Months Ended March 31,</w:t>
            </w:r>
          </w:p>
        </w:tc>
        <w:tc>
          <w:tcPr>
            <w:tcW w:w="263" w:type="dxa"/>
            <w:gridSpan w:val="2"/>
            <w:tcBorders/>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8"/>
              </w:rPr>
              <w:t xml:space="preserve">Weighted average risk-free interest rate </w:t>
            </w:r>
            <w:r>
              <w:rPr>
                <w:rFonts w:ascii="Roboto;sans-serif" w:hAnsi="Roboto;sans-serif"/>
                <w:b w:val="false"/>
                <w:color w:val="000000"/>
                <w:sz w:val="12"/>
              </w:rPr>
              <w:t>(1)</w:t>
            </w:r>
            <w:r>
              <w:rPr>
                <w:color w:val="000000"/>
              </w:rPr>
              <w:t xml:space="preserve"> </w:t>
            </w:r>
          </w:p>
        </w:tc>
        <w:tc>
          <w:tcPr>
            <w:tcW w:w="14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4.3 </w:t>
            </w:r>
          </w:p>
        </w:tc>
        <w:tc>
          <w:tcPr>
            <w:tcW w:w="17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 xml:space="preserve">Weighted average expected term (in years) </w:t>
            </w:r>
          </w:p>
        </w:tc>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8"/>
              </w:rPr>
              <w:t xml:space="preserve">Weighted average expected volatility </w:t>
            </w:r>
            <w:r>
              <w:rPr>
                <w:rFonts w:ascii="Roboto;sans-serif" w:hAnsi="Roboto;sans-serif"/>
                <w:b w:val="false"/>
                <w:color w:val="000000"/>
                <w:sz w:val="12"/>
              </w:rPr>
              <w:t xml:space="preserve">(2) </w:t>
            </w:r>
          </w:p>
        </w:tc>
        <w:tc>
          <w:tcPr>
            <w:tcW w:w="14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87.0 </w:t>
            </w:r>
          </w:p>
        </w:tc>
        <w:tc>
          <w:tcPr>
            <w:tcW w:w="17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 xml:space="preserve">Expected dividend yield </w:t>
            </w:r>
          </w:p>
        </w:tc>
        <w:tc>
          <w:tcPr>
            <w:tcW w:w="14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jc w:val="both"/>
        <w:rPr>
          <w:rFonts w:ascii="Roboto;sans-serif" w:hAnsi="Roboto;sans-serif"/>
          <w:b w:val="false"/>
          <w:color w:val="000000"/>
          <w:sz w:val="18"/>
        </w:rPr>
      </w:pPr>
      <w:r>
        <w:rPr>
          <w:rFonts w:ascii="Roboto;sans-serif" w:hAnsi="Roboto;sans-serif"/>
          <w:b w:val="false"/>
          <w:color w:val="000000"/>
          <w:sz w:val="18"/>
        </w:rPr>
        <w:t>____________________________</w:t>
      </w:r>
    </w:p>
    <w:p>
      <w:pPr>
        <w:pStyle w:val="TextBody"/>
        <w:bidi w:val="0"/>
        <w:spacing w:lineRule="auto" w:line="288" w:before="60" w:after="60"/>
        <w:jc w:val="left"/>
        <w:rPr>
          <w:rFonts w:ascii="Roboto;sans-serif" w:hAnsi="Roboto;sans-serif"/>
          <w:b w:val="false"/>
          <w:color w:val="000000"/>
          <w:sz w:val="14"/>
        </w:rPr>
      </w:pPr>
      <w:r>
        <w:rPr>
          <w:rFonts w:ascii="Roboto;sans-serif" w:hAnsi="Roboto;sans-serif"/>
          <w:b w:val="false"/>
          <w:color w:val="000000"/>
          <w:sz w:val="14"/>
        </w:rPr>
        <w:t>(1) Based on U.S. Treasury yield curve in effect at the time of grant.</w:t>
      </w:r>
    </w:p>
    <w:p>
      <w:pPr>
        <w:pStyle w:val="TextBody"/>
        <w:bidi w:val="0"/>
        <w:spacing w:lineRule="auto" w:line="288" w:before="60" w:after="60"/>
        <w:jc w:val="left"/>
        <w:rPr>
          <w:rFonts w:ascii="Roboto;sans-serif" w:hAnsi="Roboto;sans-serif"/>
          <w:b w:val="false"/>
          <w:color w:val="000000"/>
          <w:sz w:val="14"/>
        </w:rPr>
      </w:pPr>
      <w:r>
        <w:rPr>
          <w:rFonts w:ascii="Roboto;sans-serif" w:hAnsi="Roboto;sans-serif"/>
          <w:b w:val="false"/>
          <w:color w:val="000000"/>
          <w:sz w:val="14"/>
        </w:rPr>
        <w:t>(2) Expected volatility is based on the historical volatility of the price of Class A common stock.</w:t>
      </w:r>
    </w:p>
    <w:p>
      <w:pPr>
        <w:pStyle w:val="TextBody"/>
        <w:bidi w:val="0"/>
        <w:spacing w:before="0" w:after="0"/>
        <w:jc w:val="both"/>
        <w:rPr/>
      </w:pPr>
      <w:r>
        <w:rPr/>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Restricted Stock and Restricted Stock Units</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The following table summarizes the activity related to the Company's restricted stock and restricted stock units:</w:t>
      </w:r>
    </w:p>
    <w:tbl>
      <w:tblPr>
        <w:tblW w:w="10083" w:type="dxa"/>
        <w:jc w:val="left"/>
        <w:tblInd w:w="0" w:type="dxa"/>
        <w:tblLayout w:type="fixed"/>
        <w:tblCellMar>
          <w:top w:w="28" w:type="dxa"/>
          <w:left w:w="28" w:type="dxa"/>
          <w:bottom w:w="28" w:type="dxa"/>
          <w:right w:w="28" w:type="dxa"/>
        </w:tblCellMar>
      </w:tblPr>
      <w:tblGrid>
        <w:gridCol w:w="1086"/>
        <w:gridCol w:w="956"/>
        <w:gridCol w:w="958"/>
        <w:gridCol w:w="668"/>
        <w:gridCol w:w="668"/>
        <w:gridCol w:w="666"/>
        <w:gridCol w:w="254"/>
        <w:gridCol w:w="254"/>
        <w:gridCol w:w="254"/>
        <w:gridCol w:w="1010"/>
        <w:gridCol w:w="2621"/>
        <w:gridCol w:w="688"/>
      </w:tblGrid>
      <w:tr>
        <w:trPr/>
        <w:tc>
          <w:tcPr>
            <w:tcW w:w="108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2621"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Restricted Stock Units Outstanding</w:t>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Number of Awards</w:t>
            </w:r>
          </w:p>
        </w:tc>
        <w:tc>
          <w:tcPr>
            <w:tcW w:w="7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Roboto;sans-serif" w:hAnsi="Roboto;sans-serif"/>
                <w:b/>
                <w:color w:val="000000"/>
                <w:sz w:val="18"/>
              </w:rPr>
            </w:pPr>
            <w:r>
              <w:rPr>
                <w:rFonts w:ascii="Roboto;sans-serif" w:hAnsi="Roboto;sans-serif"/>
                <w:b/>
                <w:color w:val="000000"/>
                <w:sz w:val="18"/>
              </w:rPr>
              <w:t>Weighted-Average Grant Date Fair Value</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Outstanding — June 30, 2024</w:t>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55,811,463 </w:t>
            </w:r>
          </w:p>
        </w:tc>
        <w:tc>
          <w:tcPr>
            <w:tcW w:w="6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26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6.80 </w:t>
            </w:r>
          </w:p>
        </w:tc>
        <w:tc>
          <w:tcPr>
            <w:tcW w:w="6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Granted</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34,049,029 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26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5.14 </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Vested and converted to shares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(20,206,847)</w:t>
            </w:r>
          </w:p>
        </w:tc>
        <w:tc>
          <w:tcPr>
            <w:tcW w:w="6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26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6.97 </w:t>
            </w:r>
          </w:p>
        </w:tc>
        <w:tc>
          <w:tcPr>
            <w:tcW w:w="6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Cancelled</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(6,484,966)</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26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6.38 </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Outstanding — March 31, 2025</w:t>
            </w:r>
          </w:p>
        </w:tc>
        <w:tc>
          <w:tcPr>
            <w:tcW w:w="13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63,168,679 </w:t>
            </w:r>
          </w:p>
        </w:tc>
        <w:tc>
          <w:tcPr>
            <w:tcW w:w="6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26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5.89 </w:t>
            </w:r>
          </w:p>
        </w:tc>
        <w:tc>
          <w:tcPr>
            <w:tcW w:w="6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Employee Stock Purchase Plan</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In August 2019, the Board of Directors adopted, and in September 2019, the Company's stockholders approved, the Employee Stock Purchase Plan (“ESPP”), through which eligible employees may purchase shares of Class A common stock at a discount through accumulated payroll deductions. The ESPP became effective on September 25, 2019, the date the registration statement, filed in connection with the Company’s initial public offering, was declared effective by the SEC (the “Effective Date”). The number of shares of Class A common stock that are available for issuance and sale to eligible employees under the ESPP will increase automatically on the first day of each fiscal year of the Company beginning on July 1, 2020 through 2029, in an amount equal to 1% of the total number of outstanding shares of all classes of the Company's common stock on the immediately preceding June 30, or such lesser number as may be determined by the Board of Directors or applicable committee in its sole discretion. On July 1, 2024, the number of shares of Class A common stock available for issuance under the ESPP was automatically increased according to its terms by 3,762,617 shares. As of March 31, 2025, 18,133,477 shares of Class A common stock were available for sale to employees under the ESPP.</w:t>
      </w:r>
    </w:p>
    <w:p>
      <w:pPr>
        <w:pStyle w:val="TextBody"/>
        <w:bidi w:val="0"/>
        <w:spacing w:before="0" w:after="0"/>
        <w:jc w:val="both"/>
        <w:rPr/>
      </w:pPr>
      <w:r>
        <w:rPr/>
      </w:r>
    </w:p>
    <w:p>
      <w:pPr>
        <w:pStyle w:val="TextBody"/>
        <w:bidi w:val="0"/>
        <w:spacing w:lineRule="auto" w:line="288" w:before="0" w:after="0"/>
        <w:jc w:val="both"/>
        <w:rPr/>
      </w:pPr>
      <w:r>
        <w:rPr>
          <w:rFonts w:ascii="Roboto;sans-serif" w:hAnsi="Roboto;sans-serif"/>
          <w:b w:val="false"/>
          <w:color w:val="000000"/>
          <w:sz w:val="18"/>
        </w:rPr>
        <w:t xml:space="preserve">Unless otherwise determined by the Board of Directors, each offering period will consist of four six-month purchase periods, commencing on September 1 and March 1 and ending on August 31 and February 28 of each two-year period or each six-month period, respectively, subject to a reset provision. If the closing price of Class A common stock on the first day of an offering period is higher than the closing price of Class A common stock on the last day of any applicable purchase period, participants will be withdrawn from the ongoing offering period immediately following the purchase of ESPP shares on the purchase date and would automatically be enrolled in the subsequent offering period (“ESPP reset”), resulting in a modification under ASC 718, </w:t>
      </w:r>
      <w:r>
        <w:rPr>
          <w:rFonts w:ascii="Roboto;sans-serif" w:hAnsi="Roboto;sans-serif"/>
          <w:b w:val="false"/>
          <w:i/>
          <w:color w:val="000000"/>
          <w:sz w:val="18"/>
        </w:rPr>
        <w:t>Compensation - Stock Compensation</w:t>
      </w:r>
      <w:r>
        <w:rPr>
          <w:rFonts w:ascii="Roboto;sans-serif" w:hAnsi="Roboto;sans-serif"/>
          <w:b w:val="false"/>
          <w:color w:val="000000"/>
          <w:sz w:val="18"/>
        </w:rPr>
        <w:t xml:space="preserve">. </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Unless otherwise determined by the Board of Directors, the purchase price for each share of Class A common stock purchased under the ESPP will be 85% of the lower of the fair market value per share on the first trading day of the applicable offering period or the fair market value per share on the last trading day of the applicable purchase period.</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33350"/>
                <wp:effectExtent l="0" t="0" r="0" b="0"/>
                <wp:wrapNone/>
                <wp:docPr id="22" name="Frame22"/>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22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The Black-Scholes option pricing model assumptions used to calculate the fair value of shares estimated to be purchased at the commencement of the ESPP offering periods were as follows:</w:t>
      </w:r>
    </w:p>
    <w:tbl>
      <w:tblPr>
        <w:tblW w:w="7484" w:type="dxa"/>
        <w:jc w:val="left"/>
        <w:tblInd w:w="0" w:type="dxa"/>
        <w:tblLayout w:type="fixed"/>
        <w:tblCellMar>
          <w:top w:w="28" w:type="dxa"/>
          <w:left w:w="28" w:type="dxa"/>
          <w:bottom w:w="28" w:type="dxa"/>
          <w:right w:w="28" w:type="dxa"/>
        </w:tblCellMar>
      </w:tblPr>
      <w:tblGrid>
        <w:gridCol w:w="1500"/>
        <w:gridCol w:w="1316"/>
        <w:gridCol w:w="1324"/>
        <w:gridCol w:w="325"/>
        <w:gridCol w:w="261"/>
        <w:gridCol w:w="644"/>
        <w:gridCol w:w="259"/>
        <w:gridCol w:w="259"/>
        <w:gridCol w:w="259"/>
        <w:gridCol w:w="325"/>
        <w:gridCol w:w="261"/>
        <w:gridCol w:w="751"/>
      </w:tblGrid>
      <w:tr>
        <w:trPr/>
        <w:tc>
          <w:tcPr>
            <w:tcW w:w="1500"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Nine Months Ended March 31,</w:t>
            </w:r>
          </w:p>
        </w:tc>
      </w:tr>
      <w:tr>
        <w:trPr/>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7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 xml:space="preserve">Weighted average risk-free interest rate </w:t>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2.5 </w:t>
            </w:r>
          </w:p>
        </w:tc>
        <w:tc>
          <w:tcPr>
            <w:tcW w:w="6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1.9 </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 xml:space="preserve">Weighted average expected term (in years) </w:t>
            </w:r>
          </w:p>
        </w:tc>
        <w:tc>
          <w:tcPr>
            <w:tcW w:w="1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w:t>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w:t>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Weighted average expected volatility</w:t>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91.2 </w:t>
            </w:r>
          </w:p>
        </w:tc>
        <w:tc>
          <w:tcPr>
            <w:tcW w:w="6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92.7 </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 xml:space="preserve">Expected dividend yield </w:t>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The expected term assumptions were based on each offering period's respective purchase date. The expected volatility is based on the historical volatility of the price of Class A common stock. The risk-free rate assumptions were based on the U.S. treasury yield curve in effect at the time of the grants. The dividend yield assumption was zero as the Company has not historically paid any dividends and does not expect to declare or pay dividends in the foreseeable future. </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During the three and nine months ended March 31, 2025, the Company recorded stock-based compensation expense associated with the ESPP of $0.6 million and $3.4 million, respectively, and $2.2 million and $5.3 million for the three and nine months ended March 31, 2024, respectively.</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In connection with the offering period that ended on August 31, 2024, employees purchased 375,829 shares of Class A common stock at a weighted-average price of $3.91 under the ESPP. In connection with the offering period that ended on February 28, 2025, employees purchased 498,728 shares of Class A Common Stock at a weighted-average price of $3.88 under the ESPP. As of March 31, 2025, total unrecognized compensation cost related to the ESPP was $5.4 million, which will be amortized over a weighted-average remaining period of 1.2 years.</w:t>
      </w:r>
    </w:p>
    <w:p>
      <w:pPr>
        <w:pStyle w:val="TextBody"/>
        <w:bidi w:val="0"/>
        <w:spacing w:before="0" w:after="0"/>
        <w:jc w:val="both"/>
        <w:rPr/>
      </w:pPr>
      <w:r>
        <w:rPr/>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Stock-Based Compensation Expense</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The Company's total stock-based compensation expense was as follows:</w:t>
      </w:r>
    </w:p>
    <w:tbl>
      <w:tblPr>
        <w:tblW w:w="10205" w:type="dxa"/>
        <w:jc w:val="center"/>
        <w:tblInd w:w="0" w:type="dxa"/>
        <w:tblLayout w:type="fixed"/>
        <w:tblCellMar>
          <w:top w:w="28" w:type="dxa"/>
          <w:left w:w="28" w:type="dxa"/>
          <w:bottom w:w="28" w:type="dxa"/>
          <w:right w:w="28" w:type="dxa"/>
        </w:tblCellMar>
      </w:tblPr>
      <w:tblGrid>
        <w:gridCol w:w="1360"/>
        <w:gridCol w:w="1129"/>
        <w:gridCol w:w="1139"/>
        <w:gridCol w:w="327"/>
        <w:gridCol w:w="848"/>
        <w:gridCol w:w="157"/>
        <w:gridCol w:w="157"/>
        <w:gridCol w:w="157"/>
        <w:gridCol w:w="157"/>
        <w:gridCol w:w="327"/>
        <w:gridCol w:w="848"/>
        <w:gridCol w:w="157"/>
        <w:gridCol w:w="109"/>
        <w:gridCol w:w="109"/>
        <w:gridCol w:w="109"/>
        <w:gridCol w:w="286"/>
        <w:gridCol w:w="895"/>
        <w:gridCol w:w="137"/>
        <w:gridCol w:w="137"/>
        <w:gridCol w:w="137"/>
        <w:gridCol w:w="137"/>
        <w:gridCol w:w="286"/>
        <w:gridCol w:w="895"/>
        <w:gridCol w:w="205"/>
      </w:tblGrid>
      <w:tr>
        <w:trPr/>
        <w:tc>
          <w:tcPr>
            <w:tcW w:w="1360"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3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Nine Months Ended March 31,</w:t>
            </w:r>
          </w:p>
        </w:tc>
      </w:tr>
      <w:tr>
        <w:trPr/>
        <w:tc>
          <w:tcPr>
            <w:tcW w:w="3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r>
      <w:tr>
        <w:trPr/>
        <w:tc>
          <w:tcPr>
            <w:tcW w:w="3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r>
      <w:tr>
        <w:trPr/>
        <w:tc>
          <w:tcPr>
            <w:tcW w:w="3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Cost of revenue</w:t>
            </w:r>
          </w:p>
        </w:tc>
        <w:tc>
          <w:tcPr>
            <w:tcW w:w="13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Connected Fitness Products</w:t>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7.6 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Subscription</w:t>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28.2 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29.6 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cost of revenue</w:t>
            </w:r>
          </w:p>
        </w:tc>
        <w:tc>
          <w:tcPr>
            <w:tcW w:w="11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11.4 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12.6 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35.1 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37.2 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Sales and marketing</w:t>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12.6 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15.6 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General and administrative</w:t>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41.3 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34.1 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93.8 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101.6 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Research and development</w:t>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34.7 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45.3 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Restructuring expense</w:t>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8.9 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Roboto;sans-serif" w:hAnsi="Roboto;sans-serif"/>
                <w:b w:val="false"/>
                <w:color w:val="000000"/>
                <w:sz w:val="18"/>
              </w:rPr>
              <w:t>Total stock-based compensation expense</w:t>
            </w:r>
          </w:p>
        </w:tc>
        <w:tc>
          <w:tcPr>
            <w:tcW w:w="3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67.6 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67.9 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176.2 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208.6 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As of March 31, 2025, the Company had $337.8 million of unrecognized stock-based compensation expense related to unvested stock-based awards that is expected to be recognized over a weighted-average period of 2.2 years.</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During the three and nine months ended March 31, 2025, three and four employees, respectively, who were eligible to participate in the Company’s Severance and Change in Control Plan (the “Severance Plan”), terminated employment. Certain modifications were made to equity awards, including the extension of the post-termination period during which the employee could exercise outstanding stock options from 90 days to one year (or the option expiration date, if earlier). In two instances during the three and nine months ended March 31, 2025, the employee transitioned to a non-executive advisory role. As a result of these modifications, the Company recognized incremental stock-based compensation expense of $2.4 million for both the three and nine months ended March 31, 2025 within General and administrative expense in the Condensed Consolidated Statements of Operations and Comprehensive Loss.</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In the three and nine months ended March 31, 2024, certain modifications were made to equity awards for three and four employees, respectively, who were eligible to participate in the Severance Plan. For the three months ended March 31, 2024, this included the extension of the post-termination period during which an employee may exercise outstanding stock options from 90 days to one year (or the option expiration date, if earlier). In one instance during the nine months ended March 31, 2024, the post-termination period during which an employee may exercise outstanding stock options was extended from 90 days to the earlier of the original expiration date or 3 years. This employee transitioned to a non-executive advisory role. As a result of these modifications, the Company recognized incremental stock-based compensation expense of $0.2 million and $5.6 million for the three and nine months ended March 31, 2024, respectively, within Restructuring expense in the Condensed Consolidated Statements of Operations and Comprehensive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33350"/>
                <wp:effectExtent l="0" t="0" r="0" b="0"/>
                <wp:wrapNone/>
                <wp:docPr id="23" name="Frame23"/>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23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240"/>
        <w:jc w:val="left"/>
        <w:rPr>
          <w:rFonts w:ascii="Roboto;sans-serif" w:hAnsi="Roboto;sans-serif"/>
          <w:b/>
          <w:color w:val="000000"/>
          <w:sz w:val="18"/>
        </w:rPr>
      </w:pPr>
      <w:r>
        <w:rPr>
          <w:rFonts w:ascii="Roboto;sans-serif" w:hAnsi="Roboto;sans-serif"/>
          <w:b/>
          <w:color w:val="000000"/>
          <w:sz w:val="18"/>
        </w:rPr>
        <w:t>10. Income Taxes</w:t>
      </w:r>
    </w:p>
    <w:p>
      <w:pPr>
        <w:pStyle w:val="TextBody"/>
        <w:bidi w:val="0"/>
        <w:spacing w:lineRule="auto" w:line="288" w:before="0" w:after="0"/>
        <w:jc w:val="both"/>
        <w:rPr/>
      </w:pPr>
      <w:r>
        <w:rPr>
          <w:rFonts w:ascii="Roboto;sans-serif" w:hAnsi="Roboto;sans-serif"/>
          <w:b w:val="false"/>
          <w:color w:val="000000"/>
          <w:sz w:val="18"/>
        </w:rPr>
        <w:t>The Company recorded a provision from income taxes of $0.8 million and $2.3 million for the three and nine months ended March 31, 2025, respectively, and a provision (benefit) of $0.6 million</w:t>
      </w:r>
      <w:r>
        <w:rPr>
          <w:color w:val="000000"/>
        </w:rPr>
        <w:t xml:space="preserve"> </w:t>
      </w:r>
      <w:r>
        <w:rPr>
          <w:rFonts w:ascii="Roboto;sans-serif" w:hAnsi="Roboto;sans-serif"/>
          <w:b w:val="false"/>
          <w:color w:val="000000"/>
          <w:sz w:val="18"/>
        </w:rPr>
        <w:t>and</w:t>
      </w:r>
      <w:r>
        <w:rPr>
          <w:color w:val="000000"/>
        </w:rPr>
        <w:t xml:space="preserve"> </w:t>
      </w:r>
      <w:r>
        <w:rPr>
          <w:rFonts w:ascii="Roboto;sans-serif" w:hAnsi="Roboto;sans-serif"/>
          <w:b w:val="false"/>
          <w:color w:val="000000"/>
          <w:sz w:val="18"/>
        </w:rPr>
        <w:t>$(0.3) million</w:t>
      </w:r>
      <w:r>
        <w:rPr>
          <w:color w:val="000000"/>
        </w:rPr>
        <w:t xml:space="preserve"> </w:t>
      </w:r>
      <w:r>
        <w:rPr>
          <w:rFonts w:ascii="Roboto;sans-serif" w:hAnsi="Roboto;sans-serif"/>
          <w:b w:val="false"/>
          <w:color w:val="000000"/>
          <w:sz w:val="18"/>
        </w:rPr>
        <w:t>for the three and nine months ended March 31, 2024, respectively. Furthermore, the Company's effective tax rates were (1.71)% and (1.66)% for the three and nine months ended March 31, 2025, respectively, and (0.36)%</w:t>
      </w:r>
      <w:r>
        <w:rPr>
          <w:color w:val="000000"/>
        </w:rPr>
        <w:t xml:space="preserve"> </w:t>
      </w:r>
      <w:r>
        <w:rPr>
          <w:rFonts w:ascii="Times New Roman;sans-serif" w:hAnsi="Times New Roman;sans-serif"/>
          <w:b w:val="false"/>
          <w:color w:val="000000"/>
          <w:sz w:val="20"/>
        </w:rPr>
        <w:t xml:space="preserve">and </w:t>
      </w:r>
      <w:r>
        <w:rPr>
          <w:rFonts w:ascii="Roboto;sans-serif" w:hAnsi="Roboto;sans-serif"/>
          <w:b w:val="false"/>
          <w:color w:val="000000"/>
          <w:sz w:val="18"/>
        </w:rPr>
        <w:t>0.06% for the three and nine months ended March 31, 2024, respectively. The income tax provision and the effective tax rate are primarily driven by state and international taxes.</w:t>
      </w:r>
    </w:p>
    <w:p>
      <w:pPr>
        <w:pStyle w:val="TextBody"/>
        <w:bidi w:val="0"/>
        <w:spacing w:before="0" w:after="0"/>
        <w:jc w:val="left"/>
        <w:rPr/>
      </w:pPr>
      <w:r>
        <w:rPr/>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The Company maintains a valuation allowance on the majority of its deferred tax assets as it has concluded that it is more likely than not that the deferred assets will not be utilized.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Roboto;sans-serif" w:hAnsi="Roboto;sans-serif"/>
          <w:b/>
          <w:color w:val="000000"/>
          <w:sz w:val="18"/>
        </w:rPr>
      </w:pPr>
      <w:r>
        <w:rPr>
          <w:rFonts w:ascii="Roboto;sans-serif" w:hAnsi="Roboto;sans-serif"/>
          <w:b/>
          <w:color w:val="000000"/>
          <w:sz w:val="18"/>
        </w:rPr>
        <w:t>11. Net Loss Per Share</w:t>
      </w:r>
    </w:p>
    <w:p>
      <w:pPr>
        <w:pStyle w:val="TextBody"/>
        <w:bidi w:val="0"/>
        <w:spacing w:before="0" w:after="0"/>
        <w:jc w:val="left"/>
        <w:rPr/>
      </w:pPr>
      <w:r>
        <w:rPr/>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The computation of basic and diluted net loss per share is as follows:</w:t>
      </w:r>
    </w:p>
    <w:tbl>
      <w:tblPr>
        <w:tblW w:w="10205" w:type="dxa"/>
        <w:jc w:val="left"/>
        <w:tblInd w:w="0" w:type="dxa"/>
        <w:tblLayout w:type="fixed"/>
        <w:tblCellMar>
          <w:top w:w="28" w:type="dxa"/>
          <w:left w:w="28" w:type="dxa"/>
          <w:bottom w:w="28" w:type="dxa"/>
          <w:right w:w="28" w:type="dxa"/>
        </w:tblCellMar>
      </w:tblPr>
      <w:tblGrid>
        <w:gridCol w:w="1275"/>
        <w:gridCol w:w="872"/>
        <w:gridCol w:w="872"/>
        <w:gridCol w:w="373"/>
        <w:gridCol w:w="993"/>
        <w:gridCol w:w="125"/>
        <w:gridCol w:w="125"/>
        <w:gridCol w:w="125"/>
        <w:gridCol w:w="125"/>
        <w:gridCol w:w="325"/>
        <w:gridCol w:w="1049"/>
        <w:gridCol w:w="125"/>
        <w:gridCol w:w="109"/>
        <w:gridCol w:w="109"/>
        <w:gridCol w:w="109"/>
        <w:gridCol w:w="325"/>
        <w:gridCol w:w="1041"/>
        <w:gridCol w:w="120"/>
        <w:gridCol w:w="120"/>
        <w:gridCol w:w="120"/>
        <w:gridCol w:w="120"/>
        <w:gridCol w:w="325"/>
        <w:gridCol w:w="1041"/>
        <w:gridCol w:w="120"/>
        <w:gridCol w:w="162"/>
      </w:tblGrid>
      <w:tr>
        <w:trPr/>
        <w:tc>
          <w:tcPr>
            <w:tcW w:w="1275"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Nine Months Ended March 31,</w:t>
            </w:r>
          </w:p>
        </w:tc>
        <w:tc>
          <w:tcPr>
            <w:tcW w:w="162" w:type="dxa"/>
            <w:tcBorders/>
            <w:vAlign w:val="center"/>
          </w:tcPr>
          <w:p>
            <w:pPr>
              <w:pStyle w:val="TableContents"/>
              <w:bidi w:val="0"/>
              <w:spacing w:before="0" w:after="283"/>
              <w:jc w:val="left"/>
              <w:rPr>
                <w:sz w:val="4"/>
                <w:szCs w:val="4"/>
              </w:rPr>
            </w:pPr>
            <w:r>
              <w:rPr>
                <w:sz w:val="4"/>
                <w:szCs w:val="4"/>
              </w:rPr>
            </w:r>
          </w:p>
        </w:tc>
      </w:tr>
      <w:tr>
        <w:trPr/>
        <w:tc>
          <w:tcPr>
            <w:tcW w:w="3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c>
          <w:tcPr>
            <w:tcW w:w="162" w:type="dxa"/>
            <w:tcBorders/>
            <w:vAlign w:val="center"/>
          </w:tcPr>
          <w:p>
            <w:pPr>
              <w:pStyle w:val="TableContents"/>
              <w:bidi w:val="0"/>
              <w:spacing w:before="0" w:after="283"/>
              <w:jc w:val="left"/>
              <w:rPr>
                <w:sz w:val="4"/>
                <w:szCs w:val="4"/>
              </w:rPr>
            </w:pPr>
            <w:r>
              <w:rPr>
                <w:sz w:val="4"/>
                <w:szCs w:val="4"/>
              </w:rPr>
            </w:r>
          </w:p>
        </w:tc>
      </w:tr>
      <w:tr>
        <w:trPr/>
        <w:tc>
          <w:tcPr>
            <w:tcW w:w="3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4" w:type="dxa"/>
            <w:gridSpan w:val="21"/>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Roboto;sans-serif" w:hAnsi="Roboto;sans-serif"/>
                <w:b/>
                <w:color w:val="000000"/>
                <w:sz w:val="18"/>
              </w:rPr>
            </w:pPr>
            <w:r>
              <w:rPr>
                <w:rFonts w:ascii="Roboto;sans-serif" w:hAnsi="Roboto;sans-serif"/>
                <w:b/>
                <w:color w:val="000000"/>
                <w:sz w:val="18"/>
              </w:rPr>
              <w:t>($ in millions, except per share amounts)</w:t>
            </w:r>
          </w:p>
        </w:tc>
        <w:tc>
          <w:tcPr>
            <w:tcW w:w="162" w:type="dxa"/>
            <w:tcBorders/>
            <w:vAlign w:val="center"/>
          </w:tcPr>
          <w:p>
            <w:pPr>
              <w:pStyle w:val="TableContents"/>
              <w:bidi w:val="0"/>
              <w:spacing w:before="0" w:after="283"/>
              <w:jc w:val="left"/>
              <w:rPr>
                <w:sz w:val="4"/>
                <w:szCs w:val="4"/>
              </w:rPr>
            </w:pPr>
            <w:r>
              <w:rPr>
                <w:sz w:val="4"/>
                <w:szCs w:val="4"/>
              </w:rPr>
            </w:r>
          </w:p>
        </w:tc>
      </w:tr>
      <w:tr>
        <w:trPr/>
        <w:tc>
          <w:tcPr>
            <w:tcW w:w="3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8"/>
              </w:rPr>
            </w:pPr>
            <w:r>
              <w:rPr>
                <w:rFonts w:ascii="Roboto;sans-serif" w:hAnsi="Roboto;sans-serif"/>
                <w:b/>
                <w:color w:val="000000"/>
                <w:sz w:val="18"/>
              </w:rPr>
              <w:t>Numerator:</w:t>
            </w:r>
          </w:p>
        </w:tc>
        <w:tc>
          <w:tcPr>
            <w:tcW w:w="14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Net loss attributable to common stockholders</w:t>
            </w:r>
          </w:p>
        </w:tc>
        <w:tc>
          <w:tcPr>
            <w:tcW w:w="3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(47.7)</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(167.3)</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(140.5)</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(521.4)</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8"/>
              </w:rPr>
            </w:pPr>
            <w:r>
              <w:rPr>
                <w:rFonts w:ascii="Roboto;sans-serif" w:hAnsi="Roboto;sans-serif"/>
                <w:b/>
                <w:color w:val="000000"/>
                <w:sz w:val="18"/>
              </w:rPr>
              <w:t>Denominator:</w:t>
            </w:r>
          </w:p>
        </w:tc>
        <w:tc>
          <w:tcPr>
            <w:tcW w:w="14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Weighted-average common shares outstanding</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394,010,264 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367,931,183 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385,954,344 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362,910,381 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8"/>
              </w:rPr>
            </w:pPr>
            <w:r>
              <w:rPr>
                <w:rFonts w:ascii="Roboto;sans-serif" w:hAnsi="Roboto;sans-serif"/>
                <w:b/>
                <w:color w:val="000000"/>
                <w:sz w:val="18"/>
              </w:rPr>
              <w:t>Net loss per share, basic and diluted</w:t>
            </w:r>
          </w:p>
        </w:tc>
        <w:tc>
          <w:tcPr>
            <w:tcW w:w="3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(0.12)</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(0.45)</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(0.36)</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(1.44)</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19"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19"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19"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19"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19"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19"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19"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19"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19"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19"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19"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19"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19"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19"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19"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19"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Basic and diluted loss per share are the same for each class of common stock because they are entitled to the same liquidation and dividend rights.</w:t>
      </w:r>
    </w:p>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The following potentially dilutive shares were not included in the calculation of diluted shares outstanding above as the effect would have been anti-dilutive:</w:t>
      </w:r>
    </w:p>
    <w:tbl>
      <w:tblPr>
        <w:tblW w:w="10205" w:type="dxa"/>
        <w:jc w:val="left"/>
        <w:tblInd w:w="0" w:type="dxa"/>
        <w:tblLayout w:type="fixed"/>
        <w:tblCellMar>
          <w:top w:w="28" w:type="dxa"/>
          <w:left w:w="28" w:type="dxa"/>
          <w:bottom w:w="28" w:type="dxa"/>
          <w:right w:w="28" w:type="dxa"/>
        </w:tblCellMar>
      </w:tblPr>
      <w:tblGrid>
        <w:gridCol w:w="1016"/>
        <w:gridCol w:w="831"/>
        <w:gridCol w:w="837"/>
        <w:gridCol w:w="952"/>
        <w:gridCol w:w="328"/>
        <w:gridCol w:w="232"/>
        <w:gridCol w:w="232"/>
        <w:gridCol w:w="232"/>
        <w:gridCol w:w="232"/>
        <w:gridCol w:w="861"/>
        <w:gridCol w:w="313"/>
        <w:gridCol w:w="232"/>
        <w:gridCol w:w="109"/>
        <w:gridCol w:w="109"/>
        <w:gridCol w:w="109"/>
        <w:gridCol w:w="889"/>
        <w:gridCol w:w="357"/>
        <w:gridCol w:w="220"/>
        <w:gridCol w:w="220"/>
        <w:gridCol w:w="220"/>
        <w:gridCol w:w="220"/>
        <w:gridCol w:w="804"/>
        <w:gridCol w:w="331"/>
        <w:gridCol w:w="319"/>
      </w:tblGrid>
      <w:tr>
        <w:trPr/>
        <w:tc>
          <w:tcPr>
            <w:tcW w:w="1016"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Nine Months Ended March 31,</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6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Employee stock options</w:t>
            </w:r>
          </w:p>
        </w:tc>
        <w:tc>
          <w:tcPr>
            <w:tcW w:w="12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6,651,155 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6,738,811 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6,529,597 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7,711,797 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Restricted stock units and awards</w:t>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23,387,776 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1,207,888 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16,553,962 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946,340 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Shares estimated to be purchased under ESPP</w:t>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729,394 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272,357 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Convertible senior notes</w:t>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77,284,420 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77,284,420 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1512"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6" w:type="dxa"/>
            <w:gridSpan w:val="3"/>
            <w:tcBorders/>
            <w:vAlign w:val="center"/>
          </w:tcPr>
          <w:p>
            <w:pPr>
              <w:pStyle w:val="TableContents"/>
              <w:bidi w:val="0"/>
              <w:spacing w:before="0" w:after="283"/>
              <w:jc w:val="left"/>
              <w:rPr>
                <w:sz w:val="4"/>
                <w:szCs w:val="4"/>
              </w:rPr>
            </w:pPr>
            <w:r>
              <w:rPr>
                <w:sz w:val="4"/>
                <w:szCs w:val="4"/>
              </w:rPr>
            </w:r>
          </w:p>
        </w:tc>
        <w:tc>
          <w:tcPr>
            <w:tcW w:w="660"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Capped Calls</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For the three and nine months ended March 31, 2024, the denominator for basic and diluted loss per share does not include any effect from the Capped Call Transactions the Company entered into concurrently with the issuance of the 2026 Notes as this effect would have been anti-dilutive. During the fiscal year ended June 30, 2024, the Capped Call Transactions were terminated. Refer to Note 7 - Debt for additional information.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Roboto;sans-serif" w:hAnsi="Roboto;sans-serif"/>
          <w:b/>
          <w:color w:val="000000"/>
          <w:sz w:val="18"/>
        </w:rPr>
      </w:pPr>
      <w:r>
        <w:rPr>
          <w:rFonts w:ascii="Roboto;sans-serif" w:hAnsi="Roboto;sans-serif"/>
          <w:b/>
          <w:color w:val="000000"/>
          <w:sz w:val="18"/>
        </w:rPr>
        <w:t>12. Segment Information</w:t>
      </w:r>
    </w:p>
    <w:p>
      <w:pPr>
        <w:pStyle w:val="TextBody"/>
        <w:bidi w:val="0"/>
        <w:spacing w:before="0" w:after="0"/>
        <w:jc w:val="left"/>
        <w:rPr/>
      </w:pPr>
      <w:r>
        <w:rPr/>
      </w:r>
    </w:p>
    <w:p>
      <w:pPr>
        <w:pStyle w:val="TextBody"/>
        <w:bidi w:val="0"/>
        <w:spacing w:lineRule="auto" w:line="288" w:before="0" w:after="0"/>
        <w:jc w:val="both"/>
        <w:rPr/>
      </w:pPr>
      <w:r>
        <w:rPr>
          <w:rFonts w:ascii="Roboto;sans-serif" w:hAnsi="Roboto;sans-serif"/>
          <w:b w:val="false"/>
          <w:color w:val="000000"/>
          <w:sz w:val="18"/>
        </w:rPr>
        <w:t>The Company applies ASC 280, </w:t>
      </w:r>
      <w:r>
        <w:rPr>
          <w:rFonts w:ascii="Roboto;sans-serif" w:hAnsi="Roboto;sans-serif"/>
          <w:b w:val="false"/>
          <w:i/>
          <w:color w:val="000000"/>
          <w:sz w:val="18"/>
        </w:rPr>
        <w:t>Segment Reporting</w:t>
      </w:r>
      <w:r>
        <w:rPr>
          <w:rFonts w:ascii="Roboto;sans-serif" w:hAnsi="Roboto;sans-serif"/>
          <w:b w:val="false"/>
          <w:color w:val="000000"/>
          <w:sz w:val="18"/>
        </w:rPr>
        <w:t xml:space="preserve">, in determining reportable segments. The Company has two reportable segments: Connected Fitness Products and Subscription. Segment information is presented in the same manner that the chief operating decision maker ("CODM"), the Chief Executive Officer and President, reviews the operating results in assessing performance and allocating resources. The CODM reviews revenue and gross profit for both of the reportable segments. Gross profit is defined as revenue less cost of revenue incurred by the segment. </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No operating segments have been aggregated to form the reportable segments. The Company does not allocate assets at the reportable segment level as these are managed on an entity wide group basis and, accordingly, the Company does not report asset information by segment. </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Connected Fitness Products segment derives revenue from sale of the Company's portfolio of Connected Fitness Products and related accessories, as well as Precor branded fitness products, delivery and installation services, Bike rental products, extended warranty agreements, branded apparel, and commercial service contracts. The Subscription segment derives revenue from monthly Subscription fees. There are no internal revenue transactions between the Company’s segments.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33350"/>
                <wp:effectExtent l="0" t="0" r="0" b="0"/>
                <wp:wrapNone/>
                <wp:docPr id="24" name="Frame24"/>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24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Key financial performance measures of the segments including Revenue, Cost of revenue, and Gross profit are as follows:</w:t>
      </w:r>
    </w:p>
    <w:tbl>
      <w:tblPr>
        <w:tblW w:w="9514" w:type="dxa"/>
        <w:jc w:val="left"/>
        <w:tblInd w:w="0" w:type="dxa"/>
        <w:tblLayout w:type="fixed"/>
        <w:tblCellMar>
          <w:top w:w="28" w:type="dxa"/>
          <w:left w:w="28" w:type="dxa"/>
          <w:bottom w:w="28" w:type="dxa"/>
          <w:right w:w="28" w:type="dxa"/>
        </w:tblCellMar>
      </w:tblPr>
      <w:tblGrid>
        <w:gridCol w:w="978"/>
        <w:gridCol w:w="860"/>
        <w:gridCol w:w="862"/>
        <w:gridCol w:w="308"/>
        <w:gridCol w:w="963"/>
        <w:gridCol w:w="148"/>
        <w:gridCol w:w="148"/>
        <w:gridCol w:w="148"/>
        <w:gridCol w:w="148"/>
        <w:gridCol w:w="308"/>
        <w:gridCol w:w="963"/>
        <w:gridCol w:w="148"/>
        <w:gridCol w:w="109"/>
        <w:gridCol w:w="109"/>
        <w:gridCol w:w="109"/>
        <w:gridCol w:w="257"/>
        <w:gridCol w:w="1010"/>
        <w:gridCol w:w="124"/>
        <w:gridCol w:w="124"/>
        <w:gridCol w:w="124"/>
        <w:gridCol w:w="124"/>
        <w:gridCol w:w="257"/>
        <w:gridCol w:w="1010"/>
        <w:gridCol w:w="175"/>
      </w:tblGrid>
      <w:tr>
        <w:trPr/>
        <w:tc>
          <w:tcPr>
            <w:tcW w:w="978"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Nine Months Ended March 31,</w:t>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Connected Fitness Products:</w:t>
            </w:r>
          </w:p>
        </w:tc>
        <w:tc>
          <w:tcPr>
            <w:tcW w:w="14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 xml:space="preserve">Revenue </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205.5 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279.9 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618.5 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779.6 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 xml:space="preserve">Cost of revenue </w:t>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176.2 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268.3 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541.7 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748.5 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color w:val="000000"/>
              </w:rPr>
            </w:pPr>
            <w:r>
              <w:rPr>
                <w:color w:val="000000"/>
              </w:rPr>
              <w:t>   </w:t>
            </w:r>
            <w:r>
              <w:rPr>
                <w:rFonts w:ascii="Roboto;sans-serif" w:hAnsi="Roboto;sans-serif"/>
                <w:b w:val="false"/>
                <w:color w:val="000000"/>
                <w:sz w:val="18"/>
              </w:rPr>
              <w:t>Gross profit</w:t>
            </w:r>
          </w:p>
        </w:tc>
        <w:tc>
          <w:tcPr>
            <w:tcW w:w="3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29.3 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11.6 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76.8 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31.1 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Subscription:</w:t>
            </w:r>
          </w:p>
        </w:tc>
        <w:tc>
          <w:tcPr>
            <w:tcW w:w="14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 xml:space="preserve">Revenue </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418.5 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437.8 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1,265.4 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1,277.3 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 xml:space="preserve">Cost of revenue </w:t>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129.8 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139.8 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402.0 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414.0 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color w:val="000000"/>
              </w:rPr>
            </w:pPr>
            <w:r>
              <w:rPr>
                <w:color w:val="000000"/>
              </w:rPr>
              <w:t>   </w:t>
            </w:r>
            <w:r>
              <w:rPr>
                <w:rFonts w:ascii="Roboto;sans-serif" w:hAnsi="Roboto;sans-serif"/>
                <w:b w:val="false"/>
                <w:color w:val="000000"/>
                <w:sz w:val="18"/>
              </w:rPr>
              <w:t>Gross profit</w:t>
            </w:r>
          </w:p>
        </w:tc>
        <w:tc>
          <w:tcPr>
            <w:tcW w:w="3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288.8 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298.1 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863.4 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863.3 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Consolidated:</w:t>
            </w:r>
          </w:p>
        </w:tc>
        <w:tc>
          <w:tcPr>
            <w:tcW w:w="14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 xml:space="preserve">Revenue </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624.0 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717.7 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1,883.9 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2,056.9 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 xml:space="preserve">Cost of revenue </w:t>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306.0 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408.0 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943.7 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1,162.4 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color w:val="000000"/>
              </w:rPr>
            </w:pPr>
            <w:r>
              <w:rPr>
                <w:color w:val="000000"/>
              </w:rPr>
              <w:t>   </w:t>
            </w:r>
            <w:r>
              <w:rPr>
                <w:rFonts w:ascii="Roboto;sans-serif" w:hAnsi="Roboto;sans-serif"/>
                <w:b w:val="false"/>
                <w:color w:val="000000"/>
                <w:sz w:val="18"/>
              </w:rPr>
              <w:t>Gross profit</w:t>
            </w:r>
          </w:p>
        </w:tc>
        <w:tc>
          <w:tcPr>
            <w:tcW w:w="3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318.1 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309.7 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940.2 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894.5 </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417" w:before="0" w:after="0"/>
        <w:jc w:val="left"/>
        <w:rPr>
          <w:rFonts w:ascii="Roboto;sans-serif" w:hAnsi="Roboto;sans-serif"/>
          <w:b/>
          <w:i/>
          <w:color w:val="000000"/>
          <w:sz w:val="18"/>
          <w:shd w:fill="FFFFFF" w:val="clear"/>
        </w:rPr>
      </w:pPr>
      <w:r>
        <w:rPr>
          <w:rFonts w:ascii="Roboto;sans-serif" w:hAnsi="Roboto;sans-serif"/>
          <w:b/>
          <w:i/>
          <w:color w:val="000000"/>
          <w:sz w:val="18"/>
          <w:shd w:fill="FFFFFF" w:val="clear"/>
        </w:rPr>
        <w:t>Reconciliation of Gross Profit</w:t>
      </w:r>
    </w:p>
    <w:p>
      <w:pPr>
        <w:pStyle w:val="TextBody"/>
        <w:bidi w:val="0"/>
        <w:spacing w:lineRule="auto" w:line="288" w:before="0" w:after="240"/>
        <w:jc w:val="both"/>
        <w:rPr>
          <w:rFonts w:ascii="Roboto;sans-serif" w:hAnsi="Roboto;sans-serif"/>
          <w:b w:val="false"/>
          <w:color w:val="000000"/>
          <w:sz w:val="18"/>
          <w:shd w:fill="FFFFFF" w:val="clear"/>
        </w:rPr>
      </w:pPr>
      <w:r>
        <w:rPr>
          <w:rFonts w:ascii="Roboto;sans-serif" w:hAnsi="Roboto;sans-serif"/>
          <w:b w:val="false"/>
          <w:color w:val="000000"/>
          <w:sz w:val="18"/>
          <w:shd w:fill="FFFFFF" w:val="clear"/>
        </w:rPr>
        <w:t>Operating expenditures, interest income and other expense, and taxes are not allocated to individual segments as these are managed on an entity wide group basis. The reconciliation between reportable Segment Gross Profit to consolidated loss before provision for income tax is as follows:</w:t>
      </w:r>
    </w:p>
    <w:tbl>
      <w:tblPr>
        <w:tblW w:w="10205" w:type="dxa"/>
        <w:jc w:val="left"/>
        <w:tblInd w:w="0" w:type="dxa"/>
        <w:tblLayout w:type="fixed"/>
        <w:tblCellMar>
          <w:top w:w="28" w:type="dxa"/>
          <w:left w:w="28" w:type="dxa"/>
          <w:bottom w:w="28" w:type="dxa"/>
          <w:right w:w="28" w:type="dxa"/>
        </w:tblCellMar>
      </w:tblPr>
      <w:tblGrid>
        <w:gridCol w:w="1277"/>
        <w:gridCol w:w="1104"/>
        <w:gridCol w:w="1107"/>
        <w:gridCol w:w="292"/>
        <w:gridCol w:w="914"/>
        <w:gridCol w:w="140"/>
        <w:gridCol w:w="140"/>
        <w:gridCol w:w="140"/>
        <w:gridCol w:w="140"/>
        <w:gridCol w:w="292"/>
        <w:gridCol w:w="1025"/>
        <w:gridCol w:w="140"/>
        <w:gridCol w:w="109"/>
        <w:gridCol w:w="109"/>
        <w:gridCol w:w="109"/>
        <w:gridCol w:w="271"/>
        <w:gridCol w:w="954"/>
        <w:gridCol w:w="130"/>
        <w:gridCol w:w="130"/>
        <w:gridCol w:w="130"/>
        <w:gridCol w:w="130"/>
        <w:gridCol w:w="271"/>
        <w:gridCol w:w="954"/>
        <w:gridCol w:w="197"/>
      </w:tblGrid>
      <w:tr>
        <w:trPr/>
        <w:tc>
          <w:tcPr>
            <w:tcW w:w="1277"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3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Nine Months Ended March 31,</w:t>
            </w:r>
          </w:p>
        </w:tc>
      </w:tr>
      <w:tr>
        <w:trPr/>
        <w:tc>
          <w:tcPr>
            <w:tcW w:w="3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r>
      <w:tr>
        <w:trPr/>
        <w:tc>
          <w:tcPr>
            <w:tcW w:w="34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r>
      <w:tr>
        <w:trPr/>
        <w:tc>
          <w:tcPr>
            <w:tcW w:w="34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 xml:space="preserve">Segment Gross Profit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318.1 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309.7 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940.2 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894.5 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Sales and marketing</w:t>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(106.5)</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(170.3)</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(341.1)</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(546.7)</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General and administrative</w:t>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(151.4)</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(153.0)</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(402.2)</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(464.9)</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Research and development</w:t>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(59.6)</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(76.8)</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(178.4)</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(235.4)</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Impairment expense</w:t>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(30.7)</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(19.0)</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(52.3)</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(46.7)</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Restructuring expense</w:t>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(2.4)</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(37.6)</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(8.6)</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(68.8)</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Supplier settlements</w:t>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0.9 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(23.5)</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2.4 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Total other expense, net</w:t>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(14.5)</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(20.4)</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(72.3)</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(56.1)</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Roboto;sans-serif" w:hAnsi="Roboto;sans-serif"/>
                <w:b w:val="false"/>
                <w:color w:val="000000"/>
                <w:sz w:val="18"/>
              </w:rPr>
            </w:pPr>
            <w:r>
              <w:rPr>
                <w:rFonts w:ascii="Roboto;sans-serif" w:hAnsi="Roboto;sans-serif"/>
                <w:b w:val="false"/>
                <w:color w:val="000000"/>
                <w:sz w:val="18"/>
              </w:rPr>
              <w:t xml:space="preserve">Loss before provision for income taxes </w:t>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(46.9)</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(166.7)</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(138.2)</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(521.8)</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33350"/>
                <wp:effectExtent l="0" t="0" r="0" b="0"/>
                <wp:wrapNone/>
                <wp:docPr id="25" name="Frame25"/>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25</w:t>
                      </w:r>
                    </w:p>
                  </w:txbxContent>
                </v:textbox>
                <w10:wrap type="none"/>
              </v:rect>
            </w:pict>
          </mc:Fallback>
        </mc:AlternateContent>
      </w:r>
    </w:p>
    <w:p>
      <w:pPr>
        <w:pStyle w:val="TextBody"/>
        <w:bidi w:val="0"/>
        <w:spacing w:before="0" w:after="0"/>
        <w:jc w:val="center"/>
        <w:rPr/>
      </w:pPr>
      <w:r>
        <w:rPr/>
      </w:r>
    </w:p>
    <w:p>
      <w:pPr>
        <w:pStyle w:val="TextBody"/>
        <w:bidi w:val="0"/>
        <w:spacing w:lineRule="auto" w:line="417" w:before="0" w:after="0"/>
        <w:jc w:val="left"/>
        <w:rPr>
          <w:rFonts w:ascii="Roboto;sans-serif" w:hAnsi="Roboto;sans-serif"/>
          <w:b/>
          <w:color w:val="000000"/>
          <w:sz w:val="18"/>
        </w:rPr>
      </w:pPr>
      <w:r>
        <w:rPr>
          <w:rFonts w:ascii="Roboto;sans-serif" w:hAnsi="Roboto;sans-serif"/>
          <w:b/>
          <w:color w:val="000000"/>
          <w:sz w:val="18"/>
        </w:rPr>
        <w:t>Item 2. Management’s Discussion and Analysis of Financial Condition and Results of Operations</w:t>
      </w:r>
    </w:p>
    <w:p>
      <w:pPr>
        <w:pStyle w:val="TextBody"/>
        <w:bidi w:val="0"/>
        <w:spacing w:lineRule="auto" w:line="288" w:before="0" w:after="0"/>
        <w:jc w:val="both"/>
        <w:rPr>
          <w:rFonts w:ascii="Roboto;sans-serif" w:hAnsi="Roboto;sans-serif"/>
          <w:b w:val="false"/>
          <w:i/>
          <w:color w:val="000000"/>
          <w:sz w:val="18"/>
        </w:rPr>
      </w:pPr>
      <w:r>
        <w:rPr>
          <w:rFonts w:ascii="Roboto;sans-serif" w:hAnsi="Roboto;sans-serif"/>
          <w:b w:val="false"/>
          <w:i/>
          <w:color w:val="000000"/>
          <w:sz w:val="18"/>
        </w:rPr>
        <w:t>The following discussion and analysis of our financial condition and results of operations should be read in conjunction with our interim condensed consolidated financial statements and related notes appearing elsewhere in this Quarterly Report on Form 10-Q and with our audited consolidated financial statements included in our Annual Report on Form 10-K for the fiscal year ended June 30, 2024, filed with the SEC on August 22, 2024 (“Form 10-K”). As discussed in the section titled "Special Note Regarding Forward-Looking Statements," the following discussion and analysis contains forward looking statements that involve risks, uncertainties, assumptions, and other important factors that, if they never materialize or prove incorrect, could cause our results to differ materially from those expressed or implied by such forward looking statements. Factors that could cause or contribute to these differences include, but are not limited to, those identified below and those discussed in the section titled "Risk Factors" in Part II, Item 1A of this Quarterly Report on Form 10-Q and in Part I, Item 1A of our Form 10-K.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0" w:after="240"/>
        <w:jc w:val="center"/>
        <w:rPr>
          <w:rFonts w:ascii="Roboto;sans-serif" w:hAnsi="Roboto;sans-serif"/>
          <w:b/>
          <w:color w:val="000000"/>
          <w:sz w:val="18"/>
        </w:rPr>
      </w:pPr>
      <w:r>
        <w:rPr>
          <w:rFonts w:ascii="Roboto;sans-serif" w:hAnsi="Roboto;sans-serif"/>
          <w:b/>
          <w:color w:val="000000"/>
          <w:sz w:val="18"/>
        </w:rPr>
        <w:t>Overview</w:t>
      </w:r>
    </w:p>
    <w:p>
      <w:pPr>
        <w:pStyle w:val="TextBody"/>
        <w:bidi w:val="0"/>
        <w:spacing w:lineRule="auto" w:line="288" w:before="0" w:after="0"/>
        <w:jc w:val="both"/>
        <w:rPr/>
      </w:pPr>
      <w:r>
        <w:rPr>
          <w:rFonts w:ascii="Roboto;sans-serif" w:hAnsi="Roboto;sans-serif"/>
          <w:b w:val="false"/>
          <w:color w:val="050505"/>
          <w:sz w:val="18"/>
          <w:shd w:fill="FFFFFF" w:val="clear"/>
        </w:rPr>
        <w:t xml:space="preserve">Peloton is a leading global fitness company with a highly engaged community of </w:t>
      </w:r>
      <w:r>
        <w:rPr>
          <w:rFonts w:ascii="Roboto;sans-serif" w:hAnsi="Roboto;sans-serif"/>
          <w:b w:val="false"/>
          <w:color w:val="050505"/>
          <w:sz w:val="18"/>
        </w:rPr>
        <w:t>6.1 million Members</w:t>
      </w:r>
      <w:r>
        <w:rPr>
          <w:color w:val="050505"/>
          <w:shd w:fill="FFFFFF" w:val="clear"/>
        </w:rPr>
        <w:t xml:space="preserve"> </w:t>
      </w:r>
      <w:r>
        <w:rPr>
          <w:rFonts w:ascii="Roboto;sans-serif" w:hAnsi="Roboto;sans-serif"/>
          <w:b w:val="false"/>
          <w:color w:val="050505"/>
          <w:sz w:val="18"/>
          <w:shd w:fill="FFFFFF" w:val="clear"/>
        </w:rPr>
        <w:t xml:space="preserve">as of March 31, 2025. A category innovator at the nexus of fitness, technology, and media, Peloton's first-of-its-kind subscription platform seamlessly combines innovative hardware, distinctive software, and exclusive content. Its world-renowned instructors coach and motivate Members to be the best version of themselves anytime, anywhere. </w:t>
      </w:r>
      <w:r>
        <w:rPr>
          <w:rFonts w:ascii="Roboto;sans-serif" w:hAnsi="Roboto;sans-serif"/>
          <w:b w:val="false"/>
          <w:color w:val="000000"/>
          <w:sz w:val="18"/>
        </w:rPr>
        <w:t>We define a “Member” as any individual who has a Peloton account through a paid Connected Fitness Subscription or a paid App Subscription, inclusive of the Peloton App One and App+ Memberships and the Strength+ App Membership, and completes one or more workouts in the trailing 12 month period. We define a completed workout as either completing (i) at least 50% of an instructor-led class, scenic ride, scenic run, or coach-led Strength+ program, (ii) ten or more minutes of “Just Ride”, “Just Run”, “Just Row”, or (iii) a custom Strength+ workout.</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Our Connected Fitness Products portfolio includes the Peloton Bike, Bike+, Tread, Tread+, Guide, Row and various Precor products. Access to the Peloton App is available with an All Access or Guide Membership for Members who have Connected Fitness Products or through a standalone App Membership with multiple Membership tiers. Access to the Strength+ App is available with an All Access, Guide, or App+ Membership or through a standalone Strength+ subscription. Our revenue is generated primarily from recurring Subscription revenue and the sale of our Connected Fitness Products. We define a “Connected Fitness Subscription” as a person, household, or commercial property, such as a hotel or residential building, who has paid for a subscription to a Connected Fitness Product (a Connected Fitness Subscription with a successful credit card billing or with prepaid subscription credits or waivers).</w:t>
      </w:r>
    </w:p>
    <w:p>
      <w:pPr>
        <w:pStyle w:val="TextBody"/>
        <w:bidi w:val="0"/>
        <w:spacing w:before="0" w:after="0"/>
        <w:jc w:val="both"/>
        <w:rPr/>
      </w:pPr>
      <w:r>
        <w:rPr/>
      </w:r>
    </w:p>
    <w:p>
      <w:pPr>
        <w:pStyle w:val="TextBody"/>
        <w:bidi w:val="0"/>
        <w:spacing w:lineRule="auto" w:line="288" w:before="0" w:after="0"/>
        <w:jc w:val="both"/>
        <w:rPr/>
      </w:pPr>
      <w:r>
        <w:rPr>
          <w:rFonts w:ascii="Roboto;sans-serif" w:hAnsi="Roboto;sans-serif"/>
          <w:b w:val="false"/>
          <w:color w:val="050505"/>
          <w:sz w:val="18"/>
        </w:rPr>
        <w:t>Our financial profile has been characterized by strong retention, recurring revenue, and efficient customer acquisition. We believe that o</w:t>
      </w:r>
      <w:r>
        <w:rPr>
          <w:rFonts w:ascii="Roboto;sans-serif" w:hAnsi="Roboto;sans-serif"/>
          <w:b w:val="false"/>
          <w:color w:val="050505"/>
          <w:sz w:val="18"/>
          <w:shd w:fill="FFFFFF" w:val="clear"/>
        </w:rPr>
        <w:t xml:space="preserve">ur low Average Net Monthly Paid Connected Fitness Subscription Churn, together with our high Subscription Gross Profit and Subscription Contribution Margin, yields an attractive lifetime value (“LTV”) for our Connected Fitness Subscriptions well in excess of our customer acquisition costs (“CAC”). Maintaining </w:t>
      </w:r>
      <w:r>
        <w:rPr>
          <w:rFonts w:ascii="Roboto;sans-serif" w:hAnsi="Roboto;sans-serif"/>
          <w:b w:val="false"/>
          <w:color w:val="050505"/>
          <w:sz w:val="18"/>
        </w:rPr>
        <w:t>an attractive LTV/CAC ratio is a primary goal of our customer acquisition strategy.</w:t>
      </w:r>
    </w:p>
    <w:p>
      <w:pPr>
        <w:pStyle w:val="TextBody"/>
        <w:bidi w:val="0"/>
        <w:spacing w:before="45" w:after="283"/>
        <w:jc w:val="both"/>
        <w:rPr/>
      </w:pPr>
      <w:r>
        <w:rPr/>
      </w:r>
    </w:p>
    <w:p>
      <w:pPr>
        <w:pStyle w:val="TextBody"/>
        <w:bidi w:val="0"/>
        <w:spacing w:lineRule="auto" w:line="417" w:before="0" w:after="0"/>
        <w:jc w:val="both"/>
        <w:rPr>
          <w:rFonts w:ascii="Roboto;sans-serif" w:hAnsi="Roboto;sans-serif"/>
          <w:b/>
          <w:color w:val="050505"/>
          <w:sz w:val="18"/>
        </w:rPr>
      </w:pPr>
      <w:r>
        <w:rPr>
          <w:rFonts w:ascii="Roboto;sans-serif" w:hAnsi="Roboto;sans-serif"/>
          <w:b/>
          <w:color w:val="050505"/>
          <w:sz w:val="18"/>
        </w:rPr>
        <w:t>Third Quarter Fiscal 2025 Update and Recent Developments</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In the three months ended March 31, 2025, we continued to execute on our fiscal year 2025 operating goals. Operating expenses decreased 23% year-over-year, we generated over $90 million of GAAP Net Cash Provided by Operating Activities and non-GAAP Free Cash Flow, and our balance sheet is deleveraging quickly. </w:t>
      </w:r>
    </w:p>
    <w:p>
      <w:pPr>
        <w:pStyle w:val="TextBody"/>
        <w:bidi w:val="0"/>
        <w:spacing w:before="0" w:after="0"/>
        <w:jc w:val="both"/>
        <w:rPr/>
      </w:pPr>
      <w:r>
        <w:rPr/>
      </w:r>
    </w:p>
    <w:p>
      <w:pPr>
        <w:pStyle w:val="TextBody"/>
        <w:bidi w:val="0"/>
        <w:spacing w:lineRule="auto" w:line="417" w:before="0" w:after="0"/>
        <w:jc w:val="both"/>
        <w:rPr>
          <w:rFonts w:ascii="Roboto;sans-serif" w:hAnsi="Roboto;sans-serif"/>
          <w:b w:val="false"/>
          <w:i/>
          <w:color w:val="000000"/>
          <w:sz w:val="18"/>
        </w:rPr>
      </w:pPr>
      <w:r>
        <w:rPr>
          <w:rFonts w:ascii="Roboto;sans-serif" w:hAnsi="Roboto;sans-serif"/>
          <w:b w:val="false"/>
          <w:i/>
          <w:color w:val="000000"/>
          <w:sz w:val="18"/>
        </w:rPr>
        <w:t>Improve Member Outcomes</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Member happiness continued to improve in the three months ended March 31, 2025, as measured by Net Promoter Score (“NPS”) and Member Satisfaction Scores (“MSAT”). We achieved an NPS above 70 for all of our Cardio hardware products and above 80 for the Tread. Member Support MSAT was 4.3 in the three months ended March 31, 2025, reflecting an improvement of 1% quarter-over-quarter and 20% year-over-year, while Service &amp; Repair MSAT was 4.5, an improvement of 5% quarter-over-quarter and 7% year-over-year. </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We see an opportunity to be a more holistic wellness provider by offering solutions to our Members that address strength, mental well-being, sleep &amp; recovery, and more. The mix of Member engagement in these categories is increasing, so we’re responding by creating even more experiences to serve these needs. Additionally, with so many classes to choose from, we want to help our Members reach their goals more easily by recommending the best workouts for them. In January, we launched Personalized Plans, which uses artificial intelligence and machine learning to enable Members to create workout plans tailored to their goals and preferences. Nearly half a million Members started a Personalized Plan in the three months ended March 31, 2025, and we’re pleased with the repeat engagement from Members using them.</w:t>
      </w:r>
    </w:p>
    <w:p>
      <w:pPr>
        <w:pStyle w:val="TextBody"/>
        <w:bidi w:val="0"/>
        <w:spacing w:before="0" w:after="0"/>
        <w:jc w:val="left"/>
        <w:rPr/>
      </w:pPr>
      <w:r>
        <w:rPr/>
      </w:r>
    </w:p>
    <w:p>
      <w:pPr>
        <w:pStyle w:val="TextBody"/>
        <w:bidi w:val="0"/>
        <w:spacing w:lineRule="auto" w:line="417" w:before="0" w:after="0"/>
        <w:jc w:val="left"/>
        <w:rPr>
          <w:rFonts w:ascii="Roboto;sans-serif" w:hAnsi="Roboto;sans-serif"/>
          <w:b w:val="false"/>
          <w:i/>
          <w:color w:val="000000"/>
          <w:sz w:val="18"/>
        </w:rPr>
      </w:pPr>
      <w:r>
        <w:rPr>
          <w:rFonts w:ascii="Roboto;sans-serif" w:hAnsi="Roboto;sans-serif"/>
          <w:b w:val="false"/>
          <w:i/>
          <w:color w:val="000000"/>
          <w:sz w:val="18"/>
        </w:rPr>
        <w:t>Meet Members Everywhere</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We recently launched a pilot program with Precor to bring a collection of Peloton Instructor-led tread classes to select Precor treadmills. Given the unique demands of gym operators and the duty cycles imposed on gym equipment, we've also engaged Precor to provide installation and maintenance support for Peloton equipment in gyms. Also in the three months ended March 31, 2025, we met nearly 1,000 first-time Peloton users in our recently launched Peloton workout space at the University of Texas at Austin, and we launched a new collection of on-demand Peloton workouts for Hilton’s Connected Room Experience across 2,400 Hilton hotels.</w:t>
      </w:r>
    </w:p>
    <w:p>
      <w:pPr>
        <w:pStyle w:val="TextBody"/>
        <w:bidi w:val="0"/>
        <w:spacing w:before="0" w:after="0"/>
        <w:jc w:val="left"/>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Retail presence in owned and third-party locations provides critical in-person touchpoints for prospective Members to try our hardware products. Our microstore test in Nashville, Tennessee, which has approximately one tenth the square footage and a much more flexible lease commitment, exceeded our average North American retail showroom’s in-store engagement and revenue during the three months ended March 31, 2025. Additionally, third-party retail enables us to capture incremental hardware sales by meeting Members where they already shop. Amazon’s seasonal sales events are a great example. We observed year-over-year growth in hardware sales from the Amazon Big Spring Sale in the U.S. in the three months ended March 31,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33350"/>
                <wp:effectExtent l="0" t="0" r="0" b="0"/>
                <wp:wrapNone/>
                <wp:docPr id="26" name="Frame26"/>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26</w:t>
                      </w:r>
                    </w:p>
                  </w:txbxContent>
                </v:textbox>
                <w10:wrap type="none"/>
              </v:rect>
            </w:pict>
          </mc:Fallback>
        </mc:AlternateConten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Meeting Members everywhere includes growing in our international markets, where we grew Paid Connected Fitness Subscriptions for the three months ended March 31, 2025 compared to the three months ended March 31, 2024. We’ve taken a disciplined approach to right-sizing costs in our international business while deploying localized marketing strategies, including our Member Stories campaigns featuring popular TV personalities in the U.K. and Germany. A prerequisite to scaling internationally is cost-effectively translating our programming, especially given our enormous output – 3,300 new classes in the three months ended March 31, 2025 alone. In March, we launched AI-powered subtitles, starting with our existing languages of English, Spanish, and German, and we are now translating roughly 100 classes per day.</w:t>
      </w:r>
    </w:p>
    <w:p>
      <w:pPr>
        <w:pStyle w:val="TextBody"/>
        <w:bidi w:val="0"/>
        <w:spacing w:before="0" w:after="0"/>
        <w:jc w:val="left"/>
        <w:rPr/>
      </w:pPr>
      <w:r>
        <w:rPr/>
      </w:r>
    </w:p>
    <w:p>
      <w:pPr>
        <w:pStyle w:val="TextBody"/>
        <w:bidi w:val="0"/>
        <w:spacing w:lineRule="auto" w:line="417" w:before="0" w:after="0"/>
        <w:jc w:val="left"/>
        <w:rPr>
          <w:rFonts w:ascii="Roboto;sans-serif" w:hAnsi="Roboto;sans-serif"/>
          <w:b w:val="false"/>
          <w:i/>
          <w:color w:val="000000"/>
          <w:sz w:val="18"/>
        </w:rPr>
      </w:pPr>
      <w:r>
        <w:rPr>
          <w:rFonts w:ascii="Roboto;sans-serif" w:hAnsi="Roboto;sans-serif"/>
          <w:b w:val="false"/>
          <w:i/>
          <w:color w:val="000000"/>
          <w:sz w:val="18"/>
        </w:rPr>
        <w:t>Create Members for Life</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We are committed to delivering elevated experiences at each stage of the Member lifecycle, by optimizing the journey from point of purchase to delivery, installation, onboarding, and beyond. This quarter, we worked with our repair partners to pilot dedicated vans stocked with Peloton spare parts to increase first-visit repair resolution, and we are now extending that pilot to additional locations. We also introduced AI into our call centers, providing our agents with a powerful intelligent agent while still delivering the human interactions our Members expect.</w:t>
      </w:r>
    </w:p>
    <w:p>
      <w:pPr>
        <w:pStyle w:val="TextBody"/>
        <w:bidi w:val="0"/>
        <w:spacing w:before="0" w:after="0"/>
        <w:jc w:val="left"/>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We also expanded our Teams features in the three months ended March 31, 2025, launching Team Feed and Community Teams. Team Feed allows Members who have joined a team to share workout activity and react to activity from teammates. Community Teams are public, discoverable and recommended groups of up to 50,000 Members. Members have created nearly 100,000 teams and we’re seeing higher engagement from Members within the first month of joining a Team.</w:t>
      </w:r>
    </w:p>
    <w:p>
      <w:pPr>
        <w:pStyle w:val="TextBody"/>
        <w:bidi w:val="0"/>
        <w:spacing w:before="0" w:after="0"/>
        <w:jc w:val="left"/>
        <w:rPr/>
      </w:pPr>
      <w:r>
        <w:rPr/>
      </w:r>
    </w:p>
    <w:p>
      <w:pPr>
        <w:pStyle w:val="TextBody"/>
        <w:bidi w:val="0"/>
        <w:spacing w:lineRule="auto" w:line="417" w:before="0" w:after="0"/>
        <w:jc w:val="left"/>
        <w:rPr>
          <w:rFonts w:ascii="Roboto;sans-serif" w:hAnsi="Roboto;sans-serif"/>
          <w:b w:val="false"/>
          <w:i/>
          <w:color w:val="000000"/>
          <w:sz w:val="18"/>
        </w:rPr>
      </w:pPr>
      <w:r>
        <w:rPr>
          <w:rFonts w:ascii="Roboto;sans-serif" w:hAnsi="Roboto;sans-serif"/>
          <w:b w:val="false"/>
          <w:i/>
          <w:color w:val="000000"/>
          <w:sz w:val="18"/>
        </w:rPr>
        <w:t xml:space="preserve">Operate with Business Excellence </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We are focusing on operating more efficiently, which includes both lowering our operating expenses and optimizing our pricing and promotional strategy to improve our unit economics and expand gross margins. We have made significant progress in reducing costs and we continue to track ahead of our target to achieve $200 million of run-rate cost savings by the end of fiscal year 2025.</w:t>
      </w:r>
    </w:p>
    <w:p>
      <w:pPr>
        <w:pStyle w:val="TextBody"/>
        <w:bidi w:val="0"/>
        <w:spacing w:before="0" w:after="0"/>
        <w:jc w:val="left"/>
        <w:rPr/>
      </w:pPr>
      <w:r>
        <w:rPr/>
      </w:r>
    </w:p>
    <w:p>
      <w:pPr>
        <w:pStyle w:val="TextBody"/>
        <w:bidi w:val="0"/>
        <w:spacing w:lineRule="auto" w:line="417" w:before="0" w:after="0"/>
        <w:jc w:val="both"/>
        <w:rPr>
          <w:rFonts w:ascii="Roboto;sans-serif" w:hAnsi="Roboto;sans-serif"/>
          <w:b/>
          <w:color w:val="050505"/>
          <w:sz w:val="18"/>
        </w:rPr>
      </w:pPr>
      <w:r>
        <w:rPr>
          <w:rFonts w:ascii="Roboto;sans-serif" w:hAnsi="Roboto;sans-serif"/>
          <w:b/>
          <w:color w:val="050505"/>
          <w:sz w:val="18"/>
        </w:rPr>
        <w:t>Restructuring</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In February 2022, we announced and began implementing a restructuring plan to realign our operational focus to support our multi-year growth, scale the business, and improve costs (the “2022 Restructuring Plan”). In April 2024, our Board of Directors approved a new restructuring plan to expand upon the 2022 Restructuring Plan (as expanded, the “2024 Restructuring Plan”, collectively, the “Restructuring Plans”) in an effort to position us for sustained, positive free cash flow, while enabling us to continue to invest in software, hardware and content innovation, improvements to our Member support experience, and optimizations to marketing efforts to scale the business. </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We’ve made progress in implementing the Restructuring Plans and achieving the goals outlined in Note 4 - Restructuring. In fiscal year 2024, we completed the sale of the Peloton Output Park building and a portion of the corresponding land and received net proceeds of approximately $31.9 million, successfully exited our owned-manufacturing operations, and reduced our global retail showroom footprint. In September 2024, we completed the sale of the remaining Peloton Output Park land parcel and received net proceeds of $4.2 million. We expect substantial further improvements in the goals outlined in Note 4 - Restructuring as well as a number of other measures by which we measure the success of our restructuring initiatives and expect to continue optimizing our showroom footprint over the remainder of fiscal year 2025.</w:t>
      </w:r>
    </w:p>
    <w:p>
      <w:pPr>
        <w:pStyle w:val="TextBody"/>
        <w:bidi w:val="0"/>
        <w:spacing w:before="0" w:after="0"/>
        <w:jc w:val="both"/>
        <w:rPr/>
      </w:pPr>
      <w:r>
        <w:rPr/>
      </w:r>
    </w:p>
    <w:p>
      <w:pPr>
        <w:pStyle w:val="TextBody"/>
        <w:bidi w:val="0"/>
        <w:spacing w:lineRule="auto" w:line="268" w:before="60" w:after="60"/>
        <w:jc w:val="both"/>
        <w:rPr>
          <w:rFonts w:ascii="Roboto;sans-serif" w:hAnsi="Roboto;sans-serif"/>
          <w:b w:val="false"/>
          <w:color w:val="000000"/>
          <w:sz w:val="18"/>
        </w:rPr>
      </w:pPr>
      <w:r>
        <w:rPr>
          <w:rFonts w:ascii="Roboto;sans-serif" w:hAnsi="Roboto;sans-serif"/>
          <w:b w:val="false"/>
          <w:color w:val="000000"/>
          <w:sz w:val="18"/>
        </w:rPr>
        <w:t>Refer to Note 4 - Restructuring in the Notes to Condensed Consolidated Financial Statements in Part I, Item 1 of this Quarterly Report on Form 10-Q for discussion around charges incurred to date and future expected charges under the Restructuring Plans. We expect the plan to result in reduced annual run-rate expenses by more than $200 million by the end of fiscal year 2025.</w:t>
      </w:r>
    </w:p>
    <w:p>
      <w:pPr>
        <w:pStyle w:val="TextBody"/>
        <w:bidi w:val="0"/>
        <w:spacing w:before="0" w:after="0"/>
        <w:jc w:val="both"/>
        <w:rPr/>
      </w:pPr>
      <w:r>
        <w:rPr/>
      </w:r>
    </w:p>
    <w:p>
      <w:pPr>
        <w:pStyle w:val="TextBody"/>
        <w:bidi w:val="0"/>
        <w:spacing w:lineRule="auto" w:line="288" w:before="0" w:after="0"/>
        <w:jc w:val="both"/>
        <w:rPr/>
      </w:pPr>
      <w:r>
        <w:rPr>
          <w:rFonts w:ascii="Roboto;sans-serif" w:hAnsi="Roboto;sans-serif"/>
          <w:b w:val="false"/>
          <w:color w:val="000000"/>
          <w:sz w:val="18"/>
        </w:rPr>
        <w:t xml:space="preserve">We do not believe these cost-saving measures will impair our ability to conduct any of our key business functions. However, we may not be able to realize the cost savings and benefits initially anticipated as a result of the Restructuring Plans, and costs may be greater than expected. See </w:t>
      </w:r>
      <w:r>
        <w:rPr>
          <w:color w:val="000000"/>
        </w:rPr>
        <w:t>“</w:t>
      </w:r>
      <w:r>
        <w:rPr>
          <w:rFonts w:ascii="Roboto;sans-serif" w:hAnsi="Roboto;sans-serif"/>
          <w:b w:val="false"/>
          <w:i/>
          <w:color w:val="000000"/>
          <w:sz w:val="18"/>
        </w:rPr>
        <w:t>Risk Factors—Risks Related to Our Business—We may not successfully execute or achieve the expected benefits of our restructuring initiatives and other cost-saving measures we may take in the future, and our efforts may result in further actions and/or additional asset impairment charges and adversely affect our business</w:t>
      </w:r>
      <w:r>
        <w:rPr>
          <w:color w:val="000000"/>
        </w:rPr>
        <w:t xml:space="preserve">” </w:t>
      </w:r>
      <w:r>
        <w:rPr>
          <w:rFonts w:ascii="Roboto;sans-serif" w:hAnsi="Roboto;sans-serif"/>
          <w:b w:val="false"/>
          <w:color w:val="000000"/>
          <w:sz w:val="18"/>
        </w:rPr>
        <w:t>in our Form 10-K.</w:t>
      </w:r>
    </w:p>
    <w:p>
      <w:pPr>
        <w:pStyle w:val="TextBody"/>
        <w:bidi w:val="0"/>
        <w:spacing w:before="0" w:after="0"/>
        <w:jc w:val="both"/>
        <w:rPr/>
      </w:pPr>
      <w:r>
        <w:rPr/>
      </w:r>
    </w:p>
    <w:p>
      <w:pPr>
        <w:pStyle w:val="TextBody"/>
        <w:bidi w:val="0"/>
        <w:spacing w:lineRule="auto" w:line="417" w:before="0" w:after="0"/>
        <w:jc w:val="both"/>
        <w:rPr>
          <w:rFonts w:ascii="Roboto;sans-serif" w:hAnsi="Roboto;sans-serif"/>
          <w:b/>
          <w:color w:val="000000"/>
          <w:sz w:val="18"/>
        </w:rPr>
      </w:pPr>
      <w:r>
        <w:rPr>
          <w:rFonts w:ascii="Roboto;sans-serif" w:hAnsi="Roboto;sans-serif"/>
          <w:b/>
          <w:color w:val="000000"/>
          <w:sz w:val="18"/>
        </w:rPr>
        <w:t>Global Trade Policies and Tariffs</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We continue to closely monitor changes in international trade policies, relations, legislation and regulations, including those related to tariffs, which could adversely impact the global economy and our business, financial condition, and operating results. The impact of any tariffs will depend on various factors, including whether the tariffs are ultimately implemented, the timing of implementation, and the amount, scope and nature of the tariffs. </w:t>
      </w:r>
    </w:p>
    <w:p>
      <w:pPr>
        <w:pStyle w:val="TextBody"/>
        <w:bidi w:val="0"/>
        <w:spacing w:before="0" w:after="0"/>
        <w:jc w:val="both"/>
        <w:rPr/>
      </w:pPr>
      <w:r>
        <w:rPr/>
      </w:r>
    </w:p>
    <w:p>
      <w:pPr>
        <w:pStyle w:val="TextBody"/>
        <w:bidi w:val="0"/>
        <w:spacing w:lineRule="auto" w:line="417" w:before="0" w:after="0"/>
        <w:jc w:val="both"/>
        <w:rPr>
          <w:rFonts w:ascii="Roboto;sans-serif" w:hAnsi="Roboto;sans-serif"/>
          <w:b/>
          <w:color w:val="000000"/>
          <w:sz w:val="18"/>
        </w:rPr>
      </w:pPr>
      <w:r>
        <w:rPr>
          <w:rFonts w:ascii="Roboto;sans-serif" w:hAnsi="Roboto;sans-serif"/>
          <w:b/>
          <w:color w:val="000000"/>
          <w:sz w:val="18"/>
        </w:rPr>
        <w:t>Other Developments</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We have received a small number of reports that a Bike+ seat post broke during use. We are planning to offer certain Bike+ Members our newest seat post. We do not currently expect that the expenses associated with this plan will be material to our financial position. In the event we incur material expenses or face other challenges relating to the Bike+ seat post, including the implementation of other measures resulting from our engagement with governmental authorities on this matter, our results of operations, financial condition and reputation could be adversely affected.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33350"/>
                <wp:effectExtent l="0" t="0" r="0" b="0"/>
                <wp:wrapNone/>
                <wp:docPr id="27" name="Frame27"/>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27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240"/>
        <w:jc w:val="center"/>
        <w:rPr>
          <w:rFonts w:ascii="Roboto;sans-serif" w:hAnsi="Roboto;sans-serif"/>
          <w:b/>
          <w:color w:val="000000"/>
          <w:sz w:val="18"/>
        </w:rPr>
      </w:pPr>
      <w:r>
        <w:rPr>
          <w:rFonts w:ascii="Roboto;sans-serif" w:hAnsi="Roboto;sans-serif"/>
          <w:b/>
          <w:color w:val="000000"/>
          <w:sz w:val="18"/>
        </w:rPr>
        <w:t>Key Operational and Business Metrics</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In addition to the measures presented in our interim condensed consolidated financial statements, we use the following key operational and business metrics to evaluate our business, measure our performance, develop financial forecasts, and make strategic decisions.</w:t>
      </w:r>
    </w:p>
    <w:tbl>
      <w:tblPr>
        <w:tblW w:w="9506" w:type="dxa"/>
        <w:jc w:val="left"/>
        <w:tblInd w:w="0" w:type="dxa"/>
        <w:tblLayout w:type="fixed"/>
        <w:tblCellMar>
          <w:top w:w="28" w:type="dxa"/>
          <w:left w:w="28" w:type="dxa"/>
          <w:bottom w:w="28" w:type="dxa"/>
          <w:right w:w="28" w:type="dxa"/>
        </w:tblCellMar>
      </w:tblPr>
      <w:tblGrid>
        <w:gridCol w:w="2224"/>
        <w:gridCol w:w="1951"/>
        <w:gridCol w:w="1960"/>
        <w:gridCol w:w="273"/>
        <w:gridCol w:w="853"/>
        <w:gridCol w:w="314"/>
        <w:gridCol w:w="126"/>
        <w:gridCol w:w="126"/>
        <w:gridCol w:w="126"/>
        <w:gridCol w:w="262"/>
        <w:gridCol w:w="924"/>
        <w:gridCol w:w="367"/>
      </w:tblGrid>
      <w:tr>
        <w:trPr/>
        <w:tc>
          <w:tcPr>
            <w:tcW w:w="2224"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1960"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3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March 31,</w:t>
            </w:r>
          </w:p>
        </w:tc>
      </w:tr>
      <w:tr>
        <w:trPr/>
        <w:tc>
          <w:tcPr>
            <w:tcW w:w="6135"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8"/>
              </w:rPr>
              <w:t>Ending Paid Connected Fitness Subscriptions</w:t>
            </w:r>
            <w:r>
              <w:rPr>
                <w:rFonts w:ascii="Arial;sans-serif" w:hAnsi="Arial;sans-serif"/>
                <w:b w:val="false"/>
                <w:color w:val="000000"/>
                <w:sz w:val="12"/>
              </w:rPr>
              <w:t>(1)</w:t>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2,880,176 </w:t>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3,051,451 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8"/>
              </w:rPr>
              <w:t>Average Net Monthly Paid Connected Fitness Subscription Churn</w:t>
            </w:r>
            <w:r>
              <w:rPr>
                <w:rFonts w:ascii="Arial;sans-serif" w:hAnsi="Arial;sans-serif"/>
                <w:b w:val="false"/>
                <w:color w:val="000000"/>
                <w:sz w:val="12"/>
              </w:rPr>
              <w:t>(1)</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1.2 </w:t>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8"/>
              </w:rPr>
              <w:t>Ending Paid App Subscriptions</w:t>
            </w:r>
            <w:r>
              <w:rPr>
                <w:rFonts w:ascii="Arial;sans-serif" w:hAnsi="Arial;sans-serif"/>
                <w:b w:val="false"/>
                <w:color w:val="000000"/>
                <w:sz w:val="12"/>
              </w:rPr>
              <w:t>(1)</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572,775 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675,190 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Roboto;sans-serif" w:hAnsi="Roboto;sans-serif"/>
                <w:b w:val="false"/>
                <w:color w:val="000000"/>
                <w:sz w:val="18"/>
              </w:rPr>
              <w:t>Average Monthly Paid App Subscription Churn</w:t>
            </w:r>
            <w:r>
              <w:rPr>
                <w:rFonts w:ascii="Arial;sans-serif" w:hAnsi="Arial;sans-serif"/>
                <w:b w:val="false"/>
                <w:color w:val="000000"/>
                <w:sz w:val="12"/>
              </w:rPr>
              <w:t>(1)</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8.1 </w:t>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9.0 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Subscription Gross Profit (in millions)</w:t>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288.8 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298.1 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Roboto;sans-serif" w:hAnsi="Roboto;sans-serif"/>
                <w:b w:val="false"/>
                <w:color w:val="000000"/>
                <w:sz w:val="18"/>
              </w:rPr>
              <w:t>Subscription Contribution (in millions)</w:t>
            </w:r>
            <w:r>
              <w:rPr>
                <w:rFonts w:ascii="Arial;sans-serif" w:hAnsi="Arial;sans-serif"/>
                <w:b w:val="false"/>
                <w:color w:val="000000"/>
                <w:sz w:val="12"/>
              </w:rPr>
              <w:t>(2)</w:t>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304.9 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316.4 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Subscription Gross Margin</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69.0 </w:t>
            </w:r>
          </w:p>
        </w:tc>
        <w:tc>
          <w:tcPr>
            <w:tcW w:w="3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68.1 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r>
      <w:tr>
        <w:trPr/>
        <w:tc>
          <w:tcPr>
            <w:tcW w:w="6135"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Roboto;sans-serif" w:hAnsi="Roboto;sans-serif"/>
                <w:b w:val="false"/>
                <w:color w:val="000000"/>
                <w:sz w:val="18"/>
              </w:rPr>
              <w:t>Subscription Contribution Margin</w:t>
            </w:r>
            <w:r>
              <w:rPr>
                <w:rFonts w:ascii="Arial;sans-serif" w:hAnsi="Arial;sans-serif"/>
                <w:b w:val="false"/>
                <w:color w:val="000000"/>
                <w:sz w:val="12"/>
              </w:rPr>
              <w:t>(2)</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72.9 </w:t>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72.3 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Net loss (in millions)</w:t>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(47.7)</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(167.3)</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8"/>
              </w:rPr>
              <w:t>Adjusted EBITDA (in millions)</w:t>
            </w:r>
            <w:r>
              <w:rPr>
                <w:rFonts w:ascii="Arial;sans-serif" w:hAnsi="Arial;sans-serif"/>
                <w:b w:val="false"/>
                <w:color w:val="000000"/>
                <w:sz w:val="12"/>
              </w:rPr>
              <w:t>(3)</w:t>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89.4 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5.8 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Net cash provided by operating activities (in millions)</w:t>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96.7 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11.6 </w:t>
            </w:r>
          </w:p>
        </w:tc>
        <w:tc>
          <w:tcPr>
            <w:tcW w:w="3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8"/>
              </w:rPr>
              <w:t>Free Cash Flow (in millions)</w:t>
            </w:r>
            <w:r>
              <w:rPr>
                <w:rFonts w:ascii="Arial;sans-serif" w:hAnsi="Arial;sans-serif"/>
                <w:b w:val="false"/>
                <w:color w:val="000000"/>
                <w:sz w:val="12"/>
              </w:rPr>
              <w:t>(4)</w:t>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94.7 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8.6 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rFonts w:ascii="Roboto;sans-serif" w:hAnsi="Roboto;sans-serif"/>
          <w:b w:val="false"/>
          <w:color w:val="000000"/>
          <w:sz w:val="18"/>
        </w:rPr>
      </w:pPr>
      <w:r>
        <w:rPr>
          <w:rFonts w:ascii="Roboto;sans-serif" w:hAnsi="Roboto;sans-serif"/>
          <w:b w:val="false"/>
          <w:color w:val="000000"/>
          <w:sz w:val="18"/>
        </w:rPr>
        <w:t>______________________________</w:t>
      </w:r>
    </w:p>
    <w:p>
      <w:pPr>
        <w:pStyle w:val="TextBody"/>
        <w:bidi w:val="0"/>
        <w:spacing w:lineRule="auto" w:line="288" w:before="60" w:after="60"/>
        <w:jc w:val="both"/>
        <w:rPr>
          <w:rFonts w:ascii="Roboto;sans-serif" w:hAnsi="Roboto;sans-serif"/>
          <w:b w:val="false"/>
          <w:color w:val="000000"/>
          <w:sz w:val="14"/>
        </w:rPr>
      </w:pPr>
      <w:r>
        <w:rPr>
          <w:rFonts w:ascii="Roboto;sans-serif" w:hAnsi="Roboto;sans-serif"/>
          <w:b w:val="false"/>
          <w:color w:val="000000"/>
          <w:sz w:val="14"/>
        </w:rPr>
        <w:t>(1) Beginning January 1, 2025, the Company migrated its subscription data model for reporting Ending Paid Connected Fitness Subscriptions, Average Net Monthly Paid Connected Fitness Subscription Churn, Ending Paid App Subscriptions, and Average Monthly Paid App Subscription Churn to a new data model that provides greater visibility to changes to a subscription's payment status when they occur. The new model gives the Company more precise and timely data on subscription pause and churn behavior. Prior period information has been revised to conform with current period presentation. The impact of this change in the model on Ending Paid Connected Fitness Subscriptions, Average Net Monthly Paid Connected Fitness Subscription Churn, Ending Paid App Subscriptions and Average Monthly Paid App Subscription Churn for the three months ended March 31, 2025 and 2024 is immaterial.</w:t>
      </w:r>
    </w:p>
    <w:p>
      <w:pPr>
        <w:pStyle w:val="TextBody"/>
        <w:bidi w:val="0"/>
        <w:spacing w:lineRule="auto" w:line="288" w:before="60" w:after="60"/>
        <w:jc w:val="both"/>
        <w:rPr>
          <w:rFonts w:ascii="Roboto;sans-serif" w:hAnsi="Roboto;sans-serif"/>
          <w:b w:val="false"/>
          <w:color w:val="000000"/>
          <w:sz w:val="14"/>
        </w:rPr>
      </w:pPr>
      <w:r>
        <w:rPr>
          <w:rFonts w:ascii="Roboto;sans-serif" w:hAnsi="Roboto;sans-serif"/>
          <w:b w:val="false"/>
          <w:color w:val="000000"/>
          <w:sz w:val="14"/>
        </w:rPr>
        <w:t>(2) Please see the section titled “Non-GAAP Financial Measures—Subscription Contribution and Subscription Contribution Margin” for a reconciliation of Subscription Gross Profit to Subscription Contribution and an explanation of why we consider Subscription Contribution and Subscription Contribution Margin to be helpful measures for investors.</w:t>
      </w:r>
    </w:p>
    <w:p>
      <w:pPr>
        <w:pStyle w:val="TextBody"/>
        <w:bidi w:val="0"/>
        <w:spacing w:lineRule="auto" w:line="288" w:before="60" w:after="60"/>
        <w:jc w:val="both"/>
        <w:rPr>
          <w:rFonts w:ascii="Roboto;sans-serif" w:hAnsi="Roboto;sans-serif"/>
          <w:b w:val="false"/>
          <w:color w:val="000000"/>
          <w:sz w:val="14"/>
        </w:rPr>
      </w:pPr>
      <w:r>
        <w:rPr>
          <w:rFonts w:ascii="Roboto;sans-serif" w:hAnsi="Roboto;sans-serif"/>
          <w:b w:val="false"/>
          <w:color w:val="000000"/>
          <w:sz w:val="14"/>
        </w:rPr>
        <w:t>(3) Please see the section titled “Non-GAAP Financial Measures—Adjusted EBITDA” for a reconciliation of Net loss to Adjusted EBITDA and an explanation of why we consider Adjusted EBITDA to be a helpful measure for investors.</w:t>
      </w:r>
    </w:p>
    <w:p>
      <w:pPr>
        <w:pStyle w:val="TextBody"/>
        <w:bidi w:val="0"/>
        <w:spacing w:lineRule="auto" w:line="288" w:before="60" w:after="60"/>
        <w:jc w:val="both"/>
        <w:rPr>
          <w:rFonts w:ascii="Roboto;sans-serif" w:hAnsi="Roboto;sans-serif"/>
          <w:b w:val="false"/>
          <w:color w:val="000000"/>
          <w:sz w:val="14"/>
        </w:rPr>
      </w:pPr>
      <w:r>
        <w:rPr>
          <w:rFonts w:ascii="Roboto;sans-serif" w:hAnsi="Roboto;sans-serif"/>
          <w:b w:val="false"/>
          <w:color w:val="000000"/>
          <w:sz w:val="14"/>
        </w:rPr>
        <w:t>(4) Please see the section titled “Non-GAAP Financial Measures—Free Cash Flow” for a reconciliation of net cash provided by (used in) operating activities to Free Cash Flow and an explanation of why we consider Free Cash Flow to be a helpful measure for investors.</w:t>
      </w:r>
    </w:p>
    <w:p>
      <w:pPr>
        <w:pStyle w:val="TextBody"/>
        <w:bidi w:val="0"/>
        <w:spacing w:before="0" w:after="0"/>
        <w:jc w:val="both"/>
        <w:rPr/>
      </w:pPr>
      <w:r>
        <w:rPr/>
      </w:r>
    </w:p>
    <w:p>
      <w:pPr>
        <w:pStyle w:val="TextBody"/>
        <w:bidi w:val="0"/>
        <w:spacing w:lineRule="auto" w:line="417" w:before="0" w:after="0"/>
        <w:jc w:val="both"/>
        <w:rPr>
          <w:rFonts w:ascii="Roboto;sans-serif" w:hAnsi="Roboto;sans-serif"/>
          <w:b/>
          <w:color w:val="000000"/>
          <w:sz w:val="18"/>
        </w:rPr>
      </w:pPr>
      <w:r>
        <w:rPr>
          <w:rFonts w:ascii="Roboto;sans-serif" w:hAnsi="Roboto;sans-serif"/>
          <w:b/>
          <w:color w:val="000000"/>
          <w:sz w:val="18"/>
        </w:rPr>
        <w:t>Ending Paid Connected Fitness Subscriptions</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Ending Paid Connected Fitness Subscriptions includes all Connected Fitness Subscriptions for which we are currently receiving payment (a successful credit card billing or prepaid subscription credit or waiver). We do not include paused Connected Fitness Subscriptions in our Ending Paid Connected Fitness Subscription count.</w:t>
      </w:r>
    </w:p>
    <w:p>
      <w:pPr>
        <w:pStyle w:val="TextBody"/>
        <w:bidi w:val="0"/>
        <w:spacing w:before="0" w:after="0"/>
        <w:jc w:val="both"/>
        <w:rPr/>
      </w:pPr>
      <w:r>
        <w:rPr/>
      </w:r>
    </w:p>
    <w:p>
      <w:pPr>
        <w:pStyle w:val="TextBody"/>
        <w:bidi w:val="0"/>
        <w:spacing w:lineRule="auto" w:line="417" w:before="0" w:after="0"/>
        <w:jc w:val="both"/>
        <w:rPr>
          <w:rFonts w:ascii="Roboto;sans-serif" w:hAnsi="Roboto;sans-serif"/>
          <w:b/>
          <w:color w:val="000000"/>
          <w:sz w:val="18"/>
        </w:rPr>
      </w:pPr>
      <w:r>
        <w:rPr>
          <w:rFonts w:ascii="Roboto;sans-serif" w:hAnsi="Roboto;sans-serif"/>
          <w:b/>
          <w:color w:val="000000"/>
          <w:sz w:val="18"/>
        </w:rPr>
        <w:t>Average Net Monthly Paid Connected Fitness Subscription Churn</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To align with the definition of Ending Paid Connected Fitness Subscriptions above, our quarterly Average Net Monthly Paid Connected Fitness Subscription Churn is calculated as follows: Paid Connected Fitness Subscriber “churn count” in the quarter, divided by the average number of beginning Paid Connected Fitness Subscribers each month, divided by three months. “Churn count” is defined as quarterly Connected Fitness Subscription churn events minus Connected Fitness Subscription unpause events minus Connected Fitness Subscription reactivations.</w:t>
      </w:r>
    </w:p>
    <w:p>
      <w:pPr>
        <w:pStyle w:val="TextBody"/>
        <w:bidi w:val="0"/>
        <w:spacing w:before="0" w:after="0"/>
        <w:jc w:val="center"/>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We refer to any cancellation or pausing of a subscription for our All-Access Membership as a churn event. Because we do not receive payment for paused Connected Fitness Subscriptions, a paused Connected Fitness Subscription is treated as a churn event at the time the pause goes into effect, which is the start of the next billing cycle. An unpause event occurs when a pause period elapses without a cancellation and the Connected Fitness Subscription resumes, and is therefore counted as a reduction in our churn count in that period. Our churn count is shown net of reactivations and our new quarterly Average Net Monthly Paid Connected Fitness Subscription Churn metric averages the monthly Connected Fitness churn percentage across the three months of the reported quarter.</w:t>
      </w:r>
    </w:p>
    <w:p>
      <w:pPr>
        <w:pStyle w:val="TextBody"/>
        <w:bidi w:val="0"/>
        <w:spacing w:before="0" w:after="0"/>
        <w:jc w:val="both"/>
        <w:rPr/>
      </w:pPr>
      <w:r>
        <w:rPr/>
      </w:r>
    </w:p>
    <w:p>
      <w:pPr>
        <w:pStyle w:val="TextBody"/>
        <w:bidi w:val="0"/>
        <w:spacing w:lineRule="auto" w:line="417" w:before="0" w:after="0"/>
        <w:jc w:val="both"/>
        <w:rPr>
          <w:rFonts w:ascii="Roboto;sans-serif" w:hAnsi="Roboto;sans-serif"/>
          <w:b/>
          <w:color w:val="000000"/>
          <w:sz w:val="18"/>
        </w:rPr>
      </w:pPr>
      <w:r>
        <w:rPr>
          <w:rFonts w:ascii="Roboto;sans-serif" w:hAnsi="Roboto;sans-serif"/>
          <w:b/>
          <w:color w:val="000000"/>
          <w:sz w:val="18"/>
        </w:rPr>
        <w:t>Ending Paid App Subscriptions</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Ending Paid App Subscriptions include all App One, App+, and Strength+ subscriptions for which we are currently receiving payment.</w:t>
      </w:r>
    </w:p>
    <w:p>
      <w:pPr>
        <w:pStyle w:val="TextBody"/>
        <w:bidi w:val="0"/>
        <w:spacing w:before="0" w:after="0"/>
        <w:jc w:val="left"/>
        <w:rPr/>
      </w:pPr>
      <w:r>
        <w:rPr/>
      </w:r>
    </w:p>
    <w:p>
      <w:pPr>
        <w:pStyle w:val="TextBody"/>
        <w:bidi w:val="0"/>
        <w:spacing w:lineRule="auto" w:line="417" w:before="0" w:after="0"/>
        <w:jc w:val="both"/>
        <w:rPr>
          <w:rFonts w:ascii="Roboto;sans-serif" w:hAnsi="Roboto;sans-serif"/>
          <w:b/>
          <w:color w:val="000000"/>
          <w:sz w:val="18"/>
        </w:rPr>
      </w:pPr>
      <w:r>
        <w:rPr>
          <w:rFonts w:ascii="Roboto;sans-serif" w:hAnsi="Roboto;sans-serif"/>
          <w:b/>
          <w:color w:val="000000"/>
          <w:sz w:val="18"/>
        </w:rPr>
        <w:t>Average Monthly Paid App Subscription Churn</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When a Subscriber to App One, App+, or Strength+ cancels their membership (a churn event) and resubscribes in a subsequent period, the resubscription is considered a new subscription (rather than a reactivation that is counted as a reduction in our churn count). Average Paid App Subscription Churn is calculated as follows: Paid App Subscription cancellations in the quarter, divided by the average number of beginning Paid App Subscriptions each month, divided by three months.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33350"/>
                <wp:effectExtent l="0" t="0" r="0" b="0"/>
                <wp:wrapNone/>
                <wp:docPr id="28" name="Frame28"/>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40"/>
        <w:jc w:val="center"/>
        <w:rPr>
          <w:rFonts w:ascii="Roboto;sans-serif" w:hAnsi="Roboto;sans-serif"/>
          <w:b/>
          <w:color w:val="000000"/>
          <w:sz w:val="18"/>
        </w:rPr>
      </w:pPr>
      <w:r>
        <w:rPr>
          <w:rFonts w:ascii="Roboto;sans-serif" w:hAnsi="Roboto;sans-serif"/>
          <w:b/>
          <w:color w:val="000000"/>
          <w:sz w:val="18"/>
        </w:rPr>
        <w:t>Components of our Results of Operations</w:t>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Revenue</w:t>
      </w:r>
    </w:p>
    <w:p>
      <w:pPr>
        <w:pStyle w:val="TextBody"/>
        <w:bidi w:val="0"/>
        <w:spacing w:lineRule="auto" w:line="417" w:before="0" w:after="0"/>
        <w:jc w:val="both"/>
        <w:rPr>
          <w:rFonts w:ascii="Roboto;sans-serif" w:hAnsi="Roboto;sans-serif"/>
          <w:b/>
          <w:color w:val="000000"/>
          <w:sz w:val="18"/>
        </w:rPr>
      </w:pPr>
      <w:r>
        <w:rPr>
          <w:rFonts w:ascii="Roboto;sans-serif" w:hAnsi="Roboto;sans-serif"/>
          <w:b/>
          <w:color w:val="000000"/>
          <w:sz w:val="18"/>
        </w:rPr>
        <w:t>Connected Fitness Products</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Connected Fitness Products Revenue consists of sales of our portfolio of Connected Fitness Products and related accessories, as well as Precor branded fitness products, delivery and installation services, Bike rental products, extended warranty agreements, branded apparel, and commercial service contracts. Connected Fitness Products Revenue is recognized at the time of delivery, except for extended warranty revenue that is recognized over the warranty period and service revenue that is recognized over the term, and is recorded net of sales returns and concessions, discounts and allowances, and third-party financing program fees, when applicable.</w:t>
      </w:r>
    </w:p>
    <w:p>
      <w:pPr>
        <w:pStyle w:val="TextBody"/>
        <w:bidi w:val="0"/>
        <w:spacing w:before="0" w:after="0"/>
        <w:jc w:val="both"/>
        <w:rPr/>
      </w:pPr>
      <w:r>
        <w:rPr/>
      </w:r>
    </w:p>
    <w:p>
      <w:pPr>
        <w:pStyle w:val="TextBody"/>
        <w:bidi w:val="0"/>
        <w:spacing w:lineRule="auto" w:line="417" w:before="0" w:after="0"/>
        <w:jc w:val="both"/>
        <w:rPr>
          <w:rFonts w:ascii="Roboto;sans-serif" w:hAnsi="Roboto;sans-serif"/>
          <w:b/>
          <w:color w:val="000000"/>
          <w:sz w:val="18"/>
        </w:rPr>
      </w:pPr>
      <w:r>
        <w:rPr>
          <w:rFonts w:ascii="Roboto;sans-serif" w:hAnsi="Roboto;sans-serif"/>
          <w:b/>
          <w:color w:val="000000"/>
          <w:sz w:val="18"/>
        </w:rPr>
        <w:t>Subscription</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Subscription Revenue primarily consists of revenue generated from our Paid Connected Fitness Subscriptions and Paid Peloton App Subscriptions, inclusive of the Strength+ App, which are offered on a month-to-month or prepaid basis.</w:t>
      </w:r>
    </w:p>
    <w:p>
      <w:pPr>
        <w:pStyle w:val="TextBody"/>
        <w:bidi w:val="0"/>
        <w:spacing w:before="0" w:after="0"/>
        <w:jc w:val="both"/>
        <w:rPr/>
      </w:pPr>
      <w:r>
        <w:rPr/>
      </w:r>
    </w:p>
    <w:p>
      <w:pPr>
        <w:pStyle w:val="TextBody"/>
        <w:bidi w:val="0"/>
        <w:spacing w:lineRule="auto" w:line="288" w:before="0" w:after="0"/>
        <w:jc w:val="both"/>
        <w:rPr/>
      </w:pPr>
      <w:r>
        <w:rPr>
          <w:rFonts w:ascii="Roboto;sans-serif" w:hAnsi="Roboto;sans-serif"/>
          <w:b w:val="false"/>
          <w:color w:val="000000"/>
          <w:sz w:val="18"/>
          <w:shd w:fill="FFFFFF" w:val="clear"/>
        </w:rPr>
        <w:t xml:space="preserve">As of </w:t>
      </w:r>
      <w:r>
        <w:rPr>
          <w:rFonts w:ascii="Roboto;sans-serif" w:hAnsi="Roboto;sans-serif"/>
          <w:b w:val="false"/>
          <w:color w:val="000000"/>
          <w:sz w:val="18"/>
        </w:rPr>
        <w:t>March 31, 2025, 99% and 83% of o</w:t>
      </w:r>
      <w:r>
        <w:rPr>
          <w:rFonts w:ascii="Roboto;sans-serif" w:hAnsi="Roboto;sans-serif"/>
          <w:b w:val="false"/>
          <w:color w:val="000000"/>
          <w:sz w:val="18"/>
          <w:shd w:fill="FFFFFF" w:val="clear"/>
        </w:rPr>
        <w:t>ur Connected Fitness Subscription and Paid App Subscription bases, respectively, were paying month-to-month.</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If a Connected Fitness Subscription owns multiple, different Peloton Connected Fitness Products (such as a Peloton Bike and Peloton Tread) in the same household, the price of the Subscription remains $44 monthly. As of March 31, 2025, approximately 12% of our Connected Fitness Subscriptions owned multiple, different Connected Fitness Products.</w:t>
      </w:r>
    </w:p>
    <w:p>
      <w:pPr>
        <w:pStyle w:val="TextBody"/>
        <w:bidi w:val="0"/>
        <w:spacing w:before="0" w:after="0"/>
        <w:jc w:val="both"/>
        <w:rPr/>
      </w:pPr>
      <w:r>
        <w:rPr/>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Cost of revenue</w:t>
      </w:r>
    </w:p>
    <w:p>
      <w:pPr>
        <w:pStyle w:val="TextBody"/>
        <w:bidi w:val="0"/>
        <w:spacing w:lineRule="auto" w:line="417" w:before="0" w:after="0"/>
        <w:jc w:val="both"/>
        <w:rPr>
          <w:rFonts w:ascii="Roboto;sans-serif" w:hAnsi="Roboto;sans-serif"/>
          <w:b/>
          <w:color w:val="000000"/>
          <w:sz w:val="18"/>
        </w:rPr>
      </w:pPr>
      <w:r>
        <w:rPr>
          <w:rFonts w:ascii="Roboto;sans-serif" w:hAnsi="Roboto;sans-serif"/>
          <w:b/>
          <w:color w:val="000000"/>
          <w:sz w:val="18"/>
        </w:rPr>
        <w:t>Connected Fitness Products</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Connected Fitness Products Cost of revenue consists of our portfolio of Connected Fitness Products, related accessories, Precor branded fitness products, and branded apparel product costs, including third party manufacturing costs, duties and other applicable importing costs, shipping and handling costs, packaging, warranty replacement and service costs, fulfillment costs, warehousing costs, costs related to our commercial business, depreciation of property and equipment, and certain costs related to management, facilities, and personnel-related expenses associated with supply chain logistics. Inventory write-downs and related obsolescence reserve expense are also included within Connected Fitness Products Cost of revenue.</w:t>
      </w:r>
    </w:p>
    <w:p>
      <w:pPr>
        <w:pStyle w:val="TextBody"/>
        <w:bidi w:val="0"/>
        <w:spacing w:before="0" w:after="0"/>
        <w:jc w:val="both"/>
        <w:rPr/>
      </w:pPr>
      <w:r>
        <w:rPr/>
      </w:r>
    </w:p>
    <w:p>
      <w:pPr>
        <w:pStyle w:val="TextBody"/>
        <w:bidi w:val="0"/>
        <w:spacing w:lineRule="auto" w:line="417" w:before="0" w:after="0"/>
        <w:jc w:val="both"/>
        <w:rPr>
          <w:rFonts w:ascii="Roboto;sans-serif" w:hAnsi="Roboto;sans-serif"/>
          <w:b/>
          <w:color w:val="000000"/>
          <w:sz w:val="18"/>
        </w:rPr>
      </w:pPr>
      <w:r>
        <w:rPr>
          <w:rFonts w:ascii="Roboto;sans-serif" w:hAnsi="Roboto;sans-serif"/>
          <w:b/>
          <w:color w:val="000000"/>
          <w:sz w:val="18"/>
        </w:rPr>
        <w:t>Subscription</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Subscription Cost of revenue includes costs associated with content creation and costs to stream content to our Members. These costs consist of both fixed costs, including studio rent and occupancy, other studio overhead, Instructor and production personnel-related expenses, depreciation of property and equipment as well as variable costs, including music royalty fees, third-party platform streaming costs, and payment processing fees for our monthly subscription billings.</w:t>
      </w:r>
    </w:p>
    <w:p>
      <w:pPr>
        <w:pStyle w:val="TextBody"/>
        <w:bidi w:val="0"/>
        <w:spacing w:before="0" w:after="0"/>
        <w:jc w:val="both"/>
        <w:rPr/>
      </w:pPr>
      <w:r>
        <w:rPr/>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Operating expenses</w:t>
      </w:r>
    </w:p>
    <w:p>
      <w:pPr>
        <w:pStyle w:val="TextBody"/>
        <w:bidi w:val="0"/>
        <w:spacing w:lineRule="auto" w:line="417" w:before="0" w:after="0"/>
        <w:jc w:val="both"/>
        <w:rPr>
          <w:rFonts w:ascii="Roboto;sans-serif" w:hAnsi="Roboto;sans-serif"/>
          <w:b/>
          <w:color w:val="000000"/>
          <w:sz w:val="18"/>
        </w:rPr>
      </w:pPr>
      <w:r>
        <w:rPr>
          <w:rFonts w:ascii="Roboto;sans-serif" w:hAnsi="Roboto;sans-serif"/>
          <w:b/>
          <w:color w:val="000000"/>
          <w:sz w:val="18"/>
        </w:rPr>
        <w:t>Sales and marketing</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Sales and marketing expense consists of performance marketing media spend, asset creation, and other brand creative, costs to operate our retail showrooms including rent and occupancy charges, payment processing fees incurred in connection with the sale of our Connected Fitness Products, sales and marketing personnel-related expenses, expenses related to the Peloton App and Strength+ App, and depreciation of property and equipment.</w:t>
      </w:r>
    </w:p>
    <w:p>
      <w:pPr>
        <w:pStyle w:val="TextBody"/>
        <w:bidi w:val="0"/>
        <w:spacing w:before="0" w:after="0"/>
        <w:jc w:val="both"/>
        <w:rPr/>
      </w:pPr>
      <w:r>
        <w:rPr/>
      </w:r>
    </w:p>
    <w:p>
      <w:pPr>
        <w:pStyle w:val="TextBody"/>
        <w:bidi w:val="0"/>
        <w:spacing w:lineRule="auto" w:line="417" w:before="0" w:after="0"/>
        <w:jc w:val="both"/>
        <w:rPr>
          <w:rFonts w:ascii="Roboto;sans-serif" w:hAnsi="Roboto;sans-serif"/>
          <w:b/>
          <w:color w:val="000000"/>
          <w:sz w:val="18"/>
        </w:rPr>
      </w:pPr>
      <w:r>
        <w:rPr>
          <w:rFonts w:ascii="Roboto;sans-serif" w:hAnsi="Roboto;sans-serif"/>
          <w:b/>
          <w:color w:val="000000"/>
          <w:sz w:val="18"/>
        </w:rPr>
        <w:t>General and administrative</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General and administrative expense includes personnel-related expenses and facilities-related costs primarily for our executive, finance, accounting, legal, human resources, IT functions and Member support team. General and administrative expense also includes fees for professional services principally comprised of legal, audit, tax and accounting services, depreciation of property and equipment, and insurance, as well as litigation settlement costs.</w:t>
      </w:r>
    </w:p>
    <w:p>
      <w:pPr>
        <w:pStyle w:val="TextBody"/>
        <w:bidi w:val="0"/>
        <w:spacing w:before="0" w:after="0"/>
        <w:jc w:val="both"/>
        <w:rPr/>
      </w:pPr>
      <w:r>
        <w:rPr/>
      </w:r>
    </w:p>
    <w:p>
      <w:pPr>
        <w:pStyle w:val="TextBody"/>
        <w:bidi w:val="0"/>
        <w:spacing w:lineRule="auto" w:line="417" w:before="0" w:after="0"/>
        <w:jc w:val="both"/>
        <w:rPr>
          <w:rFonts w:ascii="Roboto;sans-serif" w:hAnsi="Roboto;sans-serif"/>
          <w:b/>
          <w:color w:val="000000"/>
          <w:sz w:val="18"/>
        </w:rPr>
      </w:pPr>
      <w:r>
        <w:rPr>
          <w:rFonts w:ascii="Roboto;sans-serif" w:hAnsi="Roboto;sans-serif"/>
          <w:b/>
          <w:color w:val="000000"/>
          <w:sz w:val="18"/>
        </w:rPr>
        <w:t>Research and development</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Research and development expense primarily consists of personnel and facilities-related expenses, consulting and contractor expenses, tooling and prototype materials, software platform expenses, and depreciation of property and equipment. We capitalize certain qualified costs incurred in connection with the development of internal-use software that may also cause research and development expenses to vary from period to period.</w:t>
      </w:r>
    </w:p>
    <w:p>
      <w:pPr>
        <w:pStyle w:val="TextBody"/>
        <w:bidi w:val="0"/>
        <w:spacing w:before="0" w:after="0"/>
        <w:jc w:val="both"/>
        <w:rPr/>
      </w:pPr>
      <w:r>
        <w:rPr/>
      </w:r>
    </w:p>
    <w:p>
      <w:pPr>
        <w:pStyle w:val="TextBody"/>
        <w:bidi w:val="0"/>
        <w:spacing w:lineRule="auto" w:line="417" w:before="0" w:after="0"/>
        <w:jc w:val="both"/>
        <w:rPr>
          <w:rFonts w:ascii="Roboto;sans-serif" w:hAnsi="Roboto;sans-serif"/>
          <w:b/>
          <w:color w:val="000000"/>
          <w:sz w:val="18"/>
        </w:rPr>
      </w:pPr>
      <w:r>
        <w:rPr>
          <w:rFonts w:ascii="Roboto;sans-serif" w:hAnsi="Roboto;sans-serif"/>
          <w:b/>
          <w:color w:val="000000"/>
          <w:sz w:val="18"/>
        </w:rPr>
        <w:t xml:space="preserve">Impairment expense </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Impairment expense consists of non-cash impairment charges relating to long-lived assets. Impairments are determined using management’s judgment about our anticipated ability to continue to use fixed assets in-service and under development, current economic and market conditions and their effects based on information available as of the date of these condensed consolidated financial statements. Management disposes of fixed assets during the regular course of business due to damage, obsolescence, strategic shifts, and loss.</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Additionally, long-lived assets are reviewed for impairment whenever events or changes in circumstances indicate that the carrying amount of an asset group may not be recoverable. Recoverability of assets to be held and used is measured by a comparison of the carrying amount of 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33350"/>
                <wp:effectExtent l="0" t="0" r="0" b="0"/>
                <wp:wrapNone/>
                <wp:docPr id="29" name="Frame29"/>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asset group to future undiscounted net cash flows expected to be generated by the assets. If the carrying amount of an asset group exceeds its estimated undiscounted net future cash flows, an impairment charge is recognized for the amount by which the carrying amount of the asset group exceeds its fair value.</w:t>
      </w:r>
    </w:p>
    <w:p>
      <w:pPr>
        <w:pStyle w:val="TextBody"/>
        <w:bidi w:val="0"/>
        <w:spacing w:before="0" w:after="0"/>
        <w:jc w:val="both"/>
        <w:rPr/>
      </w:pPr>
      <w:r>
        <w:rPr/>
      </w:r>
    </w:p>
    <w:p>
      <w:pPr>
        <w:pStyle w:val="TextBody"/>
        <w:bidi w:val="0"/>
        <w:spacing w:lineRule="auto" w:line="417" w:before="0" w:after="0"/>
        <w:jc w:val="both"/>
        <w:rPr>
          <w:rFonts w:ascii="Roboto;sans-serif" w:hAnsi="Roboto;sans-serif"/>
          <w:b/>
          <w:color w:val="000000"/>
          <w:sz w:val="18"/>
        </w:rPr>
      </w:pPr>
      <w:r>
        <w:rPr>
          <w:rFonts w:ascii="Roboto;sans-serif" w:hAnsi="Roboto;sans-serif"/>
          <w:b/>
          <w:color w:val="000000"/>
          <w:sz w:val="18"/>
        </w:rPr>
        <w:t>Restructuring expense</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Restructuring expense consists of severance and other personnel costs, including stock-based compensation expense, professional services, facility closures and other costs associated with exit and disposal activities.</w:t>
      </w:r>
    </w:p>
    <w:p>
      <w:pPr>
        <w:pStyle w:val="TextBody"/>
        <w:bidi w:val="0"/>
        <w:spacing w:before="0" w:after="0"/>
        <w:jc w:val="both"/>
        <w:rPr/>
      </w:pPr>
      <w:r>
        <w:rPr/>
      </w:r>
    </w:p>
    <w:p>
      <w:pPr>
        <w:pStyle w:val="TextBody"/>
        <w:bidi w:val="0"/>
        <w:spacing w:lineRule="auto" w:line="417" w:before="0" w:after="0"/>
        <w:jc w:val="both"/>
        <w:rPr>
          <w:rFonts w:ascii="Roboto;sans-serif" w:hAnsi="Roboto;sans-serif"/>
          <w:b/>
          <w:color w:val="000000"/>
          <w:sz w:val="18"/>
        </w:rPr>
      </w:pPr>
      <w:r>
        <w:rPr>
          <w:rFonts w:ascii="Roboto;sans-serif" w:hAnsi="Roboto;sans-serif"/>
          <w:b/>
          <w:color w:val="000000"/>
          <w:sz w:val="18"/>
        </w:rPr>
        <w:t>Supplier settlements</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Supplier settlements are payments made to third-party suppliers to terminate certain future inventory purchase commitments or settle disputes with suppliers about and to terminate certain alleged past and future commitments. </w:t>
      </w:r>
    </w:p>
    <w:p>
      <w:pPr>
        <w:pStyle w:val="TextBody"/>
        <w:bidi w:val="0"/>
        <w:spacing w:before="0" w:after="0"/>
        <w:jc w:val="both"/>
        <w:rPr/>
      </w:pPr>
      <w:r>
        <w:rPr/>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Non-operating income and expenses</w:t>
      </w:r>
    </w:p>
    <w:p>
      <w:pPr>
        <w:pStyle w:val="TextBody"/>
        <w:bidi w:val="0"/>
        <w:spacing w:lineRule="auto" w:line="417" w:before="0" w:after="0"/>
        <w:jc w:val="both"/>
        <w:rPr>
          <w:rFonts w:ascii="Roboto;sans-serif" w:hAnsi="Roboto;sans-serif"/>
          <w:b/>
          <w:color w:val="000000"/>
          <w:sz w:val="18"/>
        </w:rPr>
      </w:pPr>
      <w:r>
        <w:rPr>
          <w:rFonts w:ascii="Roboto;sans-serif" w:hAnsi="Roboto;sans-serif"/>
          <w:b/>
          <w:color w:val="000000"/>
          <w:sz w:val="18"/>
        </w:rPr>
        <w:t>Other (expense) income, net</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Other (expense) income, net consists of interest (expense) income, unrealized and realized gains (losses) on investments, and foreign exchange gains (losses).</w:t>
      </w:r>
    </w:p>
    <w:p>
      <w:pPr>
        <w:pStyle w:val="TextBody"/>
        <w:bidi w:val="0"/>
        <w:spacing w:before="0" w:after="0"/>
        <w:jc w:val="both"/>
        <w:rPr/>
      </w:pPr>
      <w:r>
        <w:rPr/>
      </w:r>
    </w:p>
    <w:p>
      <w:pPr>
        <w:pStyle w:val="TextBody"/>
        <w:bidi w:val="0"/>
        <w:spacing w:lineRule="auto" w:line="417" w:before="0" w:after="0"/>
        <w:jc w:val="both"/>
        <w:rPr>
          <w:rFonts w:ascii="Roboto;sans-serif" w:hAnsi="Roboto;sans-serif"/>
          <w:b/>
          <w:color w:val="000000"/>
          <w:sz w:val="18"/>
        </w:rPr>
      </w:pPr>
      <w:r>
        <w:rPr>
          <w:rFonts w:ascii="Roboto;sans-serif" w:hAnsi="Roboto;sans-serif"/>
          <w:b/>
          <w:color w:val="000000"/>
          <w:sz w:val="18"/>
        </w:rPr>
        <w:t>Income tax provision</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 xml:space="preserve">The provision for income taxes consists primarily of income taxes related to state and international taxes for jurisdictions in which we conduct business. We maintain a valuation allowance on the majority of our deferred tax assets as we have concluded that it is more likely than not that the deferred assets will not be utilized.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33350"/>
                <wp:effectExtent l="0" t="0" r="0" b="0"/>
                <wp:wrapNone/>
                <wp:docPr id="30" name="Frame30"/>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40"/>
        <w:jc w:val="center"/>
        <w:rPr>
          <w:rFonts w:ascii="Roboto;sans-serif" w:hAnsi="Roboto;sans-serif"/>
          <w:b/>
          <w:color w:val="000000"/>
          <w:sz w:val="18"/>
        </w:rPr>
      </w:pPr>
      <w:r>
        <w:rPr>
          <w:rFonts w:ascii="Roboto;sans-serif" w:hAnsi="Roboto;sans-serif"/>
          <w:b/>
          <w:color w:val="000000"/>
          <w:sz w:val="18"/>
        </w:rPr>
        <w:t>Results of Operations</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The following tables set forth our consolidated results of operations in dollars and as a percentage of total revenue for the periods presented. The period-to-period comparisons of our historical results are not necessarily indicative of the results that may be expected in the future.</w:t>
      </w:r>
    </w:p>
    <w:tbl>
      <w:tblPr>
        <w:tblW w:w="10205" w:type="dxa"/>
        <w:jc w:val="center"/>
        <w:tblInd w:w="0" w:type="dxa"/>
        <w:tblLayout w:type="fixed"/>
        <w:tblCellMar>
          <w:top w:w="28" w:type="dxa"/>
          <w:left w:w="28" w:type="dxa"/>
          <w:bottom w:w="28" w:type="dxa"/>
          <w:right w:w="28" w:type="dxa"/>
        </w:tblCellMar>
      </w:tblPr>
      <w:tblGrid>
        <w:gridCol w:w="1342"/>
        <w:gridCol w:w="1153"/>
        <w:gridCol w:w="1158"/>
        <w:gridCol w:w="285"/>
        <w:gridCol w:w="890"/>
        <w:gridCol w:w="137"/>
        <w:gridCol w:w="137"/>
        <w:gridCol w:w="137"/>
        <w:gridCol w:w="137"/>
        <w:gridCol w:w="285"/>
        <w:gridCol w:w="991"/>
        <w:gridCol w:w="137"/>
        <w:gridCol w:w="109"/>
        <w:gridCol w:w="109"/>
        <w:gridCol w:w="109"/>
        <w:gridCol w:w="266"/>
        <w:gridCol w:w="928"/>
        <w:gridCol w:w="128"/>
        <w:gridCol w:w="128"/>
        <w:gridCol w:w="128"/>
        <w:gridCol w:w="128"/>
        <w:gridCol w:w="266"/>
        <w:gridCol w:w="928"/>
        <w:gridCol w:w="189"/>
      </w:tblGrid>
      <w:tr>
        <w:trPr/>
        <w:tc>
          <w:tcPr>
            <w:tcW w:w="1342"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365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3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March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Nine Months Ended March 31,</w:t>
            </w:r>
          </w:p>
        </w:tc>
      </w:tr>
      <w:tr>
        <w:trPr/>
        <w:tc>
          <w:tcPr>
            <w:tcW w:w="3653"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3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r>
      <w:tr>
        <w:trPr/>
        <w:tc>
          <w:tcPr>
            <w:tcW w:w="3653"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655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r>
      <w:tr>
        <w:trPr/>
        <w:tc>
          <w:tcPr>
            <w:tcW w:w="36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Consolidated Statement of Operations Data:</w:t>
            </w:r>
          </w:p>
        </w:tc>
        <w:tc>
          <w:tcPr>
            <w:tcW w:w="13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Revenue</w:t>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Connected Fitness Products</w:t>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205.5 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279.9 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618.5 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779.6 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Subscription</w:t>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418.5 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437.8 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1,265.4 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1,277.3 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3"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r>
      <w:tr>
        <w:trPr/>
        <w:tc>
          <w:tcPr>
            <w:tcW w:w="36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revenue</w:t>
            </w:r>
          </w:p>
        </w:tc>
        <w:tc>
          <w:tcPr>
            <w:tcW w:w="11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624.0 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717.7 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1,883.9 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2,056.9 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3"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Roboto;sans-serif" w:hAnsi="Roboto;sans-serif"/>
                <w:b w:val="false"/>
                <w:color w:val="000000"/>
                <w:sz w:val="18"/>
              </w:rPr>
              <w:t>Cost of revenue</w:t>
            </w:r>
            <w:r>
              <w:rPr>
                <w:rFonts w:ascii="Roboto;sans-serif" w:hAnsi="Roboto;sans-serif"/>
                <w:b w:val="false"/>
                <w:color w:val="000000"/>
                <w:sz w:val="12"/>
              </w:rPr>
              <w:t>(1)(2)</w:t>
            </w:r>
          </w:p>
        </w:tc>
        <w:tc>
          <w:tcPr>
            <w:tcW w:w="13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Connected Fitness Products</w:t>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176.2 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268.3 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541.7 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748.5 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3"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Roboto;sans-serif" w:hAnsi="Roboto;sans-serif"/>
                <w:b w:val="false"/>
                <w:color w:val="000000"/>
                <w:sz w:val="18"/>
              </w:rPr>
            </w:pPr>
            <w:r>
              <w:rPr>
                <w:rFonts w:ascii="Roboto;sans-serif" w:hAnsi="Roboto;sans-serif"/>
                <w:b w:val="false"/>
                <w:color w:val="000000"/>
                <w:sz w:val="18"/>
              </w:rPr>
              <w:t>Subscription</w:t>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129.8 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139.8 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402.0 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414.0 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3"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r>
      <w:tr>
        <w:trPr/>
        <w:tc>
          <w:tcPr>
            <w:tcW w:w="36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cost of revenue</w:t>
            </w:r>
          </w:p>
        </w:tc>
        <w:tc>
          <w:tcPr>
            <w:tcW w:w="11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306.0 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408.0 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943.7 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1,162.4 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Gross profit</w:t>
            </w:r>
          </w:p>
        </w:tc>
        <w:tc>
          <w:tcPr>
            <w:tcW w:w="11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318.1 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309.7 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940.2 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894.5 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Operating expenses</w:t>
            </w:r>
          </w:p>
        </w:tc>
        <w:tc>
          <w:tcPr>
            <w:tcW w:w="13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3"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Roboto;sans-serif" w:hAnsi="Roboto;sans-serif"/>
                <w:b w:val="false"/>
                <w:color w:val="000000"/>
                <w:sz w:val="18"/>
              </w:rPr>
              <w:t>Sales and marketing</w:t>
            </w:r>
            <w:r>
              <w:rPr>
                <w:rFonts w:ascii="Roboto;sans-serif" w:hAnsi="Roboto;sans-serif"/>
                <w:b w:val="false"/>
                <w:color w:val="000000"/>
                <w:sz w:val="12"/>
              </w:rPr>
              <w:t>(1)(2)</w:t>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106.5 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170.3 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341.1 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546.7 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3"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r>
              <w:rPr>
                <w:rFonts w:ascii="Roboto;sans-serif" w:hAnsi="Roboto;sans-serif"/>
                <w:b w:val="false"/>
                <w:color w:val="000000"/>
                <w:sz w:val="18"/>
              </w:rPr>
              <w:t>General and administrative</w:t>
            </w:r>
            <w:r>
              <w:rPr>
                <w:rFonts w:ascii="Roboto;sans-serif" w:hAnsi="Roboto;sans-serif"/>
                <w:b w:val="false"/>
                <w:color w:val="000000"/>
                <w:sz w:val="12"/>
              </w:rPr>
              <w:t>(1)(2)</w:t>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151.4 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153.0 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402.2 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464.9 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3"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Roboto;sans-serif" w:hAnsi="Roboto;sans-serif"/>
                <w:b w:val="false"/>
                <w:color w:val="000000"/>
                <w:sz w:val="18"/>
              </w:rPr>
              <w:t>Research and development</w:t>
            </w:r>
            <w:r>
              <w:rPr>
                <w:rFonts w:ascii="Roboto;sans-serif" w:hAnsi="Roboto;sans-serif"/>
                <w:b w:val="false"/>
                <w:color w:val="000000"/>
                <w:sz w:val="12"/>
              </w:rPr>
              <w:t>(1)(2)</w:t>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59.6 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76.8 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178.4 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235.4 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3"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r>
      <w:tr>
        <w:trPr/>
        <w:tc>
          <w:tcPr>
            <w:tcW w:w="3653"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Roboto;sans-serif" w:hAnsi="Roboto;sans-serif"/>
                <w:b w:val="false"/>
                <w:color w:val="000000"/>
                <w:sz w:val="18"/>
              </w:rPr>
            </w:pPr>
            <w:r>
              <w:rPr>
                <w:rFonts w:ascii="Roboto;sans-serif" w:hAnsi="Roboto;sans-serif"/>
                <w:b w:val="false"/>
                <w:color w:val="000000"/>
                <w:sz w:val="18"/>
              </w:rPr>
              <w:t xml:space="preserve">Impairment expense </w:t>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30.7 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52.3 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46.7 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3"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Roboto;sans-serif" w:hAnsi="Roboto;sans-serif"/>
                <w:b w:val="false"/>
                <w:color w:val="000000"/>
                <w:sz w:val="18"/>
              </w:rPr>
              <w:t>Restructuring expense</w:t>
            </w:r>
            <w:r>
              <w:rPr>
                <w:rFonts w:ascii="Roboto;sans-serif" w:hAnsi="Roboto;sans-serif"/>
                <w:b w:val="false"/>
                <w:color w:val="000000"/>
                <w:sz w:val="12"/>
              </w:rPr>
              <w:t>(1)</w:t>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37.6 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68.8 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3"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Roboto;sans-serif" w:hAnsi="Roboto;sans-serif"/>
                <w:b w:val="false"/>
                <w:color w:val="000000"/>
                <w:sz w:val="18"/>
              </w:rPr>
            </w:pPr>
            <w:r>
              <w:rPr>
                <w:rFonts w:ascii="Roboto;sans-serif" w:hAnsi="Roboto;sans-serif"/>
                <w:b w:val="false"/>
                <w:color w:val="000000"/>
                <w:sz w:val="18"/>
              </w:rPr>
              <w:t>Supplier settlements</w:t>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(0.9)</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(2.4)</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Roboto;sans-serif" w:hAnsi="Roboto;sans-serif"/>
                <w:b w:val="false"/>
                <w:color w:val="000000"/>
                <w:sz w:val="18"/>
              </w:rPr>
              <w:t>Total operating expenses</w:t>
            </w:r>
          </w:p>
        </w:tc>
        <w:tc>
          <w:tcPr>
            <w:tcW w:w="11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350.5 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455.9 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1,006.0 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1,360.1 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 xml:space="preserve">Loss from operations </w:t>
            </w:r>
          </w:p>
        </w:tc>
        <w:tc>
          <w:tcPr>
            <w:tcW w:w="11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(32.4)</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(146.2)</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(65.8)</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(465.7)</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Other expense, net:</w:t>
            </w:r>
          </w:p>
        </w:tc>
        <w:tc>
          <w:tcPr>
            <w:tcW w:w="13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Roboto;sans-serif" w:hAnsi="Roboto;sans-serif"/>
                <w:b w:val="false"/>
                <w:color w:val="000000"/>
                <w:sz w:val="18"/>
              </w:rPr>
            </w:pPr>
            <w:r>
              <w:rPr>
                <w:rFonts w:ascii="Roboto;sans-serif" w:hAnsi="Roboto;sans-serif"/>
                <w:b w:val="false"/>
                <w:color w:val="000000"/>
                <w:sz w:val="18"/>
              </w:rPr>
              <w:t>Interest expense</w:t>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(32.6)</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(27.7)</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(102.6)</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(82.6)</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Roboto;sans-serif" w:hAnsi="Roboto;sans-serif"/>
                <w:b w:val="false"/>
                <w:color w:val="000000"/>
                <w:sz w:val="18"/>
              </w:rPr>
            </w:pPr>
            <w:r>
              <w:rPr>
                <w:rFonts w:ascii="Roboto;sans-serif" w:hAnsi="Roboto;sans-serif"/>
                <w:b w:val="false"/>
                <w:color w:val="000000"/>
                <w:sz w:val="18"/>
              </w:rPr>
              <w:t>Interest income</w:t>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26.2 </w:t>
            </w:r>
          </w:p>
        </w:tc>
        <w:tc>
          <w:tcPr>
            <w:tcW w:w="18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Foreign exchange gain (loss)</w:t>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(0.2)</w:t>
            </w:r>
          </w:p>
        </w:tc>
        <w:tc>
          <w:tcPr>
            <w:tcW w:w="18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 xml:space="preserve">Other (expense) income, net </w:t>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(0.1)</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0.5 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other expense, net</w:t>
            </w:r>
          </w:p>
        </w:tc>
        <w:tc>
          <w:tcPr>
            <w:tcW w:w="11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(14.5)</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(20.4)</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(72.3)</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(56.1)</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 xml:space="preserve">Loss before provision for income taxes </w:t>
            </w:r>
          </w:p>
        </w:tc>
        <w:tc>
          <w:tcPr>
            <w:tcW w:w="11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(46.9)</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(166.7)</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(138.2)</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(521.8)</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Income tax expense (benefit)</w:t>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0.8 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0.6 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(0.3)</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loss</w:t>
            </w:r>
          </w:p>
        </w:tc>
        <w:tc>
          <w:tcPr>
            <w:tcW w:w="2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(47.7)</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(167.3)</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(140.5)</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(521.4)</w:t>
            </w:r>
          </w:p>
        </w:tc>
        <w:tc>
          <w:tcPr>
            <w:tcW w:w="1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33350"/>
                <wp:effectExtent l="0" t="0" r="0" b="0"/>
                <wp:wrapNone/>
                <wp:docPr id="31" name="Frame31"/>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60"/>
        <w:jc w:val="both"/>
        <w:rPr>
          <w:rFonts w:ascii="Roboto;sans-serif" w:hAnsi="Roboto;sans-serif"/>
          <w:b w:val="false"/>
          <w:color w:val="000000"/>
          <w:sz w:val="18"/>
        </w:rPr>
      </w:pPr>
      <w:r>
        <w:rPr>
          <w:rFonts w:ascii="Roboto;sans-serif" w:hAnsi="Roboto;sans-serif"/>
          <w:b w:val="false"/>
          <w:color w:val="000000"/>
          <w:sz w:val="18"/>
        </w:rPr>
        <w:t>____________________</w:t>
      </w:r>
    </w:p>
    <w:p>
      <w:pPr>
        <w:pStyle w:val="TextBody"/>
        <w:bidi w:val="0"/>
        <w:spacing w:lineRule="auto" w:line="288" w:before="60" w:after="60"/>
        <w:jc w:val="left"/>
        <w:rPr>
          <w:rFonts w:ascii="Roboto;sans-serif" w:hAnsi="Roboto;sans-serif"/>
          <w:b w:val="false"/>
          <w:color w:val="000000"/>
          <w:sz w:val="14"/>
        </w:rPr>
      </w:pPr>
      <w:r>
        <w:rPr>
          <w:rFonts w:ascii="Roboto;sans-serif" w:hAnsi="Roboto;sans-serif"/>
          <w:b w:val="false"/>
          <w:color w:val="000000"/>
          <w:sz w:val="14"/>
        </w:rPr>
        <w:t>(1) Includes stock-based compensation expense as follows:</w:t>
      </w:r>
    </w:p>
    <w:tbl>
      <w:tblPr>
        <w:tblW w:w="10205" w:type="dxa"/>
        <w:jc w:val="left"/>
        <w:tblInd w:w="0" w:type="dxa"/>
        <w:tblLayout w:type="fixed"/>
        <w:tblCellMar>
          <w:top w:w="28" w:type="dxa"/>
          <w:left w:w="28" w:type="dxa"/>
          <w:bottom w:w="28" w:type="dxa"/>
          <w:right w:w="28" w:type="dxa"/>
        </w:tblCellMar>
      </w:tblPr>
      <w:tblGrid>
        <w:gridCol w:w="1360"/>
        <w:gridCol w:w="1129"/>
        <w:gridCol w:w="1139"/>
        <w:gridCol w:w="327"/>
        <w:gridCol w:w="848"/>
        <w:gridCol w:w="157"/>
        <w:gridCol w:w="157"/>
        <w:gridCol w:w="157"/>
        <w:gridCol w:w="157"/>
        <w:gridCol w:w="327"/>
        <w:gridCol w:w="848"/>
        <w:gridCol w:w="157"/>
        <w:gridCol w:w="109"/>
        <w:gridCol w:w="109"/>
        <w:gridCol w:w="109"/>
        <w:gridCol w:w="286"/>
        <w:gridCol w:w="895"/>
        <w:gridCol w:w="137"/>
        <w:gridCol w:w="137"/>
        <w:gridCol w:w="137"/>
        <w:gridCol w:w="137"/>
        <w:gridCol w:w="286"/>
        <w:gridCol w:w="895"/>
        <w:gridCol w:w="205"/>
      </w:tblGrid>
      <w:tr>
        <w:trPr/>
        <w:tc>
          <w:tcPr>
            <w:tcW w:w="1360"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362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Nine Months Ended March 31,</w:t>
            </w:r>
          </w:p>
        </w:tc>
      </w:tr>
      <w:tr>
        <w:trPr/>
        <w:tc>
          <w:tcPr>
            <w:tcW w:w="3628"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3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r>
      <w:tr>
        <w:trPr/>
        <w:tc>
          <w:tcPr>
            <w:tcW w:w="3628"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657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r>
      <w:tr>
        <w:trPr/>
        <w:tc>
          <w:tcPr>
            <w:tcW w:w="3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Cost of revenue</w:t>
            </w:r>
          </w:p>
        </w:tc>
        <w:tc>
          <w:tcPr>
            <w:tcW w:w="13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Connected Fitness Products</w:t>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7.6 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Subscription</w:t>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28.2 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29.6 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8"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3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r>
      <w:tr>
        <w:trPr/>
        <w:tc>
          <w:tcPr>
            <w:tcW w:w="3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cost of revenue</w:t>
            </w:r>
          </w:p>
        </w:tc>
        <w:tc>
          <w:tcPr>
            <w:tcW w:w="11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11.4 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12.6 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35.1 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37.2 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Sales and marketing</w:t>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12.6 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15.6 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General and administrative</w:t>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41.3 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34.1 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93.8 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101.6 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Research and development</w:t>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34.7 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45.3 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Restructuring expense</w:t>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8.9 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Roboto;sans-serif" w:hAnsi="Roboto;sans-serif"/>
                <w:b w:val="false"/>
                <w:color w:val="000000"/>
                <w:sz w:val="18"/>
              </w:rPr>
              <w:t>Total stock-based compensation expense</w:t>
            </w:r>
          </w:p>
        </w:tc>
        <w:tc>
          <w:tcPr>
            <w:tcW w:w="3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67.6 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67.9 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176.2 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208.6 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rFonts w:ascii="Roboto;sans-serif" w:hAnsi="Roboto;sans-serif"/>
          <w:b w:val="false"/>
          <w:color w:val="000000"/>
          <w:sz w:val="18"/>
        </w:rPr>
      </w:pPr>
      <w:r>
        <w:rPr>
          <w:rFonts w:ascii="Roboto;sans-serif" w:hAnsi="Roboto;sans-serif"/>
          <w:b w:val="false"/>
          <w:color w:val="000000"/>
          <w:sz w:val="18"/>
        </w:rPr>
        <w:t>____________________</w:t>
      </w:r>
    </w:p>
    <w:p>
      <w:pPr>
        <w:pStyle w:val="TextBody"/>
        <w:bidi w:val="0"/>
        <w:spacing w:lineRule="auto" w:line="288" w:before="60" w:after="60"/>
        <w:jc w:val="left"/>
        <w:rPr>
          <w:rFonts w:ascii="Roboto;sans-serif" w:hAnsi="Roboto;sans-serif"/>
          <w:b w:val="false"/>
          <w:color w:val="000000"/>
          <w:sz w:val="14"/>
        </w:rPr>
      </w:pPr>
      <w:r>
        <w:rPr>
          <w:rFonts w:ascii="Roboto;sans-serif" w:hAnsi="Roboto;sans-serif"/>
          <w:b w:val="false"/>
          <w:color w:val="000000"/>
          <w:sz w:val="14"/>
        </w:rPr>
        <w:t>(2) Includes depreciation and amortization expense as follows:</w:t>
      </w:r>
    </w:p>
    <w:tbl>
      <w:tblPr>
        <w:tblW w:w="10205" w:type="dxa"/>
        <w:jc w:val="left"/>
        <w:tblInd w:w="0" w:type="dxa"/>
        <w:tblLayout w:type="fixed"/>
        <w:tblCellMar>
          <w:top w:w="28" w:type="dxa"/>
          <w:left w:w="28" w:type="dxa"/>
          <w:bottom w:w="28" w:type="dxa"/>
          <w:right w:w="28" w:type="dxa"/>
        </w:tblCellMar>
      </w:tblPr>
      <w:tblGrid>
        <w:gridCol w:w="1423"/>
        <w:gridCol w:w="1162"/>
        <w:gridCol w:w="1172"/>
        <w:gridCol w:w="321"/>
        <w:gridCol w:w="834"/>
        <w:gridCol w:w="155"/>
        <w:gridCol w:w="155"/>
        <w:gridCol w:w="155"/>
        <w:gridCol w:w="155"/>
        <w:gridCol w:w="321"/>
        <w:gridCol w:w="834"/>
        <w:gridCol w:w="155"/>
        <w:gridCol w:w="109"/>
        <w:gridCol w:w="109"/>
        <w:gridCol w:w="109"/>
        <w:gridCol w:w="309"/>
        <w:gridCol w:w="802"/>
        <w:gridCol w:w="149"/>
        <w:gridCol w:w="149"/>
        <w:gridCol w:w="149"/>
        <w:gridCol w:w="149"/>
        <w:gridCol w:w="309"/>
        <w:gridCol w:w="802"/>
        <w:gridCol w:w="218"/>
      </w:tblGrid>
      <w:tr>
        <w:trPr/>
        <w:tc>
          <w:tcPr>
            <w:tcW w:w="1423"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375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Nine Months Ended March 31,</w:t>
            </w:r>
          </w:p>
        </w:tc>
      </w:tr>
      <w:tr>
        <w:trPr/>
        <w:tc>
          <w:tcPr>
            <w:tcW w:w="375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r>
      <w:tr>
        <w:trPr/>
        <w:tc>
          <w:tcPr>
            <w:tcW w:w="375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644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r>
      <w:tr>
        <w:trPr/>
        <w:tc>
          <w:tcPr>
            <w:tcW w:w="3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Cost of revenue</w:t>
            </w:r>
          </w:p>
        </w:tc>
        <w:tc>
          <w:tcPr>
            <w:tcW w:w="13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Connected Fitness Products</w:t>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12.1 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Subscription</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22.4 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26.5 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cost of revenue</w:t>
            </w:r>
          </w:p>
        </w:tc>
        <w:tc>
          <w:tcPr>
            <w:tcW w:w="11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34.3 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38.6 </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Sales and marketing</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13.6 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18.1 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General and administrative</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13.5 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18.1 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Research and development</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7.4 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8.2 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7"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r>
      <w:tr>
        <w:trPr/>
        <w:tc>
          <w:tcPr>
            <w:tcW w:w="3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Roboto;sans-serif" w:hAnsi="Roboto;sans-serif"/>
                <w:b w:val="false"/>
                <w:color w:val="000000"/>
                <w:sz w:val="18"/>
              </w:rPr>
              <w:t>Total depreciation and amortization expense</w:t>
            </w:r>
          </w:p>
        </w:tc>
        <w:tc>
          <w:tcPr>
            <w:tcW w:w="3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21.2 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27.1 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68.8 </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83.0 </w:t>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center"/>
        <w:rPr>
          <w:rFonts w:ascii="Roboto;sans-serif" w:hAnsi="Roboto;sans-serif"/>
          <w:b/>
          <w:color w:val="000000"/>
          <w:sz w:val="18"/>
        </w:rPr>
      </w:pPr>
      <w:r>
        <w:rPr>
          <w:rFonts w:ascii="Roboto;sans-serif" w:hAnsi="Roboto;sans-serif"/>
          <w:b/>
          <w:color w:val="000000"/>
          <w:sz w:val="18"/>
        </w:rPr>
        <w:t>Comparison of the Three and Nine Months Ended March 31, 2025 and 2024</w:t>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Revenue</w:t>
      </w:r>
    </w:p>
    <w:tbl>
      <w:tblPr>
        <w:tblW w:w="10365" w:type="dxa"/>
        <w:jc w:val="center"/>
        <w:tblInd w:w="0" w:type="dxa"/>
        <w:tblLayout w:type="fixed"/>
        <w:tblCellMar>
          <w:top w:w="28" w:type="dxa"/>
          <w:left w:w="28" w:type="dxa"/>
          <w:bottom w:w="28" w:type="dxa"/>
          <w:right w:w="28" w:type="dxa"/>
        </w:tblCellMar>
      </w:tblPr>
      <w:tblGrid>
        <w:gridCol w:w="561"/>
        <w:gridCol w:w="349"/>
        <w:gridCol w:w="351"/>
        <w:gridCol w:w="226"/>
        <w:gridCol w:w="706"/>
        <w:gridCol w:w="271"/>
        <w:gridCol w:w="109"/>
        <w:gridCol w:w="109"/>
        <w:gridCol w:w="109"/>
        <w:gridCol w:w="226"/>
        <w:gridCol w:w="706"/>
        <w:gridCol w:w="271"/>
        <w:gridCol w:w="109"/>
        <w:gridCol w:w="109"/>
        <w:gridCol w:w="109"/>
        <w:gridCol w:w="375"/>
        <w:gridCol w:w="375"/>
        <w:gridCol w:w="376"/>
        <w:gridCol w:w="109"/>
        <w:gridCol w:w="109"/>
        <w:gridCol w:w="109"/>
        <w:gridCol w:w="226"/>
        <w:gridCol w:w="886"/>
        <w:gridCol w:w="271"/>
        <w:gridCol w:w="109"/>
        <w:gridCol w:w="109"/>
        <w:gridCol w:w="109"/>
        <w:gridCol w:w="226"/>
        <w:gridCol w:w="886"/>
        <w:gridCol w:w="271"/>
        <w:gridCol w:w="109"/>
        <w:gridCol w:w="109"/>
        <w:gridCol w:w="109"/>
        <w:gridCol w:w="343"/>
        <w:gridCol w:w="343"/>
        <w:gridCol w:w="485"/>
      </w:tblGrid>
      <w:tr>
        <w:trPr/>
        <w:tc>
          <w:tcPr>
            <w:tcW w:w="561"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March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Nine Months Ended March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 Change</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3" w:type="dxa"/>
            <w:gridSpan w:val="30"/>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(dollars in millions)</w:t>
            </w:r>
          </w:p>
        </w:tc>
        <w:tc>
          <w:tcPr>
            <w:tcW w:w="11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Revenue:</w:t>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Connected Fitness Products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205.5 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279.9 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(26.6)%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618.5 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779.6 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(20.7)%</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Subscription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418.5 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437.8 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1,265.4 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1,277.3 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(0.9)</w:t>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revenue</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624.0 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717.7 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(13.1)%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1,883.9 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2,056.9 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(8.4)%</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Percentage of revenue</w:t>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Connected Fitness Products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32.9 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39.0 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32.8 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37.9 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Subscription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67.1 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61.0 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67.2 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62.1 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w:t>
            </w:r>
          </w:p>
        </w:tc>
        <w:tc>
          <w:tcPr>
            <w:tcW w:w="93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100.0 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100.0 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100.0 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100.0 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417" w:before="0" w:after="0"/>
        <w:jc w:val="both"/>
        <w:rPr>
          <w:rFonts w:ascii="Roboto;sans-serif" w:hAnsi="Roboto;sans-serif"/>
          <w:b w:val="false"/>
          <w:i/>
          <w:color w:val="000000"/>
          <w:sz w:val="18"/>
        </w:rPr>
      </w:pPr>
      <w:r>
        <w:rPr>
          <w:rFonts w:ascii="Roboto;sans-serif" w:hAnsi="Roboto;sans-serif"/>
          <w:b w:val="false"/>
          <w:i/>
          <w:color w:val="000000"/>
          <w:sz w:val="18"/>
        </w:rPr>
        <w:t>Three and Nine Months Ended March 31, 2025 and 2024</w:t>
      </w:r>
    </w:p>
    <w:p>
      <w:pPr>
        <w:pStyle w:val="TextBody"/>
        <w:bidi w:val="0"/>
        <w:spacing w:lineRule="auto" w:line="288" w:before="0" w:after="0"/>
        <w:jc w:val="both"/>
        <w:rPr/>
      </w:pPr>
      <w:r>
        <w:rPr>
          <w:rFonts w:ascii="Roboto;sans-serif" w:hAnsi="Roboto;sans-serif"/>
          <w:b w:val="false"/>
          <w:color w:val="000000"/>
          <w:sz w:val="18"/>
        </w:rPr>
        <w:t>Connected Fitness Products Revenue decreased $74.4 million and $161.1 million</w:t>
      </w:r>
      <w:r>
        <w:rPr>
          <w:color w:val="000000"/>
        </w:rPr>
        <w:t xml:space="preserve"> </w:t>
      </w:r>
      <w:r>
        <w:rPr>
          <w:rFonts w:ascii="Roboto;sans-serif" w:hAnsi="Roboto;sans-serif"/>
          <w:b w:val="false"/>
          <w:color w:val="000000"/>
          <w:sz w:val="18"/>
        </w:rPr>
        <w:t xml:space="preserve">for the three and nine months ended March 31, 2025, respectively, compared to the three and nine months ended March 31, 2024. These decreases were primarily attributable to fewer Connected Fitness product deliveries driven by lower demand during the three and nine months ended March 31, 2025 when compared to the three and nine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33350"/>
                <wp:effectExtent l="0" t="0" r="0" b="0"/>
                <wp:wrapNone/>
                <wp:docPr id="32" name="Frame32"/>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months ended March 31, 2024. The decrease for the nine months ended March 31, 2025 was partially offset by more Tread+ deliveries and improvements in Precor revenue during the nine months ended March 31, 2025.</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Subscription Revenue decreased $19.3 million for the three months ended March 31, 2025 compared to the three months ended March 31, 2024, primarily due to decreases in Paid Connected Fitness and App Subscriptions. The decrease was partially offset by an increase in Used Equipment Activation Fee revenue, which was introduced during the first quarter of fiscal 2025.</w:t>
      </w:r>
    </w:p>
    <w:p>
      <w:pPr>
        <w:pStyle w:val="TextBody"/>
        <w:bidi w:val="0"/>
        <w:spacing w:before="0" w:after="0"/>
        <w:jc w:val="both"/>
        <w:rPr/>
      </w:pPr>
      <w:r>
        <w:rPr/>
      </w:r>
    </w:p>
    <w:p>
      <w:pPr>
        <w:pStyle w:val="TextBody"/>
        <w:bidi w:val="0"/>
        <w:spacing w:lineRule="auto" w:line="288" w:before="0" w:after="0"/>
        <w:jc w:val="both"/>
        <w:rPr/>
      </w:pPr>
      <w:r>
        <w:rPr>
          <w:rFonts w:ascii="Roboto;sans-serif" w:hAnsi="Roboto;sans-serif"/>
          <w:b w:val="false"/>
          <w:color w:val="000000"/>
          <w:sz w:val="18"/>
        </w:rPr>
        <w:t>Subscription Revenue decreased $11.8 million</w:t>
      </w:r>
      <w:r>
        <w:rPr>
          <w:color w:val="000000"/>
        </w:rPr>
        <w:t xml:space="preserve"> </w:t>
      </w:r>
      <w:r>
        <w:rPr>
          <w:rFonts w:ascii="Roboto;sans-serif" w:hAnsi="Roboto;sans-serif"/>
          <w:b w:val="false"/>
          <w:color w:val="000000"/>
          <w:sz w:val="18"/>
        </w:rPr>
        <w:t>for the nine months ended March 31, 2025 compared to the nine months ended March 31, 2024, primarily due to decreases in Paid Connected Fitness and App Subscriptions. This decrease was partially offset by an increase in content licensing revenue and incremental Used Equipment Activation Fee revenue, which was introduced during the first quarter of fiscal 2025.</w:t>
      </w:r>
    </w:p>
    <w:p>
      <w:pPr>
        <w:pStyle w:val="TextBody"/>
        <w:bidi w:val="0"/>
        <w:spacing w:before="0" w:after="0"/>
        <w:jc w:val="both"/>
        <w:rPr/>
      </w:pPr>
      <w:r>
        <w:rPr/>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Cost of Revenue, Gross Profit, and Gross Margin</w:t>
      </w:r>
    </w:p>
    <w:tbl>
      <w:tblPr>
        <w:tblW w:w="10205" w:type="dxa"/>
        <w:jc w:val="left"/>
        <w:tblInd w:w="0" w:type="dxa"/>
        <w:tblLayout w:type="fixed"/>
        <w:tblCellMar>
          <w:top w:w="28" w:type="dxa"/>
          <w:left w:w="28" w:type="dxa"/>
          <w:bottom w:w="28" w:type="dxa"/>
          <w:right w:w="28" w:type="dxa"/>
        </w:tblCellMar>
      </w:tblPr>
      <w:tblGrid>
        <w:gridCol w:w="717"/>
        <w:gridCol w:w="277"/>
        <w:gridCol w:w="279"/>
        <w:gridCol w:w="226"/>
        <w:gridCol w:w="707"/>
        <w:gridCol w:w="271"/>
        <w:gridCol w:w="109"/>
        <w:gridCol w:w="109"/>
        <w:gridCol w:w="109"/>
        <w:gridCol w:w="226"/>
        <w:gridCol w:w="707"/>
        <w:gridCol w:w="271"/>
        <w:gridCol w:w="109"/>
        <w:gridCol w:w="109"/>
        <w:gridCol w:w="109"/>
        <w:gridCol w:w="375"/>
        <w:gridCol w:w="375"/>
        <w:gridCol w:w="376"/>
        <w:gridCol w:w="109"/>
        <w:gridCol w:w="109"/>
        <w:gridCol w:w="109"/>
        <w:gridCol w:w="226"/>
        <w:gridCol w:w="706"/>
        <w:gridCol w:w="271"/>
        <w:gridCol w:w="109"/>
        <w:gridCol w:w="109"/>
        <w:gridCol w:w="109"/>
        <w:gridCol w:w="226"/>
        <w:gridCol w:w="886"/>
        <w:gridCol w:w="271"/>
        <w:gridCol w:w="109"/>
        <w:gridCol w:w="109"/>
        <w:gridCol w:w="109"/>
        <w:gridCol w:w="343"/>
        <w:gridCol w:w="343"/>
        <w:gridCol w:w="491"/>
      </w:tblGrid>
      <w:tr>
        <w:trPr/>
        <w:tc>
          <w:tcPr>
            <w:tcW w:w="71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27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March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Nine Months Ended March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3"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 Change</w:t>
            </w:r>
          </w:p>
        </w:tc>
      </w:tr>
      <w:tr>
        <w:trPr/>
        <w:tc>
          <w:tcPr>
            <w:tcW w:w="12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5" w:type="dxa"/>
            <w:gridSpan w:val="30"/>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(dollars in millions)</w:t>
            </w:r>
          </w:p>
        </w:tc>
        <w:tc>
          <w:tcPr>
            <w:tcW w:w="11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Cost of revenue:</w:t>
            </w:r>
          </w:p>
        </w:tc>
        <w:tc>
          <w:tcPr>
            <w:tcW w:w="1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r>
      <w:tr>
        <w:trPr/>
        <w:tc>
          <w:tcPr>
            <w:tcW w:w="12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Connected Fitness Products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176.2 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268.3 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(34.3)%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541.7 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748.5 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(27.6)%</w:t>
            </w:r>
          </w:p>
        </w:tc>
      </w:tr>
      <w:tr>
        <w:trPr/>
        <w:tc>
          <w:tcPr>
            <w:tcW w:w="12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Subscription</w:t>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129.8 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139.8 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402.0 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414.0 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(2.9)</w:t>
            </w:r>
          </w:p>
        </w:tc>
      </w:tr>
      <w:tr>
        <w:trPr/>
        <w:tc>
          <w:tcPr>
            <w:tcW w:w="1273"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r>
        <w:trPr/>
        <w:tc>
          <w:tcPr>
            <w:tcW w:w="12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cost of revenue</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306.0 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408.0 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(25.0)%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943.7 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1,162.4 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(18.8)%</w:t>
            </w:r>
          </w:p>
        </w:tc>
      </w:tr>
      <w:tr>
        <w:trPr/>
        <w:tc>
          <w:tcPr>
            <w:tcW w:w="12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Gross Profit:</w:t>
            </w:r>
          </w:p>
        </w:tc>
        <w:tc>
          <w:tcPr>
            <w:tcW w:w="12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Connected Fitness Products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29.3 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151.6%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76.8 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31.1 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146.4%</w:t>
            </w:r>
          </w:p>
        </w:tc>
      </w:tr>
      <w:tr>
        <w:trPr/>
        <w:tc>
          <w:tcPr>
            <w:tcW w:w="12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Subscription</w:t>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288.8 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298.1 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863.4 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863.3 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273"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r>
        <w:trPr/>
        <w:tc>
          <w:tcPr>
            <w:tcW w:w="12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 Gross profit</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318.1 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309.7 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940.2 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894.5 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5.1%</w:t>
            </w:r>
          </w:p>
        </w:tc>
      </w:tr>
      <w:tr>
        <w:trPr/>
        <w:tc>
          <w:tcPr>
            <w:tcW w:w="12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Gross Margin:</w:t>
            </w:r>
          </w:p>
        </w:tc>
        <w:tc>
          <w:tcPr>
            <w:tcW w:w="12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r>
      <w:tr>
        <w:trPr/>
        <w:tc>
          <w:tcPr>
            <w:tcW w:w="12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Connected Fitness Products</w:t>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r>
        <w:trPr/>
        <w:tc>
          <w:tcPr>
            <w:tcW w:w="12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Subscription</w:t>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69.0 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68.1 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68.2 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67.6 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r>
      <w:tr>
        <w:trPr/>
        <w:tc>
          <w:tcPr>
            <w:tcW w:w="1273"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both"/>
        <w:rPr/>
      </w:pPr>
      <w:r>
        <w:rPr/>
      </w:r>
    </w:p>
    <w:p>
      <w:pPr>
        <w:pStyle w:val="TextBody"/>
        <w:bidi w:val="0"/>
        <w:spacing w:lineRule="auto" w:line="417" w:before="0" w:after="0"/>
        <w:jc w:val="both"/>
        <w:rPr>
          <w:rFonts w:ascii="Roboto;sans-serif" w:hAnsi="Roboto;sans-serif"/>
          <w:b w:val="false"/>
          <w:i/>
          <w:color w:val="000000"/>
          <w:sz w:val="18"/>
        </w:rPr>
      </w:pPr>
      <w:r>
        <w:rPr>
          <w:rFonts w:ascii="Roboto;sans-serif" w:hAnsi="Roboto;sans-serif"/>
          <w:b w:val="false"/>
          <w:i/>
          <w:color w:val="000000"/>
          <w:sz w:val="18"/>
        </w:rPr>
        <w:t>Three Months Ended March 31, 2025 and 2024</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Connected Fitness Products Cost of revenue decreased $92.1 million, or 34.3%, during the three months ended March 31, 2025 compared to the three months ended March 31, 2024. This decrease was primarily driven by fewer deliveries across all Connected Fitness product categories, resulting from lower demand during the three months ended March 31, 2025 compared to the three months ended March 31, 2024, as well as lower freight and warehousing costs and lower inventory write-downs.</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Our Connected Fitness Products Gross Margin increased to 14.3% for the three months ended March 31, 2025 compared to 4.2% for the three months ended March 31, 2024. This increase was primarily driven by lower inventory write-downs, a mix shift towards higher margin products, and lower warehousing and transportation costs during the three months ended March 31, 2025 when compared to the three months ended March 31, 2024. These improvements were partially offset by changes in our warranty reserves.</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Subscription Cost of revenue decreased $10.0 million, or 7.1% for the three months ended March 31, 2025 compared to the three months ended March 31, 2024, primarily due to lower costs associated with music royalties, platform streaming, and content production.</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Subscription Gross Margin remained mostly consistent for the three months ended March 31, 2025 compared to the three months ended March 31, 2024. </w:t>
      </w:r>
    </w:p>
    <w:p>
      <w:pPr>
        <w:pStyle w:val="TextBody"/>
        <w:bidi w:val="0"/>
        <w:spacing w:before="0" w:after="0"/>
        <w:jc w:val="both"/>
        <w:rPr/>
      </w:pPr>
      <w:r>
        <w:rPr/>
      </w:r>
    </w:p>
    <w:p>
      <w:pPr>
        <w:pStyle w:val="TextBody"/>
        <w:bidi w:val="0"/>
        <w:spacing w:lineRule="auto" w:line="417" w:before="0" w:after="0"/>
        <w:jc w:val="both"/>
        <w:rPr>
          <w:rFonts w:ascii="Roboto;sans-serif" w:hAnsi="Roboto;sans-serif"/>
          <w:b w:val="false"/>
          <w:i/>
          <w:color w:val="000000"/>
          <w:sz w:val="18"/>
        </w:rPr>
      </w:pPr>
      <w:r>
        <w:rPr>
          <w:rFonts w:ascii="Roboto;sans-serif" w:hAnsi="Roboto;sans-serif"/>
          <w:b w:val="false"/>
          <w:i/>
          <w:color w:val="000000"/>
          <w:sz w:val="18"/>
        </w:rPr>
        <w:t>Nine Months Ended March 31, 2025 and 2024</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Connected Fitness Products Cost of revenue for the nine months ended March 31, 2025 decreased $206.7 million, or 27.6%, compared to the nine months ended March 31, 2024. This decrease was primarily driven by fewer Connected Fitness product deliveries, resulting from lower demand during the nine months ended March 31, 2025 compared to the nine months ended March 31, 2024, as well as lower freight and warehousing costs. The decrease was partially offset by increased Tread+ deliveries during the nine months ended March 31, 2025, which resumed during the third quarter of fiscal 2024.</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Our Connected Fitness Products Gross Margin increased to 12.4% for the nine months ended March 31, 2025 compared to 4.0% for the nine months ended March 31, 2024. This increase was primarily driven a mix shift towards higher margin products, as well as lower inventory write-downs and lower warehousing and transportation costs during the nine months ended March 31, 2025 when compared to the nine months ended March 31, 2024. These improvements were partially offset by changes in our warranty reserves.</w:t>
      </w:r>
    </w:p>
    <w:p>
      <w:pPr>
        <w:pStyle w:val="TextBody"/>
        <w:bidi w:val="0"/>
        <w:spacing w:before="0" w:after="0"/>
        <w:jc w:val="both"/>
        <w:rPr/>
      </w:pPr>
      <w:r>
        <w:rPr/>
      </w:r>
    </w:p>
    <w:p>
      <w:pPr>
        <w:pStyle w:val="TextBody"/>
        <w:bidi w:val="0"/>
        <w:spacing w:lineRule="auto" w:line="288" w:before="0" w:after="0"/>
        <w:jc w:val="both"/>
        <w:rPr/>
      </w:pPr>
      <w:r>
        <w:rPr>
          <w:rFonts w:ascii="Roboto;sans-serif" w:hAnsi="Roboto;sans-serif"/>
          <w:b w:val="false"/>
          <w:color w:val="000000"/>
          <w:sz w:val="18"/>
        </w:rPr>
        <w:t>Subscription Cost of revenue decreased $12.0 million</w:t>
      </w:r>
      <w:r>
        <w:rPr>
          <w:rFonts w:ascii="Times New Roman;sans-serif" w:hAnsi="Times New Roman;sans-serif"/>
          <w:b w:val="false"/>
          <w:color w:val="000000"/>
          <w:sz w:val="20"/>
        </w:rPr>
        <w:t xml:space="preserve">, </w:t>
      </w:r>
      <w:r>
        <w:rPr>
          <w:rFonts w:ascii="Roboto;sans-serif" w:hAnsi="Roboto;sans-serif"/>
          <w:b w:val="false"/>
          <w:color w:val="000000"/>
          <w:sz w:val="18"/>
        </w:rPr>
        <w:t>or</w:t>
      </w:r>
      <w:r>
        <w:rPr>
          <w:color w:val="000000"/>
        </w:rPr>
        <w:t xml:space="preserve"> </w:t>
      </w:r>
      <w:r>
        <w:rPr>
          <w:rFonts w:ascii="Roboto;sans-serif" w:hAnsi="Roboto;sans-serif"/>
          <w:b w:val="false"/>
          <w:color w:val="000000"/>
          <w:sz w:val="18"/>
        </w:rPr>
        <w:t>2.9%</w:t>
      </w:r>
      <w:r>
        <w:rPr>
          <w:color w:val="000000"/>
        </w:rPr>
        <w:t xml:space="preserve"> </w:t>
      </w:r>
      <w:r>
        <w:rPr>
          <w:rFonts w:ascii="Roboto;sans-serif" w:hAnsi="Roboto;sans-serif"/>
          <w:b w:val="false"/>
          <w:color w:val="000000"/>
          <w:sz w:val="18"/>
        </w:rPr>
        <w:t xml:space="preserve">during the nine months ended March 31, 2025 compared to the nine months ended March 31, 2024, primarily attributable to lower costs associated with content production and music royalties, a reduction in depreciation and amortization expense, and lower personnel-related expenses, inclusive of stock-based compensation expense, due to decreased average headcount.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33350"/>
                <wp:effectExtent l="0" t="0" r="0" b="0"/>
                <wp:wrapNone/>
                <wp:docPr id="33" name="Frame33"/>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33</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Subscription Gross Margin remained consistent for the nine months ended March 31, 2025 compared to the nine months ended March 31, 2024.</w:t>
      </w:r>
    </w:p>
    <w:p>
      <w:pPr>
        <w:pStyle w:val="TextBody"/>
        <w:bidi w:val="0"/>
        <w:spacing w:before="0" w:after="0"/>
        <w:jc w:val="both"/>
        <w:rPr/>
      </w:pPr>
      <w:r>
        <w:rPr/>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Operating Expenses</w:t>
      </w:r>
    </w:p>
    <w:p>
      <w:pPr>
        <w:pStyle w:val="TextBody"/>
        <w:bidi w:val="0"/>
        <w:spacing w:lineRule="auto" w:line="417" w:before="0" w:after="0"/>
        <w:jc w:val="both"/>
        <w:rPr>
          <w:rFonts w:ascii="Roboto;sans-serif" w:hAnsi="Roboto;sans-serif"/>
          <w:b w:val="false"/>
          <w:i/>
          <w:color w:val="000000"/>
          <w:sz w:val="18"/>
        </w:rPr>
      </w:pPr>
      <w:r>
        <w:rPr>
          <w:rFonts w:ascii="Roboto;sans-serif" w:hAnsi="Roboto;sans-serif"/>
          <w:b w:val="false"/>
          <w:i/>
          <w:color w:val="000000"/>
          <w:sz w:val="18"/>
        </w:rPr>
        <w:t>Sales and Marketing</w:t>
      </w:r>
    </w:p>
    <w:tbl>
      <w:tblPr>
        <w:tblW w:w="10205" w:type="dxa"/>
        <w:jc w:val="left"/>
        <w:tblInd w:w="0" w:type="dxa"/>
        <w:tblLayout w:type="fixed"/>
        <w:tblCellMar>
          <w:top w:w="28" w:type="dxa"/>
          <w:left w:w="28" w:type="dxa"/>
          <w:bottom w:w="28" w:type="dxa"/>
          <w:right w:w="28" w:type="dxa"/>
        </w:tblCellMar>
      </w:tblPr>
      <w:tblGrid>
        <w:gridCol w:w="552"/>
        <w:gridCol w:w="401"/>
        <w:gridCol w:w="404"/>
        <w:gridCol w:w="230"/>
        <w:gridCol w:w="720"/>
        <w:gridCol w:w="276"/>
        <w:gridCol w:w="111"/>
        <w:gridCol w:w="111"/>
        <w:gridCol w:w="111"/>
        <w:gridCol w:w="230"/>
        <w:gridCol w:w="720"/>
        <w:gridCol w:w="276"/>
        <w:gridCol w:w="109"/>
        <w:gridCol w:w="109"/>
        <w:gridCol w:w="109"/>
        <w:gridCol w:w="375"/>
        <w:gridCol w:w="375"/>
        <w:gridCol w:w="376"/>
        <w:gridCol w:w="109"/>
        <w:gridCol w:w="109"/>
        <w:gridCol w:w="109"/>
        <w:gridCol w:w="229"/>
        <w:gridCol w:w="717"/>
        <w:gridCol w:w="275"/>
        <w:gridCol w:w="110"/>
        <w:gridCol w:w="110"/>
        <w:gridCol w:w="110"/>
        <w:gridCol w:w="229"/>
        <w:gridCol w:w="717"/>
        <w:gridCol w:w="275"/>
        <w:gridCol w:w="109"/>
        <w:gridCol w:w="109"/>
        <w:gridCol w:w="109"/>
        <w:gridCol w:w="343"/>
        <w:gridCol w:w="343"/>
        <w:gridCol w:w="498"/>
      </w:tblGrid>
      <w:tr>
        <w:trPr/>
        <w:tc>
          <w:tcPr>
            <w:tcW w:w="552"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r>
      <w:tr>
        <w:trPr/>
        <w:tc>
          <w:tcPr>
            <w:tcW w:w="135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March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Nine Months Ended March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 Change</w:t>
            </w:r>
          </w:p>
        </w:tc>
      </w:tr>
      <w:tr>
        <w:trPr/>
        <w:tc>
          <w:tcPr>
            <w:tcW w:w="135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664" w:type="dxa"/>
            <w:gridSpan w:val="30"/>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(dollars in millions)</w:t>
            </w:r>
          </w:p>
        </w:tc>
        <w:tc>
          <w:tcPr>
            <w:tcW w:w="11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Sales and marketing</w:t>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106.5 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170.3 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(37.5)%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341.1 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546.7 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(37.6)%</w:t>
            </w:r>
          </w:p>
        </w:tc>
      </w:tr>
      <w:tr>
        <w:trPr/>
        <w:tc>
          <w:tcPr>
            <w:tcW w:w="1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i/>
                <w:color w:val="000000"/>
                <w:sz w:val="18"/>
              </w:rPr>
            </w:pPr>
            <w:r>
              <w:rPr>
                <w:rFonts w:ascii="Roboto;sans-serif" w:hAnsi="Roboto;sans-serif"/>
                <w:b w:val="false"/>
                <w:i/>
                <w:color w:val="000000"/>
                <w:sz w:val="18"/>
              </w:rPr>
              <w:t>As a percentage of total revenue</w:t>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17.1 </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23.7 </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18.1 </w:t>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26.6 </w:t>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p>
      <w:pPr>
        <w:pStyle w:val="TextBody"/>
        <w:bidi w:val="0"/>
        <w:spacing w:lineRule="auto" w:line="417" w:before="0" w:after="0"/>
        <w:jc w:val="both"/>
        <w:rPr>
          <w:rFonts w:ascii="Roboto;sans-serif" w:hAnsi="Roboto;sans-serif"/>
          <w:b w:val="false"/>
          <w:i/>
          <w:color w:val="000000"/>
          <w:sz w:val="18"/>
        </w:rPr>
      </w:pPr>
      <w:r>
        <w:rPr>
          <w:rFonts w:ascii="Roboto;sans-serif" w:hAnsi="Roboto;sans-serif"/>
          <w:b w:val="false"/>
          <w:i/>
          <w:color w:val="000000"/>
          <w:sz w:val="18"/>
        </w:rPr>
        <w:t>Three and Nine Months Ended March 31, 2025 and 2024</w:t>
      </w:r>
    </w:p>
    <w:p>
      <w:pPr>
        <w:pStyle w:val="TextBody"/>
        <w:bidi w:val="0"/>
        <w:spacing w:lineRule="auto" w:line="288" w:before="0" w:after="0"/>
        <w:jc w:val="both"/>
        <w:rPr/>
      </w:pPr>
      <w:r>
        <w:rPr>
          <w:rFonts w:ascii="Roboto;sans-serif" w:hAnsi="Roboto;sans-serif"/>
          <w:b w:val="false"/>
          <w:color w:val="000000"/>
          <w:sz w:val="18"/>
        </w:rPr>
        <w:t>Sales and marketing expense decreased $63.8 million and $205.6 million for the three and nine months ended March 31, 2025, respectively, compared to the three and nine months ended March 31, 2024, primarily driven by decreases of $51.8 million and $167.9 million</w:t>
      </w:r>
      <w:r>
        <w:rPr>
          <w:color w:val="000000"/>
        </w:rPr>
        <w:t xml:space="preserve"> </w:t>
      </w:r>
      <w:r>
        <w:rPr>
          <w:rFonts w:ascii="Roboto;sans-serif" w:hAnsi="Roboto;sans-serif"/>
          <w:b w:val="false"/>
          <w:color w:val="000000"/>
          <w:sz w:val="18"/>
        </w:rPr>
        <w:t>in acquisition, brand, and creative marketing spend for the three and nine months ended March 31, 2025, respectively, and decreases of $3.8 million and $14.1 million in personnel-related expenses, inclusive of stock-based compensation expense, mainly due to decreased average headcount, for the three and nine months ended March 31, 2025, respectively.</w:t>
      </w:r>
    </w:p>
    <w:p>
      <w:pPr>
        <w:pStyle w:val="TextBody"/>
        <w:bidi w:val="0"/>
        <w:spacing w:before="0" w:after="0"/>
        <w:jc w:val="both"/>
        <w:rPr/>
      </w:pPr>
      <w:r>
        <w:rPr/>
      </w:r>
    </w:p>
    <w:p>
      <w:pPr>
        <w:pStyle w:val="TextBody"/>
        <w:bidi w:val="0"/>
        <w:spacing w:lineRule="auto" w:line="417" w:before="0" w:after="0"/>
        <w:jc w:val="left"/>
        <w:rPr>
          <w:rFonts w:ascii="Roboto;sans-serif" w:hAnsi="Roboto;sans-serif"/>
          <w:b w:val="false"/>
          <w:i/>
          <w:color w:val="000000"/>
          <w:sz w:val="18"/>
        </w:rPr>
      </w:pPr>
      <w:r>
        <w:rPr>
          <w:rFonts w:ascii="Roboto;sans-serif" w:hAnsi="Roboto;sans-serif"/>
          <w:b w:val="false"/>
          <w:i/>
          <w:color w:val="000000"/>
          <w:sz w:val="18"/>
        </w:rPr>
        <w:t>General and Administrative</w:t>
      </w:r>
    </w:p>
    <w:tbl>
      <w:tblPr>
        <w:tblW w:w="10205" w:type="dxa"/>
        <w:jc w:val="left"/>
        <w:tblInd w:w="0" w:type="dxa"/>
        <w:tblLayout w:type="fixed"/>
        <w:tblCellMar>
          <w:top w:w="28" w:type="dxa"/>
          <w:left w:w="28" w:type="dxa"/>
          <w:bottom w:w="28" w:type="dxa"/>
          <w:right w:w="28" w:type="dxa"/>
        </w:tblCellMar>
      </w:tblPr>
      <w:tblGrid>
        <w:gridCol w:w="522"/>
        <w:gridCol w:w="459"/>
        <w:gridCol w:w="461"/>
        <w:gridCol w:w="226"/>
        <w:gridCol w:w="708"/>
        <w:gridCol w:w="272"/>
        <w:gridCol w:w="109"/>
        <w:gridCol w:w="109"/>
        <w:gridCol w:w="109"/>
        <w:gridCol w:w="226"/>
        <w:gridCol w:w="708"/>
        <w:gridCol w:w="272"/>
        <w:gridCol w:w="109"/>
        <w:gridCol w:w="109"/>
        <w:gridCol w:w="109"/>
        <w:gridCol w:w="375"/>
        <w:gridCol w:w="375"/>
        <w:gridCol w:w="376"/>
        <w:gridCol w:w="109"/>
        <w:gridCol w:w="109"/>
        <w:gridCol w:w="109"/>
        <w:gridCol w:w="226"/>
        <w:gridCol w:w="708"/>
        <w:gridCol w:w="271"/>
        <w:gridCol w:w="109"/>
        <w:gridCol w:w="109"/>
        <w:gridCol w:w="109"/>
        <w:gridCol w:w="226"/>
        <w:gridCol w:w="708"/>
        <w:gridCol w:w="271"/>
        <w:gridCol w:w="109"/>
        <w:gridCol w:w="109"/>
        <w:gridCol w:w="109"/>
        <w:gridCol w:w="343"/>
        <w:gridCol w:w="343"/>
        <w:gridCol w:w="494"/>
      </w:tblGrid>
      <w:tr>
        <w:trPr/>
        <w:tc>
          <w:tcPr>
            <w:tcW w:w="522"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r>
      <w:tr>
        <w:trPr/>
        <w:tc>
          <w:tcPr>
            <w:tcW w:w="14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March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Nine Months Ended March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 Change</w:t>
            </w:r>
          </w:p>
        </w:tc>
      </w:tr>
      <w:tr>
        <w:trPr/>
        <w:tc>
          <w:tcPr>
            <w:tcW w:w="14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583" w:type="dxa"/>
            <w:gridSpan w:val="30"/>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(dollars in millions)</w:t>
            </w:r>
          </w:p>
        </w:tc>
        <w:tc>
          <w:tcPr>
            <w:tcW w:w="11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General and administrative</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151.4 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153.0 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402.2 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464.9 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(13.5)%</w:t>
            </w:r>
          </w:p>
        </w:tc>
      </w:tr>
      <w:tr>
        <w:trPr/>
        <w:tc>
          <w:tcPr>
            <w:tcW w:w="14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i/>
                <w:color w:val="000000"/>
                <w:sz w:val="18"/>
              </w:rPr>
            </w:pPr>
            <w:r>
              <w:rPr>
                <w:rFonts w:ascii="Roboto;sans-serif" w:hAnsi="Roboto;sans-serif"/>
                <w:b w:val="false"/>
                <w:i/>
                <w:color w:val="000000"/>
                <w:sz w:val="18"/>
              </w:rPr>
              <w:t>As a percentage of total revenue</w:t>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24.3 </w:t>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21.3 </w:t>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22.6 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both"/>
        <w:rPr/>
      </w:pPr>
      <w:r>
        <w:rPr/>
      </w:r>
    </w:p>
    <w:p>
      <w:pPr>
        <w:pStyle w:val="TextBody"/>
        <w:bidi w:val="0"/>
        <w:spacing w:lineRule="auto" w:line="417" w:before="0" w:after="0"/>
        <w:jc w:val="both"/>
        <w:rPr>
          <w:rFonts w:ascii="Roboto;sans-serif" w:hAnsi="Roboto;sans-serif"/>
          <w:b w:val="false"/>
          <w:i/>
          <w:color w:val="000000"/>
          <w:sz w:val="18"/>
        </w:rPr>
      </w:pPr>
      <w:r>
        <w:rPr>
          <w:rFonts w:ascii="Roboto;sans-serif" w:hAnsi="Roboto;sans-serif"/>
          <w:b w:val="false"/>
          <w:i/>
          <w:color w:val="000000"/>
          <w:sz w:val="18"/>
        </w:rPr>
        <w:t>Three Months Ended March 31, 2025 and 2024</w:t>
      </w:r>
    </w:p>
    <w:p>
      <w:pPr>
        <w:pStyle w:val="TextBody"/>
        <w:bidi w:val="0"/>
        <w:spacing w:lineRule="auto" w:line="288" w:before="0" w:after="0"/>
        <w:jc w:val="both"/>
        <w:rPr/>
      </w:pPr>
      <w:r>
        <w:rPr>
          <w:rFonts w:ascii="Roboto;sans-serif" w:hAnsi="Roboto;sans-serif"/>
          <w:b w:val="false"/>
          <w:color w:val="000000"/>
          <w:sz w:val="18"/>
        </w:rPr>
        <w:t>General and administrative expense decreased $1.6 million</w:t>
      </w:r>
      <w:r>
        <w:rPr>
          <w:color w:val="000000"/>
        </w:rPr>
        <w:t xml:space="preserve"> </w:t>
      </w:r>
      <w:r>
        <w:rPr>
          <w:rFonts w:ascii="Roboto;sans-serif" w:hAnsi="Roboto;sans-serif"/>
          <w:b w:val="false"/>
          <w:color w:val="000000"/>
          <w:sz w:val="18"/>
        </w:rPr>
        <w:t>for the three months ended March 31, 2025 compared to the three months ended March 31, 2024, mainly driven by a decrease of $4.9 million in settlement costs and professional services fees (comprised of legal, accounting, and consulting fees), a decrease of $1.9 million in software and IT costs, and a decrease of $1.8 million</w:t>
      </w:r>
      <w:r>
        <w:rPr>
          <w:color w:val="000000"/>
        </w:rPr>
        <w:t xml:space="preserve"> </w:t>
      </w:r>
      <w:r>
        <w:rPr>
          <w:rFonts w:ascii="Roboto;sans-serif" w:hAnsi="Roboto;sans-serif"/>
          <w:b w:val="false"/>
          <w:color w:val="000000"/>
          <w:sz w:val="18"/>
        </w:rPr>
        <w:t>in depreciation and amortization costs. These decreases were partially offset by a net increase of $7.0 million</w:t>
      </w:r>
      <w:r>
        <w:rPr>
          <w:color w:val="000000"/>
        </w:rPr>
        <w:t xml:space="preserve"> </w:t>
      </w:r>
      <w:r>
        <w:rPr>
          <w:rFonts w:ascii="Roboto;sans-serif" w:hAnsi="Roboto;sans-serif"/>
          <w:b w:val="false"/>
          <w:color w:val="000000"/>
          <w:sz w:val="18"/>
        </w:rPr>
        <w:t>in personnel-related expenses, inclusive of stock-based compensation expense, for the three months ended March 31, 2025, primarily driven by $21.0 million of executive departure costs mainly due to acceleration of stock-based compensation and severance expense under our exits of individuals covered by the Change in Control Plan (the “Severance Plan”). Excluding the impact of these executive departures, general and administrative expense decreased $22.7 million or 14.8% year-over-year.</w:t>
      </w:r>
    </w:p>
    <w:p>
      <w:pPr>
        <w:pStyle w:val="TextBody"/>
        <w:bidi w:val="0"/>
        <w:spacing w:before="0" w:after="0"/>
        <w:jc w:val="both"/>
        <w:rPr/>
      </w:pPr>
      <w:r>
        <w:rPr/>
      </w:r>
    </w:p>
    <w:p>
      <w:pPr>
        <w:pStyle w:val="TextBody"/>
        <w:bidi w:val="0"/>
        <w:spacing w:lineRule="auto" w:line="417" w:before="0" w:after="0"/>
        <w:jc w:val="both"/>
        <w:rPr>
          <w:rFonts w:ascii="Roboto;sans-serif" w:hAnsi="Roboto;sans-serif"/>
          <w:b w:val="false"/>
          <w:i/>
          <w:color w:val="000000"/>
          <w:sz w:val="18"/>
        </w:rPr>
      </w:pPr>
      <w:r>
        <w:rPr>
          <w:rFonts w:ascii="Roboto;sans-serif" w:hAnsi="Roboto;sans-serif"/>
          <w:b w:val="false"/>
          <w:i/>
          <w:color w:val="000000"/>
          <w:sz w:val="18"/>
        </w:rPr>
        <w:t>Nine Months Ended March 31, 2025 and 2024</w:t>
      </w:r>
    </w:p>
    <w:p>
      <w:pPr>
        <w:pStyle w:val="TextBody"/>
        <w:bidi w:val="0"/>
        <w:spacing w:lineRule="auto" w:line="288" w:before="0" w:after="0"/>
        <w:jc w:val="both"/>
        <w:rPr/>
      </w:pPr>
      <w:r>
        <w:rPr>
          <w:rFonts w:ascii="Roboto;sans-serif" w:hAnsi="Roboto;sans-serif"/>
          <w:b w:val="false"/>
          <w:color w:val="000000"/>
          <w:sz w:val="18"/>
        </w:rPr>
        <w:t>General and administrative expense decreased $62.7 million</w:t>
      </w:r>
      <w:r>
        <w:rPr>
          <w:color w:val="000000"/>
        </w:rPr>
        <w:t xml:space="preserve"> </w:t>
      </w:r>
      <w:r>
        <w:rPr>
          <w:rFonts w:ascii="Roboto;sans-serif" w:hAnsi="Roboto;sans-serif"/>
          <w:b w:val="false"/>
          <w:color w:val="000000"/>
          <w:sz w:val="18"/>
        </w:rPr>
        <w:t>for the nine months ended March 31, 2025 compared to the nine months ended March 31, 2024, mainly driven by a decrease of $32.8 million in settlement costs and professional services fees (comprised of legal, accounting, and consulting fees), a net decrease of $16.7 million in personnel-related expenses, inclusive of stock-based compensation and severance expense, primarily due to decreased average headcount, and a decrease of $5.0 million in software and IT costs for the nine months ended March 31, 2025.</w:t>
      </w:r>
    </w:p>
    <w:p>
      <w:pPr>
        <w:pStyle w:val="TextBody"/>
        <w:bidi w:val="0"/>
        <w:spacing w:before="0" w:after="0"/>
        <w:jc w:val="both"/>
        <w:rPr/>
      </w:pPr>
      <w:r>
        <w:rPr/>
      </w:r>
    </w:p>
    <w:p>
      <w:pPr>
        <w:pStyle w:val="TextBody"/>
        <w:bidi w:val="0"/>
        <w:spacing w:lineRule="auto" w:line="417" w:before="0" w:after="0"/>
        <w:jc w:val="both"/>
        <w:rPr>
          <w:rFonts w:ascii="Roboto;sans-serif" w:hAnsi="Roboto;sans-serif"/>
          <w:b w:val="false"/>
          <w:i/>
          <w:color w:val="000000"/>
          <w:sz w:val="18"/>
        </w:rPr>
      </w:pPr>
      <w:r>
        <w:rPr>
          <w:rFonts w:ascii="Roboto;sans-serif" w:hAnsi="Roboto;sans-serif"/>
          <w:b w:val="false"/>
          <w:i/>
          <w:color w:val="000000"/>
          <w:sz w:val="18"/>
        </w:rPr>
        <w:t>Research and Development</w:t>
      </w:r>
    </w:p>
    <w:tbl>
      <w:tblPr>
        <w:tblW w:w="10205" w:type="dxa"/>
        <w:jc w:val="left"/>
        <w:tblInd w:w="0" w:type="dxa"/>
        <w:tblLayout w:type="fixed"/>
        <w:tblCellMar>
          <w:top w:w="28" w:type="dxa"/>
          <w:left w:w="28" w:type="dxa"/>
          <w:bottom w:w="28" w:type="dxa"/>
          <w:right w:w="28" w:type="dxa"/>
        </w:tblCellMar>
      </w:tblPr>
      <w:tblGrid>
        <w:gridCol w:w="557"/>
        <w:gridCol w:w="490"/>
        <w:gridCol w:w="491"/>
        <w:gridCol w:w="235"/>
        <w:gridCol w:w="610"/>
        <w:gridCol w:w="282"/>
        <w:gridCol w:w="113"/>
        <w:gridCol w:w="113"/>
        <w:gridCol w:w="113"/>
        <w:gridCol w:w="235"/>
        <w:gridCol w:w="610"/>
        <w:gridCol w:w="282"/>
        <w:gridCol w:w="109"/>
        <w:gridCol w:w="109"/>
        <w:gridCol w:w="109"/>
        <w:gridCol w:w="375"/>
        <w:gridCol w:w="375"/>
        <w:gridCol w:w="376"/>
        <w:gridCol w:w="109"/>
        <w:gridCol w:w="109"/>
        <w:gridCol w:w="109"/>
        <w:gridCol w:w="230"/>
        <w:gridCol w:w="720"/>
        <w:gridCol w:w="276"/>
        <w:gridCol w:w="111"/>
        <w:gridCol w:w="111"/>
        <w:gridCol w:w="111"/>
        <w:gridCol w:w="230"/>
        <w:gridCol w:w="720"/>
        <w:gridCol w:w="276"/>
        <w:gridCol w:w="109"/>
        <w:gridCol w:w="109"/>
        <w:gridCol w:w="109"/>
        <w:gridCol w:w="343"/>
        <w:gridCol w:w="343"/>
        <w:gridCol w:w="496"/>
      </w:tblGrid>
      <w:tr>
        <w:trPr/>
        <w:tc>
          <w:tcPr>
            <w:tcW w:w="557"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March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Nine Months Ended March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8"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 Change</w:t>
            </w:r>
          </w:p>
        </w:tc>
      </w:tr>
      <w:tr>
        <w:trPr/>
        <w:tc>
          <w:tcPr>
            <w:tcW w:w="1538"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485" w:type="dxa"/>
            <w:gridSpan w:val="30"/>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(dollars in millions)</w:t>
            </w:r>
          </w:p>
        </w:tc>
        <w:tc>
          <w:tcPr>
            <w:tcW w:w="11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Research and development</w:t>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6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59.6 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6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76.8 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(22.5)%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178.4 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235.4 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(24.2)%</w:t>
            </w:r>
          </w:p>
        </w:tc>
      </w:tr>
      <w:tr>
        <w:trPr/>
        <w:tc>
          <w:tcPr>
            <w:tcW w:w="15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i/>
                <w:color w:val="000000"/>
                <w:sz w:val="18"/>
              </w:rPr>
            </w:pPr>
            <w:r>
              <w:rPr>
                <w:rFonts w:ascii="Roboto;sans-serif" w:hAnsi="Roboto;sans-serif"/>
                <w:b w:val="false"/>
                <w:i/>
                <w:color w:val="000000"/>
                <w:sz w:val="18"/>
              </w:rPr>
              <w:t>As a percentage of total revenue</w:t>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9.5 </w:t>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10.7 </w:t>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9.5 </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11.4 </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lineRule="auto" w:line="417" w:before="0" w:after="0"/>
        <w:jc w:val="both"/>
        <w:rPr>
          <w:rFonts w:ascii="Roboto;sans-serif" w:hAnsi="Roboto;sans-serif"/>
          <w:b w:val="false"/>
          <w:i/>
          <w:color w:val="000000"/>
          <w:sz w:val="18"/>
        </w:rPr>
      </w:pPr>
      <w:r>
        <w:rPr>
          <w:rFonts w:ascii="Roboto;sans-serif" w:hAnsi="Roboto;sans-serif"/>
          <w:b w:val="false"/>
          <w:i/>
          <w:color w:val="000000"/>
          <w:sz w:val="18"/>
        </w:rPr>
        <w:t>Three and Nine Months Ended March 31, 2025 and 2024</w:t>
      </w:r>
    </w:p>
    <w:p>
      <w:pPr>
        <w:pStyle w:val="TextBody"/>
        <w:bidi w:val="0"/>
        <w:spacing w:lineRule="auto" w:line="288" w:before="0" w:after="0"/>
        <w:jc w:val="both"/>
        <w:rPr/>
      </w:pPr>
      <w:r>
        <w:rPr>
          <w:rFonts w:ascii="Roboto;sans-serif" w:hAnsi="Roboto;sans-serif"/>
          <w:b w:val="false"/>
          <w:color w:val="000000"/>
          <w:sz w:val="18"/>
        </w:rPr>
        <w:t>Research and development expense decreased $17.2 million and $57.0 million for the three and nine months ended March 31, 2025 respectively, compared to the three and nine months ended March 31, 2024, mainly driven by a $13.1 million and $41.0 million</w:t>
      </w:r>
      <w:r>
        <w:rPr>
          <w:color w:val="000000"/>
        </w:rPr>
        <w:t xml:space="preserve"> </w:t>
      </w:r>
      <w:r>
        <w:rPr>
          <w:rFonts w:ascii="Roboto;sans-serif" w:hAnsi="Roboto;sans-serif"/>
          <w:b w:val="false"/>
          <w:color w:val="000000"/>
          <w:sz w:val="18"/>
        </w:rPr>
        <w:t>decrease in personnel-related expenses, inclusive of stock-based compensation expense, primarily due to decreased average headcount, for the three and nine months ended March 31, 2025, respectively, and a $2.6 million and $11.3 million</w:t>
      </w:r>
      <w:r>
        <w:rPr>
          <w:color w:val="000000"/>
        </w:rPr>
        <w:t xml:space="preserve"> </w:t>
      </w:r>
      <w:r>
        <w:rPr>
          <w:rFonts w:ascii="Roboto;sans-serif" w:hAnsi="Roboto;sans-serif"/>
          <w:b w:val="false"/>
          <w:color w:val="000000"/>
          <w:sz w:val="18"/>
        </w:rPr>
        <w:t>decrease in product development costs, primarily due to a reduction in contractor spend for the three and nine months ended March 31,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33350"/>
                <wp:effectExtent l="0" t="0" r="0" b="0"/>
                <wp:wrapNone/>
                <wp:docPr id="34" name="Frame34"/>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34</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417" w:before="0" w:after="0"/>
        <w:jc w:val="both"/>
        <w:rPr>
          <w:rFonts w:ascii="Roboto;sans-serif" w:hAnsi="Roboto;sans-serif"/>
          <w:b w:val="false"/>
          <w:i/>
          <w:color w:val="000000"/>
          <w:sz w:val="18"/>
        </w:rPr>
      </w:pPr>
      <w:r>
        <w:rPr>
          <w:rFonts w:ascii="Roboto;sans-serif" w:hAnsi="Roboto;sans-serif"/>
          <w:b w:val="false"/>
          <w:i/>
          <w:color w:val="000000"/>
          <w:sz w:val="18"/>
        </w:rPr>
        <w:t>Impairment expense</w:t>
      </w:r>
    </w:p>
    <w:tbl>
      <w:tblPr>
        <w:tblW w:w="10205" w:type="dxa"/>
        <w:jc w:val="left"/>
        <w:tblInd w:w="0" w:type="dxa"/>
        <w:tblLayout w:type="fixed"/>
        <w:tblCellMar>
          <w:top w:w="28" w:type="dxa"/>
          <w:left w:w="28" w:type="dxa"/>
          <w:bottom w:w="28" w:type="dxa"/>
          <w:right w:w="28" w:type="dxa"/>
        </w:tblCellMar>
      </w:tblPr>
      <w:tblGrid>
        <w:gridCol w:w="570"/>
        <w:gridCol w:w="500"/>
        <w:gridCol w:w="503"/>
        <w:gridCol w:w="281"/>
        <w:gridCol w:w="730"/>
        <w:gridCol w:w="135"/>
        <w:gridCol w:w="135"/>
        <w:gridCol w:w="135"/>
        <w:gridCol w:w="135"/>
        <w:gridCol w:w="281"/>
        <w:gridCol w:w="730"/>
        <w:gridCol w:w="135"/>
        <w:gridCol w:w="109"/>
        <w:gridCol w:w="109"/>
        <w:gridCol w:w="109"/>
        <w:gridCol w:w="375"/>
        <w:gridCol w:w="375"/>
        <w:gridCol w:w="376"/>
        <w:gridCol w:w="109"/>
        <w:gridCol w:w="109"/>
        <w:gridCol w:w="109"/>
        <w:gridCol w:w="275"/>
        <w:gridCol w:w="715"/>
        <w:gridCol w:w="133"/>
        <w:gridCol w:w="133"/>
        <w:gridCol w:w="133"/>
        <w:gridCol w:w="133"/>
        <w:gridCol w:w="275"/>
        <w:gridCol w:w="715"/>
        <w:gridCol w:w="133"/>
        <w:gridCol w:w="109"/>
        <w:gridCol w:w="109"/>
        <w:gridCol w:w="109"/>
        <w:gridCol w:w="343"/>
        <w:gridCol w:w="343"/>
        <w:gridCol w:w="497"/>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r>
      <w:tr>
        <w:trPr/>
        <w:tc>
          <w:tcPr>
            <w:tcW w:w="157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March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Nine Months Ended March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3"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 Change</w:t>
            </w:r>
          </w:p>
        </w:tc>
      </w:tr>
      <w:tr>
        <w:trPr/>
        <w:tc>
          <w:tcPr>
            <w:tcW w:w="1573"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449" w:type="dxa"/>
            <w:gridSpan w:val="30"/>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(dollars in millions)</w:t>
            </w:r>
          </w:p>
        </w:tc>
        <w:tc>
          <w:tcPr>
            <w:tcW w:w="11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Impairment expense</w:t>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30.7 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61.4%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52.3 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46.7 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12.0%</w:t>
            </w:r>
          </w:p>
        </w:tc>
      </w:tr>
    </w:tbl>
    <w:p>
      <w:pPr>
        <w:pStyle w:val="TextBody"/>
        <w:bidi w:val="0"/>
        <w:spacing w:before="60" w:after="283"/>
        <w:jc w:val="both"/>
        <w:rPr/>
      </w:pPr>
      <w:r>
        <w:rPr/>
      </w:r>
    </w:p>
    <w:p>
      <w:pPr>
        <w:pStyle w:val="TextBody"/>
        <w:bidi w:val="0"/>
        <w:spacing w:lineRule="auto" w:line="417" w:before="0" w:after="0"/>
        <w:jc w:val="both"/>
        <w:rPr>
          <w:rFonts w:ascii="Roboto;sans-serif" w:hAnsi="Roboto;sans-serif"/>
          <w:b w:val="false"/>
          <w:i/>
          <w:color w:val="000000"/>
          <w:sz w:val="18"/>
        </w:rPr>
      </w:pPr>
      <w:r>
        <w:rPr>
          <w:rFonts w:ascii="Roboto;sans-serif" w:hAnsi="Roboto;sans-serif"/>
          <w:b w:val="false"/>
          <w:i/>
          <w:color w:val="000000"/>
          <w:sz w:val="18"/>
        </w:rPr>
        <w:t>Three Months Ended March 31, 2025 and 2024</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Impairment expense increased $11.7 million for the three months ended March 31, 2025 compared to the three months ended March 31, 2024, primarily due to $32.2 million in asset write-downs and write-offs related to plans to right-size portions of our corporate office footprint during the three months ended March 31, 2025. This increase was partially offset by a $20.4 million decrease in impairment expense related to the exit of retail showroom locations during the three months ended March 31, 2025.</w:t>
      </w:r>
    </w:p>
    <w:p>
      <w:pPr>
        <w:pStyle w:val="TextBody"/>
        <w:bidi w:val="0"/>
        <w:spacing w:before="0" w:after="0"/>
        <w:jc w:val="left"/>
        <w:rPr/>
      </w:pPr>
      <w:r>
        <w:rPr/>
      </w:r>
    </w:p>
    <w:p>
      <w:pPr>
        <w:pStyle w:val="TextBody"/>
        <w:bidi w:val="0"/>
        <w:spacing w:lineRule="auto" w:line="417" w:before="0" w:after="0"/>
        <w:jc w:val="both"/>
        <w:rPr>
          <w:rFonts w:ascii="Roboto;sans-serif" w:hAnsi="Roboto;sans-serif"/>
          <w:b w:val="false"/>
          <w:i/>
          <w:color w:val="000000"/>
          <w:sz w:val="18"/>
        </w:rPr>
      </w:pPr>
      <w:r>
        <w:rPr>
          <w:rFonts w:ascii="Roboto;sans-serif" w:hAnsi="Roboto;sans-serif"/>
          <w:b w:val="false"/>
          <w:i/>
          <w:color w:val="000000"/>
          <w:sz w:val="18"/>
        </w:rPr>
        <w:t>Nine Months Ended March 31, 2025 and 2024</w:t>
      </w:r>
    </w:p>
    <w:p>
      <w:pPr>
        <w:pStyle w:val="TextBody"/>
        <w:bidi w:val="0"/>
        <w:spacing w:lineRule="auto" w:line="288" w:before="0" w:after="0"/>
        <w:jc w:val="both"/>
        <w:rPr/>
      </w:pPr>
      <w:r>
        <w:rPr>
          <w:rFonts w:ascii="Roboto;sans-serif" w:hAnsi="Roboto;sans-serif"/>
          <w:b w:val="false"/>
          <w:color w:val="000000"/>
          <w:sz w:val="18"/>
        </w:rPr>
        <w:t>Impairment expense increased $5.6 million for the nine months ended March 31, 2025 compared to the nine months ended March 31, 2024, primarily due to $32.2 million</w:t>
      </w:r>
      <w:r>
        <w:rPr>
          <w:color w:val="000000"/>
        </w:rPr>
        <w:t xml:space="preserve"> </w:t>
      </w:r>
      <w:r>
        <w:rPr>
          <w:rFonts w:ascii="Roboto;sans-serif" w:hAnsi="Roboto;sans-serif"/>
          <w:b w:val="false"/>
          <w:color w:val="000000"/>
          <w:sz w:val="18"/>
        </w:rPr>
        <w:t>in asset write-downs and write-offs related to plans to right-size portions of our corporate office footprint during the nine months ended March 31, 2025. This increase was partially offset by a $16.7 million decrease due to impairments related to Peloton Output Park during the nine months ended March 31, 2024, and a $7.5 million decrease in impairment expense related to the exit of retail showroom locations during the nine months ended March 31, 2025.</w:t>
      </w:r>
    </w:p>
    <w:p>
      <w:pPr>
        <w:pStyle w:val="TextBody"/>
        <w:bidi w:val="0"/>
        <w:spacing w:before="0" w:after="0"/>
        <w:jc w:val="left"/>
        <w:rPr/>
      </w:pPr>
      <w:r>
        <w:rPr/>
      </w:r>
    </w:p>
    <w:p>
      <w:pPr>
        <w:pStyle w:val="TextBody"/>
        <w:bidi w:val="0"/>
        <w:spacing w:lineRule="auto" w:line="417" w:before="0" w:after="0"/>
        <w:jc w:val="both"/>
        <w:rPr>
          <w:rFonts w:ascii="Roboto;sans-serif" w:hAnsi="Roboto;sans-serif"/>
          <w:b w:val="false"/>
          <w:i/>
          <w:color w:val="000000"/>
          <w:sz w:val="18"/>
        </w:rPr>
      </w:pPr>
      <w:r>
        <w:rPr>
          <w:rFonts w:ascii="Roboto;sans-serif" w:hAnsi="Roboto;sans-serif"/>
          <w:b w:val="false"/>
          <w:i/>
          <w:color w:val="000000"/>
          <w:sz w:val="18"/>
        </w:rPr>
        <w:t>Restructuring expense</w:t>
      </w:r>
    </w:p>
    <w:tbl>
      <w:tblPr>
        <w:tblW w:w="10205" w:type="dxa"/>
        <w:jc w:val="left"/>
        <w:tblInd w:w="0" w:type="dxa"/>
        <w:tblLayout w:type="fixed"/>
        <w:tblCellMar>
          <w:top w:w="28" w:type="dxa"/>
          <w:left w:w="28" w:type="dxa"/>
          <w:bottom w:w="28" w:type="dxa"/>
          <w:right w:w="28" w:type="dxa"/>
        </w:tblCellMar>
      </w:tblPr>
      <w:tblGrid>
        <w:gridCol w:w="630"/>
        <w:gridCol w:w="554"/>
        <w:gridCol w:w="555"/>
        <w:gridCol w:w="289"/>
        <w:gridCol w:w="596"/>
        <w:gridCol w:w="139"/>
        <w:gridCol w:w="139"/>
        <w:gridCol w:w="139"/>
        <w:gridCol w:w="139"/>
        <w:gridCol w:w="289"/>
        <w:gridCol w:w="749"/>
        <w:gridCol w:w="139"/>
        <w:gridCol w:w="109"/>
        <w:gridCol w:w="109"/>
        <w:gridCol w:w="109"/>
        <w:gridCol w:w="375"/>
        <w:gridCol w:w="375"/>
        <w:gridCol w:w="376"/>
        <w:gridCol w:w="109"/>
        <w:gridCol w:w="109"/>
        <w:gridCol w:w="109"/>
        <w:gridCol w:w="283"/>
        <w:gridCol w:w="583"/>
        <w:gridCol w:w="136"/>
        <w:gridCol w:w="136"/>
        <w:gridCol w:w="136"/>
        <w:gridCol w:w="136"/>
        <w:gridCol w:w="283"/>
        <w:gridCol w:w="734"/>
        <w:gridCol w:w="136"/>
        <w:gridCol w:w="109"/>
        <w:gridCol w:w="109"/>
        <w:gridCol w:w="109"/>
        <w:gridCol w:w="343"/>
        <w:gridCol w:w="343"/>
        <w:gridCol w:w="492"/>
      </w:tblGrid>
      <w:tr>
        <w:trPr/>
        <w:tc>
          <w:tcPr>
            <w:tcW w:w="630"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March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Nine Months Ended March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 Change</w:t>
            </w:r>
          </w:p>
        </w:tc>
      </w:tr>
      <w:tr>
        <w:trPr/>
        <w:tc>
          <w:tcPr>
            <w:tcW w:w="173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288" w:type="dxa"/>
            <w:gridSpan w:val="30"/>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(dollars in millions)</w:t>
            </w:r>
          </w:p>
        </w:tc>
        <w:tc>
          <w:tcPr>
            <w:tcW w:w="11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Restructuring expense</w:t>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5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2.4 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37.6 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(93.7)%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5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68.8 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(87.5)%</w:t>
            </w:r>
          </w:p>
        </w:tc>
      </w:tr>
    </w:tbl>
    <w:p>
      <w:pPr>
        <w:pStyle w:val="TextBody"/>
        <w:bidi w:val="0"/>
        <w:spacing w:before="60" w:after="283"/>
        <w:jc w:val="both"/>
        <w:rPr/>
      </w:pPr>
      <w:r>
        <w:rPr/>
      </w:r>
    </w:p>
    <w:p>
      <w:pPr>
        <w:pStyle w:val="TextBody"/>
        <w:bidi w:val="0"/>
        <w:spacing w:lineRule="auto" w:line="417" w:before="0" w:after="0"/>
        <w:jc w:val="both"/>
        <w:rPr>
          <w:rFonts w:ascii="Roboto;sans-serif" w:hAnsi="Roboto;sans-serif"/>
          <w:b w:val="false"/>
          <w:i/>
          <w:color w:val="000000"/>
          <w:sz w:val="18"/>
        </w:rPr>
      </w:pPr>
      <w:r>
        <w:rPr>
          <w:rFonts w:ascii="Roboto;sans-serif" w:hAnsi="Roboto;sans-serif"/>
          <w:b w:val="false"/>
          <w:i/>
          <w:color w:val="000000"/>
          <w:sz w:val="18"/>
        </w:rPr>
        <w:t>Three and Nine Months Ended March 31, 2025 and 2024</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Restructuring expense decreased $35.3 million for the three months ended March 31, 2025 compared to the three months ended March 31, 2024, primarily due to a decrease of $33.4 million in cash severance and other personnel costs due to charges incurred during the three months ended March 31, 2024 in connection with the 2024 Restructuring Plan. For the nine months ended March 31, 2025, Restructuring expense decreased $60.2 million compared to the nine months ended March 31, 2024, primarily due to a $48.7 million decrease in personnel-related expenses, inclusive of severance and stock-based compensation expense during the nine months ended March 31, 2025, as well as decreases in exit and disposal costs, including non-cash charges of $3.8 million relating to the loss on sale of a manufacturing subsidiary in Taiwan during the nine months ended March 31, 2024.</w:t>
      </w:r>
    </w:p>
    <w:p>
      <w:pPr>
        <w:pStyle w:val="TextBody"/>
        <w:bidi w:val="0"/>
        <w:spacing w:before="0" w:after="0"/>
        <w:jc w:val="both"/>
        <w:rPr/>
      </w:pPr>
      <w:r>
        <w:rPr/>
      </w:r>
    </w:p>
    <w:p>
      <w:pPr>
        <w:pStyle w:val="TextBody"/>
        <w:bidi w:val="0"/>
        <w:spacing w:lineRule="auto" w:line="417" w:before="0" w:after="0"/>
        <w:jc w:val="both"/>
        <w:rPr>
          <w:rFonts w:ascii="Roboto;sans-serif" w:hAnsi="Roboto;sans-serif"/>
          <w:b w:val="false"/>
          <w:i/>
          <w:color w:val="000000"/>
          <w:sz w:val="18"/>
        </w:rPr>
      </w:pPr>
      <w:r>
        <w:rPr>
          <w:rFonts w:ascii="Roboto;sans-serif" w:hAnsi="Roboto;sans-serif"/>
          <w:b w:val="false"/>
          <w:i/>
          <w:color w:val="000000"/>
          <w:sz w:val="18"/>
        </w:rPr>
        <w:t>Supplier Settlements</w:t>
      </w:r>
    </w:p>
    <w:tbl>
      <w:tblPr>
        <w:tblW w:w="10205" w:type="dxa"/>
        <w:jc w:val="left"/>
        <w:tblInd w:w="0" w:type="dxa"/>
        <w:tblLayout w:type="fixed"/>
        <w:tblCellMar>
          <w:top w:w="28" w:type="dxa"/>
          <w:left w:w="28" w:type="dxa"/>
          <w:bottom w:w="28" w:type="dxa"/>
          <w:right w:w="28" w:type="dxa"/>
        </w:tblCellMar>
      </w:tblPr>
      <w:tblGrid>
        <w:gridCol w:w="596"/>
        <w:gridCol w:w="524"/>
        <w:gridCol w:w="527"/>
        <w:gridCol w:w="307"/>
        <w:gridCol w:w="552"/>
        <w:gridCol w:w="147"/>
        <w:gridCol w:w="147"/>
        <w:gridCol w:w="147"/>
        <w:gridCol w:w="147"/>
        <w:gridCol w:w="307"/>
        <w:gridCol w:w="721"/>
        <w:gridCol w:w="147"/>
        <w:gridCol w:w="109"/>
        <w:gridCol w:w="109"/>
        <w:gridCol w:w="109"/>
        <w:gridCol w:w="375"/>
        <w:gridCol w:w="375"/>
        <w:gridCol w:w="376"/>
        <w:gridCol w:w="109"/>
        <w:gridCol w:w="109"/>
        <w:gridCol w:w="109"/>
        <w:gridCol w:w="283"/>
        <w:gridCol w:w="735"/>
        <w:gridCol w:w="136"/>
        <w:gridCol w:w="136"/>
        <w:gridCol w:w="136"/>
        <w:gridCol w:w="136"/>
        <w:gridCol w:w="283"/>
        <w:gridCol w:w="662"/>
        <w:gridCol w:w="136"/>
        <w:gridCol w:w="109"/>
        <w:gridCol w:w="109"/>
        <w:gridCol w:w="109"/>
        <w:gridCol w:w="343"/>
        <w:gridCol w:w="343"/>
        <w:gridCol w:w="500"/>
      </w:tblGrid>
      <w:tr>
        <w:trPr/>
        <w:tc>
          <w:tcPr>
            <w:tcW w:w="596"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r>
      <w:tr>
        <w:trPr/>
        <w:tc>
          <w:tcPr>
            <w:tcW w:w="164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March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Nine Months Ended March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 Change</w:t>
            </w:r>
          </w:p>
        </w:tc>
      </w:tr>
      <w:tr>
        <w:trPr/>
        <w:tc>
          <w:tcPr>
            <w:tcW w:w="164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372" w:type="dxa"/>
            <w:gridSpan w:val="30"/>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(dollars in millions)</w:t>
            </w:r>
          </w:p>
        </w:tc>
        <w:tc>
          <w:tcPr>
            <w:tcW w:w="11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Supplier Settlements</w:t>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5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(0.9)</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6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(2.4)</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*NM</w:t>
            </w:r>
          </w:p>
        </w:tc>
      </w:tr>
    </w:tbl>
    <w:p>
      <w:pPr>
        <w:pStyle w:val="TextBody"/>
        <w:bidi w:val="0"/>
        <w:spacing w:lineRule="auto" w:line="417" w:before="60" w:after="283"/>
        <w:jc w:val="both"/>
        <w:rPr>
          <w:rFonts w:ascii="Roboto;sans-serif" w:hAnsi="Roboto;sans-serif"/>
          <w:b w:val="false"/>
          <w:color w:val="000000"/>
          <w:sz w:val="18"/>
        </w:rPr>
      </w:pPr>
      <w:r>
        <w:rPr>
          <w:rFonts w:ascii="Roboto;sans-serif" w:hAnsi="Roboto;sans-serif"/>
          <w:b w:val="false"/>
          <w:color w:val="000000"/>
          <w:sz w:val="18"/>
        </w:rPr>
        <w:t>___________________________</w:t>
      </w:r>
    </w:p>
    <w:p>
      <w:pPr>
        <w:pStyle w:val="TextBody"/>
        <w:bidi w:val="0"/>
        <w:spacing w:lineRule="auto" w:line="288" w:before="60" w:after="283"/>
        <w:jc w:val="both"/>
        <w:rPr>
          <w:rFonts w:ascii="Roboto;sans-serif" w:hAnsi="Roboto;sans-serif"/>
          <w:b w:val="false"/>
          <w:color w:val="000000"/>
          <w:sz w:val="14"/>
        </w:rPr>
      </w:pPr>
      <w:r>
        <w:rPr>
          <w:rFonts w:ascii="Roboto;sans-serif" w:hAnsi="Roboto;sans-serif"/>
          <w:b w:val="false"/>
          <w:color w:val="000000"/>
          <w:sz w:val="14"/>
        </w:rPr>
        <w:t>*NM - not meaningful</w:t>
      </w:r>
    </w:p>
    <w:p>
      <w:pPr>
        <w:pStyle w:val="TextBody"/>
        <w:bidi w:val="0"/>
        <w:spacing w:lineRule="auto" w:line="417" w:before="60" w:after="283"/>
        <w:jc w:val="both"/>
        <w:rPr>
          <w:rFonts w:ascii="Roboto;sans-serif" w:hAnsi="Roboto;sans-serif"/>
          <w:b w:val="false"/>
          <w:i/>
          <w:color w:val="000000"/>
          <w:sz w:val="18"/>
        </w:rPr>
      </w:pPr>
      <w:r>
        <w:rPr>
          <w:rFonts w:ascii="Roboto;sans-serif" w:hAnsi="Roboto;sans-serif"/>
          <w:b w:val="false"/>
          <w:i/>
          <w:color w:val="000000"/>
          <w:sz w:val="18"/>
        </w:rPr>
        <w:t>Three and Nine Months Ended March 31, 2025 and 2024</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Supplier settlements were flat for the three months ended March 31, 2025 compared to the three months ended March 31, 2024, and increased $25.9 million for the nine months ended March 31, 2025 compared to the nine months ended March 31, 2024 due to the settlement of disputes with a third-party supplier about certain alleged past and future commitments.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33350"/>
                <wp:effectExtent l="0" t="0" r="0" b="0"/>
                <wp:wrapNone/>
                <wp:docPr id="35" name="Frame35"/>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35</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Total Other Expense, Net and Income Tax Expense (Benefit)</w:t>
      </w:r>
    </w:p>
    <w:tbl>
      <w:tblPr>
        <w:tblW w:w="10205" w:type="dxa"/>
        <w:jc w:val="left"/>
        <w:tblInd w:w="0" w:type="dxa"/>
        <w:tblLayout w:type="fixed"/>
        <w:tblCellMar>
          <w:top w:w="28" w:type="dxa"/>
          <w:left w:w="28" w:type="dxa"/>
          <w:bottom w:w="28" w:type="dxa"/>
          <w:right w:w="28" w:type="dxa"/>
        </w:tblCellMar>
      </w:tblPr>
      <w:tblGrid>
        <w:gridCol w:w="670"/>
        <w:gridCol w:w="507"/>
        <w:gridCol w:w="511"/>
        <w:gridCol w:w="259"/>
        <w:gridCol w:w="729"/>
        <w:gridCol w:w="125"/>
        <w:gridCol w:w="125"/>
        <w:gridCol w:w="125"/>
        <w:gridCol w:w="125"/>
        <w:gridCol w:w="259"/>
        <w:gridCol w:w="729"/>
        <w:gridCol w:w="125"/>
        <w:gridCol w:w="109"/>
        <w:gridCol w:w="109"/>
        <w:gridCol w:w="109"/>
        <w:gridCol w:w="375"/>
        <w:gridCol w:w="375"/>
        <w:gridCol w:w="376"/>
        <w:gridCol w:w="109"/>
        <w:gridCol w:w="109"/>
        <w:gridCol w:w="109"/>
        <w:gridCol w:w="249"/>
        <w:gridCol w:w="832"/>
        <w:gridCol w:w="120"/>
        <w:gridCol w:w="120"/>
        <w:gridCol w:w="120"/>
        <w:gridCol w:w="120"/>
        <w:gridCol w:w="249"/>
        <w:gridCol w:w="700"/>
        <w:gridCol w:w="120"/>
        <w:gridCol w:w="109"/>
        <w:gridCol w:w="109"/>
        <w:gridCol w:w="109"/>
        <w:gridCol w:w="343"/>
        <w:gridCol w:w="343"/>
        <w:gridCol w:w="493"/>
      </w:tblGrid>
      <w:tr>
        <w:trPr/>
        <w:tc>
          <w:tcPr>
            <w:tcW w:w="670"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r>
      <w:tr>
        <w:trPr/>
        <w:tc>
          <w:tcPr>
            <w:tcW w:w="168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March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Nine Months Ended March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8"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 Change</w:t>
            </w:r>
          </w:p>
        </w:tc>
      </w:tr>
      <w:tr>
        <w:trPr/>
        <w:tc>
          <w:tcPr>
            <w:tcW w:w="1688"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338" w:type="dxa"/>
            <w:gridSpan w:val="30"/>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(dollars in millions)</w:t>
            </w:r>
          </w:p>
        </w:tc>
        <w:tc>
          <w:tcPr>
            <w:tcW w:w="11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Interest expense</w:t>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(32.6)</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(27.7)</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17.7%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(102.6)</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(82.6)</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24.2%</w:t>
            </w:r>
          </w:p>
        </w:tc>
      </w:tr>
      <w:tr>
        <w:trPr/>
        <w:tc>
          <w:tcPr>
            <w:tcW w:w="16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Interest income</w:t>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(14.9)%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26.2 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(9.5)%</w:t>
            </w:r>
          </w:p>
        </w:tc>
      </w:tr>
      <w:tr>
        <w:trPr/>
        <w:tc>
          <w:tcPr>
            <w:tcW w:w="16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Foreign exchange gain (loss)</w:t>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(0.2)</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*NM</w:t>
            </w:r>
          </w:p>
        </w:tc>
      </w:tr>
      <w:tr>
        <w:trPr/>
        <w:tc>
          <w:tcPr>
            <w:tcW w:w="16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 xml:space="preserve">Other (expense) income, net </w:t>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(0.1)</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*NM</w:t>
            </w:r>
          </w:p>
        </w:tc>
      </w:tr>
      <w:tr>
        <w:trPr/>
        <w:tc>
          <w:tcPr>
            <w:tcW w:w="1688"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r>
      <w:tr>
        <w:trPr/>
        <w:tc>
          <w:tcPr>
            <w:tcW w:w="16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Income tax expense (benefit)</w:t>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24.8%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(0.3)</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val="false"/>
                <w:color w:val="000000"/>
                <w:sz w:val="18"/>
              </w:rPr>
            </w:pPr>
            <w:r>
              <w:rPr>
                <w:rFonts w:ascii="Roboto;sans-serif" w:hAnsi="Roboto;sans-serif"/>
                <w:b w:val="false"/>
                <w:color w:val="000000"/>
                <w:sz w:val="18"/>
              </w:rPr>
              <w:t>*NM</w:t>
            </w:r>
          </w:p>
        </w:tc>
      </w:tr>
    </w:tbl>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___________________________</w:t>
      </w:r>
    </w:p>
    <w:p>
      <w:pPr>
        <w:pStyle w:val="TextBody"/>
        <w:bidi w:val="0"/>
        <w:spacing w:lineRule="auto" w:line="288" w:before="60" w:after="283"/>
        <w:jc w:val="both"/>
        <w:rPr>
          <w:rFonts w:ascii="Roboto;sans-serif" w:hAnsi="Roboto;sans-serif"/>
          <w:b w:val="false"/>
          <w:color w:val="000000"/>
          <w:sz w:val="14"/>
        </w:rPr>
      </w:pPr>
      <w:r>
        <w:rPr>
          <w:rFonts w:ascii="Roboto;sans-serif" w:hAnsi="Roboto;sans-serif"/>
          <w:b w:val="false"/>
          <w:color w:val="000000"/>
          <w:sz w:val="14"/>
        </w:rPr>
        <w:t>*NM - not meaningful</w:t>
      </w:r>
    </w:p>
    <w:p>
      <w:pPr>
        <w:pStyle w:val="TextBody"/>
        <w:bidi w:val="0"/>
        <w:spacing w:before="0" w:after="0"/>
        <w:jc w:val="both"/>
        <w:rPr/>
      </w:pPr>
      <w:r>
        <w:rPr/>
      </w:r>
    </w:p>
    <w:p>
      <w:pPr>
        <w:pStyle w:val="TextBody"/>
        <w:bidi w:val="0"/>
        <w:spacing w:lineRule="auto" w:line="417" w:before="120" w:after="283"/>
        <w:jc w:val="both"/>
        <w:rPr>
          <w:rFonts w:ascii="Roboto;sans-serif" w:hAnsi="Roboto;sans-serif"/>
          <w:b w:val="false"/>
          <w:color w:val="000000"/>
          <w:sz w:val="18"/>
        </w:rPr>
      </w:pPr>
      <w:r>
        <w:rPr>
          <w:rFonts w:ascii="Roboto;sans-serif" w:hAnsi="Roboto;sans-serif"/>
          <w:b w:val="false"/>
          <w:color w:val="000000"/>
          <w:sz w:val="18"/>
        </w:rPr>
        <w:t>Total other expense, net, was composed of the following for the three and nine months ended March 31, 2025:</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Interest expense primarily related to our term loan and convertible notes, and deferred financing costs of $32.6 million and $102.6 million, respectively;    </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Interest income from cash, cash equivalents, and short-term investments of $7.9 million and $23.7 million, respectively;</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 xml:space="preserve">Foreign exchange gains of $10.3 million and $6.6 million, respectively; and </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Other expense, net of $0.1 million and zero, respectively.</w:t>
      </w:r>
    </w:p>
    <w:p>
      <w:pPr>
        <w:pStyle w:val="TextBody"/>
        <w:bidi w:val="0"/>
        <w:spacing w:before="0" w:after="0"/>
        <w:jc w:val="both"/>
        <w:rPr/>
      </w:pPr>
      <w:r>
        <w:rPr/>
      </w:r>
    </w:p>
    <w:p>
      <w:pPr>
        <w:pStyle w:val="TextBody"/>
        <w:bidi w:val="0"/>
        <w:spacing w:lineRule="auto" w:line="417" w:before="0" w:after="0"/>
        <w:jc w:val="both"/>
        <w:rPr>
          <w:rFonts w:ascii="Roboto;sans-serif" w:hAnsi="Roboto;sans-serif"/>
          <w:b w:val="false"/>
          <w:color w:val="000000"/>
          <w:sz w:val="18"/>
        </w:rPr>
      </w:pPr>
      <w:r>
        <w:rPr>
          <w:rFonts w:ascii="Roboto;sans-serif" w:hAnsi="Roboto;sans-serif"/>
          <w:b w:val="false"/>
          <w:color w:val="000000"/>
          <w:sz w:val="18"/>
        </w:rPr>
        <w:t>Total other expense, net, was composed of the following for the three and nine months ended March 31, 2024:</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Interest expense primarily related to our term loan and convertible notes, and deferred financing costs of $27.7 million and $82.6 million, respectively;</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Interest income from cash, cash equivalents, and short-term investments of $9.3 million and $26.2 million, respectively;</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Foreign exchange losses of $2.1 million and $0.2 million, respectively; and</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Other income, net of zero and $0.5 million, respectively.</w:t>
      </w:r>
    </w:p>
    <w:p>
      <w:pPr>
        <w:pStyle w:val="TextBody"/>
        <w:bidi w:val="0"/>
        <w:spacing w:before="0" w:after="60"/>
        <w:jc w:val="both"/>
        <w:rPr/>
      </w:pPr>
      <w:r>
        <w:rPr/>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Income tax expense for the three and nine months ended March 31, 2025 of $0.8 million and $2.3 million, respectively, was primarily due to state and international taxes. Income tax expense (benefit) for the three and nine months ended March 31, 2024 of $0.6 million and $(0.3) million, respectively, was primarily due to state and international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center"/>
        <w:rPr>
          <w:rFonts w:ascii="Roboto;sans-serif" w:hAnsi="Roboto;sans-serif"/>
          <w:b/>
          <w:color w:val="000000"/>
          <w:sz w:val="18"/>
        </w:rPr>
      </w:pPr>
      <w:r>
        <w:rPr>
          <w:rFonts w:ascii="Roboto;sans-serif" w:hAnsi="Roboto;sans-serif"/>
          <w:b/>
          <w:color w:val="000000"/>
          <w:sz w:val="18"/>
        </w:rPr>
        <w:t>Non-GAAP Financial Measures</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In addition to our results determined in accordance with accounting principles generally accepted in the United States, or GAAP, we believe the following non-GAAP financial measures are useful in evaluating our operating performance.</w:t>
      </w:r>
    </w:p>
    <w:p>
      <w:pPr>
        <w:pStyle w:val="TextBody"/>
        <w:bidi w:val="0"/>
        <w:spacing w:lineRule="auto" w:line="417" w:before="0" w:after="0"/>
        <w:jc w:val="both"/>
        <w:rPr>
          <w:rFonts w:ascii="Roboto;sans-serif" w:hAnsi="Roboto;sans-serif"/>
          <w:b/>
          <w:color w:val="000000"/>
          <w:sz w:val="18"/>
        </w:rPr>
      </w:pPr>
      <w:r>
        <w:rPr>
          <w:rFonts w:ascii="Roboto;sans-serif" w:hAnsi="Roboto;sans-serif"/>
          <w:b/>
          <w:color w:val="000000"/>
          <w:sz w:val="18"/>
        </w:rPr>
        <w:t>Adjusted EBITDA</w:t>
      </w:r>
    </w:p>
    <w:p>
      <w:pPr>
        <w:pStyle w:val="TextBody"/>
        <w:bidi w:val="0"/>
        <w:spacing w:lineRule="auto" w:line="288" w:before="0" w:after="240"/>
        <w:jc w:val="both"/>
        <w:rPr>
          <w:rFonts w:ascii="Roboto;sans-serif" w:hAnsi="Roboto;sans-serif"/>
          <w:b w:val="false"/>
          <w:color w:val="050505"/>
          <w:sz w:val="18"/>
          <w:shd w:fill="FFFFFF" w:val="clear"/>
        </w:rPr>
      </w:pPr>
      <w:r>
        <w:rPr>
          <w:rFonts w:ascii="Roboto;sans-serif" w:hAnsi="Roboto;sans-serif"/>
          <w:b w:val="false"/>
          <w:color w:val="050505"/>
          <w:sz w:val="18"/>
          <w:shd w:fill="FFFFFF" w:val="clear"/>
        </w:rPr>
        <w:t>We calculate Adjusted EBITDA as net (loss) income adjusted to exclude: other expense (income), net; income tax expense; depreciation and amortization expense; stock-based compensation expense; impairment expense; product recall related matters; certain litigation and settlement expenses; transaction and integration costs; reorganization, severance, exit, disposal and other costs associated with restructuring plans; supplier settlements; and other adjustment items that arise outside the ordinary course of our business.</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We use Adjusted EBITDA as a measure of operating performance and the operating leverage in our business. We believe that this non-GAAP financial measure is useful to investors for period-to-period comparisons of our business and in understanding and evaluating our operating results for the following reasons:</w:t>
      </w:r>
    </w:p>
    <w:p>
      <w:pPr>
        <w:pStyle w:val="TextBody"/>
        <w:bidi w:val="0"/>
        <w:spacing w:before="0" w:after="0"/>
        <w:jc w:val="both"/>
        <w:rPr/>
      </w:pPr>
      <w:r>
        <w:rPr/>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8"/>
        </w:rPr>
        <w:t>Adjusted EBITDA is widely used by investors and securities analysts to measure a company’s operating performance without regard to items such as stock-based compensation expense, depreciation and amortization expense, other expense (income), net, and provision for income taxes that can vary substantially from company to company depending upon their financing, capital structures, and the method by which assets were acquired;</w:t>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8"/>
        </w:rPr>
        <w:t>Our management uses Adjusted EBITDA in conjunction with financial measures prepared in accordance with GAAP for planning purposes, including the preparation of our annual operating budget, as a measure of our core operating results and the effectiveness of our business strategy, and in evaluating our financial performance; and</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Adjusted EBITDA provides consistency and comparability with our past financial performance, facilitates period-to-period comparisons of our core operating results, and may also facilitate comparisons with other peer companies, many of which use a similar non-GAAP financial measure to supplement their GAAP results.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33350"/>
                <wp:effectExtent l="0" t="0" r="0" b="0"/>
                <wp:wrapNone/>
                <wp:docPr id="36" name="Frame36"/>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Our use of Adjusted EBITDA has limitations as an analytical tool, and you should not consider this measure in isolation or as a substitute for analysis of our financial results as reported under GAAP. Some of these limitations are, or may in the future be, as follows:</w:t>
      </w:r>
    </w:p>
    <w:p>
      <w:pPr>
        <w:pStyle w:val="TextBody"/>
        <w:bidi w:val="0"/>
        <w:spacing w:before="0" w:after="0"/>
        <w:jc w:val="both"/>
        <w:rPr/>
      </w:pPr>
      <w:r>
        <w:rPr/>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8"/>
        </w:rPr>
        <w:t>Although depreciation and amortization expense are non-cash charges, the assets being depreciated and amortized may have to be replaced in the future, and Adjusted EBITDA does not reflect cash capital expenditure requirements for such replacements or for new capital expenditure requirements;</w:t>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8"/>
        </w:rPr>
        <w:t>Adjusted EBITDA excludes stock-based compensation expense, which has recently been, and will continue to be for the foreseeable future, a significant recurring expense for our business and an important part of our compensation strategy;</w:t>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8"/>
        </w:rPr>
        <w:t>Adjusted EBITDA does not reflect: (1) changes in, or cash requirements for, our working capital needs; (2) interest expense, or the cash requirements necessary to service interest or principal payments on our debt, which reduces cash available to us; or (3) tax payments that may represent a reduction in cash available to us;</w:t>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8"/>
        </w:rPr>
        <w:t xml:space="preserve">Adjusted EBITDA does not reflect gains (losses) associated with refinancing efforts that we have determined are outside of the ordinary course of business and are nonrecurring, infrequent or unusual based on factors such as the nature and strategy of the refinancing, as well as our frequency and past practice of performing refinancing activities. </w:t>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8"/>
        </w:rPr>
        <w:t>Adjusted EBITDA does not reflect certain litigation expenses, consisting of legal settlements and related fees for specific proceedings that we have determined arise outside of the ordinary course of business and are nonrecurring, infrequent or unusual based on the following considerations which we assess regularly: (1) the frequency of similar cases that have been brought to date, or are expected to be brought within two years; (2) the complexity of the case; (3) the nature of the remedy(ies) sought, including the size of any monetary damages sought; (4) offensive versus defensive posture of us; (5) the counterparty involved; and (6) our overall litigation strategy. Following a change in practice beginning during the fiscal year ended June 30, 2022, we no longer adjust Adjusted EBITDA for costs from new patent litigation or consumer arbitration claims, unless we consider the matter to be nonrecurring, infrequent or unusual. We continue to adjust Adjusted EBITDA for historical patent infringement and consumer arbitration claims that were determined, prior to our change in practice, to be nonrecurring, infrequent, or unusual;</w:t>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8"/>
        </w:rPr>
        <w:t>Adjusted EBITDA does not reflect transaction and integration costs related to acquisitions;</w:t>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8"/>
        </w:rPr>
        <w:t>Adjusted EBITDA does not reflect impairment charges for goodwill and fixed assets, and gains (losses) on disposals for fixed assets;</w:t>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8"/>
        </w:rPr>
        <w:t>Adjusted EBITDA does not reflect the impact of purchase accounting adjustments to inventory related to the Precor acquisition;</w:t>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8"/>
        </w:rPr>
        <w:t>Adjusted EBITDA does not reflect costs associated with certain product recall related matters including adjustments to the return reserves, inventory write-downs, logistics costs associated with Member requests, the cost to move the recalled product for those that elect the option, subscription waiver costs of service, and recall-related hardware development and repair costs. We make adjustments for product recall related matters that we have determined arise outside of the ordinary course of business and are nonrecurring, infrequent or unusual based on factors including the nature of the product recall, our experience with similar product recalls at the time of such assessment, the impacts on us of the recall remedy and associated logistics, supply chain, and other externalities, as well as the expected consumer demand for such a remedy, and operational complexities in the design, regulatory approval and deployment of a remedy;</w:t>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8"/>
        </w:rPr>
        <w:t xml:space="preserve">Adjusted EBITDA does not reflect </w:t>
      </w:r>
      <w:r>
        <w:rPr>
          <w:rFonts w:ascii="Roboto;sans-serif" w:hAnsi="Roboto;sans-serif"/>
          <w:b w:val="false"/>
          <w:color w:val="050505"/>
          <w:sz w:val="18"/>
        </w:rPr>
        <w:t>reorganization, severance, exit, disposal, and other costs associated with restructuring plans;</w:t>
      </w:r>
    </w:p>
    <w:p>
      <w:pPr>
        <w:pStyle w:val="TextBody"/>
        <w:bidi w:val="0"/>
        <w:spacing w:lineRule="auto" w:line="288" w:before="0" w:after="60"/>
        <w:ind w:left="0" w:right="0" w:hanging="360"/>
        <w:jc w:val="both"/>
        <w:rPr/>
      </w:pPr>
      <w:r>
        <w:rPr>
          <w:color w:val="050505"/>
        </w:rPr>
        <w:t>•</w:t>
      </w:r>
      <w:r>
        <w:rPr>
          <w:rFonts w:ascii="Roboto;sans-serif" w:hAnsi="Roboto;sans-serif"/>
          <w:b w:val="false"/>
          <w:color w:val="050505"/>
          <w:sz w:val="18"/>
        </w:rPr>
        <w:t>Adjusted EBITDA does not reflect supplier settlements that are</w:t>
      </w:r>
      <w:r>
        <w:rPr>
          <w:color w:val="000000"/>
        </w:rPr>
        <w:t xml:space="preserve"> </w:t>
      </w:r>
      <w:r>
        <w:rPr>
          <w:rFonts w:ascii="Roboto;sans-serif" w:hAnsi="Roboto;sans-serif"/>
          <w:b w:val="false"/>
          <w:color w:val="000000"/>
          <w:sz w:val="18"/>
        </w:rPr>
        <w:t>outside of the ordinary course of business and are nonrecurring, infrequent or unusual based on factors such as the nature of the settlements, as well as our frequency and past practice of performing refinancing activities</w:t>
      </w:r>
      <w:r>
        <w:rPr>
          <w:rFonts w:ascii="Roboto;sans-serif" w:hAnsi="Roboto;sans-serif"/>
          <w:b w:val="false"/>
          <w:color w:val="050505"/>
          <w:sz w:val="18"/>
        </w:rPr>
        <w:t>; and</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The expenses and other items that we exclude in our calculation of Adjusted EBITDA may differ from the expenses and other items, if any, that other companies may exclude from Adjusted EBITDA when they report their operating results and we may, in the future, exclude other significant, unusual expenses or other items from this financial measure. Because companies in our industry may calculate this measure differently than we do, its usefulness as a comparative measure can be limited.</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Because of these limitations, Adjusted EBITDA should be considered along with other operating and financial performance measures presented in accordance with GAAP.</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33350"/>
                <wp:effectExtent l="0" t="0" r="0" b="0"/>
                <wp:wrapNone/>
                <wp:docPr id="37" name="Frame37"/>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The following table presents a reconciliation of Adjusted EBITDA to Net loss, the most directly comparable financial measure prepared in accordance with GAAP, for each of the periods indicated:</w:t>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 xml:space="preserve">Adjusted EBITDA </w:t>
      </w:r>
    </w:p>
    <w:tbl>
      <w:tblPr>
        <w:tblW w:w="10205" w:type="dxa"/>
        <w:jc w:val="left"/>
        <w:tblInd w:w="0" w:type="dxa"/>
        <w:tblLayout w:type="fixed"/>
        <w:tblCellMar>
          <w:top w:w="28" w:type="dxa"/>
          <w:left w:w="28" w:type="dxa"/>
          <w:bottom w:w="28" w:type="dxa"/>
          <w:right w:w="28" w:type="dxa"/>
        </w:tblCellMar>
      </w:tblPr>
      <w:tblGrid>
        <w:gridCol w:w="1287"/>
        <w:gridCol w:w="1098"/>
        <w:gridCol w:w="1118"/>
        <w:gridCol w:w="294"/>
        <w:gridCol w:w="878"/>
        <w:gridCol w:w="142"/>
        <w:gridCol w:w="142"/>
        <w:gridCol w:w="142"/>
        <w:gridCol w:w="142"/>
        <w:gridCol w:w="294"/>
        <w:gridCol w:w="1035"/>
        <w:gridCol w:w="142"/>
        <w:gridCol w:w="109"/>
        <w:gridCol w:w="109"/>
        <w:gridCol w:w="109"/>
        <w:gridCol w:w="271"/>
        <w:gridCol w:w="953"/>
        <w:gridCol w:w="130"/>
        <w:gridCol w:w="130"/>
        <w:gridCol w:w="130"/>
        <w:gridCol w:w="130"/>
        <w:gridCol w:w="271"/>
        <w:gridCol w:w="953"/>
        <w:gridCol w:w="196"/>
      </w:tblGrid>
      <w:tr>
        <w:trPr/>
        <w:tc>
          <w:tcPr>
            <w:tcW w:w="1287"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350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1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March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Nine Months Ended March 31,</w:t>
            </w:r>
          </w:p>
        </w:tc>
      </w:tr>
      <w:tr>
        <w:trPr/>
        <w:tc>
          <w:tcPr>
            <w:tcW w:w="3503"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r>
      <w:tr>
        <w:trPr/>
        <w:tc>
          <w:tcPr>
            <w:tcW w:w="3503"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670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Roboto;sans-serif" w:hAnsi="Roboto;sans-serif"/>
                <w:b/>
                <w:color w:val="000000"/>
                <w:sz w:val="18"/>
              </w:rPr>
            </w:pPr>
            <w:r>
              <w:rPr>
                <w:rFonts w:ascii="Roboto;sans-serif" w:hAnsi="Roboto;sans-serif"/>
                <w:b/>
                <w:color w:val="000000"/>
                <w:sz w:val="18"/>
              </w:rPr>
              <w:t>(in millions)</w:t>
            </w:r>
          </w:p>
        </w:tc>
      </w:tr>
      <w:tr>
        <w:trPr/>
        <w:tc>
          <w:tcPr>
            <w:tcW w:w="3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loss</w:t>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(47.7)</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(167.3)</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(140.5)</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(521.4)</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Adjusted to exclude the following:</w:t>
            </w:r>
          </w:p>
        </w:tc>
        <w:tc>
          <w:tcPr>
            <w:tcW w:w="13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8"/>
              </w:rPr>
              <w:t>Total other expense, net</w:t>
            </w:r>
            <w:r>
              <w:rPr>
                <w:rFonts w:ascii="Roboto;sans-serif" w:hAnsi="Roboto;sans-serif"/>
                <w:b w:val="false"/>
                <w:color w:val="000000"/>
                <w:sz w:val="12"/>
              </w:rPr>
              <w:t>(1)</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14.5 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20.4 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72.3 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56.1 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Income tax expense (benefit)</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0.8 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Depreciation and amortization expense</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21.2 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27.1 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68.8 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83.0 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Stock-based compensation expense</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67.6 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66.1 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176.2 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199.7 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Impairment expense</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30.7 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52.3 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46.7 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3"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r>
      <w:tr>
        <w:trPr/>
        <w:tc>
          <w:tcPr>
            <w:tcW w:w="35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8"/>
              </w:rPr>
              <w:t>Restructuring expense</w:t>
            </w:r>
            <w:r>
              <w:rPr>
                <w:rFonts w:ascii="Roboto;sans-serif" w:hAnsi="Roboto;sans-serif"/>
                <w:b w:val="false"/>
                <w:color w:val="000000"/>
                <w:sz w:val="12"/>
              </w:rPr>
              <w:t>(2)</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37.6 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69.9 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8"/>
              </w:rPr>
              <w:t>Supplier settlements</w:t>
            </w:r>
            <w:r>
              <w:rPr>
                <w:rFonts w:ascii="Roboto;sans-serif" w:hAnsi="Roboto;sans-serif"/>
                <w:b w:val="false"/>
                <w:color w:val="000000"/>
                <w:sz w:val="12"/>
              </w:rPr>
              <w:t>(3)</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(0.9)</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(2.4)</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8"/>
              </w:rPr>
              <w:t>Product recall related matters</w:t>
            </w:r>
            <w:r>
              <w:rPr>
                <w:rFonts w:ascii="Roboto;sans-serif" w:hAnsi="Roboto;sans-serif"/>
                <w:b w:val="false"/>
                <w:color w:val="000000"/>
                <w:sz w:val="12"/>
              </w:rPr>
              <w:t>(4)</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8"/>
              </w:rPr>
              <w:t>Litigation and settlement expenses</w:t>
            </w:r>
            <w:r>
              <w:rPr>
                <w:rFonts w:ascii="Roboto;sans-serif" w:hAnsi="Roboto;sans-serif"/>
                <w:b w:val="false"/>
                <w:color w:val="000000"/>
                <w:sz w:val="12"/>
              </w:rPr>
              <w:t>(5)</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3"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r>
      <w:tr>
        <w:trPr/>
        <w:tc>
          <w:tcPr>
            <w:tcW w:w="3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Adjusted EBITDA</w:t>
            </w:r>
          </w:p>
        </w:tc>
        <w:tc>
          <w:tcPr>
            <w:tcW w:w="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89.4 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5.8 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263.6 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(66.8)</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rFonts w:ascii="Roboto;sans-serif" w:hAnsi="Roboto;sans-serif"/>
          <w:b w:val="false"/>
          <w:color w:val="000000"/>
          <w:sz w:val="18"/>
        </w:rPr>
      </w:pPr>
      <w:r>
        <w:rPr>
          <w:rFonts w:ascii="Roboto;sans-serif" w:hAnsi="Roboto;sans-serif"/>
          <w:b w:val="false"/>
          <w:color w:val="000000"/>
          <w:sz w:val="18"/>
        </w:rPr>
        <w:t>______________________</w:t>
      </w:r>
    </w:p>
    <w:p>
      <w:pPr>
        <w:pStyle w:val="TextBody"/>
        <w:bidi w:val="0"/>
        <w:spacing w:lineRule="auto" w:line="288" w:before="60" w:after="60"/>
        <w:jc w:val="both"/>
        <w:rPr>
          <w:rFonts w:ascii="Roboto;sans-serif" w:hAnsi="Roboto;sans-serif"/>
          <w:b w:val="false"/>
          <w:color w:val="000000"/>
          <w:sz w:val="14"/>
        </w:rPr>
      </w:pPr>
      <w:r>
        <w:rPr>
          <w:rFonts w:ascii="Roboto;sans-serif" w:hAnsi="Roboto;sans-serif"/>
          <w:b w:val="false"/>
          <w:color w:val="000000"/>
          <w:sz w:val="14"/>
        </w:rPr>
        <w:t>(1) Primarily consists of Interest expense of $32.6 million and $102.6 million, foreign exchange gains of $(10.3) million and $(6.6) million, and Interest income of $(7.9) million and $(23.7) million, for the three and nine months ended March 31, 2025, respectively. Primarily consists of Interest expense of $27.7 million and $82.6 million, foreign exchange losses of $2.1 million and $0.2 million, and Interest income of $(9.3) million and $(26.2) million, for the three and nine months ended March 31, 2024, respectively.</w:t>
      </w:r>
    </w:p>
    <w:p>
      <w:pPr>
        <w:pStyle w:val="TextBody"/>
        <w:bidi w:val="0"/>
        <w:spacing w:lineRule="auto" w:line="288" w:before="60" w:after="60"/>
        <w:jc w:val="both"/>
        <w:rPr/>
      </w:pPr>
      <w:r>
        <w:rPr>
          <w:rFonts w:ascii="Roboto;sans-serif" w:hAnsi="Roboto;sans-serif"/>
          <w:b w:val="false"/>
          <w:color w:val="000000"/>
          <w:sz w:val="14"/>
        </w:rPr>
        <w:t xml:space="preserve">(2) Represents charges incurred in connection with the Restructuring Plans, refer to </w:t>
      </w:r>
      <w:r>
        <w:rPr>
          <w:rFonts w:ascii="Roboto;sans-serif" w:hAnsi="Roboto;sans-serif"/>
          <w:b w:val="false"/>
          <w:i/>
          <w:color w:val="000000"/>
          <w:sz w:val="14"/>
        </w:rPr>
        <w:t>Note 4 - Restructuring</w:t>
      </w:r>
      <w:r>
        <w:rPr>
          <w:color w:val="000000"/>
        </w:rPr>
        <w:t xml:space="preserve"> </w:t>
      </w:r>
      <w:r>
        <w:rPr>
          <w:rFonts w:ascii="Roboto;sans-serif" w:hAnsi="Roboto;sans-serif"/>
          <w:b w:val="false"/>
          <w:color w:val="000000"/>
          <w:sz w:val="14"/>
        </w:rPr>
        <w:t>in the Notes to Condensed Consolidated Financial Statements in Part I, Item 1 of this Quarterly Report on Form 10-Q.</w:t>
      </w:r>
    </w:p>
    <w:p>
      <w:pPr>
        <w:pStyle w:val="TextBody"/>
        <w:bidi w:val="0"/>
        <w:spacing w:lineRule="auto" w:line="288" w:before="60" w:after="60"/>
        <w:jc w:val="both"/>
        <w:rPr/>
      </w:pPr>
      <w:r>
        <w:rPr>
          <w:rFonts w:ascii="Roboto;sans-serif" w:hAnsi="Roboto;sans-serif"/>
          <w:b w:val="false"/>
          <w:color w:val="000000"/>
          <w:sz w:val="14"/>
        </w:rPr>
        <w:t xml:space="preserve">(3) </w:t>
      </w:r>
      <w:r>
        <w:rPr>
          <w:rFonts w:ascii="Roboto;sans-serif" w:hAnsi="Roboto;sans-serif"/>
          <w:b w:val="false"/>
          <w:color w:val="050505"/>
          <w:sz w:val="14"/>
        </w:rPr>
        <w:t>Represents accrual for the</w:t>
      </w:r>
      <w:r>
        <w:rPr>
          <w:color w:val="000000"/>
        </w:rPr>
        <w:t xml:space="preserve"> </w:t>
      </w:r>
      <w:r>
        <w:rPr>
          <w:rFonts w:ascii="Roboto;sans-serif" w:hAnsi="Roboto;sans-serif"/>
          <w:b w:val="false"/>
          <w:color w:val="000000"/>
          <w:sz w:val="14"/>
        </w:rPr>
        <w:t xml:space="preserve">nine months ended March 31, 2025 </w:t>
      </w:r>
      <w:r>
        <w:rPr>
          <w:rFonts w:ascii="Roboto;sans-serif" w:hAnsi="Roboto;sans-serif"/>
          <w:b w:val="false"/>
          <w:color w:val="050505"/>
          <w:sz w:val="14"/>
        </w:rPr>
        <w:t>related to settlement of disputes with a third-party supplier about certain alleged past and future commitments, which occurred due to part of an unusual, one-time effort to adjust the Company’s forecasted inventory during its fiscal years 2022 and 2023. With this settlement, we have substantially settled our purchase commitments related disputes with our suppliers that were linked to our one-time effort to evaluate and adjust the Company’s forecasted inventory needs with its suppliers during fiscal years 2022 and 2023. As such, we currently do not expect to add-back in the future any additional supplier settlements related to that effort.</w:t>
      </w:r>
    </w:p>
    <w:p>
      <w:pPr>
        <w:pStyle w:val="TextBody"/>
        <w:bidi w:val="0"/>
        <w:spacing w:lineRule="auto" w:line="288" w:before="60" w:after="60"/>
        <w:jc w:val="both"/>
        <w:rPr>
          <w:rFonts w:ascii="Roboto;sans-serif" w:hAnsi="Roboto;sans-serif"/>
          <w:b w:val="false"/>
          <w:color w:val="000000"/>
          <w:sz w:val="14"/>
        </w:rPr>
      </w:pPr>
      <w:r>
        <w:rPr>
          <w:rFonts w:ascii="Roboto;sans-serif" w:hAnsi="Roboto;sans-serif"/>
          <w:b w:val="false"/>
          <w:color w:val="000000"/>
          <w:sz w:val="14"/>
        </w:rPr>
        <w:t>(4) Represents adjustments and charges primarily associated with our Tread+ and Bike Seat Post product recall related matters, as well as accrual adjustments. These include adjustments to Connected Fitness Products Revenue for actual and estimated future returns of $(3.9) million for the nine months ended March 31, 2024. These also include recorded benefits in Connected Fitness Products Cost of revenue associated with recall related matters of $(4.3) million for the nine months ended March 31, 2024.</w:t>
      </w:r>
    </w:p>
    <w:p>
      <w:pPr>
        <w:pStyle w:val="TextBody"/>
        <w:bidi w:val="0"/>
        <w:spacing w:lineRule="auto" w:line="288" w:before="60" w:after="283"/>
        <w:jc w:val="both"/>
        <w:rPr>
          <w:rFonts w:ascii="Roboto;sans-serif" w:hAnsi="Roboto;sans-serif"/>
          <w:b w:val="false"/>
          <w:color w:val="000000"/>
          <w:sz w:val="14"/>
        </w:rPr>
      </w:pPr>
      <w:r>
        <w:rPr>
          <w:rFonts w:ascii="Roboto;sans-serif" w:hAnsi="Roboto;sans-serif"/>
          <w:b w:val="false"/>
          <w:color w:val="000000"/>
          <w:sz w:val="14"/>
        </w:rPr>
        <w:t>(5) Includes litigation-related expenses for certain patent infringement litigation, consumer arbitration, and product recalls for the three and nine months ended March 31, 2024, that arise outside of the ordinary course of business and are nonrecurring, infrequent, or unusual.</w:t>
      </w:r>
    </w:p>
    <w:p>
      <w:pPr>
        <w:pStyle w:val="TextBody"/>
        <w:bidi w:val="0"/>
        <w:spacing w:before="60" w:after="283"/>
        <w:jc w:val="both"/>
        <w:rPr/>
      </w:pPr>
      <w:r>
        <w:rPr/>
      </w:r>
    </w:p>
    <w:p>
      <w:pPr>
        <w:pStyle w:val="TextBody"/>
        <w:bidi w:val="0"/>
        <w:spacing w:lineRule="auto" w:line="417" w:before="0" w:after="0"/>
        <w:jc w:val="both"/>
        <w:rPr>
          <w:rFonts w:ascii="Roboto;sans-serif" w:hAnsi="Roboto;sans-serif"/>
          <w:b/>
          <w:color w:val="000000"/>
          <w:sz w:val="18"/>
        </w:rPr>
      </w:pPr>
      <w:r>
        <w:rPr>
          <w:rFonts w:ascii="Roboto;sans-serif" w:hAnsi="Roboto;sans-serif"/>
          <w:b/>
          <w:color w:val="000000"/>
          <w:sz w:val="18"/>
        </w:rPr>
        <w:t>Subscription Contribution and Subscription Contribution Margin</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We define “Subscription Contribution” as Subscription Revenue less Subscription Cost of revenue, adjusted to exclude from Subscription Cost of revenue, depreciation and amortization expense, and stock-based compensation expense. Subscription Contribution Margin is calculated by dividing Subscription Contribution by Subscription Revenue.</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We use Subscription Contribution and Subscription Contribution Margin to measure our ability to scale and leverage the costs of our Connected Fitness Subscriptions. We believe that these non-GAAP financial measures are useful to investors for period-to-period comparisons of our business and in understanding and evaluating our operating results because our management uses Subscription Contribution and Subscription Contribution Margin in conjunction with financial measures prepared in accordance with GAAP for planning purposes, including the preparation of our annual operating budget, as a measure of our core operating results and the effectiveness of our business strategy, and in evaluating our financial performance.</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use of Subscription Contribution and Subscription Contribution Margin as analytical tools has limitations, and you should not consider these in isolation or as substitutes for analysis of our financial results as reported under GAAP. Some of these limitations are as follows:</w:t>
      </w:r>
    </w:p>
    <w:p>
      <w:pPr>
        <w:pStyle w:val="TextBody"/>
        <w:bidi w:val="0"/>
        <w:spacing w:before="0" w:after="0"/>
        <w:jc w:val="both"/>
        <w:rPr/>
      </w:pPr>
      <w:r>
        <w:rPr/>
      </w:r>
    </w:p>
    <w:p>
      <w:pPr>
        <w:pStyle w:val="TextBody"/>
        <w:bidi w:val="0"/>
        <w:spacing w:lineRule="auto" w:line="288" w:before="0" w:after="60"/>
        <w:ind w:left="0" w:right="0" w:hanging="360"/>
        <w:jc w:val="both"/>
        <w:rPr/>
      </w:pPr>
      <w:r>
        <w:rPr>
          <w:color w:val="000000"/>
        </w:rPr>
        <w:t>•</w:t>
      </w:r>
      <w:r>
        <w:rPr>
          <w:rFonts w:ascii="Roboto;sans-serif" w:hAnsi="Roboto;sans-serif"/>
          <w:b w:val="false"/>
          <w:color w:val="000000"/>
          <w:sz w:val="18"/>
        </w:rPr>
        <w:t>Although depreciation and amortization expense are non-cash charges, the assets being depreciated and amortized may have to be replaced in the future, and Subscription Contribution and Subscription Contribution Margin do not reflect cash capital expenditure requirements for such replacements or for new capital expenditure requirements; and</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Subscription Contribution and Subscription Contribution Margin exclude stock-based compensation expense, which has recently been, and will continue to be for the foreseeable future, a significant recurring expense for our business and an important part of our compensation strategy.</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Because of these limitations, Subscription Contribution and Subscription Contribution Margin should be considered along with other operating and financial performance measures presented in accordance with GAAP.</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33350"/>
                <wp:effectExtent l="0" t="0" r="0" b="0"/>
                <wp:wrapNone/>
                <wp:docPr id="38" name="Frame38"/>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The following table presents a reconciliation of Subscription Contribution and Subscription Contribution Margin to Subscription Gross Profit and Subscription Gross Margin, respectively, which are the most directly comparable financial measures prepared in accordance with GAAP, for each of the periods indicated:</w:t>
      </w:r>
    </w:p>
    <w:tbl>
      <w:tblPr>
        <w:tblW w:w="10205" w:type="dxa"/>
        <w:jc w:val="left"/>
        <w:tblInd w:w="0" w:type="dxa"/>
        <w:tblLayout w:type="fixed"/>
        <w:tblCellMar>
          <w:top w:w="28" w:type="dxa"/>
          <w:left w:w="28" w:type="dxa"/>
          <w:bottom w:w="28" w:type="dxa"/>
          <w:right w:w="28" w:type="dxa"/>
        </w:tblCellMar>
      </w:tblPr>
      <w:tblGrid>
        <w:gridCol w:w="1257"/>
        <w:gridCol w:w="1092"/>
        <w:gridCol w:w="1097"/>
        <w:gridCol w:w="266"/>
        <w:gridCol w:w="834"/>
        <w:gridCol w:w="319"/>
        <w:gridCol w:w="128"/>
        <w:gridCol w:w="128"/>
        <w:gridCol w:w="128"/>
        <w:gridCol w:w="266"/>
        <w:gridCol w:w="834"/>
        <w:gridCol w:w="319"/>
        <w:gridCol w:w="109"/>
        <w:gridCol w:w="109"/>
        <w:gridCol w:w="109"/>
        <w:gridCol w:w="230"/>
        <w:gridCol w:w="904"/>
        <w:gridCol w:w="276"/>
        <w:gridCol w:w="110"/>
        <w:gridCol w:w="110"/>
        <w:gridCol w:w="110"/>
        <w:gridCol w:w="230"/>
        <w:gridCol w:w="904"/>
        <w:gridCol w:w="336"/>
      </w:tblGrid>
      <w:tr>
        <w:trPr/>
        <w:tc>
          <w:tcPr>
            <w:tcW w:w="1257"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r>
      <w:tr>
        <w:trPr/>
        <w:tc>
          <w:tcPr>
            <w:tcW w:w="3446"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Nine Months Ended March 31,</w:t>
            </w:r>
          </w:p>
        </w:tc>
      </w:tr>
      <w:tr>
        <w:trPr/>
        <w:tc>
          <w:tcPr>
            <w:tcW w:w="3446"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4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r>
      <w:tr>
        <w:trPr/>
        <w:tc>
          <w:tcPr>
            <w:tcW w:w="3446"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6759"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(dollars in millions)</w:t>
            </w:r>
          </w:p>
        </w:tc>
      </w:tr>
      <w:tr>
        <w:trPr/>
        <w:tc>
          <w:tcPr>
            <w:tcW w:w="3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Subscription Revenue</w:t>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418.5 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437.8 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1,265.4 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1,277.3 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Less: Subscription Cost of revenue</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129.8 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139.8 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402.0 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414.0 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Subscription Gross Profit</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288.8 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298.1 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863.4 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863.3 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Subscription Gross Margin</w:t>
            </w:r>
          </w:p>
        </w:tc>
        <w:tc>
          <w:tcPr>
            <w:tcW w:w="110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69.0 </w:t>
            </w:r>
          </w:p>
        </w:tc>
        <w:tc>
          <w:tcPr>
            <w:tcW w:w="31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68.1 </w:t>
            </w:r>
          </w:p>
        </w:tc>
        <w:tc>
          <w:tcPr>
            <w:tcW w:w="31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68.2 </w:t>
            </w:r>
          </w:p>
        </w:tc>
        <w:tc>
          <w:tcPr>
            <w:tcW w:w="2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67.6 </w:t>
            </w:r>
          </w:p>
        </w:tc>
        <w:tc>
          <w:tcPr>
            <w:tcW w:w="3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r>
      <w:tr>
        <w:trPr/>
        <w:tc>
          <w:tcPr>
            <w:tcW w:w="3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Add back:</w:t>
            </w:r>
          </w:p>
        </w:tc>
        <w:tc>
          <w:tcPr>
            <w:tcW w:w="14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Depreciation and amortization expense</w:t>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7.0 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8.5 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22.4 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26.5 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Stock-based compensation expense</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9.2 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9.9 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28.2 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29.6 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Subscription Contribution</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304.9 </w:t>
            </w:r>
          </w:p>
        </w:tc>
        <w:tc>
          <w:tcPr>
            <w:tcW w:w="3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316.4 </w:t>
            </w:r>
          </w:p>
        </w:tc>
        <w:tc>
          <w:tcPr>
            <w:tcW w:w="3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914.0 </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919.4 </w:t>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Subscription Contribution Margin</w:t>
            </w:r>
          </w:p>
        </w:tc>
        <w:tc>
          <w:tcPr>
            <w:tcW w:w="1100"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72.9 </w:t>
            </w:r>
          </w:p>
        </w:tc>
        <w:tc>
          <w:tcPr>
            <w:tcW w:w="31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72.3 </w:t>
            </w:r>
          </w:p>
        </w:tc>
        <w:tc>
          <w:tcPr>
            <w:tcW w:w="31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72.2 </w:t>
            </w:r>
          </w:p>
        </w:tc>
        <w:tc>
          <w:tcPr>
            <w:tcW w:w="27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72.0 </w:t>
            </w:r>
          </w:p>
        </w:tc>
        <w:tc>
          <w:tcPr>
            <w:tcW w:w="33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w:t>
            </w:r>
          </w:p>
        </w:tc>
      </w:tr>
    </w:tbl>
    <w:p>
      <w:pPr>
        <w:pStyle w:val="TextBody"/>
        <w:bidi w:val="0"/>
        <w:spacing w:before="0" w:after="0"/>
        <w:jc w:val="left"/>
        <w:rPr/>
      </w:pPr>
      <w:r>
        <w:rPr/>
      </w:r>
    </w:p>
    <w:p>
      <w:pPr>
        <w:pStyle w:val="TextBody"/>
        <w:bidi w:val="0"/>
        <w:spacing w:lineRule="auto" w:line="417" w:before="0" w:after="0"/>
        <w:jc w:val="both"/>
        <w:rPr>
          <w:rFonts w:ascii="Roboto;sans-serif" w:hAnsi="Roboto;sans-serif"/>
          <w:b/>
          <w:color w:val="000000"/>
          <w:sz w:val="18"/>
        </w:rPr>
      </w:pPr>
      <w:r>
        <w:rPr>
          <w:rFonts w:ascii="Roboto;sans-serif" w:hAnsi="Roboto;sans-serif"/>
          <w:b/>
          <w:color w:val="000000"/>
          <w:sz w:val="18"/>
        </w:rPr>
        <w:t>Free Cash Flow</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We define Free Cash Flow as Net cash provided by (used in) operating activities less capital expenditures. Free cash flow reflects an additional way of viewing our liquidity that, we believe, when viewed with our GAAP results, provides management, investors, and other users of our financial information with a more complete understanding of factors and trends affecting our cash flows.</w:t>
      </w:r>
    </w:p>
    <w:p>
      <w:pPr>
        <w:pStyle w:val="TextBody"/>
        <w:bidi w:val="0"/>
        <w:spacing w:before="0" w:after="0"/>
        <w:jc w:val="left"/>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use of Free Cash Flow as an analytical tool has limitations due to the fact that it does not represent the residual cash flow available for discretionary expenditures. For example, Free Cash Flow does not incorporate payments made for purchases of marketable securities, business combinations and asset acquisitions. Because of these limitations, Free Cash Flow should be considered along with other operating and financial performance measures presented in accordance with GAAP.</w:t>
      </w:r>
    </w:p>
    <w:p>
      <w:pPr>
        <w:pStyle w:val="TextBody"/>
        <w:bidi w:val="0"/>
        <w:spacing w:before="0" w:after="0"/>
        <w:jc w:val="left"/>
        <w:rPr/>
      </w:pPr>
      <w:r>
        <w:rPr/>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The following table presents a reconciliation of Free Cash Flow to Net cash provided by (used in) operating activities, the most directly comparable financial measure prepared in accordance with GAAP, for each of the periods indicated:</w:t>
      </w:r>
    </w:p>
    <w:tbl>
      <w:tblPr>
        <w:tblW w:w="10205" w:type="dxa"/>
        <w:jc w:val="left"/>
        <w:tblInd w:w="0" w:type="dxa"/>
        <w:tblLayout w:type="fixed"/>
        <w:tblCellMar>
          <w:top w:w="28" w:type="dxa"/>
          <w:left w:w="28" w:type="dxa"/>
          <w:bottom w:w="28" w:type="dxa"/>
          <w:right w:w="28" w:type="dxa"/>
        </w:tblCellMar>
      </w:tblPr>
      <w:tblGrid>
        <w:gridCol w:w="1459"/>
        <w:gridCol w:w="1193"/>
        <w:gridCol w:w="1201"/>
        <w:gridCol w:w="312"/>
        <w:gridCol w:w="811"/>
        <w:gridCol w:w="150"/>
        <w:gridCol w:w="150"/>
        <w:gridCol w:w="150"/>
        <w:gridCol w:w="150"/>
        <w:gridCol w:w="312"/>
        <w:gridCol w:w="811"/>
        <w:gridCol w:w="150"/>
        <w:gridCol w:w="109"/>
        <w:gridCol w:w="109"/>
        <w:gridCol w:w="109"/>
        <w:gridCol w:w="270"/>
        <w:gridCol w:w="844"/>
        <w:gridCol w:w="129"/>
        <w:gridCol w:w="129"/>
        <w:gridCol w:w="129"/>
        <w:gridCol w:w="129"/>
        <w:gridCol w:w="270"/>
        <w:gridCol w:w="932"/>
        <w:gridCol w:w="197"/>
      </w:tblGrid>
      <w:tr>
        <w:trPr/>
        <w:tc>
          <w:tcPr>
            <w:tcW w:w="1459"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3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Nine Months Ended March 31,</w:t>
            </w:r>
          </w:p>
        </w:tc>
      </w:tr>
      <w:tr>
        <w:trPr/>
        <w:tc>
          <w:tcPr>
            <w:tcW w:w="3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r>
      <w:tr>
        <w:trPr/>
        <w:tc>
          <w:tcPr>
            <w:tcW w:w="38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2" w:type="dxa"/>
            <w:gridSpan w:val="21"/>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r>
      <w:tr>
        <w:trPr/>
        <w:tc>
          <w:tcPr>
            <w:tcW w:w="38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Net cash provided by (used in) operating activities</w:t>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96.7 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11.6 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215.9 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(98.8)</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Capital expenditures</w:t>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(3.0)</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(4.6)</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(13.0)</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Free Cash Flow</w:t>
            </w:r>
          </w:p>
        </w:tc>
        <w:tc>
          <w:tcPr>
            <w:tcW w:w="3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94.7 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8.6 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211.3 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(111.8)</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center"/>
        <w:rPr>
          <w:rFonts w:ascii="Roboto;sans-serif" w:hAnsi="Roboto;sans-serif"/>
          <w:b/>
          <w:color w:val="000000"/>
          <w:sz w:val="18"/>
        </w:rPr>
      </w:pPr>
      <w:r>
        <w:rPr>
          <w:rFonts w:ascii="Roboto;sans-serif" w:hAnsi="Roboto;sans-serif"/>
          <w:b/>
          <w:color w:val="000000"/>
          <w:sz w:val="18"/>
        </w:rPr>
        <w:t>Liquidity and Capital Resources</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Our operations have been funded primarily through net proceeds from the sales of our equity and convertible debt securities, and our term loan, as well as cash flows from operating activities. As of March 31, 2025, we had Cash and cash equivalents of approximately $914.3 million. </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We anticipate capital expenditures over the next 12 months to include investments in product development, content and our studios, and systems implementation.</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We believe our existing cash and cash equivalent balances and cash flow from operations will be sufficient to meet our working capital and capital expenditure needs for the next 12 months and beyond. Our future capital requirements may vary materially from those currently planned and will depend on many factors, including our rate of revenue growth, timing to adjust our supply chain and cost structures in response to material fluctuations in product demand, timing and amount of spending related to acquisitions, the timing and amount of spending on research and development and manufacturing initiatives, the timing and financial impact of product recalls, sales and marketing activities, the timing of new product introductions, market acceptance of our Connected Fitness Products, timing and investments needed for international expansion, and overall economic conditions. To the extent that current and anticipated future sources of liquidity are insufficient to fund our future business activities and requirements, we may be required to seek additional equity or debt financing. The sale of additional equity would result in further dilution to our stockholders. The incurrence of debt financing would result in increased debt service obligations and the instruments governing such debt could provide for operating and financing covenants that would restrict our operations. There can be no assurances that we will be able to raise additional capital. The inability to raise capital would adversely affect our ability to achieve our business objectives.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33350"/>
                <wp:effectExtent l="0" t="0" r="0" b="0"/>
                <wp:wrapNone/>
                <wp:docPr id="39" name="Frame39"/>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39</w:t>
                      </w:r>
                    </w:p>
                  </w:txbxContent>
                </v:textbox>
                <w10:wrap type="none"/>
              </v:rect>
            </w:pict>
          </mc:Fallback>
        </mc:AlternateContent>
      </w:r>
    </w:p>
    <w:p>
      <w:pPr>
        <w:pStyle w:val="TextBody"/>
        <w:bidi w:val="0"/>
        <w:spacing w:before="0" w:after="0"/>
        <w:jc w:val="left"/>
        <w:rPr/>
      </w:pPr>
      <w:r>
        <w:rPr/>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 xml:space="preserve">Restructuring </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In February 2022, we announced and began implementing the 2022 Restructuring Plan to realign our operational focus to support our multi-year growth, scale the business, and improve costs. In April 2024, our Board of Directors approved a new restructuring plan to expand upon the 2022 Restructuring Plan (as expanded, the “2024 Restructuring Plan”, collectively, the “Restructuring Plans”) in an effort to position us for sustained, positive free cash flow, while enabling us to continue to invest in software, hardware and content innovation, improvements to our Member support experience, and optimizations to marketing efforts to scale the business. </w:t>
      </w:r>
    </w:p>
    <w:p>
      <w:pPr>
        <w:pStyle w:val="TextBody"/>
        <w:bidi w:val="0"/>
        <w:spacing w:before="0" w:after="0"/>
        <w:jc w:val="both"/>
        <w:rPr/>
      </w:pPr>
      <w:r>
        <w:rPr/>
      </w:r>
    </w:p>
    <w:p>
      <w:pPr>
        <w:pStyle w:val="TextBody"/>
        <w:bidi w:val="0"/>
        <w:spacing w:lineRule="auto" w:line="268" w:before="60" w:after="60"/>
        <w:jc w:val="both"/>
        <w:rPr/>
      </w:pPr>
      <w:r>
        <w:rPr>
          <w:rFonts w:ascii="Roboto;sans-serif" w:hAnsi="Roboto;sans-serif"/>
          <w:b w:val="false"/>
          <w:color w:val="000000"/>
          <w:sz w:val="18"/>
        </w:rPr>
        <w:t xml:space="preserve">Refer to </w:t>
      </w:r>
      <w:r>
        <w:rPr>
          <w:rFonts w:ascii="Roboto;sans-serif" w:hAnsi="Roboto;sans-serif"/>
          <w:b w:val="false"/>
          <w:i/>
          <w:color w:val="000000"/>
          <w:sz w:val="18"/>
        </w:rPr>
        <w:t>Note 4 - Restructuring</w:t>
      </w:r>
      <w:r>
        <w:rPr>
          <w:color w:val="000000"/>
        </w:rPr>
        <w:t xml:space="preserve"> </w:t>
      </w:r>
      <w:r>
        <w:rPr>
          <w:rFonts w:ascii="Roboto;sans-serif" w:hAnsi="Roboto;sans-serif"/>
          <w:b w:val="false"/>
          <w:color w:val="000000"/>
          <w:sz w:val="18"/>
        </w:rPr>
        <w:t>in the Notes to Condensed Consolidated Financial Statements in Part I, Item 1 of this Quarterly Report on Form 10-Q for discussion around charges incurred to date and future expected charges under the Restructuring Plans. We expect the plan to result in reduced annual run-rate expenses by more than $200 million by the end of fiscal year 2025.</w:t>
      </w:r>
    </w:p>
    <w:p>
      <w:pPr>
        <w:pStyle w:val="TextBody"/>
        <w:bidi w:val="0"/>
        <w:spacing w:before="0" w:after="0"/>
        <w:jc w:val="both"/>
        <w:rPr/>
      </w:pPr>
      <w:r>
        <w:rPr/>
      </w:r>
    </w:p>
    <w:p>
      <w:pPr>
        <w:pStyle w:val="TextBody"/>
        <w:bidi w:val="0"/>
        <w:spacing w:lineRule="auto" w:line="288" w:before="0" w:after="0"/>
        <w:jc w:val="both"/>
        <w:rPr/>
      </w:pPr>
      <w:r>
        <w:rPr>
          <w:rFonts w:ascii="Roboto;sans-serif" w:hAnsi="Roboto;sans-serif"/>
          <w:b w:val="false"/>
          <w:color w:val="000000"/>
          <w:sz w:val="18"/>
        </w:rPr>
        <w:t xml:space="preserve">We do not believe these cost-saving measures will impair our ability to conduct any of our key business functions. However, we may not be able to realize the cost savings and benefits initially anticipated as a result of the Restructuring Plans, and costs may be greater than expected. See </w:t>
      </w:r>
      <w:r>
        <w:rPr>
          <w:color w:val="000000"/>
        </w:rPr>
        <w:t>“</w:t>
      </w:r>
      <w:r>
        <w:rPr>
          <w:rFonts w:ascii="Roboto;sans-serif" w:hAnsi="Roboto;sans-serif"/>
          <w:b w:val="false"/>
          <w:i/>
          <w:color w:val="000000"/>
          <w:sz w:val="18"/>
        </w:rPr>
        <w:t>Risk Factors—Risks Related to Our Business—We may not successfully execute or achieve the expected benefits of our restructuring initiatives and other cost-saving measures we may take in the future, and our efforts may result in further actions and/or additional asset impairment charges and adversely affect our business</w:t>
      </w:r>
      <w:r>
        <w:rPr>
          <w:color w:val="000000"/>
        </w:rPr>
        <w:t xml:space="preserve">” </w:t>
      </w:r>
      <w:r>
        <w:rPr>
          <w:rFonts w:ascii="Roboto;sans-serif" w:hAnsi="Roboto;sans-serif"/>
          <w:b w:val="false"/>
          <w:color w:val="000000"/>
          <w:sz w:val="18"/>
        </w:rPr>
        <w:t>in our Form 10-K.</w:t>
      </w:r>
    </w:p>
    <w:p>
      <w:pPr>
        <w:pStyle w:val="TextBody"/>
        <w:bidi w:val="0"/>
        <w:spacing w:before="0" w:after="0"/>
        <w:jc w:val="both"/>
        <w:rPr/>
      </w:pPr>
      <w:r>
        <w:rPr/>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2029 and 2026 Convertible Notes</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In May 2024, we issued $350.0 million aggregate principal amount of 5.50% Convertible Senior Notes due 2029 (the “2029 Notes”) in a private offering, including the exercise in full of the option granted to the initial purchasers to purchase $50.0 million of the 2029 Notes. The 2029 Notes were issued pursuant to an Indenture (the “2029 Notes Indenture”) between us and U.S. Bank Trust Company, National Association, as trustee. The 2029 Notes bear interest at a rate of 5.50% per annum, payable semi-annually in arrears on June 1 and December 1 of each year, beginning on December 1, 2024. The net proceeds from this offering of 2029 Notes were approximately $342.3 million, after deducting the initial purchasers' discounts and commissions. The net proceeds of the offering were used, together with proceeds from the Term Loan (as defined below) and cash on hand, to repurchase approximately $801.0 million aggregate principal amount of our outstanding 0.00% Convertible Senior Notes due 2026 (the “2026 Notes”) described below.</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effective interest rate upon issuance of the 2029 Notes was 5.97%, which is the effective interest rate as of March 31, 2025.</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2029 Notes will mature on December 1, 2029, unless earlier converted, redeemed, or repurchased. The 2029 Notes will be convertible at the option of the holders at certain times and upon the occurrence of certain events. A holder may convert its 2029 Notes during any calendar quarter (and only during such calendar quarter), if the last reported sale price per share of the Class A common stock exceeds 130% of the conversion price for each of at least 20 trading days (whether or not consecutive) during the 30 consecutive trading days ending on, and including, the last trading day of the immediately preceding calendar quarter. The last reported sale price of the Class A common stock exceeded 130% of the conversion price of the 2029 Notes for more than 20 trading days during the 30 consecutive trading days ended March 31, 2025. Accordingly, as of April 1, 2025, the 2029 Notes may be converted at the option of the applicable holder through June 30, 2025.</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On or after September 1, 2029, until the close of business on the second scheduled trading day immediately preceding the maturity date, holders may convert all or any portion of their 2029 Notes, in multiples of $1,000 principal amount, at the option of the holder. </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Company may satisfy any conversion obligation under the 2029 Notes by paying and/or delivering, as the case may be, cash, shares of the Class A common stock or a combination of cash and shares of the Class A common stock, at the Company’s election, in the manner and subject to the terms and conditions provided in the 2029 Notes Indenture. If all of the 2029 Notes were to be converted prior to June 30, 2025, the Company’s current intention would be to settle such conversion in shares of the Class A common stock.</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In February 2021, we issued $1.0 billion aggregate principal amount of the 2026 Notes in a private offering, including the exercise in full of the option granted to the initial purchasers to purchase $125.0 million of the 2026 Notes. The 2026 Notes were issued pursuant to an Indenture (the “2026 Notes Indenture”) between us and U.S. Bank National Association, as trustee. The net proceeds from the offering were approximately $977.2 million, after deducting the initial purchasers’ discounts and commissions and our offering expenses.</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effective interest rate upon issuance of the 2026 Notes was 0.45%, which is the effective interest rate as of March 31, 2025.</w:t>
      </w:r>
    </w:p>
    <w:p>
      <w:pPr>
        <w:pStyle w:val="TextBody"/>
        <w:bidi w:val="0"/>
        <w:spacing w:before="0" w:after="0"/>
        <w:jc w:val="both"/>
        <w:rPr/>
      </w:pPr>
      <w:r>
        <w:rPr/>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Repurchase of a Portion of the 2026 Convertible Notes</w:t>
      </w:r>
    </w:p>
    <w:p>
      <w:pPr>
        <w:pStyle w:val="TextBody"/>
        <w:bidi w:val="0"/>
        <w:spacing w:lineRule="auto" w:line="288" w:before="0" w:after="0"/>
        <w:jc w:val="both"/>
        <w:rPr/>
      </w:pPr>
      <w:r>
        <w:rPr>
          <w:rFonts w:ascii="Roboto;sans-serif" w:hAnsi="Roboto;sans-serif"/>
          <w:b w:val="false"/>
          <w:color w:val="000000"/>
          <w:sz w:val="18"/>
        </w:rPr>
        <w:t xml:space="preserve">In May 2024, we entered into separate, privately negotiated transactions with certain holders of the 2026 Notes to repurchase $801.0 million of aggregate principal amount of the 2026 Notes for an aggregate of $724.9 million of cash. We accounted for this repurchase of the 2026 Notes as a debt extinguishment under ASC 470-50, </w:t>
      </w:r>
      <w:r>
        <w:rPr>
          <w:rFonts w:ascii="Roboto;sans-serif" w:hAnsi="Roboto;sans-serif"/>
          <w:b w:val="false"/>
          <w:i/>
          <w:color w:val="000000"/>
          <w:sz w:val="18"/>
        </w:rPr>
        <w:t>Debt – Modifications and Extinguishments</w:t>
      </w:r>
      <w:r>
        <w:rPr>
          <w:color w:val="000000"/>
        </w:rPr>
        <w:t xml:space="preserve"> </w:t>
      </w:r>
      <w:r>
        <w:rPr>
          <w:rFonts w:ascii="Roboto;sans-serif" w:hAnsi="Roboto;sans-serif"/>
          <w:b w:val="false"/>
          <w:color w:val="000000"/>
          <w:sz w:val="18"/>
        </w:rPr>
        <w:t>(“ASC 470-50”). We recorded a $69.8 million gain on early extinguishment of debt during the fiscal year ending June 30, 2024, which includes the write-off of previously deferred debt issuance costs of $6.3 million, which was included within Net gain on debt refinancing on the Consolidated Statements of Operations and Comprehensive Loss within our Annual Report on Form 10-K for the fiscal year ended June 30, 2024.</w:t>
      </w:r>
    </w:p>
    <w:p>
      <w:pPr>
        <w:pStyle w:val="TextBody"/>
        <w:bidi w:val="0"/>
        <w:spacing w:before="0" w:after="0"/>
        <w:jc w:val="both"/>
        <w:rPr/>
      </w:pPr>
      <w:r>
        <w:rPr/>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Termination of Capped Call Transactions</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In connection with the offering of the 2026 Notes, we entered into privately negotiated capped call transactions with certain counterparties (the “Capped Call Transactions”). In the last quarter of fiscal year 2024, we terminated the Capped Call Transactions in their entirety pursuant to negotiated termination agreements with each such counterparty.</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33350"/>
                <wp:effectExtent l="0" t="0" r="0" b="0"/>
                <wp:wrapNone/>
                <wp:docPr id="40" name="Frame40"/>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40</w:t>
                      </w:r>
                    </w:p>
                  </w:txbxContent>
                </v:textbox>
                <w10:wrap type="none"/>
              </v:rect>
            </w:pict>
          </mc:Fallback>
        </mc:AlternateContent>
      </w:r>
    </w:p>
    <w:p>
      <w:pPr>
        <w:pStyle w:val="TextBody"/>
        <w:bidi w:val="0"/>
        <w:spacing w:before="0" w:after="0"/>
        <w:jc w:val="left"/>
        <w:rPr/>
      </w:pPr>
      <w:r>
        <w:rPr/>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Third Amended and Restated Credit Agreement</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On May 30, 2024, we entered into a Third Amended and Restated Credit Agreement (as amended, restated, amended and restated, supplemented or otherwise modified from time to time, the “Third Amended and Restated Credit Agreement”), with JPMorgan Chase Bank, N.A., as administrative agent, and certain banks and financial institutions party thereto as lenders and issuing banks.</w:t>
      </w:r>
    </w:p>
    <w:p>
      <w:pPr>
        <w:pStyle w:val="TextBody"/>
        <w:bidi w:val="0"/>
        <w:spacing w:before="0" w:after="0"/>
        <w:jc w:val="left"/>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Third Amended and Restated Credit Agreement provides for a $1.0 billion term loan facility (the “Term Loan”), which will be due and payable on May 30, 2029. The Term Loan amortizes in quarterly installments of 0.25%, payable at the end of each fiscal quarter and on the maturity date.</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Third Amended and Restated Credit Agreement also provides for a $100.0 million revolving credit facility (the “Revolving Facility”), which will mature on May 30, 2029. We are only required to meet the total liquidity covenant, set at $250.0 million for the last business day of any week, and the subscription revenues covenant, set at $1.2 billion for the four-quarter trailing period, to the extent any revolving loans are borrowed and outstanding.</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The Revolving Facility, when drawn, bears interest at a rate equal to, at our option, either the Alternate Base Rate (as defined in the Third Amended and Restated Credit Agreement) plus 4.00% per annum or the Term SOFR Rate (as defined in the Third Amended and Restated Credit Agreement) plus 5.00% per annum. We are required to pay an annual commitment fee of 0.500% or 0.375% per annum, depending on whether the First Lien Net Leverage Ratio (as defined in the Third Amended and Restated Credit Agreement) is greater or less than 5.00 to 1.00, on a quarterly basis based on the unused portion of the Revolving Facility. </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The Term Loan initially bears interest at a rate equal to, at our option, either the Alternate Base Rate (as defined in the Third Amended and Restated Credit Agreement) plus 5.00% per annum or the Term SOFR Rate (as defined in the Third Amended and Restated Credit Agreement) plus 6.00% per annum. The applicable rate for Alternate Base Rate loans or Term SOFR Rate loans is subject to a 0.50% step down, depending on whether the First Lien Net Leverage Ratio is less than 5.00 to 1.00 as measured on a quarterly basis. Any borrowing at the Alternate Base Rate is subject to a 1.00% floor and the Term SOFR Rate is subject to a 0.00% floor. </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Third Amended and Restated Credit Agreement contains customary affirmative covenants as well as customary negative covenants that restrict our ability to, among other things, incur additional indebtedness, incur liens or grant negative pledges, make loans and investments, conduct certain transactions with affiliates, sell certain assets, enter into certain swap agreements, guarantee obligations of third parties, declare dividends or make certain distributions, and undergo a merger or consolidation or certain other transactions. The Third Amended and Restated Credit Agreement also contains certain customary events of default. Certain baskets and covenant levels have been adjusted and will apply equally to both the Term Loan and Revolving Facility for so long as the Term Loan is outstanding.</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obligations under the Third Amended and Restated Credit Agreement with respect to the Term Loan and the Revolving Facility are secured by substantially all of our assets, with certain exceptions set forth in the Third Amended and Restated Credit Agreement, and are required to be guaranteed by certain material subsidiaries of the Company if, at the end of future financial quarters, certain conditions are not met.</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During the three and nine months ended March 31, 2025, we incurred total commitment fees of $0.1 million and $0.4 million, respectively, and $0.3 million and $1.0 million during the three and nine months ended March 31, 2024, respectively, which are included in Interest expense in the Condensed Consolidated Statements of Operations and Comprehensive Loss.</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As of March 31, 2025, we had drawn the full amount of the Term Loan and had not drawn on the Revolving Facility, and we had $992.5 million total outstanding borrowings under the Third Amended and Restated Credit Agreement.</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In connection with the execution of the Third Amended and Restated Credit Agreement, the Term Loan was accounted for as a modification, extinguishment, or new loan for certain lenders in accordance with ASC 470-50. Accordingly, a discount and debt issuance costs of $10.0 million and $2.3 million, respectively, will be amortized to Interest expense using the effective interest method over the term of the Third Amended and Restated Credit Agreement. Furthermore, we expensed $8.7 million of debt issuance costs incurred and wrote-off $7.5 million of previously deferred debt discount and debt issuance costs, which was included within Net gain on debt refinancing on the Consolidated Statements of Operations and Comprehensive Loss within our Annual Report on Form 10-K for the fiscal year ended June 30, 2024.</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As of March 31, 2025, we had not drawn any amount under the Revolving Facility and as such did not have to test the financial covenants under the Third Amended and Restated Credit Agreement. We are required to pledge or otherwise restrict a portion of cash and cash equivalents as collateral for standby letters of credit. As of March 31, 2025, the Company had outstanding letters of credit totaling $47.7 million, which are classified as Restricted cash on the Condensed Consolidated Balance Sheets.</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Upon entering into the Term Loan, the effective interest rate was 12.4% and the current effective interest rate as of March 31, 2025 is 10.9%.</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33350"/>
                <wp:effectExtent l="0" t="0" r="0" b="0"/>
                <wp:wrapNone/>
                <wp:docPr id="41" name="Frame41"/>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41</w:t>
                      </w:r>
                    </w:p>
                  </w:txbxContent>
                </v:textbox>
                <w10:wrap type="none"/>
              </v:rect>
            </w:pict>
          </mc:Fallback>
        </mc:AlternateContent>
      </w:r>
    </w:p>
    <w:p>
      <w:pPr>
        <w:pStyle w:val="TextBody"/>
        <w:bidi w:val="0"/>
        <w:spacing w:before="0" w:after="0"/>
        <w:jc w:val="left"/>
        <w:rPr/>
      </w:pPr>
      <w:r>
        <w:rPr/>
      </w:r>
    </w:p>
    <w:p>
      <w:pPr>
        <w:pStyle w:val="TextBody"/>
        <w:bidi w:val="0"/>
        <w:spacing w:lineRule="auto" w:line="417" w:before="0" w:after="0"/>
        <w:jc w:val="left"/>
        <w:rPr>
          <w:rFonts w:ascii="Roboto;sans-serif" w:hAnsi="Roboto;sans-serif"/>
          <w:b/>
          <w:i/>
          <w:color w:val="000000"/>
          <w:sz w:val="18"/>
        </w:rPr>
      </w:pPr>
      <w:r>
        <w:rPr>
          <w:rFonts w:ascii="Roboto;sans-serif" w:hAnsi="Roboto;sans-serif"/>
          <w:b/>
          <w:i/>
          <w:color w:val="000000"/>
          <w:sz w:val="18"/>
        </w:rPr>
        <w:t>Cash Flows</w:t>
      </w:r>
    </w:p>
    <w:tbl>
      <w:tblPr>
        <w:tblW w:w="7916" w:type="dxa"/>
        <w:jc w:val="left"/>
        <w:tblInd w:w="0" w:type="dxa"/>
        <w:tblLayout w:type="fixed"/>
        <w:tblCellMar>
          <w:top w:w="28" w:type="dxa"/>
          <w:left w:w="28" w:type="dxa"/>
          <w:bottom w:w="28" w:type="dxa"/>
          <w:right w:w="28" w:type="dxa"/>
        </w:tblCellMar>
      </w:tblPr>
      <w:tblGrid>
        <w:gridCol w:w="1707"/>
        <w:gridCol w:w="1496"/>
        <w:gridCol w:w="1506"/>
        <w:gridCol w:w="299"/>
        <w:gridCol w:w="935"/>
        <w:gridCol w:w="144"/>
        <w:gridCol w:w="144"/>
        <w:gridCol w:w="144"/>
        <w:gridCol w:w="144"/>
        <w:gridCol w:w="299"/>
        <w:gridCol w:w="895"/>
        <w:gridCol w:w="203"/>
      </w:tblGrid>
      <w:tr>
        <w:trPr/>
        <w:tc>
          <w:tcPr>
            <w:tcW w:w="1707"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47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Nine Months Ended March 31,</w:t>
            </w:r>
          </w:p>
        </w:tc>
      </w:tr>
      <w:tr>
        <w:trPr/>
        <w:tc>
          <w:tcPr>
            <w:tcW w:w="470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3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2025</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2024</w:t>
            </w:r>
          </w:p>
        </w:tc>
      </w:tr>
      <w:tr>
        <w:trPr/>
        <w:tc>
          <w:tcPr>
            <w:tcW w:w="470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0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cash provided by (used in) operating activities</w:t>
            </w:r>
          </w:p>
        </w:tc>
        <w:tc>
          <w:tcPr>
            <w:tcW w:w="2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215.9 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(98.8)</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cash (used in) provided by investing activities</w:t>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(0.4)</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33.5 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Net cash provided by financing activities</w:t>
            </w:r>
          </w:p>
        </w:tc>
        <w:tc>
          <w:tcPr>
            <w:tcW w:w="12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29.0 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417" w:before="120" w:after="283"/>
        <w:jc w:val="both"/>
        <w:rPr>
          <w:rFonts w:ascii="Roboto;sans-serif" w:hAnsi="Roboto;sans-serif"/>
          <w:b w:val="false"/>
          <w:i/>
          <w:color w:val="000000"/>
          <w:sz w:val="18"/>
        </w:rPr>
      </w:pPr>
      <w:r>
        <w:rPr>
          <w:rFonts w:ascii="Roboto;sans-serif" w:hAnsi="Roboto;sans-serif"/>
          <w:b w:val="false"/>
          <w:i/>
          <w:color w:val="000000"/>
          <w:sz w:val="18"/>
        </w:rPr>
        <w:t>Operating Activities</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Net cash provided by operating activities of $215.9 million for the nine months ended March 31, 2025 was primarily related to non-cash adjustments of $339.5 million and a net decrease in operating assets and liabilities of $16.8 million, partially offset by a net loss of $140.5 million. Non-cash adjustments primarily consisted of $176.2 million of stock-based compensation expense, $68.8 million of depreciation and amortization, $52.3 million of impairment expense, and $41.9 million of non-cash operating lease expense. The decrease in operating assets and liabilities was primarily due to a $125.0 million decrease in net inventory levels and a $25.2 million decrease in prepaid expenses and other current assets, partially offset by a $79.5 million decrease in accounts payable and accrued expenses and a $64.1 million decrease in net operating lease liabilities due to lease payments and lease terminations as we continue to reduce our real estate footprint through our 2024 Restructuring Plan efforts.</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increase in cash provided by operating activities during the nine months ended March 31, 2025 compared to the nine months ended March 31, 2024, was driven by operating expense reductions following the 2024 Restructuring Plan and gross profit improvements.</w:t>
      </w:r>
    </w:p>
    <w:p>
      <w:pPr>
        <w:pStyle w:val="TextBody"/>
        <w:bidi w:val="0"/>
        <w:spacing w:before="0" w:after="0"/>
        <w:jc w:val="both"/>
        <w:rPr/>
      </w:pPr>
      <w:r>
        <w:rPr/>
      </w:r>
    </w:p>
    <w:p>
      <w:pPr>
        <w:pStyle w:val="TextBody"/>
        <w:bidi w:val="0"/>
        <w:spacing w:lineRule="auto" w:line="417" w:before="0" w:after="0"/>
        <w:jc w:val="both"/>
        <w:rPr>
          <w:rFonts w:ascii="Roboto;sans-serif" w:hAnsi="Roboto;sans-serif"/>
          <w:b w:val="false"/>
          <w:i/>
          <w:color w:val="000000"/>
          <w:sz w:val="18"/>
        </w:rPr>
      </w:pPr>
      <w:r>
        <w:rPr>
          <w:rFonts w:ascii="Roboto;sans-serif" w:hAnsi="Roboto;sans-serif"/>
          <w:b w:val="false"/>
          <w:i/>
          <w:color w:val="000000"/>
          <w:sz w:val="18"/>
        </w:rPr>
        <w:t>Investing activities</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Net cash used in investing activities of $0.4 million for the nine months ended March 31, 2025 was primarily related to $4.6 million used for capital expenditures, partially offset by $4.2 million in proceeds from the sale of the remaining Peloton Output Park land parcel.</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decrease in cash provided by investing activities during the nine months ended March 31, 2025 compared to the nine months ended March 31, 2024 is due to less cash proceeds from the sale of the remaining Peloton Output Park land parcel during the nine months ended March 31, 2025 when compared to the proceeds received from the sale of Peloton Output Park and a manufacturing subsidiary in Taiwan during the nine months ended March 31, 2024, partially offset by fewer capital expenditures during the nine months ended March 31, 2025.</w:t>
      </w:r>
    </w:p>
    <w:p>
      <w:pPr>
        <w:pStyle w:val="TextBody"/>
        <w:bidi w:val="0"/>
        <w:spacing w:before="0" w:after="0"/>
        <w:jc w:val="both"/>
        <w:rPr/>
      </w:pPr>
      <w:r>
        <w:rPr/>
      </w:r>
    </w:p>
    <w:p>
      <w:pPr>
        <w:pStyle w:val="TextBody"/>
        <w:bidi w:val="0"/>
        <w:spacing w:lineRule="auto" w:line="417" w:before="0" w:after="0"/>
        <w:jc w:val="both"/>
        <w:rPr>
          <w:rFonts w:ascii="Roboto;sans-serif" w:hAnsi="Roboto;sans-serif"/>
          <w:b w:val="false"/>
          <w:i/>
          <w:color w:val="000000"/>
          <w:sz w:val="18"/>
        </w:rPr>
      </w:pPr>
      <w:r>
        <w:rPr>
          <w:rFonts w:ascii="Roboto;sans-serif" w:hAnsi="Roboto;sans-serif"/>
          <w:b w:val="false"/>
          <w:i/>
          <w:color w:val="000000"/>
          <w:sz w:val="18"/>
        </w:rPr>
        <w:t>Financing activities</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Net cash provided by financing activities of $2.1 million for the nine months ended March 31, 2025 was primarily related to net proceeds from option exercises under our employee stock plans and purchases under the ESPP of $9.7 million, partially offset by $7.5 million in principal repayments on the Term Loan. A reduction in proceeds from option exercises under our employee stock plans during the nine months ended March 31, 2025 contributed to a decrease in net cash provided by financing activities compared to the nine months ended March 31, 2024.</w:t>
      </w:r>
    </w:p>
    <w:p>
      <w:pPr>
        <w:pStyle w:val="TextBody"/>
        <w:bidi w:val="0"/>
        <w:spacing w:before="0" w:after="0"/>
        <w:jc w:val="both"/>
        <w:rPr/>
      </w:pPr>
      <w:r>
        <w:rPr/>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Commitments</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As of March 31, 2025, our contractual obligations were as follows:</w:t>
      </w:r>
    </w:p>
    <w:tbl>
      <w:tblPr>
        <w:tblW w:w="10205" w:type="dxa"/>
        <w:jc w:val="left"/>
        <w:tblInd w:w="0" w:type="dxa"/>
        <w:tblLayout w:type="fixed"/>
        <w:tblCellMar>
          <w:top w:w="28" w:type="dxa"/>
          <w:left w:w="28" w:type="dxa"/>
          <w:bottom w:w="28" w:type="dxa"/>
          <w:right w:w="28" w:type="dxa"/>
        </w:tblCellMar>
      </w:tblPr>
      <w:tblGrid>
        <w:gridCol w:w="1127"/>
        <w:gridCol w:w="993"/>
        <w:gridCol w:w="996"/>
        <w:gridCol w:w="226"/>
        <w:gridCol w:w="886"/>
        <w:gridCol w:w="109"/>
        <w:gridCol w:w="109"/>
        <w:gridCol w:w="109"/>
        <w:gridCol w:w="109"/>
        <w:gridCol w:w="237"/>
        <w:gridCol w:w="743"/>
        <w:gridCol w:w="116"/>
        <w:gridCol w:w="109"/>
        <w:gridCol w:w="109"/>
        <w:gridCol w:w="109"/>
        <w:gridCol w:w="226"/>
        <w:gridCol w:w="706"/>
        <w:gridCol w:w="109"/>
        <w:gridCol w:w="109"/>
        <w:gridCol w:w="109"/>
        <w:gridCol w:w="109"/>
        <w:gridCol w:w="226"/>
        <w:gridCol w:w="886"/>
        <w:gridCol w:w="109"/>
        <w:gridCol w:w="109"/>
        <w:gridCol w:w="109"/>
        <w:gridCol w:w="109"/>
        <w:gridCol w:w="249"/>
        <w:gridCol w:w="780"/>
        <w:gridCol w:w="173"/>
      </w:tblGrid>
      <w:tr>
        <w:trPr/>
        <w:tc>
          <w:tcPr>
            <w:tcW w:w="1127"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3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9"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Payments due by period</w:t>
            </w:r>
          </w:p>
        </w:tc>
      </w:tr>
      <w:tr>
        <w:trPr/>
        <w:tc>
          <w:tcPr>
            <w:tcW w:w="31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color w:val="000000"/>
                <w:sz w:val="18"/>
              </w:rPr>
            </w:pPr>
            <w:r>
              <w:rPr>
                <w:rFonts w:ascii="Roboto;sans-serif" w:hAnsi="Roboto;sans-serif"/>
                <w:b/>
                <w:color w:val="000000"/>
                <w:sz w:val="18"/>
              </w:rPr>
              <w:t>Contractual obligations:</w:t>
            </w:r>
          </w:p>
        </w:tc>
        <w:tc>
          <w:tcPr>
            <w:tcW w:w="122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Less than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1-3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3-5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More than</w:t>
            </w:r>
          </w:p>
        </w:tc>
      </w:tr>
      <w:tr>
        <w:trPr/>
        <w:tc>
          <w:tcPr>
            <w:tcW w:w="3116" w:type="dxa"/>
            <w:gridSpan w:val="3"/>
            <w:vMerge w:val="continue"/>
            <w:tcBorders/>
            <w:tcMar>
              <w:top w:w="0" w:type="dxa"/>
              <w:left w:w="0" w:type="dxa"/>
              <w:bottom w:w="0" w:type="dxa"/>
              <w:right w:w="0" w:type="dxa"/>
            </w:tcMar>
            <w:vAlign w:val="center"/>
          </w:tcPr>
          <w:p>
            <w:pPr>
              <w:pStyle w:val="Normal"/>
              <w:bidi w:val="0"/>
              <w:jc w:val="left"/>
              <w:rPr/>
            </w:pPr>
            <w:r>
              <w:rPr/>
            </w:r>
          </w:p>
        </w:tc>
        <w:tc>
          <w:tcPr>
            <w:tcW w:w="122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1 year</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5 years</w:t>
            </w:r>
          </w:p>
        </w:tc>
      </w:tr>
      <w:tr>
        <w:trPr/>
        <w:tc>
          <w:tcPr>
            <w:tcW w:w="3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9" w:type="dxa"/>
            <w:gridSpan w:val="27"/>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 millions)</w:t>
            </w:r>
          </w:p>
        </w:tc>
      </w:tr>
      <w:tr>
        <w:trPr/>
        <w:tc>
          <w:tcPr>
            <w:tcW w:w="31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8"/>
              </w:rPr>
              <w:t xml:space="preserve">Lease obligations </w:t>
            </w:r>
            <w:r>
              <w:rPr>
                <w:rFonts w:ascii="Roboto;sans-serif" w:hAnsi="Roboto;sans-serif"/>
                <w:b w:val="false"/>
                <w:color w:val="000000"/>
                <w:sz w:val="12"/>
              </w:rPr>
              <w:t>(1)</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636.8 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94.2 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279.7 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8"/>
              </w:rPr>
              <w:t xml:space="preserve">Minimum guarantees </w:t>
            </w:r>
            <w:r>
              <w:rPr>
                <w:rFonts w:ascii="Roboto;sans-serif" w:hAnsi="Roboto;sans-serif"/>
                <w:b w:val="false"/>
                <w:color w:val="000000"/>
                <w:sz w:val="12"/>
              </w:rPr>
              <w:t>(2)</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107.5 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8"/>
              </w:rPr>
              <w:t xml:space="preserve">Unused credit facility fee payments </w:t>
            </w:r>
            <w:r>
              <w:rPr>
                <w:rFonts w:ascii="Roboto;sans-serif" w:hAnsi="Roboto;sans-serif"/>
                <w:b w:val="false"/>
                <w:color w:val="000000"/>
                <w:sz w:val="12"/>
              </w:rPr>
              <w:t>(3)</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8"/>
              </w:rPr>
              <w:t xml:space="preserve">Other purchase obligations </w:t>
            </w:r>
            <w:r>
              <w:rPr>
                <w:rFonts w:ascii="Roboto;sans-serif" w:hAnsi="Roboto;sans-serif"/>
                <w:b w:val="false"/>
                <w:color w:val="000000"/>
                <w:sz w:val="12"/>
              </w:rPr>
              <w:t>(4)</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72.9 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47.1 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8"/>
              </w:rPr>
              <w:t xml:space="preserve">Convertible senior notes </w:t>
            </w:r>
            <w:r>
              <w:rPr>
                <w:rFonts w:ascii="Roboto;sans-serif" w:hAnsi="Roboto;sans-serif"/>
                <w:b w:val="false"/>
                <w:color w:val="000000"/>
                <w:sz w:val="12"/>
              </w:rPr>
              <w:t>(5)</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549.0 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199.0 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Roboto;sans-serif" w:hAnsi="Roboto;sans-serif"/>
                <w:b w:val="false"/>
                <w:color w:val="000000"/>
                <w:sz w:val="18"/>
              </w:rPr>
              <w:t xml:space="preserve">Term loan </w:t>
            </w:r>
            <w:r>
              <w:rPr>
                <w:rFonts w:ascii="Roboto;sans-serif" w:hAnsi="Roboto;sans-serif"/>
                <w:b w:val="false"/>
                <w:color w:val="000000"/>
                <w:sz w:val="12"/>
              </w:rPr>
              <w:t>(5)</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10.0 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962.5 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Total</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2,376.5 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458.3 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215.6 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1,422.9 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279.7 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rFonts w:ascii="Roboto;sans-serif" w:hAnsi="Roboto;sans-serif"/>
          <w:b w:val="false"/>
          <w:color w:val="000000"/>
          <w:sz w:val="18"/>
        </w:rPr>
      </w:pPr>
      <w:r>
        <w:rPr>
          <w:rFonts w:ascii="Roboto;sans-serif" w:hAnsi="Roboto;sans-serif"/>
          <w:b w:val="false"/>
          <w:color w:val="000000"/>
          <w:sz w:val="18"/>
        </w:rPr>
        <w:t>______________________</w:t>
      </w:r>
    </w:p>
    <w:p>
      <w:pPr>
        <w:pStyle w:val="TextBody"/>
        <w:bidi w:val="0"/>
        <w:spacing w:lineRule="auto" w:line="288" w:before="0" w:after="60"/>
        <w:jc w:val="both"/>
        <w:rPr>
          <w:rFonts w:ascii="Roboto;sans-serif" w:hAnsi="Roboto;sans-serif"/>
          <w:b w:val="false"/>
          <w:color w:val="050505"/>
          <w:sz w:val="14"/>
        </w:rPr>
      </w:pPr>
      <w:r>
        <w:rPr>
          <w:rFonts w:ascii="Roboto;sans-serif" w:hAnsi="Roboto;sans-serif"/>
          <w:b w:val="false"/>
          <w:color w:val="050505"/>
          <w:sz w:val="14"/>
        </w:rPr>
        <w:t>(1) Lease obligations relate to our office space, warehouses, production studios, retail locations, and equipment. The original lease terms are between one and 21 years, and the majority of the lease agreements are renewable at the end of the lease period. The Company has finance lease obligations of $0.2 million, also included above.</w:t>
      </w:r>
    </w:p>
    <w:p>
      <w:pPr>
        <w:pStyle w:val="TextBody"/>
        <w:bidi w:val="0"/>
        <w:spacing w:lineRule="auto" w:line="288" w:before="0" w:after="60"/>
        <w:jc w:val="both"/>
        <w:rPr/>
      </w:pPr>
      <w:r>
        <w:rPr>
          <w:rFonts w:ascii="Roboto;sans-serif" w:hAnsi="Roboto;sans-serif"/>
          <w:b w:val="false"/>
          <w:color w:val="050505"/>
          <w:sz w:val="14"/>
        </w:rPr>
        <w:t xml:space="preserve">(2) We are subject to minimum royalty payments associated with our license agreements for the use of licensed content. See </w:t>
      </w:r>
      <w:r>
        <w:rPr>
          <w:color w:val="050505"/>
        </w:rPr>
        <w:t>“</w:t>
      </w:r>
      <w:r>
        <w:rPr>
          <w:rFonts w:ascii="Roboto;sans-serif" w:hAnsi="Roboto;sans-serif"/>
          <w:b w:val="false"/>
          <w:i/>
          <w:color w:val="050505"/>
          <w:sz w:val="14"/>
        </w:rPr>
        <w:t>Risk Factors — Risks Related to Our Business— We depend upon third-party licenses for the use of music in our content. An adverse change to, loss of, or claim that we do not hold necessary licenses may have an adverse effect on our business, operating results, and financial condition</w:t>
      </w:r>
      <w:r>
        <w:rPr>
          <w:color w:val="000000"/>
        </w:rPr>
        <w:t xml:space="preserve">” </w:t>
      </w:r>
      <w:r>
        <w:rPr>
          <w:rFonts w:ascii="Roboto;sans-serif" w:hAnsi="Roboto;sans-serif"/>
          <w:b w:val="false"/>
          <w:color w:val="000000"/>
          <w:sz w:val="14"/>
        </w:rPr>
        <w:t>in our Form 10-K.</w:t>
      </w:r>
    </w:p>
    <w:p>
      <w:pPr>
        <w:pStyle w:val="TextBody"/>
        <w:bidi w:val="0"/>
        <w:spacing w:lineRule="auto" w:line="288" w:before="0" w:after="60"/>
        <w:jc w:val="both"/>
        <w:rPr>
          <w:rFonts w:ascii="Roboto;sans-serif" w:hAnsi="Roboto;sans-serif"/>
          <w:b w:val="false"/>
          <w:color w:val="000000"/>
          <w:sz w:val="14"/>
        </w:rPr>
      </w:pPr>
      <w:r>
        <w:rPr>
          <w:rFonts w:ascii="Roboto;sans-serif" w:hAnsi="Roboto;sans-serif"/>
          <w:b w:val="false"/>
          <w:color w:val="000000"/>
          <w:sz w:val="14"/>
        </w:rPr>
        <w:t>(3) Pursuant to the Third Amended and Restated Credit Agreement, we are required to pay a commitment fee of 0.500% or 0.375% per annum, depending on whether the First Lien Net Leverage Ratio (as defined in the Third Amended and Restated Credit Agreement) is greater or less than 5.00 to 1.00, on a quarterly basis based on the unused portion of the Revolving Facility.</w:t>
      </w:r>
    </w:p>
    <w:p>
      <w:pPr>
        <w:pStyle w:val="TextBody"/>
        <w:bidi w:val="0"/>
        <w:spacing w:lineRule="auto" w:line="288" w:before="0" w:after="60"/>
        <w:jc w:val="both"/>
        <w:rPr>
          <w:rFonts w:ascii="Roboto;sans-serif" w:hAnsi="Roboto;sans-serif"/>
          <w:b w:val="false"/>
          <w:color w:val="000000"/>
          <w:sz w:val="14"/>
        </w:rPr>
      </w:pPr>
      <w:r>
        <w:rPr>
          <w:rFonts w:ascii="Roboto;sans-serif" w:hAnsi="Roboto;sans-serif"/>
          <w:b w:val="false"/>
          <w:color w:val="000000"/>
          <w:sz w:val="14"/>
        </w:rPr>
        <w:t>(4) Other purchase obligations include all other non-cancelable contractual obligations. These contracts are primarily related to cloud computing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33350"/>
                <wp:effectExtent l="0" t="0" r="0" b="0"/>
                <wp:wrapNone/>
                <wp:docPr id="42" name="Frame42"/>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pPr>
      <w:r>
        <w:rPr>
          <w:rFonts w:ascii="Roboto;sans-serif" w:hAnsi="Roboto;sans-serif"/>
          <w:b w:val="false"/>
          <w:color w:val="000000"/>
          <w:sz w:val="14"/>
        </w:rPr>
        <w:t xml:space="preserve">(5) Refer to </w:t>
      </w:r>
      <w:r>
        <w:rPr>
          <w:rFonts w:ascii="Roboto;sans-serif" w:hAnsi="Roboto;sans-serif"/>
          <w:b w:val="false"/>
          <w:i/>
          <w:color w:val="000000"/>
          <w:sz w:val="14"/>
        </w:rPr>
        <w:t>Note 7 - Debt</w:t>
      </w:r>
      <w:r>
        <w:rPr>
          <w:color w:val="000000"/>
        </w:rPr>
        <w:t xml:space="preserve"> </w:t>
      </w:r>
      <w:r>
        <w:rPr>
          <w:rFonts w:ascii="Roboto;sans-serif" w:hAnsi="Roboto;sans-serif"/>
          <w:b w:val="false"/>
          <w:color w:val="000000"/>
          <w:sz w:val="14"/>
        </w:rPr>
        <w:t>in the Notes to Condensed Consolidated Financial Statements in Part I, Item 1 of this Quarterly Report on Form 10-Q for further details regarding our 2026 Notes and 2029 Notes and Term Loan obligations.</w:t>
      </w:r>
    </w:p>
    <w:p>
      <w:pPr>
        <w:pStyle w:val="TextBody"/>
        <w:bidi w:val="0"/>
        <w:spacing w:before="0" w:after="6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The commitment amounts in the table above are associated with contracts that are enforceable and legally binding and that specify all significant terms, including fixed or minimum services to be used, fixed, minimum or variable price provisions, and the approximate timing of the actions under the contracts.</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We utilize contract manufacturers to build our products and accessories. These contract manufacturers acquire components and build products based on demand forecast information we supply, which typically covers a rolling 12-month period. Consistent with industry practice, we acquire inventories from such manufacturers through purchase orders against which orders are applied based on projected demand information and availability of goods. Such purchase commitments typically cover our forecasted product and manufacturing requirements for periods that range a number of months. In certain instances, these agreements allow us the option to cancel, reschedule, and/or adjust our requirements based on our business needs for a period of time before the order is due to be fulfilled. While our purchase orders are legally cancellable in many situations, some purchase orders are not cancellable in the event of a demand plan change or other circumstances, such as where the supplier has procured unique, Peloton-specific designs, and/or specific non-cancellable, non-returnable components based on our provided forecasts. </w:t>
      </w:r>
    </w:p>
    <w:p>
      <w:pPr>
        <w:pStyle w:val="TextBody"/>
        <w:bidi w:val="0"/>
        <w:spacing w:before="0" w:after="0"/>
        <w:jc w:val="both"/>
        <w:rPr/>
      </w:pPr>
      <w:r>
        <w:rPr/>
      </w:r>
    </w:p>
    <w:p>
      <w:pPr>
        <w:pStyle w:val="TextBody"/>
        <w:bidi w:val="0"/>
        <w:spacing w:lineRule="auto" w:line="288" w:before="0" w:after="0"/>
        <w:jc w:val="both"/>
        <w:rPr/>
      </w:pPr>
      <w:r>
        <w:rPr>
          <w:rFonts w:ascii="Roboto;sans-serif" w:hAnsi="Roboto;sans-serif"/>
          <w:b w:val="false"/>
          <w:color w:val="000000"/>
          <w:sz w:val="18"/>
        </w:rPr>
        <w:t xml:space="preserve">As of March 31, 2025, our commitments to contract with third-party manufacturers for their inventory on-hand and component purchase commitments related to the manufacture of our products were estimated to be approximately $83.3 million. See </w:t>
      </w:r>
      <w:r>
        <w:rPr>
          <w:color w:val="000000"/>
        </w:rPr>
        <w:t>“</w:t>
      </w:r>
      <w:r>
        <w:rPr>
          <w:rFonts w:ascii="Roboto;sans-serif" w:hAnsi="Roboto;sans-serif"/>
          <w:b w:val="false"/>
          <w:i/>
          <w:color w:val="000000"/>
          <w:sz w:val="18"/>
        </w:rPr>
        <w:t>Risk Factors—Risks Related to Our Business—Our operating results have been, and could in the future be, adversely affected if we are unable to accurately forecast consumer demand for our products and services and adequately manage our inventory</w:t>
      </w:r>
      <w:r>
        <w:rPr>
          <w:color w:val="000000"/>
        </w:rPr>
        <w:t xml:space="preserve">” </w:t>
      </w:r>
      <w:r>
        <w:rPr>
          <w:rFonts w:ascii="Roboto;sans-serif" w:hAnsi="Roboto;sans-serif"/>
          <w:b w:val="false"/>
          <w:color w:val="000000"/>
          <w:sz w:val="18"/>
        </w:rPr>
        <w:t>in our Form 10-K.</w:t>
      </w:r>
    </w:p>
    <w:p>
      <w:pPr>
        <w:pStyle w:val="TextBody"/>
        <w:bidi w:val="0"/>
        <w:spacing w:before="0" w:after="0"/>
        <w:jc w:val="both"/>
        <w:rPr/>
      </w:pPr>
      <w:r>
        <w:rPr/>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Off-Balance Sheet Arrangements</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We did not have any undisclosed off-balance sheet arrangements as of March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center"/>
        <w:rPr>
          <w:rFonts w:ascii="Roboto;sans-serif" w:hAnsi="Roboto;sans-serif"/>
          <w:b/>
          <w:color w:val="000000"/>
          <w:sz w:val="18"/>
        </w:rPr>
      </w:pPr>
      <w:r>
        <w:rPr>
          <w:rFonts w:ascii="Roboto;sans-serif" w:hAnsi="Roboto;sans-serif"/>
          <w:b/>
          <w:color w:val="000000"/>
          <w:sz w:val="18"/>
        </w:rPr>
        <w:t>Critical Accounting Estimates</w:t>
      </w:r>
    </w:p>
    <w:p>
      <w:pPr>
        <w:pStyle w:val="TextBody"/>
        <w:bidi w:val="0"/>
        <w:spacing w:lineRule="auto" w:line="288" w:before="0" w:after="0"/>
        <w:jc w:val="both"/>
        <w:rPr/>
      </w:pPr>
      <w:r>
        <w:rPr>
          <w:rFonts w:ascii="Roboto;sans-serif" w:hAnsi="Roboto;sans-serif"/>
          <w:b w:val="false"/>
          <w:color w:val="000000"/>
          <w:sz w:val="18"/>
        </w:rPr>
        <w:t xml:space="preserve">Our discussion and analysis of our financial condition and results of operations are based upon our condensed consolidated financial statements, which have been prepared in accordance with GAAP. In preparing the condensed consolidated financial statements, we make estimates and judgments that affect the reported amounts of assets, liabilities, stockholders’ equity, revenue, expenses, and related disclosures. We re-evaluate our estimates on an on-going basis. Our estimates are based on historical experience and on various other assumptions that we believe to be reasonable under the circumstances. Because of the uncertainty inherent in these matters, actual results may differ from these estimates and could differ based upon other assumptions or conditions. The critical accounting policies that reflect our more significant judgments and estimates used in the preparation of our condensed consolidated financial statements include those described in </w:t>
      </w:r>
      <w:r>
        <w:rPr>
          <w:color w:val="000000"/>
        </w:rPr>
        <w:t>“</w:t>
      </w:r>
      <w:r>
        <w:rPr>
          <w:rFonts w:ascii="Roboto;sans-serif" w:hAnsi="Roboto;sans-serif"/>
          <w:b w:val="false"/>
          <w:i/>
          <w:color w:val="000000"/>
          <w:sz w:val="18"/>
        </w:rPr>
        <w:t>Management's Discussion and Analysis of Financial Condition and Results of Operations—Critical Accounting Estimates”</w:t>
      </w:r>
      <w:r>
        <w:rPr>
          <w:color w:val="000000"/>
        </w:rPr>
        <w:t xml:space="preserve"> </w:t>
      </w:r>
      <w:r>
        <w:rPr>
          <w:rFonts w:ascii="Roboto;sans-serif" w:hAnsi="Roboto;sans-serif"/>
          <w:b w:val="false"/>
          <w:color w:val="000000"/>
          <w:sz w:val="18"/>
        </w:rPr>
        <w:t>in Part I, Item 7 of our Form 10-K. There have been no significant changes to these accounting policies and estimates for the three and nine months ended March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center"/>
        <w:rPr>
          <w:rFonts w:ascii="Roboto;sans-serif" w:hAnsi="Roboto;sans-serif"/>
          <w:b/>
          <w:color w:val="000000"/>
          <w:sz w:val="18"/>
        </w:rPr>
      </w:pPr>
      <w:r>
        <w:rPr>
          <w:rFonts w:ascii="Roboto;sans-serif" w:hAnsi="Roboto;sans-serif"/>
          <w:b/>
          <w:color w:val="000000"/>
          <w:sz w:val="18"/>
        </w:rPr>
        <w:t>Recent Accounting Pronouncements</w:t>
      </w:r>
    </w:p>
    <w:p>
      <w:pPr>
        <w:pStyle w:val="TextBody"/>
        <w:bidi w:val="0"/>
        <w:spacing w:lineRule="auto" w:line="288" w:before="0" w:after="0"/>
        <w:jc w:val="both"/>
        <w:rPr/>
      </w:pPr>
      <w:r>
        <w:rPr>
          <w:rFonts w:ascii="Roboto;sans-serif" w:hAnsi="Roboto;sans-serif"/>
          <w:b w:val="false"/>
          <w:color w:val="000000"/>
          <w:sz w:val="18"/>
        </w:rPr>
        <w:t xml:space="preserve">See </w:t>
      </w:r>
      <w:r>
        <w:rPr>
          <w:rFonts w:ascii="Roboto;sans-serif" w:hAnsi="Roboto;sans-serif"/>
          <w:b w:val="false"/>
          <w:i/>
          <w:color w:val="000000"/>
          <w:sz w:val="18"/>
        </w:rPr>
        <w:t>Note 2 - Summary of Significant Accounting Policies</w:t>
      </w:r>
      <w:r>
        <w:rPr>
          <w:color w:val="000000"/>
        </w:rPr>
        <w:t xml:space="preserve"> </w:t>
      </w:r>
      <w:r>
        <w:rPr>
          <w:rFonts w:ascii="Roboto;sans-serif" w:hAnsi="Roboto;sans-serif"/>
          <w:b w:val="false"/>
          <w:color w:val="000000"/>
          <w:sz w:val="18"/>
        </w:rPr>
        <w:t xml:space="preserve">in the Notes to Condensed Consolidated Financial Statements in Part I, Item 1 of this Quarterly Report on Form 10-Q under the section titled </w:t>
      </w:r>
      <w:r>
        <w:rPr>
          <w:color w:val="000000"/>
        </w:rPr>
        <w:t>“</w:t>
      </w:r>
      <w:r>
        <w:rPr>
          <w:rFonts w:ascii="Roboto;sans-serif" w:hAnsi="Roboto;sans-serif"/>
          <w:b w:val="false"/>
          <w:i/>
          <w:color w:val="000000"/>
          <w:sz w:val="18"/>
        </w:rPr>
        <w:t>Recently Issued Accounting Pronouncements”</w:t>
      </w:r>
      <w:r>
        <w:rPr>
          <w:color w:val="000000"/>
        </w:rPr>
        <w:t xml:space="preserve"> </w:t>
      </w:r>
      <w:r>
        <w:rPr>
          <w:rFonts w:ascii="Roboto;sans-serif" w:hAnsi="Roboto;sans-serif"/>
          <w:b w:val="false"/>
          <w:color w:val="000000"/>
          <w:sz w:val="18"/>
        </w:rPr>
        <w:t>for a discussion about new accounting pronouncements adopted and not yet adopted as of the date of this Quarterly Report on Form 10-Q.</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Roboto;sans-serif" w:hAnsi="Roboto;sans-serif"/>
          <w:b/>
          <w:color w:val="000000"/>
          <w:sz w:val="18"/>
        </w:rPr>
      </w:pPr>
      <w:r>
        <w:rPr>
          <w:rFonts w:ascii="Roboto;sans-serif" w:hAnsi="Roboto;sans-serif"/>
          <w:b/>
          <w:color w:val="000000"/>
          <w:sz w:val="18"/>
        </w:rPr>
        <w:t>Item 3. Quantitative and Qualitative Disclosures About Market Risk</w:t>
      </w:r>
    </w:p>
    <w:p>
      <w:pPr>
        <w:pStyle w:val="TextBody"/>
        <w:bidi w:val="0"/>
        <w:spacing w:before="0" w:after="0"/>
        <w:jc w:val="both"/>
        <w:rPr/>
      </w:pPr>
      <w:r>
        <w:rPr/>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Interest Rate Risk</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We had Cash and cash equivalents of $914.3 million as of March 31, 2025. The primary objective of our investment activities is the preservation of capital, and we do not enter into investments for trading or speculative purposes. We have not been exposed, nor do we anticipate being exposed, to material risks due to changes in interest rates. A hypothetical 10% increase in interest rates during any of the periods presented in this Quarterly Report on Form 10-Q would not have had a material impact on our condensed consolidated financial statements.</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We are primarily exposed to changes in short-term interest rates with respect to our cost of borrowing under our Third Amended and Restated Credit Agreement. We monitor our cost of borrowing under our facilities, taking into account our funding requirements, and our expectations for short-term rates in the future. A hypothetical 10% change in the interest rate on our Third Amended and Restated Credit Agreement for all periods presented would not have a material impact on our condensed consolidated financial statements.</w:t>
      </w:r>
    </w:p>
    <w:p>
      <w:pPr>
        <w:pStyle w:val="TextBody"/>
        <w:bidi w:val="0"/>
        <w:spacing w:before="0" w:after="0"/>
        <w:jc w:val="both"/>
        <w:rPr/>
      </w:pPr>
      <w:r>
        <w:rPr/>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Foreign Currency Risk</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Our international sales are primarily denominated in foreign currencies and any unfavorable movement in the exchange rate between U.S. dollars and the currencies in which we conduct sales in foreign countries could have an adverse impact on our revenue. We source and manufacture inventory primarily in U.S. dollars and Taiwanese dollars. A portion of our operating expenses is incurred outside the United States and are denominated in foreign currencies, which are also subject to fluctuations due to changes in foreign currency exchange rates. For example, some of our contract manufacturing takes place in Taiwan and the related agreements are denominated in foreign currencies and not in U.S. dollars. Further, certain of our manufacturing agreements provide for fixed costs of our Connected Fitness Products and hardware in Taiwanese dollars but provide for payment in U.S. dollars based on the then-current Taiwanese dollar to U.S. dollar spot rate. In addition, our suppliers incur many costs, including labor and supply costs, in other currencies. While we are not currently contractually obligated to pay increased costs due to changes in exchange rates, to the extent that exchange rates move unfavorably for our suppliers, they may seek to pass these additional costs on to us, which could have a material impact on our gross margins. Our operating results and cash flows are, therefore, subject to fluctuations due to changes in foreign currency exchange rates. We have the ability to use derivative instruments, such as foreign currency forwards,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33350"/>
                <wp:effectExtent l="0" t="0" r="0" b="0"/>
                <wp:wrapNone/>
                <wp:docPr id="43" name="Frame43"/>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have the ability to use option contracts, to hedge certain exposures to fluctuations in foreign currency exchange rates. Our exposure to foreign currency exchange rates historically has been partially hedged as our foreign currency denominated inflows create a natural hedge against our foreign currency denominated expenses.</w:t>
      </w:r>
    </w:p>
    <w:p>
      <w:pPr>
        <w:pStyle w:val="TextBody"/>
        <w:bidi w:val="0"/>
        <w:spacing w:before="0" w:after="0"/>
        <w:jc w:val="both"/>
        <w:rPr/>
      </w:pPr>
      <w:r>
        <w:rPr/>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Inflation Risk</w:t>
      </w:r>
    </w:p>
    <w:p>
      <w:pPr>
        <w:pStyle w:val="TextBody"/>
        <w:bidi w:val="0"/>
        <w:spacing w:lineRule="auto" w:line="288" w:before="0" w:after="240"/>
        <w:jc w:val="both"/>
        <w:rPr>
          <w:rFonts w:ascii="Roboto;sans-serif" w:hAnsi="Roboto;sans-serif"/>
          <w:b w:val="false"/>
          <w:color w:val="000000"/>
          <w:sz w:val="18"/>
        </w:rPr>
      </w:pPr>
      <w:r>
        <w:rPr>
          <w:rFonts w:ascii="Roboto;sans-serif" w:hAnsi="Roboto;sans-serif"/>
          <w:b w:val="false"/>
          <w:color w:val="000000"/>
          <w:sz w:val="18"/>
        </w:rPr>
        <w:t>As a result of inflationary conditions, there have been and may continue to be additional pressures on the ongoing increases in supply chain and logistics costs, materials costs, and labor costs. While it is difficult to accurately measure the impact of inflation due to the imprecise nature of the estimates required, we have recently experienced the effects of inflation on our results of operations and financial condition. Our business may continue to be impacted by inflation in the future which could have an adverse effect on our ability to maintain current levels of gross margin and operating expenses as a percentage of net revenue if we are unable to fully offset such higher costs through price increases. Additionally, because we purchase component parts from our suppliers, we may be adversely impacted by their inability to adequately mitigate inflationary, industry, or economic pressures.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both"/>
        <w:rPr>
          <w:rFonts w:ascii="Roboto;sans-serif" w:hAnsi="Roboto;sans-serif"/>
          <w:b/>
          <w:color w:val="000000"/>
          <w:sz w:val="18"/>
        </w:rPr>
      </w:pPr>
      <w:r>
        <w:rPr>
          <w:rFonts w:ascii="Roboto;sans-serif" w:hAnsi="Roboto;sans-serif"/>
          <w:b/>
          <w:color w:val="000000"/>
          <w:sz w:val="18"/>
        </w:rPr>
        <w:t>Item 4. Controls and Procedures</w:t>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Evaluation of Disclosure Controls and Procedures</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Under the supervision of our Chief Executive Officer and Chief Financial Officer, we evaluated the effectiveness of our disclosure controls and procedures (as defined in Rules 13a-15(e) and 15d-15(e) under the Exchange Act) as of March 31, 2025.</w:t>
      </w:r>
    </w:p>
    <w:p>
      <w:pPr>
        <w:pStyle w:val="TextBody"/>
        <w:bidi w:val="0"/>
        <w:spacing w:before="0" w:after="0"/>
        <w:jc w:val="left"/>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Disclosure controls and procedures are designed to ensure that information required to be disclosed in our reports filed or submitted under the Exchange Act is recorded, processed, summarized, and reported within the time periods specified in the SEC’s rules and forms. Disclosure controls and procedures include controls and procedures designed to ensure that information required to be disclosed in our reports filed under the Exchange Act is accumulated and communicated to management, including our Chief Executive Officer and Chief Financial Officer, to allow timely decisions regarding required disclosure. As described below, we have identified material weaknesses in our internal control over financial reporting. A material weakness is a deficiency, or a combination of deficiencies, in internal control over financial reporting such that there is a reasonable possibility that a material misstatement of a company’s annual or interim consolidated financial statements will not be prevented or detected on a timely basis. Solely as a result of these material weaknesses, our Chief Executive Officer and Chief Financial Officer concluded that our disclosure controls and procedures were not effective as of March 31, 2025.</w:t>
      </w:r>
    </w:p>
    <w:p>
      <w:pPr>
        <w:pStyle w:val="TextBody"/>
        <w:bidi w:val="0"/>
        <w:spacing w:before="0" w:after="0"/>
        <w:jc w:val="left"/>
        <w:rPr/>
      </w:pPr>
      <w:r>
        <w:rPr/>
      </w:r>
    </w:p>
    <w:p>
      <w:pPr>
        <w:pStyle w:val="TextBody"/>
        <w:bidi w:val="0"/>
        <w:spacing w:lineRule="auto" w:line="417" w:before="0" w:after="0"/>
        <w:jc w:val="left"/>
        <w:rPr>
          <w:rFonts w:ascii="Roboto;sans-serif" w:hAnsi="Roboto;sans-serif"/>
          <w:b/>
          <w:i/>
          <w:color w:val="000000"/>
          <w:sz w:val="18"/>
          <w:shd w:fill="FFFFFF" w:val="clear"/>
        </w:rPr>
      </w:pPr>
      <w:r>
        <w:rPr>
          <w:rFonts w:ascii="Roboto;sans-serif" w:hAnsi="Roboto;sans-serif"/>
          <w:b/>
          <w:i/>
          <w:color w:val="000000"/>
          <w:sz w:val="18"/>
          <w:shd w:fill="FFFFFF" w:val="clear"/>
        </w:rPr>
        <w:t>Material Weaknesses and Remediation Plans</w:t>
      </w:r>
    </w:p>
    <w:p>
      <w:pPr>
        <w:pStyle w:val="TextBody"/>
        <w:bidi w:val="0"/>
        <w:spacing w:lineRule="auto" w:line="288" w:before="0" w:after="0"/>
        <w:jc w:val="left"/>
        <w:rPr>
          <w:rFonts w:ascii="Roboto;sans-serif" w:hAnsi="Roboto;sans-serif"/>
          <w:b w:val="false"/>
          <w:i/>
          <w:color w:val="000000"/>
          <w:sz w:val="18"/>
          <w:shd w:fill="FFFFFF" w:val="clear"/>
        </w:rPr>
      </w:pPr>
      <w:r>
        <w:rPr>
          <w:rFonts w:ascii="Roboto;sans-serif" w:hAnsi="Roboto;sans-serif"/>
          <w:b w:val="false"/>
          <w:i/>
          <w:color w:val="000000"/>
          <w:sz w:val="18"/>
          <w:shd w:fill="FFFFFF" w:val="clear"/>
        </w:rPr>
        <w:t>Previously Reported Material Weaknesses</w:t>
      </w:r>
    </w:p>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As reported in Part II, Item 9A. “Controls and Procedures” of our Annual Reports on Form 10-K for the fiscal years ended June 30, 2024, June 30, 2023, June 30, 2022, and June 30, 2021, we have identified a material weakness in our internal control over financial reporting related to controls around the existence, completeness, and valuation of inventory.</w:t>
      </w:r>
    </w:p>
    <w:p>
      <w:pPr>
        <w:pStyle w:val="TextBody"/>
        <w:bidi w:val="0"/>
        <w:spacing w:before="0" w:after="0"/>
        <w:jc w:val="left"/>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Management has made significant enhancements to the Company’s inventory management process related to the existence, completeness and valuation of inventory. Management has implemented new or enhanced internal control procedures intended to both address the identified material weakness and strengthen our overall financial control environment, including:</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 xml:space="preserve">Increased frequency of the periodic physical inventory count process at our distribution centers and final mile and locations; </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Increased accuracy of periodic inventory count at all third-party logistics service providers through increased communication, oversight of their inventory management policies and procedures, and higher partner accountability when dealing with errors;</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Designed and implemented management oversight controls specifically related to inventory counts at third party distribution centers and final mile locations;</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Increased operational accuracy of inventory cycle count processes;</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Improved timeliness and accuracy of transactional processing between Peloton and third-party service providers and increased the accuracy of inventory data across Peloton internal systems, Peloton warehouses, and third-party providers;</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Implemented or enhanced controls related to inventory costing and the review of inventory excess and obsolescence reserves;</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Consolidated our inventory network to reduce exposure to locations with historically high physical count inaccuracy; and</w:t>
      </w:r>
    </w:p>
    <w:p>
      <w:pPr>
        <w:pStyle w:val="TextBody"/>
        <w:bidi w:val="0"/>
        <w:spacing w:lineRule="auto" w:line="288" w:before="0" w:after="0"/>
        <w:ind w:left="0" w:right="0" w:hanging="360"/>
        <w:jc w:val="both"/>
        <w:rPr/>
      </w:pPr>
      <w:r>
        <w:rPr>
          <w:color w:val="000000"/>
        </w:rPr>
        <w:t>•</w:t>
      </w:r>
      <w:r>
        <w:rPr>
          <w:rFonts w:ascii="Roboto;sans-serif" w:hAnsi="Roboto;sans-serif"/>
          <w:b w:val="false"/>
          <w:color w:val="000000"/>
          <w:sz w:val="18"/>
        </w:rPr>
        <w:t>Made enhancements to training of standard operating procedures and internal controls to key stakeholders within the supply chain, logistics, and inventory processes.</w:t>
      </w:r>
    </w:p>
    <w:p>
      <w:pPr>
        <w:pStyle w:val="TextBody"/>
        <w:bidi w:val="0"/>
        <w:spacing w:before="0" w:after="0"/>
        <w:jc w:val="both"/>
        <w:rPr/>
      </w:pPr>
      <w:r>
        <w:rPr/>
      </w:r>
    </w:p>
    <w:p>
      <w:pPr>
        <w:pStyle w:val="TextBody"/>
        <w:bidi w:val="0"/>
        <w:spacing w:lineRule="auto" w:line="276" w:before="0" w:after="0"/>
        <w:jc w:val="both"/>
        <w:rPr>
          <w:rFonts w:ascii="Roboto;sans-serif" w:hAnsi="Roboto;sans-serif"/>
          <w:b w:val="false"/>
          <w:color w:val="000000"/>
          <w:sz w:val="18"/>
        </w:rPr>
      </w:pPr>
      <w:r>
        <w:rPr>
          <w:rFonts w:ascii="Roboto;sans-serif" w:hAnsi="Roboto;sans-serif"/>
          <w:b w:val="false"/>
          <w:color w:val="000000"/>
          <w:sz w:val="18"/>
        </w:rPr>
        <w:t>These steps are subject to ongoing senior management review, as well as oversight by the audit committee of our Board of Directors.</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 xml:space="preserve">While significant progress has been made to remediate this material weakness, management does not believe that these corrective measures have been operating for a sufficient period of time to enable management to conclude that these internal controls over financial reporting are operating effectively and sufficiently to remediate this material weakness. When fully operational, we believe the measures described above will remediate the material weakness. We are committed to continuing to improve our internal control processes and will continue to diligently and vigorously review our financial reporting controls and procedures. </w:t>
      </w:r>
    </w:p>
    <w:p>
      <w:pPr>
        <w:pStyle w:val="TextBody"/>
        <w:bidi w:val="0"/>
        <w:spacing w:before="0" w:after="0"/>
        <w:jc w:val="both"/>
        <w:rPr/>
      </w:pPr>
      <w:r>
        <w:rPr/>
      </w:r>
    </w:p>
    <w:p>
      <w:pPr>
        <w:pStyle w:val="TextBody"/>
        <w:bidi w:val="0"/>
        <w:spacing w:lineRule="auto" w:line="288" w:before="0" w:after="0"/>
        <w:jc w:val="both"/>
        <w:rPr/>
      </w:pPr>
      <w:r>
        <w:rPr>
          <w:rFonts w:ascii="Roboto;sans-serif" w:hAnsi="Roboto;sans-serif"/>
          <w:b w:val="false"/>
          <w:color w:val="000000"/>
          <w:sz w:val="18"/>
        </w:rPr>
        <w:t>In addition, during the fiscal year ended June 30, 2024</w:t>
      </w:r>
      <w:r>
        <w:rPr>
          <w:rFonts w:ascii="Roboto;sans-serif" w:hAnsi="Roboto;sans-serif"/>
          <w:b w:val="false"/>
          <w:color w:val="000000"/>
          <w:sz w:val="18"/>
          <w:shd w:fill="FFFFFF" w:val="clear"/>
        </w:rPr>
        <w:t xml:space="preserve">, management identified a material weakness in our internal control over financial reporting related to the business process control environment at Precor. Management assessed the design and operating effectiveness of automated and manual business process controls in Precor’s environment, and identified a number of deficiencies related to lack of proper design of controls and lack of sufficient documentation to validate control design effectiveness, in particular management review controls. Management determined that in the aggregate, these control deficiencies constitute a material weakness.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33350"/>
                <wp:effectExtent l="0" t="0" r="0" b="0"/>
                <wp:wrapNone/>
                <wp:docPr id="44" name="Frame44"/>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pPr>
      <w:r>
        <w:rPr>
          <w:rFonts w:ascii="Roboto;sans-serif" w:hAnsi="Roboto;sans-serif"/>
          <w:b w:val="false"/>
          <w:color w:val="000000"/>
          <w:sz w:val="18"/>
        </w:rPr>
        <w:t>Management has designed and performed additional procedures</w:t>
      </w:r>
      <w:r>
        <w:rPr>
          <w:color w:val="000000"/>
          <w:shd w:fill="FFFFFF" w:val="clear"/>
        </w:rPr>
        <w:t xml:space="preserve"> </w:t>
      </w:r>
      <w:r>
        <w:rPr>
          <w:rFonts w:ascii="Roboto;sans-serif" w:hAnsi="Roboto;sans-serif"/>
          <w:b w:val="false"/>
          <w:color w:val="000000"/>
          <w:sz w:val="18"/>
          <w:shd w:fill="FFFFFF" w:val="clear"/>
        </w:rPr>
        <w:t xml:space="preserve">on a quarterly basis to gain comfort over the completeness and accuracy of the financial information relied upon at Precor and to ensure material errors do not exist within the Precor information consolidated into Peloton’s financial statements. We have not identified any material errors or misstatements as a result of these procedures in our interim financial statements for the quarter ended </w:t>
      </w:r>
      <w:r>
        <w:rPr>
          <w:rFonts w:ascii="Roboto;sans-serif" w:hAnsi="Roboto;sans-serif"/>
          <w:b w:val="false"/>
          <w:color w:val="000000"/>
          <w:sz w:val="18"/>
        </w:rPr>
        <w:t>March 31, 2025</w:t>
      </w:r>
      <w:r>
        <w:rPr>
          <w:color w:val="000000"/>
          <w:shd w:fill="FFFFFF" w:val="clear"/>
        </w:rPr>
        <w:t xml:space="preserve"> </w:t>
      </w:r>
      <w:r>
        <w:rPr>
          <w:rFonts w:ascii="Roboto;sans-serif" w:hAnsi="Roboto;sans-serif"/>
          <w:b w:val="false"/>
          <w:color w:val="000000"/>
          <w:sz w:val="18"/>
          <w:shd w:fill="FFFFFF" w:val="clear"/>
        </w:rPr>
        <w:t xml:space="preserve">or in our annual financial statements for the year ended </w:t>
      </w:r>
      <w:r>
        <w:rPr>
          <w:rFonts w:ascii="Roboto;sans-serif" w:hAnsi="Roboto;sans-serif"/>
          <w:b w:val="false"/>
          <w:color w:val="000000"/>
          <w:sz w:val="18"/>
        </w:rPr>
        <w:t>June 30, 2024 or June 30, 2023</w:t>
      </w:r>
      <w:r>
        <w:rPr>
          <w:rFonts w:ascii="Roboto;sans-serif" w:hAnsi="Roboto;sans-serif"/>
          <w:b w:val="false"/>
          <w:color w:val="000000"/>
          <w:sz w:val="18"/>
          <w:shd w:fill="FFFFFF" w:val="clear"/>
        </w:rPr>
        <w:t xml:space="preserve">. </w:t>
      </w:r>
    </w:p>
    <w:p>
      <w:pPr>
        <w:pStyle w:val="TextBody"/>
        <w:bidi w:val="0"/>
        <w:spacing w:before="0" w:after="0"/>
        <w:jc w:val="both"/>
        <w:rPr/>
      </w:pPr>
      <w:r>
        <w:rPr/>
      </w:r>
    </w:p>
    <w:p>
      <w:pPr>
        <w:pStyle w:val="TextBody"/>
        <w:bidi w:val="0"/>
        <w:spacing w:lineRule="auto" w:line="288" w:before="0" w:after="60"/>
        <w:jc w:val="both"/>
        <w:rPr>
          <w:rFonts w:ascii="Roboto;sans-serif" w:hAnsi="Roboto;sans-serif"/>
          <w:b w:val="false"/>
          <w:color w:val="000000"/>
          <w:sz w:val="18"/>
          <w:shd w:fill="FFFFFF" w:val="clear"/>
        </w:rPr>
      </w:pPr>
      <w:r>
        <w:rPr>
          <w:rFonts w:ascii="Roboto;sans-serif" w:hAnsi="Roboto;sans-serif"/>
          <w:b w:val="false"/>
          <w:color w:val="000000"/>
          <w:sz w:val="18"/>
          <w:shd w:fill="FFFFFF" w:val="clear"/>
        </w:rPr>
        <w:t>In order to remediate the material weakness related to Precor’s business process controls, management has designed and is actively executing on the following remediation plan, which includes:</w:t>
      </w:r>
    </w:p>
    <w:p>
      <w:pPr>
        <w:pStyle w:val="TextBody"/>
        <w:bidi w:val="0"/>
        <w:spacing w:lineRule="auto" w:line="288" w:before="0" w:after="0"/>
        <w:ind w:left="0" w:right="0" w:hanging="360"/>
        <w:jc w:val="both"/>
        <w:rPr/>
      </w:pPr>
      <w:r>
        <w:rPr>
          <w:color w:val="000000"/>
          <w:shd w:fill="FFFFFF" w:val="clear"/>
        </w:rPr>
        <w:t>•</w:t>
      </w:r>
      <w:r>
        <w:rPr>
          <w:rFonts w:ascii="Roboto;sans-serif" w:hAnsi="Roboto;sans-serif"/>
          <w:b w:val="false"/>
          <w:color w:val="000000"/>
          <w:sz w:val="18"/>
          <w:shd w:fill="FFFFFF" w:val="clear"/>
        </w:rPr>
        <w:t xml:space="preserve">Taking a risk-based approach to remediation, prioritizing business process controls designed to mitigate significant financial statement risk areas, including financial statement close process review controls and management review controls over inventory and revenue judgments and estimates; </w:t>
      </w:r>
    </w:p>
    <w:p>
      <w:pPr>
        <w:pStyle w:val="TextBody"/>
        <w:bidi w:val="0"/>
        <w:spacing w:lineRule="auto" w:line="288" w:before="0" w:after="0"/>
        <w:ind w:left="0" w:right="0" w:hanging="360"/>
        <w:jc w:val="both"/>
        <w:rPr/>
      </w:pPr>
      <w:r>
        <w:rPr>
          <w:color w:val="000000"/>
          <w:shd w:fill="FFFFFF" w:val="clear"/>
        </w:rPr>
        <w:t>•</w:t>
      </w:r>
      <w:r>
        <w:rPr>
          <w:rFonts w:ascii="Roboto;sans-serif" w:hAnsi="Roboto;sans-serif"/>
          <w:b w:val="false"/>
          <w:color w:val="000000"/>
          <w:sz w:val="18"/>
          <w:shd w:fill="FFFFFF" w:val="clear"/>
        </w:rPr>
        <w:t>Engaging an accounting advisory firm to assist with the documentation, evaluation, remediation, and testing of our internal control over financial reporting related to Precor’s business process control environment based on the criteria established in Internal Control - Integrated Framework (2013) issued by the Committee of Sponsoring Organizations (COSO) of the Treadway Commission;</w:t>
      </w:r>
    </w:p>
    <w:p>
      <w:pPr>
        <w:pStyle w:val="TextBody"/>
        <w:bidi w:val="0"/>
        <w:spacing w:lineRule="auto" w:line="288" w:before="0" w:after="0"/>
        <w:ind w:left="0" w:right="0" w:hanging="360"/>
        <w:jc w:val="both"/>
        <w:rPr/>
      </w:pPr>
      <w:r>
        <w:rPr>
          <w:color w:val="000000"/>
          <w:shd w:fill="FFFFFF" w:val="clear"/>
        </w:rPr>
        <w:t>•</w:t>
      </w:r>
      <w:r>
        <w:rPr>
          <w:rFonts w:ascii="Roboto;sans-serif" w:hAnsi="Roboto;sans-serif"/>
          <w:b w:val="false"/>
          <w:color w:val="000000"/>
          <w:sz w:val="18"/>
          <w:shd w:fill="FFFFFF" w:val="clear"/>
        </w:rPr>
        <w:t>Training of relevant personnel on the design and operation of our internal control over financial reporting relating to Precor’s business process control environment; and</w:t>
      </w:r>
    </w:p>
    <w:p>
      <w:pPr>
        <w:pStyle w:val="TextBody"/>
        <w:bidi w:val="0"/>
        <w:spacing w:lineRule="auto" w:line="288" w:before="0" w:after="0"/>
        <w:ind w:left="0" w:right="0" w:hanging="360"/>
        <w:jc w:val="both"/>
        <w:rPr/>
      </w:pPr>
      <w:r>
        <w:rPr>
          <w:color w:val="000000"/>
          <w:shd w:fill="FFFFFF" w:val="clear"/>
        </w:rPr>
        <w:t>•</w:t>
      </w:r>
      <w:r>
        <w:rPr>
          <w:rFonts w:ascii="Roboto;sans-serif" w:hAnsi="Roboto;sans-serif"/>
          <w:b w:val="false"/>
          <w:color w:val="000000"/>
          <w:sz w:val="18"/>
          <w:shd w:fill="FFFFFF" w:val="clear"/>
        </w:rPr>
        <w:t>Hiring additional qualified accounting and financial reporting personnel with internal control expertise to support the Precor business</w:t>
      </w:r>
    </w:p>
    <w:p>
      <w:pPr>
        <w:pStyle w:val="TextBody"/>
        <w:bidi w:val="0"/>
        <w:spacing w:before="0" w:after="0"/>
        <w:jc w:val="both"/>
        <w:rPr/>
      </w:pPr>
      <w:r>
        <w:rPr/>
      </w:r>
    </w:p>
    <w:p>
      <w:pPr>
        <w:pStyle w:val="TextBody"/>
        <w:bidi w:val="0"/>
        <w:spacing w:lineRule="auto" w:line="276" w:before="0" w:after="0"/>
        <w:jc w:val="both"/>
        <w:rPr>
          <w:rFonts w:ascii="Roboto;sans-serif" w:hAnsi="Roboto;sans-serif"/>
          <w:b w:val="false"/>
          <w:color w:val="000000"/>
          <w:sz w:val="18"/>
        </w:rPr>
      </w:pPr>
      <w:r>
        <w:rPr>
          <w:rFonts w:ascii="Roboto;sans-serif" w:hAnsi="Roboto;sans-serif"/>
          <w:b w:val="false"/>
          <w:color w:val="000000"/>
          <w:sz w:val="18"/>
        </w:rPr>
        <w:t xml:space="preserve">These steps are subject to ongoing senior management review, as well as oversight by the audit committee of our Board of Directors. </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shd w:fill="FFFFFF" w:val="clear"/>
        </w:rPr>
      </w:pPr>
      <w:r>
        <w:rPr>
          <w:rFonts w:ascii="Roboto;sans-serif" w:hAnsi="Roboto;sans-serif"/>
          <w:b w:val="false"/>
          <w:color w:val="000000"/>
          <w:sz w:val="18"/>
          <w:shd w:fill="FFFFFF" w:val="clear"/>
        </w:rPr>
        <w:t>Management has made significant progress towards the remediation of the material weakness through the design and implementation of certain business process controls which mitigate areas of significant financial risk, enhancements in the execution of key business processes at Precor, and improvement in the level of detail captured within controls supporting documentation. We will not be able to conclude that we have remediated this material weakness until the applicable remedial measures are fully implemented and operate for a sufficient period of time and management has concluded, through formal design and operating effectiveness testing, that the remediated controls are operating effectively. We will continue to monitor the design and effectiveness of these implemented controls and make any further changes management deems appropriate.</w:t>
      </w:r>
    </w:p>
    <w:p>
      <w:pPr>
        <w:pStyle w:val="TextBody"/>
        <w:bidi w:val="0"/>
        <w:spacing w:before="0" w:after="0"/>
        <w:jc w:val="left"/>
        <w:rPr/>
      </w:pPr>
      <w:r>
        <w:rPr/>
      </w:r>
    </w:p>
    <w:p>
      <w:pPr>
        <w:pStyle w:val="TextBody"/>
        <w:bidi w:val="0"/>
        <w:spacing w:lineRule="auto" w:line="288" w:before="0" w:after="0"/>
        <w:jc w:val="both"/>
        <w:rPr/>
      </w:pPr>
      <w:r>
        <w:rPr>
          <w:rFonts w:ascii="Roboto;sans-serif" w:hAnsi="Roboto;sans-serif"/>
          <w:b w:val="false"/>
          <w:color w:val="000000"/>
          <w:sz w:val="18"/>
          <w:shd w:fill="FFFFFF" w:val="clear"/>
        </w:rPr>
        <w:t>We concluded neither of the material weaknesses described above resulted in any material misstatements in our financial state</w:t>
      </w:r>
      <w:r>
        <w:rPr>
          <w:rFonts w:ascii="Roboto;sans-serif" w:hAnsi="Roboto;sans-serif"/>
          <w:b w:val="false"/>
          <w:color w:val="000000"/>
          <w:sz w:val="18"/>
        </w:rPr>
        <w:t xml:space="preserve">ments or disclosures </w:t>
      </w:r>
      <w:r>
        <w:rPr>
          <w:rFonts w:ascii="Roboto;sans-serif" w:hAnsi="Roboto;sans-serif"/>
          <w:b w:val="false"/>
          <w:color w:val="000000"/>
          <w:sz w:val="18"/>
          <w:shd w:fill="FFFFFF" w:val="clear"/>
        </w:rPr>
        <w:t>in the current year or in our annual consolidated financial statements in any of the prior fiscal years in which these material weaknesses existed. Based on additional procedures and post-closing review, management concluded that the consolidated financial statements included in this Quart</w:t>
      </w:r>
      <w:r>
        <w:rPr>
          <w:rFonts w:ascii="Roboto;sans-serif" w:hAnsi="Roboto;sans-serif"/>
          <w:b w:val="false"/>
          <w:color w:val="000000"/>
          <w:sz w:val="18"/>
        </w:rPr>
        <w:t>erly Report on Form 10-Q present fairly, in all material respects, our financial position, results of operations, and cash flows for the periods presented in conformity with accounting principles generally accepted in the United States.</w:t>
      </w:r>
    </w:p>
    <w:p>
      <w:pPr>
        <w:pStyle w:val="TextBody"/>
        <w:bidi w:val="0"/>
        <w:spacing w:before="0" w:after="0"/>
        <w:jc w:val="left"/>
        <w:rPr/>
      </w:pPr>
      <w:r>
        <w:rPr/>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Changes in Internal Control over Financial Reporting</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Other than the ongoing remediation efforts, there were no changes in our internal control over financial reporting (as defined in Rules 13a-15(f) and 15d-15(f) under the Exchange Act) during the quarter ended March 31, 2025 that have materially affected, or are reasonably likely to materially affect, our internal control over financial reporting.</w:t>
      </w:r>
    </w:p>
    <w:p>
      <w:pPr>
        <w:pStyle w:val="TextBody"/>
        <w:bidi w:val="0"/>
        <w:spacing w:before="0" w:after="0"/>
        <w:jc w:val="both"/>
        <w:rPr/>
      </w:pPr>
      <w:r>
        <w:rPr/>
      </w:r>
    </w:p>
    <w:p>
      <w:pPr>
        <w:pStyle w:val="TextBody"/>
        <w:bidi w:val="0"/>
        <w:spacing w:lineRule="auto" w:line="417" w:before="0" w:after="0"/>
        <w:jc w:val="both"/>
        <w:rPr>
          <w:rFonts w:ascii="Roboto;sans-serif" w:hAnsi="Roboto;sans-serif"/>
          <w:b/>
          <w:i/>
          <w:color w:val="000000"/>
          <w:sz w:val="18"/>
        </w:rPr>
      </w:pPr>
      <w:r>
        <w:rPr>
          <w:rFonts w:ascii="Roboto;sans-serif" w:hAnsi="Roboto;sans-serif"/>
          <w:b/>
          <w:i/>
          <w:color w:val="000000"/>
          <w:sz w:val="18"/>
        </w:rPr>
        <w:t>Limitations on the Effectiveness of Disclosure Controls and Procedures</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Our management, including our Chief Executive Officer and Chief Financial Officer, does not expect that our disclosure controls and procedures or internal control over financial reporting will prevent all errors and all fraud. A control system, no matter how well designed and implemented,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within a company are detected. The inherent limitations include the realities that judgments in decision-making can be faulty and that breakdowns can occur because of simple errors or mistakes. Controls can also be circumvented by the individual acts of some persons, by collusion of two or more people, or by management override of the controls. Also, projections of any evaluation of effectiveness to future periods are subject to the risk that controls may become inadequate because of changes in conditions or that the degree of compliance with the policies or procedures may deteriorate. Because of the inherent limitations in a cost-effective control system, misstatements due to error or fraud may occur and may not be detected.</w:t>
      </w:r>
    </w:p>
    <w:p>
      <w:pPr>
        <w:pStyle w:val="TextBody"/>
        <w:bidi w:val="0"/>
        <w:spacing w:before="0" w:after="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Roboto;sans-serif" w:hAnsi="Roboto;sans-serif"/>
          <w:b/>
          <w:color w:val="000000"/>
          <w:sz w:val="20"/>
        </w:rPr>
      </w:pPr>
      <w:r>
        <w:rPr>
          <w:rFonts w:ascii="Roboto;sans-serif" w:hAnsi="Roboto;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240" w:after="283"/>
        <w:jc w:val="left"/>
        <w:rPr>
          <w:rFonts w:ascii="Roboto;sans-serif" w:hAnsi="Roboto;sans-serif"/>
          <w:b/>
          <w:color w:val="000000"/>
          <w:sz w:val="18"/>
        </w:rPr>
      </w:pPr>
      <w:r>
        <w:rPr>
          <w:rFonts w:ascii="Roboto;sans-serif" w:hAnsi="Roboto;sans-serif"/>
          <w:b/>
          <w:color w:val="000000"/>
          <w:sz w:val="18"/>
        </w:rPr>
        <w:t>Item 1. Legal Proceedings</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From time to time, we may be involved in claims and proceedings arising in the ordinary course of our business. The outcome of any such claims or proceedings, regardless of the merits, is inherently uncertain.</w:t>
      </w:r>
    </w:p>
    <w:p>
      <w:pPr>
        <w:pStyle w:val="TextBody"/>
        <w:bidi w:val="0"/>
        <w:spacing w:before="0" w:after="0"/>
        <w:jc w:val="both"/>
        <w:rPr/>
      </w:pPr>
      <w:r>
        <w:rPr/>
      </w:r>
    </w:p>
    <w:p>
      <w:pPr>
        <w:pStyle w:val="TextBody"/>
        <w:bidi w:val="0"/>
        <w:spacing w:lineRule="auto" w:line="288" w:before="0" w:after="0"/>
        <w:jc w:val="both"/>
        <w:rPr/>
      </w:pPr>
      <w:r>
        <w:rPr>
          <w:rFonts w:ascii="Roboto;sans-serif" w:hAnsi="Roboto;sans-serif"/>
          <w:b w:val="false"/>
          <w:color w:val="000000"/>
          <w:sz w:val="18"/>
        </w:rPr>
        <w:t xml:space="preserve">For a discussion of legal and other proceedings in which we are involved, see </w:t>
      </w:r>
      <w:r>
        <w:rPr>
          <w:rFonts w:ascii="Roboto;sans-serif" w:hAnsi="Roboto;sans-serif"/>
          <w:b w:val="false"/>
          <w:i/>
          <w:color w:val="000000"/>
          <w:sz w:val="18"/>
        </w:rPr>
        <w:t>Note 8 - Commitments and Contingencies</w:t>
      </w:r>
      <w:r>
        <w:rPr>
          <w:color w:val="000000"/>
        </w:rPr>
        <w:t xml:space="preserve"> </w:t>
      </w:r>
      <w:r>
        <w:rPr>
          <w:rFonts w:ascii="Roboto;sans-serif" w:hAnsi="Roboto;sans-serif"/>
          <w:b w:val="false"/>
          <w:color w:val="000000"/>
          <w:sz w:val="18"/>
        </w:rPr>
        <w:t>in the Notes to Condensed Consolidated Financial Statements in Part I, Item 1 of this Quarterly Report on Form 10-Q.</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left"/>
        <w:rPr>
          <w:rFonts w:ascii="Roboto;sans-serif" w:hAnsi="Roboto;sans-serif"/>
          <w:b/>
          <w:color w:val="000000"/>
          <w:sz w:val="18"/>
        </w:rPr>
      </w:pPr>
      <w:r>
        <w:rPr>
          <w:rFonts w:ascii="Roboto;sans-serif" w:hAnsi="Roboto;sans-serif"/>
          <w:b/>
          <w:color w:val="000000"/>
          <w:sz w:val="18"/>
        </w:rPr>
        <w:t>Item 1A. Risk Factors</w:t>
      </w:r>
    </w:p>
    <w:p>
      <w:pPr>
        <w:pStyle w:val="TextBody"/>
        <w:bidi w:val="0"/>
        <w:spacing w:lineRule="auto" w:line="276" w:before="0" w:after="0"/>
        <w:jc w:val="left"/>
        <w:rPr>
          <w:rFonts w:ascii="Roboto;sans-serif" w:hAnsi="Roboto;sans-serif"/>
          <w:b w:val="false"/>
          <w:color w:val="000000"/>
          <w:sz w:val="18"/>
        </w:rPr>
      </w:pPr>
      <w:r>
        <w:rPr>
          <w:rFonts w:ascii="Roboto;sans-serif" w:hAnsi="Roboto;sans-serif"/>
          <w:b w:val="false"/>
          <w:color w:val="000000"/>
          <w:sz w:val="18"/>
        </w:rPr>
        <w:t>There have been no material changes to the risks disclosed in the Form 10-K.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33350"/>
                <wp:effectExtent l="0" t="0" r="0" b="0"/>
                <wp:wrapNone/>
                <wp:docPr id="45" name="Frame45"/>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Roboto;sans-serif" w:hAnsi="Roboto;sans-serif"/>
          <w:b/>
          <w:color w:val="000000"/>
          <w:sz w:val="18"/>
        </w:rPr>
      </w:pPr>
      <w:r>
        <w:rPr>
          <w:rFonts w:ascii="Roboto;sans-serif" w:hAnsi="Roboto;sans-serif"/>
          <w:b/>
          <w:color w:val="000000"/>
          <w:sz w:val="18"/>
        </w:rPr>
        <w:t>Item 2. Unregistered Sales of Equity Securities and Use of Proceeds</w:t>
      </w:r>
    </w:p>
    <w:p>
      <w:pPr>
        <w:pStyle w:val="TextBody"/>
        <w:bidi w:val="0"/>
        <w:spacing w:before="0" w:after="0"/>
        <w:jc w:val="left"/>
        <w:rPr/>
      </w:pPr>
      <w:r>
        <w:rPr/>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Roboto;sans-serif" w:hAnsi="Roboto;sans-serif"/>
          <w:b/>
          <w:color w:val="000000"/>
          <w:sz w:val="18"/>
        </w:rPr>
      </w:pPr>
      <w:r>
        <w:rPr>
          <w:rFonts w:ascii="Roboto;sans-serif" w:hAnsi="Roboto;sans-serif"/>
          <w:b/>
          <w:color w:val="000000"/>
          <w:sz w:val="18"/>
        </w:rPr>
        <w:t>Item 3. Defaults Upon Senior Securities</w:t>
      </w:r>
    </w:p>
    <w:p>
      <w:pPr>
        <w:pStyle w:val="TextBody"/>
        <w:bidi w:val="0"/>
        <w:spacing w:before="0" w:after="0"/>
        <w:jc w:val="left"/>
        <w:rPr/>
      </w:pPr>
      <w:r>
        <w:rPr/>
      </w:r>
    </w:p>
    <w:p>
      <w:pPr>
        <w:pStyle w:val="TextBody"/>
        <w:bidi w:val="0"/>
        <w:spacing w:lineRule="auto" w:line="288" w:before="0" w:after="240"/>
        <w:jc w:val="left"/>
        <w:rPr>
          <w:rFonts w:ascii="Roboto;sans-serif" w:hAnsi="Roboto;sans-serif"/>
          <w:b w:val="false"/>
          <w:color w:val="000000"/>
          <w:sz w:val="18"/>
        </w:rPr>
      </w:pPr>
      <w:r>
        <w:rPr>
          <w:rFonts w:ascii="Roboto;sans-serif" w:hAnsi="Roboto;sans-serif"/>
          <w:b w:val="false"/>
          <w:color w:val="000000"/>
          <w:sz w:val="18"/>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Roboto;sans-serif" w:hAnsi="Roboto;sans-serif"/>
          <w:b/>
          <w:color w:val="000000"/>
          <w:sz w:val="18"/>
        </w:rPr>
      </w:pPr>
      <w:r>
        <w:rPr>
          <w:rFonts w:ascii="Roboto;sans-serif" w:hAnsi="Roboto;sans-serif"/>
          <w:b/>
          <w:color w:val="000000"/>
          <w:sz w:val="18"/>
        </w:rPr>
        <w:t>Item 4. Mine Safety Disclosures</w:t>
      </w:r>
    </w:p>
    <w:p>
      <w:pPr>
        <w:pStyle w:val="TextBody"/>
        <w:bidi w:val="0"/>
        <w:spacing w:before="0" w:after="0"/>
        <w:jc w:val="left"/>
        <w:rPr/>
      </w:pPr>
      <w:r>
        <w:rPr/>
      </w:r>
    </w:p>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Roboto;sans-serif" w:hAnsi="Roboto;sans-serif"/>
          <w:b/>
          <w:color w:val="000000"/>
          <w:sz w:val="18"/>
        </w:rPr>
      </w:pPr>
      <w:r>
        <w:rPr>
          <w:rFonts w:ascii="Roboto;sans-serif" w:hAnsi="Roboto;sans-serif"/>
          <w:b/>
          <w:color w:val="000000"/>
          <w:sz w:val="18"/>
        </w:rPr>
        <w:t>Item 5. Other Information</w:t>
      </w:r>
    </w:p>
    <w:p>
      <w:pPr>
        <w:pStyle w:val="TextBody"/>
        <w:bidi w:val="0"/>
        <w:spacing w:before="0" w:after="0"/>
        <w:jc w:val="both"/>
        <w:rPr/>
      </w:pPr>
      <w:r>
        <w:rPr/>
      </w:r>
    </w:p>
    <w:p>
      <w:pPr>
        <w:pStyle w:val="TextBody"/>
        <w:bidi w:val="0"/>
        <w:spacing w:lineRule="auto" w:line="288" w:before="0" w:after="0"/>
        <w:jc w:val="left"/>
        <w:rPr>
          <w:rFonts w:ascii="Roboto;sans-serif" w:hAnsi="Roboto;sans-serif"/>
          <w:b/>
          <w:i/>
          <w:color w:val="000000"/>
          <w:sz w:val="18"/>
        </w:rPr>
      </w:pPr>
      <w:r>
        <w:rPr>
          <w:rFonts w:ascii="Roboto;sans-serif" w:hAnsi="Roboto;sans-serif"/>
          <w:b/>
          <w:i/>
          <w:color w:val="000000"/>
          <w:sz w:val="18"/>
        </w:rPr>
        <w:t>Rule 10b5-1 Trading Plans</w:t>
      </w:r>
    </w:p>
    <w:p>
      <w:pPr>
        <w:pStyle w:val="TextBody"/>
        <w:bidi w:val="0"/>
        <w:spacing w:lineRule="auto" w:line="276" w:before="0" w:after="0"/>
        <w:ind w:left="0" w:right="0" w:firstLine="360"/>
        <w:jc w:val="both"/>
        <w:rPr>
          <w:rFonts w:ascii="Roboto;sans-serif" w:hAnsi="Roboto;sans-serif"/>
          <w:b w:val="false"/>
          <w:color w:val="000000"/>
          <w:sz w:val="18"/>
          <w:shd w:fill="FFFFFF" w:val="clear"/>
        </w:rPr>
      </w:pPr>
      <w:r>
        <w:rPr>
          <w:rFonts w:ascii="Roboto;sans-serif" w:hAnsi="Roboto;sans-serif"/>
          <w:b w:val="false"/>
          <w:color w:val="000000"/>
          <w:sz w:val="18"/>
          <w:shd w:fill="FFFFFF" w:val="clear"/>
        </w:rPr>
        <w:t>During the three months ended March 31, 2025, none of our directors or officers, as defined in Rule 16a-1(f) of the Exchange Act, adopted or terminated a “Rule 10b5-1 trading arrangement” or “non-Rule 10b5-1 trading arrangement,” as defined in Item 408 of Regulation S-K.</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33350"/>
                <wp:effectExtent l="0" t="0" r="0" b="0"/>
                <wp:wrapNone/>
                <wp:docPr id="46" name="Frame46"/>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Roboto;sans-serif" w:hAnsi="Roboto;sans-serif"/>
          <w:b/>
          <w:color w:val="000000"/>
          <w:sz w:val="18"/>
        </w:rPr>
      </w:pPr>
      <w:r>
        <w:rPr>
          <w:rFonts w:ascii="Roboto;sans-serif" w:hAnsi="Roboto;sans-serif"/>
          <w:b/>
          <w:color w:val="000000"/>
          <w:sz w:val="18"/>
        </w:rPr>
        <w:t>Item 6. Exhibits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42"/>
        <w:gridCol w:w="301"/>
        <w:gridCol w:w="303"/>
        <w:gridCol w:w="109"/>
        <w:gridCol w:w="109"/>
        <w:gridCol w:w="109"/>
        <w:gridCol w:w="1517"/>
        <w:gridCol w:w="1420"/>
        <w:gridCol w:w="1433"/>
        <w:gridCol w:w="233"/>
        <w:gridCol w:w="233"/>
        <w:gridCol w:w="177"/>
        <w:gridCol w:w="306"/>
        <w:gridCol w:w="306"/>
        <w:gridCol w:w="172"/>
        <w:gridCol w:w="275"/>
        <w:gridCol w:w="275"/>
        <w:gridCol w:w="276"/>
        <w:gridCol w:w="263"/>
        <w:gridCol w:w="263"/>
        <w:gridCol w:w="250"/>
        <w:gridCol w:w="446"/>
        <w:gridCol w:w="446"/>
        <w:gridCol w:w="641"/>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0"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12"/>
            <w:tcBorders/>
            <w:shd w:fill="FEFEFE" w:val="clear"/>
            <w:tcMar>
              <w:top w:w="0" w:type="dxa"/>
              <w:left w:w="0" w:type="dxa"/>
              <w:bottom w:w="0" w:type="dxa"/>
              <w:right w:w="0" w:type="dxa"/>
            </w:tcMar>
            <w:vAlign w:val="center"/>
          </w:tcPr>
          <w:p>
            <w:pPr>
              <w:pStyle w:val="TableContents"/>
              <w:bidi w:val="0"/>
              <w:spacing w:lineRule="auto" w:line="240" w:before="0" w:after="283"/>
              <w:jc w:val="center"/>
              <w:rPr>
                <w:rFonts w:ascii="Roboto;sans-serif" w:hAnsi="Roboto;sans-serif"/>
                <w:b/>
                <w:color w:val="000000"/>
                <w:sz w:val="18"/>
              </w:rPr>
            </w:pPr>
            <w:r>
              <w:rPr>
                <w:rFonts w:ascii="Roboto;sans-serif" w:hAnsi="Roboto;sans-serif"/>
                <w:b/>
                <w:color w:val="000000"/>
                <w:sz w:val="18"/>
              </w:rPr>
              <w:t>Incorporated by Reference</w:t>
            </w:r>
          </w:p>
        </w:tc>
        <w:tc>
          <w:tcPr>
            <w:tcW w:w="1533" w:type="dxa"/>
            <w:gridSpan w:val="3"/>
            <w:vMerge w:val="restart"/>
            <w:tcBorders/>
            <w:shd w:fill="FEFEFE" w:val="clear"/>
            <w:tcMar>
              <w:top w:w="0" w:type="dxa"/>
              <w:left w:w="0" w:type="dxa"/>
              <w:bottom w:w="0" w:type="dxa"/>
              <w:right w:w="0" w:type="dxa"/>
            </w:tcMar>
            <w:vAlign w:val="center"/>
          </w:tcPr>
          <w:p>
            <w:pPr>
              <w:pStyle w:val="TableContents"/>
              <w:bidi w:val="0"/>
              <w:spacing w:lineRule="auto" w:line="276" w:before="0" w:after="283"/>
              <w:jc w:val="center"/>
              <w:rPr>
                <w:rFonts w:ascii="Roboto;sans-serif" w:hAnsi="Roboto;sans-serif"/>
                <w:b/>
                <w:color w:val="000000"/>
                <w:sz w:val="18"/>
              </w:rPr>
            </w:pPr>
            <w:r>
              <w:rPr>
                <w:rFonts w:ascii="Roboto;sans-serif" w:hAnsi="Roboto;sans-serif"/>
                <w:b/>
                <w:color w:val="000000"/>
                <w:sz w:val="18"/>
              </w:rPr>
              <w:t>Filed or Furnished Herewith</w:t>
            </w:r>
          </w:p>
        </w:tc>
      </w:tr>
      <w:tr>
        <w:trPr/>
        <w:tc>
          <w:tcPr>
            <w:tcW w:w="946"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center"/>
              <w:rPr>
                <w:rFonts w:ascii="Roboto;sans-serif" w:hAnsi="Roboto;sans-serif"/>
                <w:b/>
                <w:color w:val="000000"/>
                <w:sz w:val="18"/>
              </w:rPr>
            </w:pPr>
            <w:r>
              <w:rPr>
                <w:rFonts w:ascii="Roboto;sans-serif" w:hAnsi="Roboto;sans-serif"/>
                <w:b/>
                <w:color w:val="000000"/>
                <w:sz w:val="18"/>
              </w:rPr>
              <w:t>Exhibit</w:t>
              <w:br/>
              <w:t>Number</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0"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center"/>
              <w:rPr>
                <w:rFonts w:ascii="Roboto;sans-serif" w:hAnsi="Roboto;sans-serif"/>
                <w:b/>
                <w:color w:val="000000"/>
                <w:sz w:val="18"/>
              </w:rPr>
            </w:pPr>
            <w:r>
              <w:rPr>
                <w:rFonts w:ascii="Roboto;sans-serif" w:hAnsi="Roboto;sans-serif"/>
                <w:b/>
                <w:color w:val="000000"/>
                <w:sz w:val="18"/>
              </w:rPr>
              <w:t>Exhibit Title</w:t>
            </w:r>
          </w:p>
        </w:tc>
        <w:tc>
          <w:tcPr>
            <w:tcW w:w="643" w:type="dxa"/>
            <w:gridSpan w:val="3"/>
            <w:tcBorders>
              <w:top w:val="single" w:sz="8" w:space="0" w:color="000000"/>
            </w:tcBorders>
            <w:shd w:fill="FEFEFE" w:val="clear"/>
            <w:tcMar>
              <w:top w:w="30" w:type="dxa"/>
              <w:left w:w="0" w:type="dxa"/>
              <w:bottom w:w="0" w:type="dxa"/>
              <w:right w:w="0" w:type="dxa"/>
            </w:tcMar>
            <w:vAlign w:val="center"/>
          </w:tcPr>
          <w:p>
            <w:pPr>
              <w:pStyle w:val="TableContents"/>
              <w:bidi w:val="0"/>
              <w:spacing w:lineRule="auto" w:line="276" w:before="0" w:after="283"/>
              <w:jc w:val="center"/>
              <w:rPr>
                <w:rFonts w:ascii="Roboto;sans-serif" w:hAnsi="Roboto;sans-serif"/>
                <w:b/>
                <w:color w:val="000000"/>
                <w:sz w:val="18"/>
              </w:rPr>
            </w:pPr>
            <w:r>
              <w:rPr>
                <w:rFonts w:ascii="Roboto;sans-serif" w:hAnsi="Roboto;sans-serif"/>
                <w:b/>
                <w:color w:val="000000"/>
                <w:sz w:val="18"/>
              </w:rPr>
              <w:t>Form</w:t>
            </w:r>
          </w:p>
        </w:tc>
        <w:tc>
          <w:tcPr>
            <w:tcW w:w="784" w:type="dxa"/>
            <w:gridSpan w:val="3"/>
            <w:tcBorders>
              <w:top w:val="single" w:sz="8" w:space="0" w:color="000000"/>
            </w:tcBorders>
            <w:shd w:fill="FEFEFE" w:val="clear"/>
            <w:tcMar>
              <w:top w:w="30" w:type="dxa"/>
              <w:left w:w="0" w:type="dxa"/>
              <w:bottom w:w="0" w:type="dxa"/>
              <w:right w:w="0" w:type="dxa"/>
            </w:tcMar>
            <w:vAlign w:val="center"/>
          </w:tcPr>
          <w:p>
            <w:pPr>
              <w:pStyle w:val="TableContents"/>
              <w:bidi w:val="0"/>
              <w:spacing w:lineRule="auto" w:line="276" w:before="0" w:after="283"/>
              <w:jc w:val="center"/>
              <w:rPr>
                <w:rFonts w:ascii="Roboto;sans-serif" w:hAnsi="Roboto;sans-serif"/>
                <w:b/>
                <w:color w:val="000000"/>
                <w:sz w:val="18"/>
              </w:rPr>
            </w:pPr>
            <w:r>
              <w:rPr>
                <w:rFonts w:ascii="Roboto;sans-serif" w:hAnsi="Roboto;sans-serif"/>
                <w:b/>
                <w:color w:val="000000"/>
                <w:sz w:val="18"/>
              </w:rPr>
              <w:t>File No.</w:t>
            </w:r>
          </w:p>
        </w:tc>
        <w:tc>
          <w:tcPr>
            <w:tcW w:w="826" w:type="dxa"/>
            <w:gridSpan w:val="3"/>
            <w:tcBorders>
              <w:top w:val="single" w:sz="8" w:space="0" w:color="000000"/>
            </w:tcBorders>
            <w:shd w:fill="FEFEFE" w:val="clear"/>
            <w:tcMar>
              <w:top w:w="30" w:type="dxa"/>
              <w:left w:w="0" w:type="dxa"/>
              <w:bottom w:w="0" w:type="dxa"/>
              <w:right w:w="0" w:type="dxa"/>
            </w:tcMar>
            <w:vAlign w:val="center"/>
          </w:tcPr>
          <w:p>
            <w:pPr>
              <w:pStyle w:val="TableContents"/>
              <w:bidi w:val="0"/>
              <w:spacing w:lineRule="auto" w:line="276" w:before="0" w:after="283"/>
              <w:jc w:val="center"/>
              <w:rPr>
                <w:rFonts w:ascii="Roboto;sans-serif" w:hAnsi="Roboto;sans-serif"/>
                <w:b/>
                <w:color w:val="000000"/>
                <w:sz w:val="18"/>
              </w:rPr>
            </w:pPr>
            <w:r>
              <w:rPr>
                <w:rFonts w:ascii="Roboto;sans-serif" w:hAnsi="Roboto;sans-serif"/>
                <w:b/>
                <w:color w:val="000000"/>
                <w:sz w:val="18"/>
              </w:rPr>
              <w:t>Exhibit</w:t>
            </w:r>
          </w:p>
        </w:tc>
        <w:tc>
          <w:tcPr>
            <w:tcW w:w="776" w:type="dxa"/>
            <w:gridSpan w:val="3"/>
            <w:tcBorders>
              <w:top w:val="single" w:sz="8" w:space="0" w:color="000000"/>
            </w:tcBorders>
            <w:shd w:fill="FEFEFE" w:val="clear"/>
            <w:tcMar>
              <w:top w:w="30" w:type="dxa"/>
              <w:left w:w="0" w:type="dxa"/>
              <w:bottom w:w="0" w:type="dxa"/>
              <w:right w:w="0" w:type="dxa"/>
            </w:tcMar>
            <w:vAlign w:val="center"/>
          </w:tcPr>
          <w:p>
            <w:pPr>
              <w:pStyle w:val="TableContents"/>
              <w:bidi w:val="0"/>
              <w:spacing w:lineRule="auto" w:line="276" w:before="0" w:after="283"/>
              <w:jc w:val="center"/>
              <w:rPr>
                <w:rFonts w:ascii="Roboto;sans-serif" w:hAnsi="Roboto;sans-serif"/>
                <w:b/>
                <w:color w:val="000000"/>
                <w:sz w:val="18"/>
              </w:rPr>
            </w:pPr>
            <w:r>
              <w:rPr>
                <w:rFonts w:ascii="Roboto;sans-serif" w:hAnsi="Roboto;sans-serif"/>
                <w:b/>
                <w:color w:val="000000"/>
                <w:sz w:val="18"/>
              </w:rPr>
              <w:t>Filing Date</w:t>
            </w:r>
          </w:p>
        </w:tc>
        <w:tc>
          <w:tcPr>
            <w:tcW w:w="1533" w:type="dxa"/>
            <w:gridSpan w:val="3"/>
            <w:vMerge w:val="continue"/>
            <w:tcBorders/>
            <w:shd w:fill="FEFEFE" w:val="clear"/>
            <w:tcMar>
              <w:top w:w="0" w:type="dxa"/>
              <w:left w:w="0" w:type="dxa"/>
              <w:bottom w:w="0" w:type="dxa"/>
              <w:right w:w="0" w:type="dxa"/>
            </w:tcMar>
            <w:vAlign w:val="center"/>
          </w:tcPr>
          <w:p>
            <w:pPr>
              <w:pStyle w:val="Normal"/>
              <w:bidi w:val="0"/>
              <w:jc w:val="left"/>
              <w:rPr/>
            </w:pPr>
            <w:r>
              <w:rPr/>
            </w:r>
          </w:p>
        </w:tc>
      </w:tr>
      <w:tr>
        <w:trPr/>
        <w:tc>
          <w:tcPr>
            <w:tcW w:w="946"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right"/>
              <w:rPr>
                <w:rFonts w:ascii="Roboto;sans-serif" w:hAnsi="Roboto;sans-serif"/>
                <w:b w:val="false"/>
                <w:color w:val="000000"/>
                <w:sz w:val="18"/>
              </w:rPr>
            </w:pPr>
            <w:r>
              <w:rPr>
                <w:rFonts w:ascii="Roboto;sans-serif" w:hAnsi="Roboto;sans-serif"/>
                <w:b w:val="false"/>
                <w:color w:val="000000"/>
                <w:sz w:val="18"/>
              </w:rPr>
              <w:t>3.1</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0" w:type="dxa"/>
            <w:gridSpan w:val="3"/>
            <w:tcBorders/>
            <w:shd w:fill="FEFEFE" w:val="clear"/>
            <w:tcMar>
              <w:top w:w="0" w:type="dxa"/>
              <w:left w:w="0" w:type="dxa"/>
              <w:bottom w:w="0" w:type="dxa"/>
              <w:right w:w="0" w:type="dxa"/>
            </w:tcMar>
            <w:vAlign w:val="center"/>
          </w:tcPr>
          <w:p>
            <w:pPr>
              <w:pStyle w:val="TableContents"/>
              <w:bidi w:val="0"/>
              <w:spacing w:lineRule="auto" w:line="276" w:before="0" w:after="0"/>
              <w:jc w:val="left"/>
              <w:rPr/>
            </w:pPr>
            <w:hyperlink r:id="rId2">
              <w:r>
                <w:rPr>
                  <w:rStyle w:val="InternetLink"/>
                  <w:rFonts w:ascii="Roboto;sans-serif" w:hAnsi="Roboto;sans-serif"/>
                  <w:b w:val="false"/>
                  <w:color w:val="0000FF"/>
                  <w:sz w:val="18"/>
                  <w:u w:val="single"/>
                </w:rPr>
                <w:t xml:space="preserve">Restated Certificate of Incorporation. </w:t>
              </w:r>
            </w:hyperlink>
          </w:p>
        </w:tc>
        <w:tc>
          <w:tcPr>
            <w:tcW w:w="643"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10-Q</w:t>
            </w:r>
          </w:p>
        </w:tc>
        <w:tc>
          <w:tcPr>
            <w:tcW w:w="784"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001-39058</w:t>
            </w:r>
          </w:p>
        </w:tc>
        <w:tc>
          <w:tcPr>
            <w:tcW w:w="826"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3.1</w:t>
            </w:r>
          </w:p>
        </w:tc>
        <w:tc>
          <w:tcPr>
            <w:tcW w:w="776"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11/06/2019</w:t>
            </w:r>
          </w:p>
        </w:tc>
        <w:tc>
          <w:tcPr>
            <w:tcW w:w="1533"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right"/>
              <w:rPr>
                <w:rFonts w:ascii="Roboto;sans-serif" w:hAnsi="Roboto;sans-serif"/>
                <w:b w:val="false"/>
                <w:color w:val="000000"/>
                <w:sz w:val="18"/>
              </w:rPr>
            </w:pPr>
            <w:r>
              <w:rPr>
                <w:rFonts w:ascii="Roboto;sans-serif" w:hAnsi="Roboto;sans-serif"/>
                <w:b w:val="false"/>
                <w:color w:val="000000"/>
                <w:sz w:val="18"/>
              </w:rPr>
              <w:t>3.2</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0" w:type="dxa"/>
            <w:gridSpan w:val="3"/>
            <w:tcBorders/>
            <w:shd w:fill="FEFEFE" w:val="clear"/>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Roboto;sans-serif" w:hAnsi="Roboto;sans-serif"/>
                  <w:b w:val="false"/>
                  <w:color w:val="0000FF"/>
                  <w:sz w:val="18"/>
                  <w:u w:val="single"/>
                </w:rPr>
                <w:t>Second Amended and Restated Bylaws.</w:t>
              </w:r>
            </w:hyperlink>
          </w:p>
        </w:tc>
        <w:tc>
          <w:tcPr>
            <w:tcW w:w="643"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8-K</w:t>
            </w:r>
          </w:p>
        </w:tc>
        <w:tc>
          <w:tcPr>
            <w:tcW w:w="784"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001-39058</w:t>
            </w:r>
          </w:p>
        </w:tc>
        <w:tc>
          <w:tcPr>
            <w:tcW w:w="826"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3.1</w:t>
            </w:r>
          </w:p>
        </w:tc>
        <w:tc>
          <w:tcPr>
            <w:tcW w:w="776"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right"/>
              <w:rPr>
                <w:rFonts w:ascii="Roboto;sans-serif" w:hAnsi="Roboto;sans-serif"/>
                <w:b w:val="false"/>
                <w:color w:val="000000"/>
                <w:sz w:val="18"/>
              </w:rPr>
            </w:pPr>
            <w:r>
              <w:rPr>
                <w:rFonts w:ascii="Roboto;sans-serif" w:hAnsi="Roboto;sans-serif"/>
                <w:b w:val="false"/>
                <w:color w:val="000000"/>
                <w:sz w:val="18"/>
              </w:rPr>
              <w:t>04/08/2024</w:t>
            </w:r>
          </w:p>
        </w:tc>
        <w:tc>
          <w:tcPr>
            <w:tcW w:w="1533"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right"/>
              <w:rPr>
                <w:rFonts w:ascii="Roboto;sans-serif" w:hAnsi="Roboto;sans-serif"/>
                <w:b w:val="false"/>
                <w:color w:val="000000"/>
                <w:sz w:val="18"/>
              </w:rPr>
            </w:pPr>
            <w:r>
              <w:rPr>
                <w:rFonts w:ascii="Roboto;sans-serif" w:hAnsi="Roboto;sans-serif"/>
                <w:b w:val="false"/>
                <w:color w:val="000000"/>
                <w:sz w:val="18"/>
              </w:rPr>
              <w:t>31.1</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0" w:type="dxa"/>
            <w:gridSpan w:val="3"/>
            <w:tcBorders/>
            <w:shd w:fill="FEFEFE" w:val="clear"/>
            <w:tcMar>
              <w:top w:w="0" w:type="dxa"/>
              <w:left w:w="0" w:type="dxa"/>
              <w:bottom w:w="0" w:type="dxa"/>
              <w:right w:w="0" w:type="dxa"/>
            </w:tcMar>
            <w:vAlign w:val="center"/>
          </w:tcPr>
          <w:p>
            <w:pPr>
              <w:pStyle w:val="TableContents"/>
              <w:bidi w:val="0"/>
              <w:spacing w:lineRule="auto" w:line="276" w:before="0" w:after="0"/>
              <w:jc w:val="left"/>
              <w:rPr/>
            </w:pPr>
            <w:hyperlink w:anchor="q3fy2510-qexhibit311.htm">
              <w:r>
                <w:rPr>
                  <w:rStyle w:val="InternetLink"/>
                  <w:rFonts w:ascii="Roboto;sans-serif" w:hAnsi="Roboto;sans-serif"/>
                  <w:b w:val="false"/>
                  <w:color w:val="0000FF"/>
                  <w:sz w:val="18"/>
                  <w:u w:val="single"/>
                </w:rPr>
                <w:t>Certification of Principal Executive Officer Pursuant to Rules 13a-14(a) and 15d-14(a) under the Exchange Act, as Adopted Pursuant to Section 302 of the Sarbanes-Oxley Act of 2002.</w:t>
              </w:r>
            </w:hyperlink>
          </w:p>
        </w:tc>
        <w:tc>
          <w:tcPr>
            <w:tcW w:w="643"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center"/>
              <w:rPr>
                <w:rFonts w:ascii="Roboto;sans-serif" w:hAnsi="Roboto;sans-serif"/>
                <w:b w:val="false"/>
                <w:color w:val="000000"/>
                <w:sz w:val="18"/>
              </w:rPr>
            </w:pPr>
            <w:r>
              <w:rPr>
                <w:rFonts w:ascii="Roboto;sans-serif" w:hAnsi="Roboto;sans-serif"/>
                <w:b w:val="false"/>
                <w:color w:val="000000"/>
                <w:sz w:val="18"/>
              </w:rPr>
              <w:t>X</w:t>
            </w:r>
          </w:p>
        </w:tc>
      </w:tr>
      <w:tr>
        <w:trPr/>
        <w:tc>
          <w:tcPr>
            <w:tcW w:w="946"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right"/>
              <w:rPr>
                <w:rFonts w:ascii="Roboto;sans-serif" w:hAnsi="Roboto;sans-serif"/>
                <w:b w:val="false"/>
                <w:color w:val="000000"/>
                <w:sz w:val="18"/>
              </w:rPr>
            </w:pPr>
            <w:r>
              <w:rPr>
                <w:rFonts w:ascii="Roboto;sans-serif" w:hAnsi="Roboto;sans-serif"/>
                <w:b w:val="false"/>
                <w:color w:val="000000"/>
                <w:sz w:val="18"/>
              </w:rPr>
              <w:t>31.2</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0" w:type="dxa"/>
            <w:gridSpan w:val="3"/>
            <w:tcBorders/>
            <w:shd w:fill="FEFEFE" w:val="clear"/>
            <w:tcMar>
              <w:top w:w="0" w:type="dxa"/>
              <w:left w:w="0" w:type="dxa"/>
              <w:bottom w:w="0" w:type="dxa"/>
              <w:right w:w="0" w:type="dxa"/>
            </w:tcMar>
            <w:vAlign w:val="center"/>
          </w:tcPr>
          <w:p>
            <w:pPr>
              <w:pStyle w:val="TableContents"/>
              <w:bidi w:val="0"/>
              <w:spacing w:lineRule="auto" w:line="276" w:before="0" w:after="0"/>
              <w:jc w:val="left"/>
              <w:rPr/>
            </w:pPr>
            <w:hyperlink w:anchor="q3fy2510-qexhibit312.htm">
              <w:r>
                <w:rPr>
                  <w:rStyle w:val="InternetLink"/>
                  <w:rFonts w:ascii="Roboto;sans-serif" w:hAnsi="Roboto;sans-serif"/>
                  <w:b w:val="false"/>
                  <w:color w:val="0000FF"/>
                  <w:sz w:val="18"/>
                  <w:u w:val="single"/>
                </w:rPr>
                <w:t>Certification of Principal Financial Officer Pursuant to Rules 13a-14(a) and 15d-14(a) under the Exchange Act, as Adopted Pursuant to Section 302 of the Sarbanes-Oxley Act of 2002.</w:t>
              </w:r>
            </w:hyperlink>
          </w:p>
        </w:tc>
        <w:tc>
          <w:tcPr>
            <w:tcW w:w="643"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center"/>
              <w:rPr>
                <w:rFonts w:ascii="Roboto;sans-serif" w:hAnsi="Roboto;sans-serif"/>
                <w:b w:val="false"/>
                <w:color w:val="000000"/>
                <w:sz w:val="18"/>
              </w:rPr>
            </w:pPr>
            <w:r>
              <w:rPr>
                <w:rFonts w:ascii="Roboto;sans-serif" w:hAnsi="Roboto;sans-serif"/>
                <w:b w:val="false"/>
                <w:color w:val="000000"/>
                <w:sz w:val="18"/>
              </w:rPr>
              <w:t>X</w:t>
            </w:r>
          </w:p>
        </w:tc>
      </w:tr>
      <w:tr>
        <w:trPr/>
        <w:tc>
          <w:tcPr>
            <w:tcW w:w="946"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right"/>
              <w:rPr>
                <w:rFonts w:ascii="Roboto;sans-serif" w:hAnsi="Roboto;sans-serif"/>
                <w:b w:val="false"/>
                <w:color w:val="000000"/>
                <w:sz w:val="18"/>
              </w:rPr>
            </w:pPr>
            <w:r>
              <w:rPr>
                <w:rFonts w:ascii="Roboto;sans-serif" w:hAnsi="Roboto;sans-serif"/>
                <w:b w:val="false"/>
                <w:color w:val="000000"/>
                <w:sz w:val="18"/>
              </w:rPr>
              <w:t>32.1</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0" w:type="dxa"/>
            <w:gridSpan w:val="3"/>
            <w:tcBorders/>
            <w:shd w:fill="FEFEFE" w:val="clear"/>
            <w:tcMar>
              <w:top w:w="0" w:type="dxa"/>
              <w:left w:w="0" w:type="dxa"/>
              <w:bottom w:w="0" w:type="dxa"/>
              <w:right w:w="0" w:type="dxa"/>
            </w:tcMar>
            <w:vAlign w:val="center"/>
          </w:tcPr>
          <w:p>
            <w:pPr>
              <w:pStyle w:val="TableContents"/>
              <w:bidi w:val="0"/>
              <w:spacing w:lineRule="auto" w:line="276" w:before="0" w:after="0"/>
              <w:jc w:val="left"/>
              <w:rPr/>
            </w:pPr>
            <w:hyperlink w:anchor="q3fy2510-qexhibit321.htm">
              <w:r>
                <w:rPr>
                  <w:rStyle w:val="InternetLink"/>
                  <w:rFonts w:ascii="Roboto;sans-serif" w:hAnsi="Roboto;sans-serif"/>
                  <w:b w:val="false"/>
                  <w:color w:val="0000FF"/>
                  <w:sz w:val="18"/>
                  <w:u w:val="single"/>
                </w:rPr>
                <w:t>Certification of Principal Executive Officer Pursuant to 18 U.S.C. Section 1350, as Adopted Pursuant to Section 906 of the Sarbanes-Oxley Act of 2002.</w:t>
              </w:r>
            </w:hyperlink>
          </w:p>
        </w:tc>
        <w:tc>
          <w:tcPr>
            <w:tcW w:w="643"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center"/>
              <w:rPr>
                <w:rFonts w:ascii="Roboto;sans-serif" w:hAnsi="Roboto;sans-serif"/>
                <w:b w:val="false"/>
                <w:color w:val="000000"/>
                <w:sz w:val="18"/>
              </w:rPr>
            </w:pPr>
            <w:r>
              <w:rPr>
                <w:rFonts w:ascii="Roboto;sans-serif" w:hAnsi="Roboto;sans-serif"/>
                <w:b w:val="false"/>
                <w:color w:val="000000"/>
                <w:sz w:val="18"/>
              </w:rPr>
              <w:t>XX</w:t>
            </w:r>
          </w:p>
        </w:tc>
      </w:tr>
      <w:tr>
        <w:trPr/>
        <w:tc>
          <w:tcPr>
            <w:tcW w:w="946"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right"/>
              <w:rPr>
                <w:rFonts w:ascii="Roboto;sans-serif" w:hAnsi="Roboto;sans-serif"/>
                <w:b w:val="false"/>
                <w:color w:val="000000"/>
                <w:sz w:val="18"/>
              </w:rPr>
            </w:pPr>
            <w:r>
              <w:rPr>
                <w:rFonts w:ascii="Roboto;sans-serif" w:hAnsi="Roboto;sans-serif"/>
                <w:b w:val="false"/>
                <w:color w:val="000000"/>
                <w:sz w:val="18"/>
              </w:rPr>
              <w:t>32.2</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0" w:type="dxa"/>
            <w:gridSpan w:val="3"/>
            <w:tcBorders/>
            <w:shd w:fill="FEFEFE" w:val="clear"/>
            <w:tcMar>
              <w:top w:w="0" w:type="dxa"/>
              <w:left w:w="0" w:type="dxa"/>
              <w:bottom w:w="0" w:type="dxa"/>
              <w:right w:w="0" w:type="dxa"/>
            </w:tcMar>
            <w:vAlign w:val="center"/>
          </w:tcPr>
          <w:p>
            <w:pPr>
              <w:pStyle w:val="TableContents"/>
              <w:bidi w:val="0"/>
              <w:spacing w:lineRule="auto" w:line="276" w:before="0" w:after="0"/>
              <w:jc w:val="left"/>
              <w:rPr/>
            </w:pPr>
            <w:hyperlink w:anchor="q3fy2510-qexhibit322.htm">
              <w:r>
                <w:rPr>
                  <w:rStyle w:val="InternetLink"/>
                  <w:rFonts w:ascii="Roboto;sans-serif" w:hAnsi="Roboto;sans-serif"/>
                  <w:b w:val="false"/>
                  <w:color w:val="0000FF"/>
                  <w:sz w:val="18"/>
                  <w:u w:val="single"/>
                </w:rPr>
                <w:t>Certification of Principal Financial Officer Pursuant to 18 U.S.C. Section 1350, as Adopted Pursuant to Section 906 of the Sarbanes-Oxley Act of 2002.</w:t>
              </w:r>
            </w:hyperlink>
          </w:p>
        </w:tc>
        <w:tc>
          <w:tcPr>
            <w:tcW w:w="643"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center"/>
              <w:rPr>
                <w:rFonts w:ascii="Roboto;sans-serif" w:hAnsi="Roboto;sans-serif"/>
                <w:b w:val="false"/>
                <w:color w:val="000000"/>
                <w:sz w:val="18"/>
              </w:rPr>
            </w:pPr>
            <w:r>
              <w:rPr>
                <w:rFonts w:ascii="Roboto;sans-serif" w:hAnsi="Roboto;sans-serif"/>
                <w:b w:val="false"/>
                <w:color w:val="000000"/>
                <w:sz w:val="18"/>
              </w:rPr>
              <w:t>XX</w:t>
            </w:r>
          </w:p>
        </w:tc>
      </w:tr>
      <w:tr>
        <w:trPr/>
        <w:tc>
          <w:tcPr>
            <w:tcW w:w="946"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right"/>
              <w:rPr>
                <w:rFonts w:ascii="Roboto;sans-serif" w:hAnsi="Roboto;sans-serif"/>
                <w:b w:val="false"/>
                <w:color w:val="000000"/>
                <w:sz w:val="18"/>
              </w:rPr>
            </w:pPr>
            <w:r>
              <w:rPr>
                <w:rFonts w:ascii="Roboto;sans-serif" w:hAnsi="Roboto;sans-serif"/>
                <w:b w:val="false"/>
                <w:color w:val="000000"/>
                <w:sz w:val="18"/>
              </w:rPr>
              <w:t>101.INS</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0"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left"/>
              <w:rPr>
                <w:rFonts w:ascii="Roboto;sans-serif" w:hAnsi="Roboto;sans-serif"/>
                <w:b w:val="false"/>
                <w:color w:val="000000"/>
                <w:sz w:val="18"/>
              </w:rPr>
            </w:pPr>
            <w:r>
              <w:rPr>
                <w:rFonts w:ascii="Roboto;sans-serif" w:hAnsi="Roboto;sans-serif"/>
                <w:b w:val="false"/>
                <w:color w:val="000000"/>
                <w:sz w:val="18"/>
              </w:rPr>
              <w:t>Inline XBRL Instance Document - the instance document does not appear in the Interactive Data File because its XBRL tags are embedded within the Inline XBRL document.</w:t>
            </w:r>
          </w:p>
        </w:tc>
        <w:tc>
          <w:tcPr>
            <w:tcW w:w="643"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center"/>
              <w:rPr>
                <w:rFonts w:ascii="Roboto;sans-serif" w:hAnsi="Roboto;sans-serif"/>
                <w:b w:val="false"/>
                <w:color w:val="000000"/>
                <w:sz w:val="18"/>
              </w:rPr>
            </w:pPr>
            <w:r>
              <w:rPr>
                <w:rFonts w:ascii="Roboto;sans-serif" w:hAnsi="Roboto;sans-serif"/>
                <w:b w:val="false"/>
                <w:color w:val="000000"/>
                <w:sz w:val="18"/>
              </w:rPr>
              <w:t>X</w:t>
            </w:r>
          </w:p>
        </w:tc>
      </w:tr>
      <w:tr>
        <w:trPr/>
        <w:tc>
          <w:tcPr>
            <w:tcW w:w="946"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right"/>
              <w:rPr>
                <w:rFonts w:ascii="Roboto;sans-serif" w:hAnsi="Roboto;sans-serif"/>
                <w:b w:val="false"/>
                <w:color w:val="000000"/>
                <w:sz w:val="18"/>
              </w:rPr>
            </w:pPr>
            <w:r>
              <w:rPr>
                <w:rFonts w:ascii="Roboto;sans-serif" w:hAnsi="Roboto;sans-serif"/>
                <w:b w:val="false"/>
                <w:color w:val="000000"/>
                <w:sz w:val="18"/>
              </w:rPr>
              <w:t>101.SCH</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0"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left"/>
              <w:rPr>
                <w:rFonts w:ascii="Roboto;sans-serif" w:hAnsi="Roboto;sans-serif"/>
                <w:b w:val="false"/>
                <w:color w:val="000000"/>
                <w:sz w:val="18"/>
              </w:rPr>
            </w:pPr>
            <w:r>
              <w:rPr>
                <w:rFonts w:ascii="Roboto;sans-serif" w:hAnsi="Roboto;sans-serif"/>
                <w:b w:val="false"/>
                <w:color w:val="000000"/>
                <w:sz w:val="18"/>
              </w:rPr>
              <w:t>Inline XBRL Taxonomy Extension Schema Document.</w:t>
            </w:r>
          </w:p>
        </w:tc>
        <w:tc>
          <w:tcPr>
            <w:tcW w:w="643"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center"/>
              <w:rPr>
                <w:rFonts w:ascii="Roboto;sans-serif" w:hAnsi="Roboto;sans-serif"/>
                <w:b w:val="false"/>
                <w:color w:val="000000"/>
                <w:sz w:val="18"/>
              </w:rPr>
            </w:pPr>
            <w:r>
              <w:rPr>
                <w:rFonts w:ascii="Roboto;sans-serif" w:hAnsi="Roboto;sans-serif"/>
                <w:b w:val="false"/>
                <w:color w:val="000000"/>
                <w:sz w:val="18"/>
              </w:rPr>
              <w:t>X</w:t>
            </w:r>
          </w:p>
        </w:tc>
      </w:tr>
      <w:tr>
        <w:trPr/>
        <w:tc>
          <w:tcPr>
            <w:tcW w:w="946"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right"/>
              <w:rPr>
                <w:rFonts w:ascii="Roboto;sans-serif" w:hAnsi="Roboto;sans-serif"/>
                <w:b w:val="false"/>
                <w:color w:val="000000"/>
                <w:sz w:val="18"/>
              </w:rPr>
            </w:pPr>
            <w:r>
              <w:rPr>
                <w:rFonts w:ascii="Roboto;sans-serif" w:hAnsi="Roboto;sans-serif"/>
                <w:b w:val="false"/>
                <w:color w:val="000000"/>
                <w:sz w:val="18"/>
              </w:rPr>
              <w:t>101.CAL</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0"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left"/>
              <w:rPr>
                <w:rFonts w:ascii="Roboto;sans-serif" w:hAnsi="Roboto;sans-serif"/>
                <w:b w:val="false"/>
                <w:color w:val="000000"/>
                <w:sz w:val="18"/>
              </w:rPr>
            </w:pPr>
            <w:r>
              <w:rPr>
                <w:rFonts w:ascii="Roboto;sans-serif" w:hAnsi="Roboto;sans-serif"/>
                <w:b w:val="false"/>
                <w:color w:val="000000"/>
                <w:sz w:val="18"/>
              </w:rPr>
              <w:t>Inline XBRL Taxonomy Extension Calculation Linkbase Document.</w:t>
            </w:r>
          </w:p>
        </w:tc>
        <w:tc>
          <w:tcPr>
            <w:tcW w:w="643"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center"/>
              <w:rPr>
                <w:rFonts w:ascii="Roboto;sans-serif" w:hAnsi="Roboto;sans-serif"/>
                <w:b w:val="false"/>
                <w:color w:val="000000"/>
                <w:sz w:val="18"/>
              </w:rPr>
            </w:pPr>
            <w:r>
              <w:rPr>
                <w:rFonts w:ascii="Roboto;sans-serif" w:hAnsi="Roboto;sans-serif"/>
                <w:b w:val="false"/>
                <w:color w:val="000000"/>
                <w:sz w:val="18"/>
              </w:rPr>
              <w:t>X</w:t>
            </w:r>
          </w:p>
        </w:tc>
      </w:tr>
      <w:tr>
        <w:trPr/>
        <w:tc>
          <w:tcPr>
            <w:tcW w:w="946"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right"/>
              <w:rPr>
                <w:rFonts w:ascii="Roboto;sans-serif" w:hAnsi="Roboto;sans-serif"/>
                <w:b w:val="false"/>
                <w:color w:val="000000"/>
                <w:sz w:val="18"/>
              </w:rPr>
            </w:pPr>
            <w:r>
              <w:rPr>
                <w:rFonts w:ascii="Roboto;sans-serif" w:hAnsi="Roboto;sans-serif"/>
                <w:b w:val="false"/>
                <w:color w:val="000000"/>
                <w:sz w:val="18"/>
              </w:rPr>
              <w:t>101.DEF</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0"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left"/>
              <w:rPr>
                <w:rFonts w:ascii="Roboto;sans-serif" w:hAnsi="Roboto;sans-serif"/>
                <w:b w:val="false"/>
                <w:color w:val="000000"/>
                <w:sz w:val="18"/>
              </w:rPr>
            </w:pPr>
            <w:r>
              <w:rPr>
                <w:rFonts w:ascii="Roboto;sans-serif" w:hAnsi="Roboto;sans-serif"/>
                <w:b w:val="false"/>
                <w:color w:val="000000"/>
                <w:sz w:val="18"/>
              </w:rPr>
              <w:t>Inline XBRL Taxonomy Extension Definition Linkbase Document.</w:t>
            </w:r>
          </w:p>
        </w:tc>
        <w:tc>
          <w:tcPr>
            <w:tcW w:w="643"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center"/>
              <w:rPr>
                <w:rFonts w:ascii="Roboto;sans-serif" w:hAnsi="Roboto;sans-serif"/>
                <w:b w:val="false"/>
                <w:color w:val="000000"/>
                <w:sz w:val="18"/>
              </w:rPr>
            </w:pPr>
            <w:r>
              <w:rPr>
                <w:rFonts w:ascii="Roboto;sans-serif" w:hAnsi="Roboto;sans-serif"/>
                <w:b w:val="false"/>
                <w:color w:val="000000"/>
                <w:sz w:val="18"/>
              </w:rPr>
              <w:t>X</w:t>
            </w:r>
          </w:p>
        </w:tc>
      </w:tr>
      <w:tr>
        <w:trPr/>
        <w:tc>
          <w:tcPr>
            <w:tcW w:w="946"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right"/>
              <w:rPr>
                <w:rFonts w:ascii="Roboto;sans-serif" w:hAnsi="Roboto;sans-serif"/>
                <w:b w:val="false"/>
                <w:color w:val="000000"/>
                <w:sz w:val="18"/>
              </w:rPr>
            </w:pPr>
            <w:r>
              <w:rPr>
                <w:rFonts w:ascii="Roboto;sans-serif" w:hAnsi="Roboto;sans-serif"/>
                <w:b w:val="false"/>
                <w:color w:val="000000"/>
                <w:sz w:val="18"/>
              </w:rPr>
              <w:t>101.LAB</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0"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left"/>
              <w:rPr>
                <w:rFonts w:ascii="Roboto;sans-serif" w:hAnsi="Roboto;sans-serif"/>
                <w:b w:val="false"/>
                <w:color w:val="000000"/>
                <w:sz w:val="18"/>
              </w:rPr>
            </w:pPr>
            <w:r>
              <w:rPr>
                <w:rFonts w:ascii="Roboto;sans-serif" w:hAnsi="Roboto;sans-serif"/>
                <w:b w:val="false"/>
                <w:color w:val="000000"/>
                <w:sz w:val="18"/>
              </w:rPr>
              <w:t>Inline XBRL Taxonomy Extension Label Linkbase Document.</w:t>
            </w:r>
          </w:p>
        </w:tc>
        <w:tc>
          <w:tcPr>
            <w:tcW w:w="643"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center"/>
              <w:rPr>
                <w:rFonts w:ascii="Roboto;sans-serif" w:hAnsi="Roboto;sans-serif"/>
                <w:b w:val="false"/>
                <w:color w:val="000000"/>
                <w:sz w:val="18"/>
              </w:rPr>
            </w:pPr>
            <w:r>
              <w:rPr>
                <w:rFonts w:ascii="Roboto;sans-serif" w:hAnsi="Roboto;sans-serif"/>
                <w:b w:val="false"/>
                <w:color w:val="000000"/>
                <w:sz w:val="18"/>
              </w:rPr>
              <w:t>X</w:t>
            </w:r>
          </w:p>
        </w:tc>
      </w:tr>
      <w:tr>
        <w:trPr/>
        <w:tc>
          <w:tcPr>
            <w:tcW w:w="946"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right"/>
              <w:rPr>
                <w:rFonts w:ascii="Roboto;sans-serif" w:hAnsi="Roboto;sans-serif"/>
                <w:b w:val="false"/>
                <w:color w:val="000000"/>
                <w:sz w:val="18"/>
              </w:rPr>
            </w:pPr>
            <w:r>
              <w:rPr>
                <w:rFonts w:ascii="Roboto;sans-serif" w:hAnsi="Roboto;sans-serif"/>
                <w:b w:val="false"/>
                <w:color w:val="000000"/>
                <w:sz w:val="18"/>
              </w:rPr>
              <w:t>101.PRE</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0"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left"/>
              <w:rPr>
                <w:rFonts w:ascii="Roboto;sans-serif" w:hAnsi="Roboto;sans-serif"/>
                <w:b w:val="false"/>
                <w:color w:val="000000"/>
                <w:sz w:val="18"/>
              </w:rPr>
            </w:pPr>
            <w:r>
              <w:rPr>
                <w:rFonts w:ascii="Roboto;sans-serif" w:hAnsi="Roboto;sans-serif"/>
                <w:b w:val="false"/>
                <w:color w:val="000000"/>
                <w:sz w:val="18"/>
              </w:rPr>
              <w:t>Inline XBRL Taxonomy Extension Presentation Linkbase Document.</w:t>
            </w:r>
          </w:p>
        </w:tc>
        <w:tc>
          <w:tcPr>
            <w:tcW w:w="643"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center"/>
              <w:rPr>
                <w:rFonts w:ascii="Roboto;sans-serif" w:hAnsi="Roboto;sans-serif"/>
                <w:b w:val="false"/>
                <w:color w:val="000000"/>
                <w:sz w:val="18"/>
              </w:rPr>
            </w:pPr>
            <w:r>
              <w:rPr>
                <w:rFonts w:ascii="Roboto;sans-serif" w:hAnsi="Roboto;sans-serif"/>
                <w:b w:val="false"/>
                <w:color w:val="000000"/>
                <w:sz w:val="18"/>
              </w:rPr>
              <w:t>X</w:t>
            </w:r>
          </w:p>
        </w:tc>
      </w:tr>
      <w:tr>
        <w:trPr/>
        <w:tc>
          <w:tcPr>
            <w:tcW w:w="946"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right"/>
              <w:rPr>
                <w:rFonts w:ascii="Roboto;sans-serif" w:hAnsi="Roboto;sans-serif"/>
                <w:b w:val="false"/>
                <w:color w:val="000000"/>
                <w:sz w:val="18"/>
              </w:rPr>
            </w:pPr>
            <w:r>
              <w:rPr>
                <w:rFonts w:ascii="Roboto;sans-serif" w:hAnsi="Roboto;sans-serif"/>
                <w:b w:val="false"/>
                <w:color w:val="000000"/>
                <w:sz w:val="18"/>
              </w:rPr>
              <w:t>104</w:t>
            </w:r>
          </w:p>
        </w:tc>
        <w:tc>
          <w:tcPr>
            <w:tcW w:w="327"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0"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left"/>
              <w:rPr>
                <w:rFonts w:ascii="Roboto;sans-serif" w:hAnsi="Roboto;sans-serif"/>
                <w:b w:val="false"/>
                <w:color w:val="000000"/>
                <w:sz w:val="18"/>
              </w:rPr>
            </w:pPr>
            <w:r>
              <w:rPr>
                <w:rFonts w:ascii="Roboto;sans-serif" w:hAnsi="Roboto;sans-serif"/>
                <w:b w:val="false"/>
                <w:color w:val="000000"/>
                <w:sz w:val="18"/>
              </w:rPr>
              <w:t>Cover Page Interactive Data File (formatted in iXBRL and contained in Exhibit 101).</w:t>
            </w:r>
          </w:p>
        </w:tc>
        <w:tc>
          <w:tcPr>
            <w:tcW w:w="643"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shd w:fill="FEFEFE" w:val="clear"/>
            <w:tcMar>
              <w:top w:w="0" w:type="dxa"/>
              <w:left w:w="0" w:type="dxa"/>
              <w:bottom w:w="0" w:type="dxa"/>
              <w:right w:w="0" w:type="dxa"/>
            </w:tcMar>
            <w:vAlign w:val="center"/>
          </w:tcPr>
          <w:p>
            <w:pPr>
              <w:pStyle w:val="TableContents"/>
              <w:bidi w:val="0"/>
              <w:spacing w:lineRule="auto" w:line="276" w:before="0" w:after="283"/>
              <w:jc w:val="center"/>
              <w:rPr>
                <w:rFonts w:ascii="Roboto;sans-serif" w:hAnsi="Roboto;sans-serif"/>
                <w:b w:val="false"/>
                <w:color w:val="000000"/>
                <w:sz w:val="18"/>
              </w:rPr>
            </w:pPr>
            <w:r>
              <w:rPr>
                <w:rFonts w:ascii="Roboto;sans-serif" w:hAnsi="Roboto;sans-serif"/>
                <w:b w:val="false"/>
                <w:color w:val="000000"/>
                <w:sz w:val="18"/>
              </w:rPr>
              <w:t>X</w:t>
            </w:r>
          </w:p>
        </w:tc>
      </w:tr>
    </w:tbl>
    <w:p>
      <w:pPr>
        <w:pStyle w:val="TextBody"/>
        <w:bidi w:val="0"/>
        <w:spacing w:lineRule="auto" w:line="276" w:before="0" w:after="0"/>
        <w:jc w:val="left"/>
        <w:rPr>
          <w:rFonts w:ascii="Roboto;sans-serif" w:hAnsi="Roboto;sans-serif"/>
          <w:b w:val="false"/>
          <w:color w:val="000000"/>
          <w:sz w:val="18"/>
        </w:rPr>
      </w:pPr>
      <w:r>
        <w:rPr>
          <w:rFonts w:ascii="Roboto;sans-serif" w:hAnsi="Roboto;sans-serif"/>
          <w:b w:val="false"/>
          <w:color w:val="000000"/>
          <w:sz w:val="18"/>
        </w:rPr>
        <w:t>X Filed herewith.</w:t>
      </w:r>
    </w:p>
    <w:p>
      <w:pPr>
        <w:pStyle w:val="TextBody"/>
        <w:bidi w:val="0"/>
        <w:spacing w:lineRule="auto" w:line="276" w:before="0" w:after="0"/>
        <w:jc w:val="left"/>
        <w:rPr>
          <w:rFonts w:ascii="Roboto;sans-serif" w:hAnsi="Roboto;sans-serif"/>
          <w:b w:val="false"/>
          <w:color w:val="000000"/>
          <w:sz w:val="18"/>
        </w:rPr>
      </w:pPr>
      <w:r>
        <w:rPr>
          <w:rFonts w:ascii="Roboto;sans-serif" w:hAnsi="Roboto;sans-serif"/>
          <w:b w:val="false"/>
          <w:color w:val="000000"/>
          <w:sz w:val="18"/>
        </w:rPr>
        <w:t>XX Furnished herewith.</w:t>
      </w:r>
    </w:p>
    <w:p>
      <w:pPr>
        <w:pStyle w:val="TextBody"/>
        <w:bidi w:val="0"/>
        <w:spacing w:lineRule="auto" w:line="276" w:before="0" w:after="0"/>
        <w:jc w:val="left"/>
        <w:rPr>
          <w:rFonts w:ascii="Roboto;sans-serif" w:hAnsi="Roboto;sans-serif"/>
          <w:b w:val="false"/>
          <w:i/>
          <w:color w:val="000000"/>
          <w:sz w:val="18"/>
        </w:rPr>
      </w:pPr>
      <w:r>
        <w:rPr>
          <w:rFonts w:ascii="Roboto;sans-serif" w:hAnsi="Roboto;sans-serif"/>
          <w:b w:val="false"/>
          <w:i/>
          <w:color w:val="000000"/>
          <w:sz w:val="18"/>
        </w:rPr>
        <w:t>The certifications furnished in Exhibits 32.1 and 32.2 hereto are deemed to accompany this Quarterly Report on Form 10-Q and are not deemed “filed” for purposes of Section 18 of the Exchange Act, or otherwise subject to the liability of that section, nor shall they be deemed incorporated by reference into any filing under the Securities Act of the Exchange Act.</w:t>
      </w:r>
    </w:p>
    <w:p>
      <w:pPr>
        <w:pStyle w:val="TextBody"/>
        <w:bidi w:val="0"/>
        <w:spacing w:before="0" w:after="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33350"/>
                <wp:effectExtent l="0" t="0" r="0" b="0"/>
                <wp:wrapNone/>
                <wp:docPr id="47" name="Frame47"/>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Roboto;sans-serif" w:hAnsi="Roboto;sans-serif"/>
          <w:b/>
          <w:color w:val="000000"/>
          <w:sz w:val="18"/>
        </w:rPr>
      </w:pPr>
      <w:r>
        <w:rPr>
          <w:rFonts w:ascii="Roboto;sans-serif" w:hAnsi="Roboto;sans-serif"/>
          <w:b/>
          <w:color w:val="000000"/>
          <w:sz w:val="18"/>
        </w:rPr>
        <w:t>SIGNATURES</w:t>
      </w:r>
    </w:p>
    <w:p>
      <w:pPr>
        <w:pStyle w:val="TextBody"/>
        <w:bidi w:val="0"/>
        <w:spacing w:before="0" w:after="0"/>
        <w:jc w:val="left"/>
        <w:rPr/>
      </w:pPr>
      <w:r>
        <w:rPr/>
      </w:r>
    </w:p>
    <w:p>
      <w:pPr>
        <w:pStyle w:val="TextBody"/>
        <w:bidi w:val="0"/>
        <w:spacing w:lineRule="auto" w:line="288" w:before="0" w:after="0"/>
        <w:ind w:left="0" w:right="0" w:firstLine="720"/>
        <w:jc w:val="both"/>
        <w:rPr>
          <w:rFonts w:ascii="Roboto;sans-serif" w:hAnsi="Roboto;sans-serif"/>
          <w:b w:val="false"/>
          <w:color w:val="000000"/>
          <w:sz w:val="18"/>
        </w:rPr>
      </w:pPr>
      <w:r>
        <w:rPr>
          <w:rFonts w:ascii="Roboto;sans-serif" w:hAnsi="Roboto;sans-serif"/>
          <w:b w:val="false"/>
          <w:color w:val="000000"/>
          <w:sz w:val="18"/>
        </w:rPr>
        <w:t>Pursuant to the requirements of the Securities Exchange Act of 1934, the registrant has duly caused this report to be signed on its behalf by the undersigned thereunto duly authorized.</w:t>
      </w:r>
    </w:p>
    <w:tbl>
      <w:tblPr>
        <w:tblW w:w="5871" w:type="dxa"/>
        <w:jc w:val="left"/>
        <w:tblInd w:w="0" w:type="dxa"/>
        <w:tblLayout w:type="fixed"/>
        <w:tblCellMar>
          <w:top w:w="28" w:type="dxa"/>
          <w:left w:w="28" w:type="dxa"/>
          <w:bottom w:w="28" w:type="dxa"/>
          <w:right w:w="28" w:type="dxa"/>
        </w:tblCellMar>
      </w:tblPr>
      <w:tblGrid>
        <w:gridCol w:w="650"/>
        <w:gridCol w:w="572"/>
        <w:gridCol w:w="578"/>
        <w:gridCol w:w="467"/>
        <w:gridCol w:w="467"/>
        <w:gridCol w:w="467"/>
        <w:gridCol w:w="780"/>
        <w:gridCol w:w="780"/>
        <w:gridCol w:w="1110"/>
      </w:tblGrid>
      <w:tr>
        <w:trPr/>
        <w:tc>
          <w:tcPr>
            <w:tcW w:w="650"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1" w:type="dxa"/>
            <w:gridSpan w:val="6"/>
            <w:tcBorders/>
            <w:tcMar>
              <w:top w:w="0" w:type="dxa"/>
              <w:left w:w="0" w:type="dxa"/>
              <w:bottom w:w="0" w:type="dxa"/>
              <w:right w:w="0" w:type="dxa"/>
            </w:tcMar>
            <w:vAlign w:val="center"/>
          </w:tcPr>
          <w:p>
            <w:pPr>
              <w:pStyle w:val="TableContents"/>
              <w:bidi w:val="0"/>
              <w:spacing w:lineRule="auto" w:line="276" w:before="0" w:after="283"/>
              <w:jc w:val="left"/>
              <w:rPr/>
            </w:pPr>
            <w:r>
              <w:rPr>
                <w:rFonts w:ascii="Roboto;sans-serif" w:hAnsi="Roboto;sans-serif"/>
                <w:b/>
                <w:color w:val="000000"/>
                <w:sz w:val="18"/>
              </w:rPr>
              <w:t>PELOTON INTERACTIVE, INC.</w:t>
              <w:br/>
            </w:r>
            <w:r>
              <w:rPr>
                <w:rFonts w:ascii="Roboto;sans-serif" w:hAnsi="Roboto;sans-serif"/>
                <w:b/>
                <w:sz w:val="18"/>
              </w:rPr>
              <w:br/>
              <w:br/>
              <w:br/>
            </w:r>
          </w:p>
        </w:tc>
      </w:tr>
      <w:tr>
        <w:trPr/>
        <w:tc>
          <w:tcPr>
            <w:tcW w:w="18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Date: May 8, 2025</w:t>
            </w:r>
          </w:p>
        </w:tc>
        <w:tc>
          <w:tcPr>
            <w:tcW w:w="1401"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Roboto;sans-serif" w:hAnsi="Roboto;sans-serif"/>
                <w:b w:val="false"/>
                <w:color w:val="000000"/>
                <w:sz w:val="18"/>
              </w:rPr>
            </w:pPr>
            <w:r>
              <w:rPr>
                <w:rFonts w:ascii="Roboto;sans-serif" w:hAnsi="Roboto;sans-serif"/>
                <w:b w:val="false"/>
                <w:color w:val="000000"/>
                <w:sz w:val="18"/>
              </w:rPr>
              <w:t>By:</w:t>
            </w:r>
          </w:p>
        </w:tc>
        <w:tc>
          <w:tcPr>
            <w:tcW w:w="2670"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Roboto;sans-serif" w:hAnsi="Roboto;sans-serif"/>
                <w:b w:val="false"/>
                <w:color w:val="000000"/>
                <w:sz w:val="18"/>
              </w:rPr>
            </w:pPr>
            <w:r>
              <w:rPr>
                <w:rFonts w:ascii="Roboto;sans-serif" w:hAnsi="Roboto;sans-serif"/>
                <w:b w:val="false"/>
                <w:color w:val="000000"/>
                <w:sz w:val="18"/>
              </w:rPr>
              <w:t>/s/ Peter Stern</w:t>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Roboto;sans-serif" w:hAnsi="Roboto;sans-serif"/>
                <w:b w:val="false"/>
                <w:color w:val="000000"/>
                <w:sz w:val="18"/>
              </w:rPr>
            </w:pPr>
            <w:r>
              <w:rPr>
                <w:rFonts w:ascii="Roboto;sans-serif" w:hAnsi="Roboto;sans-serif"/>
                <w:b w:val="false"/>
                <w:color w:val="000000"/>
                <w:sz w:val="18"/>
              </w:rPr>
              <w:t>Peter Stern</w:t>
              <w:br/>
              <w:t>Chief Executive Officer</w:t>
              <w:br/>
              <w:t>(Principal Executive Officer)</w:t>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Roboto;sans-serif" w:hAnsi="Roboto;sans-serif"/>
                <w:b w:val="false"/>
                <w:color w:val="000000"/>
                <w:sz w:val="18"/>
              </w:rPr>
            </w:pPr>
            <w:r>
              <w:rPr>
                <w:rFonts w:ascii="Roboto;sans-serif" w:hAnsi="Roboto;sans-serif"/>
                <w:b w:val="false"/>
                <w:color w:val="000000"/>
                <w:sz w:val="18"/>
              </w:rPr>
              <w:t>Date: May 8, 2025</w:t>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By:</w:t>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/s/ Elizabeth F Coddington</w:t>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Roboto;sans-serif" w:hAnsi="Roboto;sans-serif"/>
                <w:b w:val="false"/>
                <w:color w:val="000000"/>
                <w:sz w:val="18"/>
              </w:rPr>
            </w:pPr>
            <w:r>
              <w:rPr>
                <w:rFonts w:ascii="Roboto;sans-serif" w:hAnsi="Roboto;sans-serif"/>
                <w:b w:val="false"/>
                <w:color w:val="000000"/>
                <w:sz w:val="18"/>
              </w:rPr>
              <w:t>Elizabeth F Coddington</w:t>
              <w:br/>
              <w:t>Chief Financial Officer</w:t>
              <w:br/>
              <w:t>(Principal Financial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center"/>
        <w:rPr>
          <w:rFonts w:ascii="Roboto;sans-serif" w:hAnsi="Roboto;sans-serif"/>
          <w:b/>
          <w:color w:val="000000"/>
          <w:sz w:val="24"/>
        </w:rPr>
      </w:pPr>
      <w:r>
        <w:rPr>
          <w:rFonts w:ascii="Roboto;sans-serif" w:hAnsi="Roboto;sans-serif"/>
          <w:b/>
          <w:color w:val="000000"/>
          <w:sz w:val="24"/>
        </w:rPr>
        <w:t>CERTIFICATION OF PRINCIPAL EXECUTIVE OFFICER PURSUANT TO</w:t>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33350"/>
                <wp:effectExtent l="0" t="0" r="0" b="0"/>
                <wp:wrapNone/>
                <wp:docPr id="48" name="Frame48"/>
                <a:graphic xmlns:a="http://schemas.openxmlformats.org/drawingml/2006/main">
                  <a:graphicData uri="http://schemas.microsoft.com/office/word/2010/wordprocessingShape">
                    <wps:wsp>
                      <wps:cNvSpPr txBox="1"/>
                      <wps:spPr>
                        <a:xfrm>
                          <a:off x="0" y="0"/>
                          <a:ext cx="6480175" cy="133350"/>
                        </a:xfrm>
                        <a:prstGeom prst="rect"/>
                        <a:solidFill>
                          <a:srgbClr val="FFFFFF"/>
                        </a:solidFill>
                      </wps:spPr>
                      <wps:txb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pt;mso-wrap-distance-left:0pt;mso-wrap-distance-right:0pt;mso-wrap-distance-top:0pt;mso-wrap-distance-bottom:0pt;margin-top:0pt;mso-position-vertical:top;mso-position-vertical-relative:text;margin-left:-6.2pt;mso-position-horizontal:left;mso-position-horizontal-relative:text">
                <v:textbox>
                  <w:txbxContent>
                    <w:p>
                      <w:pPr>
                        <w:pStyle w:val="TextBody"/>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48</w:t>
                      </w:r>
                    </w:p>
                  </w:txbxContent>
                </v:textbox>
                <w10:wrap type="none"/>
              </v:rect>
            </w:pict>
          </mc:Fallback>
        </mc:AlternateContent>
      </w:r>
    </w:p>
    <w:p>
      <w:pPr>
        <w:pStyle w:val="TextBody"/>
        <w:bidi w:val="0"/>
        <w:spacing w:lineRule="auto" w:line="288" w:before="0" w:after="0"/>
        <w:jc w:val="center"/>
        <w:rPr>
          <w:rFonts w:ascii="Roboto;sans-serif" w:hAnsi="Roboto;sans-serif"/>
          <w:b/>
          <w:color w:val="000000"/>
          <w:sz w:val="24"/>
        </w:rPr>
      </w:pPr>
      <w:r>
        <w:rPr>
          <w:rFonts w:ascii="Roboto;sans-serif" w:hAnsi="Roboto;sans-serif"/>
          <w:b/>
          <w:color w:val="000000"/>
          <w:sz w:val="24"/>
        </w:rPr>
        <w:t>RULE 13a-14(a) OR 15d-14(a) OF THE SECURITIES EXCHANGE ACT OF 1934,</w:t>
      </w:r>
    </w:p>
    <w:p>
      <w:pPr>
        <w:pStyle w:val="TextBody"/>
        <w:bidi w:val="0"/>
        <w:spacing w:lineRule="auto" w:line="288" w:before="0" w:after="0"/>
        <w:jc w:val="center"/>
        <w:rPr>
          <w:rFonts w:ascii="Roboto;sans-serif" w:hAnsi="Roboto;sans-serif"/>
          <w:b/>
          <w:color w:val="000000"/>
          <w:sz w:val="24"/>
        </w:rPr>
      </w:pPr>
      <w:r>
        <w:rPr>
          <w:rFonts w:ascii="Roboto;sans-serif" w:hAnsi="Roboto;sans-serif"/>
          <w:b/>
          <w:color w:val="000000"/>
          <w:sz w:val="24"/>
        </w:rPr>
        <w:t>AS ADOPTED PURSUANT TO SECTION 302 OF THE SARBANES-OXLEY ACT OF 2002</w:t>
      </w:r>
    </w:p>
    <w:p>
      <w:pPr>
        <w:pStyle w:val="TextBody"/>
        <w:bidi w:val="0"/>
        <w:spacing w:before="0" w:after="0"/>
        <w:jc w:val="left"/>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I, Peter Stern, certify that:</w:t>
      </w:r>
    </w:p>
    <w:p>
      <w:pPr>
        <w:pStyle w:val="TextBody"/>
        <w:bidi w:val="0"/>
        <w:spacing w:before="0" w:after="0"/>
        <w:jc w:val="both"/>
        <w:rPr/>
      </w:pPr>
      <w:r>
        <w:rPr/>
      </w:r>
    </w:p>
    <w:p>
      <w:pPr>
        <w:pStyle w:val="TextBody"/>
        <w:bidi w:val="0"/>
        <w:spacing w:lineRule="auto" w:line="288" w:before="0" w:after="0"/>
        <w:jc w:val="both"/>
        <w:rPr/>
      </w:pPr>
      <w:r>
        <w:rPr>
          <w:rFonts w:ascii="Roboto;sans-serif" w:hAnsi="Roboto;sans-serif"/>
          <w:b w:val="false"/>
          <w:color w:val="000000"/>
          <w:sz w:val="18"/>
        </w:rPr>
        <w:t>1.</w:t>
      </w:r>
      <w:r>
        <w:rPr>
          <w:rFonts w:ascii="Roboto;sans-serif" w:hAnsi="Roboto;sans-serif"/>
          <w:b w:val="false"/>
          <w:color w:val="000000"/>
          <w:sz w:val="18"/>
        </w:rPr>
        <w:t>I have reviewed this Quarterly Report on Form 10-Q of Peloton Interactive, Inc.;</w:t>
      </w:r>
    </w:p>
    <w:p>
      <w:pPr>
        <w:pStyle w:val="TextBody"/>
        <w:bidi w:val="0"/>
        <w:spacing w:before="0" w:after="0"/>
        <w:jc w:val="both"/>
        <w:rPr/>
      </w:pPr>
      <w:r>
        <w:rPr/>
      </w:r>
    </w:p>
    <w:p>
      <w:pPr>
        <w:pStyle w:val="TextBody"/>
        <w:bidi w:val="0"/>
        <w:spacing w:lineRule="auto" w:line="288" w:before="0" w:after="0"/>
        <w:jc w:val="both"/>
        <w:rPr/>
      </w:pPr>
      <w:r>
        <w:rPr>
          <w:rFonts w:ascii="Roboto;sans-serif" w:hAnsi="Roboto;sans-serif"/>
          <w:b w:val="false"/>
          <w:color w:val="000000"/>
          <w:sz w:val="18"/>
        </w:rPr>
        <w:t>2.</w:t>
      </w:r>
      <w:r>
        <w:rPr>
          <w:rFonts w:ascii="Roboto;sans-serif" w:hAnsi="Roboto;sans-serif"/>
          <w:b w:val="false"/>
          <w:color w:val="000000"/>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88" w:before="0" w:after="0"/>
        <w:jc w:val="both"/>
        <w:rPr/>
      </w:pPr>
      <w:r>
        <w:rPr>
          <w:rFonts w:ascii="Roboto;sans-serif" w:hAnsi="Roboto;sans-serif"/>
          <w:b w:val="false"/>
          <w:color w:val="000000"/>
          <w:sz w:val="18"/>
        </w:rPr>
        <w:t>3.</w:t>
      </w:r>
      <w:r>
        <w:rPr>
          <w:rFonts w:ascii="Roboto;sans-serif" w:hAnsi="Roboto;sans-serif"/>
          <w:b w:val="false"/>
          <w:color w:val="000000"/>
          <w:sz w:val="18"/>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288" w:before="0" w:after="0"/>
        <w:jc w:val="both"/>
        <w:rPr/>
      </w:pPr>
      <w:r>
        <w:rPr>
          <w:rFonts w:ascii="Roboto;sans-serif" w:hAnsi="Roboto;sans-serif"/>
          <w:b w:val="false"/>
          <w:color w:val="000000"/>
          <w:sz w:val="18"/>
        </w:rPr>
        <w:t>4.</w:t>
      </w:r>
      <w:r>
        <w:rPr>
          <w:rFonts w:ascii="Roboto;sans-serif" w:hAnsi="Roboto;sans-serif"/>
          <w:b w:val="false"/>
          <w:color w:val="000000"/>
          <w:sz w:val="18"/>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pPr>
      <w:r>
        <w:rPr/>
      </w:r>
    </w:p>
    <w:p>
      <w:pPr>
        <w:pStyle w:val="TextBody"/>
        <w:bidi w:val="0"/>
        <w:spacing w:lineRule="auto" w:line="288" w:before="0" w:after="0"/>
        <w:ind w:left="0" w:right="0" w:hanging="360"/>
        <w:jc w:val="both"/>
        <w:rPr>
          <w:rFonts w:ascii="Roboto;sans-serif" w:hAnsi="Roboto;sans-serif"/>
          <w:b w:val="false"/>
          <w:color w:val="000000"/>
          <w:sz w:val="18"/>
        </w:rPr>
      </w:pPr>
      <w:r>
        <w:rPr>
          <w:rFonts w:ascii="Roboto;sans-serif" w:hAnsi="Roboto;sans-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both"/>
        <w:rPr/>
      </w:pPr>
      <w:r>
        <w:rPr/>
      </w:r>
    </w:p>
    <w:p>
      <w:pPr>
        <w:pStyle w:val="TextBody"/>
        <w:bidi w:val="0"/>
        <w:spacing w:lineRule="auto" w:line="288" w:before="0" w:after="0"/>
        <w:ind w:left="0" w:right="0" w:hanging="360"/>
        <w:jc w:val="both"/>
        <w:rPr>
          <w:rFonts w:ascii="Roboto;sans-serif" w:hAnsi="Roboto;sans-serif"/>
          <w:b w:val="false"/>
          <w:color w:val="000000"/>
          <w:sz w:val="18"/>
        </w:rPr>
      </w:pPr>
      <w:r>
        <w:rPr>
          <w:rFonts w:ascii="Roboto;sans-serif" w:hAnsi="Roboto;sans-serif"/>
          <w:b w:val="false"/>
          <w:color w:val="000000"/>
          <w:sz w:val="18"/>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pPr>
      <w:r>
        <w:rPr/>
      </w:r>
    </w:p>
    <w:p>
      <w:pPr>
        <w:pStyle w:val="TextBody"/>
        <w:bidi w:val="0"/>
        <w:spacing w:lineRule="auto" w:line="288" w:before="0" w:after="0"/>
        <w:ind w:left="0" w:right="0" w:hanging="360"/>
        <w:jc w:val="both"/>
        <w:rPr>
          <w:rFonts w:ascii="Roboto;sans-serif" w:hAnsi="Roboto;sans-serif"/>
          <w:b w:val="false"/>
          <w:color w:val="000000"/>
          <w:sz w:val="18"/>
        </w:rPr>
      </w:pPr>
      <w:r>
        <w:rPr>
          <w:rFonts w:ascii="Roboto;sans-serif" w:hAnsi="Roboto;sans-serif"/>
          <w:b w:val="false"/>
          <w:color w:val="000000"/>
          <w:sz w:val="18"/>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r>
    </w:p>
    <w:p>
      <w:pPr>
        <w:pStyle w:val="TextBody"/>
        <w:bidi w:val="0"/>
        <w:spacing w:lineRule="auto" w:line="288" w:before="0" w:after="0"/>
        <w:ind w:left="0" w:right="0" w:hanging="360"/>
        <w:jc w:val="both"/>
        <w:rPr>
          <w:rFonts w:ascii="Roboto;sans-serif" w:hAnsi="Roboto;sans-serif"/>
          <w:b w:val="false"/>
          <w:color w:val="000000"/>
          <w:sz w:val="18"/>
        </w:rPr>
      </w:pPr>
      <w:r>
        <w:rPr>
          <w:rFonts w:ascii="Roboto;sans-serif" w:hAnsi="Roboto;sans-serif"/>
          <w:b w:val="false"/>
          <w:color w:val="000000"/>
          <w:sz w:val="18"/>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firstLine="360"/>
        <w:jc w:val="both"/>
        <w:rPr/>
      </w:pPr>
      <w:r>
        <w:rPr/>
      </w:r>
    </w:p>
    <w:p>
      <w:pPr>
        <w:pStyle w:val="TextBody"/>
        <w:bidi w:val="0"/>
        <w:spacing w:lineRule="auto" w:line="288" w:before="0" w:after="0"/>
        <w:jc w:val="both"/>
        <w:rPr/>
      </w:pPr>
      <w:r>
        <w:rPr>
          <w:rFonts w:ascii="Roboto;sans-serif" w:hAnsi="Roboto;sans-serif"/>
          <w:b w:val="false"/>
          <w:color w:val="000000"/>
          <w:sz w:val="18"/>
        </w:rPr>
        <w:t>5.</w:t>
      </w:r>
      <w:r>
        <w:rPr>
          <w:rFonts w:ascii="Roboto;sans-serif" w:hAnsi="Roboto;sans-serif"/>
          <w:b w:val="false"/>
          <w:color w:val="000000"/>
          <w:sz w:val="18"/>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ind w:left="0" w:right="0" w:hanging="360"/>
        <w:jc w:val="left"/>
        <w:rPr>
          <w:rFonts w:ascii="Roboto;sans-serif" w:hAnsi="Roboto;sans-serif"/>
          <w:b w:val="false"/>
          <w:color w:val="000000"/>
          <w:sz w:val="18"/>
        </w:rPr>
      </w:pPr>
      <w:r>
        <w:rPr>
          <w:rFonts w:ascii="Roboto;sans-serif" w:hAnsi="Roboto;sans-serif"/>
          <w:b w:val="false"/>
          <w:color w:val="000000"/>
          <w:sz w:val="18"/>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360"/>
        <w:jc w:val="left"/>
        <w:rPr>
          <w:rFonts w:ascii="Roboto;sans-serif" w:hAnsi="Roboto;sans-serif"/>
          <w:b w:val="false"/>
          <w:color w:val="000000"/>
          <w:sz w:val="18"/>
        </w:rPr>
      </w:pPr>
      <w:r>
        <w:rPr>
          <w:rFonts w:ascii="Roboto;sans-serif" w:hAnsi="Roboto;sans-serif"/>
          <w:b w:val="false"/>
          <w:color w:val="000000"/>
          <w:sz w:val="18"/>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Date: May 8, 2025</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By: /s/ Peter Stern</w:t>
      </w:r>
    </w:p>
    <w:p>
      <w:pPr>
        <w:pStyle w:val="TextBody"/>
        <w:bidi w:val="0"/>
        <w:spacing w:before="0" w:after="0"/>
        <w:jc w:val="left"/>
        <w:rPr/>
      </w:pPr>
      <w:r>
        <w:rPr/>
      </w:r>
    </w:p>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Peter Stern</w:t>
      </w:r>
    </w:p>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President and Chief Executive Officer</w:t>
      </w:r>
    </w:p>
    <w:p>
      <w:pPr>
        <w:pStyle w:val="TextBody"/>
        <w:bidi w:val="0"/>
        <w:spacing w:lineRule="auto" w:line="288"/>
        <w:jc w:val="left"/>
        <w:rPr>
          <w:rFonts w:ascii="Roboto;sans-serif" w:hAnsi="Roboto;sans-serif"/>
          <w:b w:val="false"/>
          <w:i/>
          <w:color w:val="000000"/>
          <w:sz w:val="18"/>
        </w:rPr>
      </w:pPr>
      <w:r>
        <w:rPr>
          <w:rFonts w:ascii="Roboto;sans-serif" w:hAnsi="Roboto;sans-serif"/>
          <w:b w:val="false"/>
          <w:i/>
          <w:color w:val="000000"/>
          <w:sz w:val="18"/>
        </w:rPr>
        <w:t>(Principal Executive Officer)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center"/>
        <w:rPr>
          <w:rFonts w:ascii="Roboto;sans-serif" w:hAnsi="Roboto;sans-serif"/>
          <w:b/>
          <w:color w:val="000000"/>
          <w:sz w:val="24"/>
        </w:rPr>
      </w:pPr>
      <w:r>
        <w:rPr>
          <w:rFonts w:ascii="Roboto;sans-serif" w:hAnsi="Roboto;sans-serif"/>
          <w:b/>
          <w:color w:val="000000"/>
          <w:sz w:val="24"/>
        </w:rPr>
        <w:t>CERTIFICATION OF PRINCIPAL FINANCIAL OFFICER PURSUANT TO</w:t>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2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Roboto;sans-serif" w:hAnsi="Roboto;sans-serif"/>
          <w:b/>
          <w:color w:val="000000"/>
          <w:sz w:val="24"/>
        </w:rPr>
      </w:pPr>
      <w:r>
        <w:rPr>
          <w:rFonts w:ascii="Roboto;sans-serif" w:hAnsi="Roboto;sans-serif"/>
          <w:b/>
          <w:color w:val="000000"/>
          <w:sz w:val="24"/>
        </w:rPr>
        <w:t>RULE 13a-14(a) OR 15d-14(a) OF THE SECURITIES EXCHANGE ACT OF 1934,</w:t>
      </w:r>
    </w:p>
    <w:p>
      <w:pPr>
        <w:pStyle w:val="TextBody"/>
        <w:bidi w:val="0"/>
        <w:spacing w:lineRule="auto" w:line="288" w:before="0" w:after="0"/>
        <w:jc w:val="center"/>
        <w:rPr>
          <w:rFonts w:ascii="Roboto;sans-serif" w:hAnsi="Roboto;sans-serif"/>
          <w:b/>
          <w:color w:val="000000"/>
          <w:sz w:val="24"/>
        </w:rPr>
      </w:pPr>
      <w:r>
        <w:rPr>
          <w:rFonts w:ascii="Roboto;sans-serif" w:hAnsi="Roboto;sans-serif"/>
          <w:b/>
          <w:color w:val="000000"/>
          <w:sz w:val="24"/>
        </w:rPr>
        <w:t>AS ADOPTED PURSUANT TO SECTION 302 OF THE SARBANES-OXLEY ACT OF 2002</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I, Elizabeth F Coddington, certify that:</w:t>
      </w:r>
    </w:p>
    <w:p>
      <w:pPr>
        <w:pStyle w:val="TextBody"/>
        <w:bidi w:val="0"/>
        <w:spacing w:before="0" w:after="0"/>
        <w:jc w:val="both"/>
        <w:rPr/>
      </w:pPr>
      <w:r>
        <w:rPr/>
      </w:r>
    </w:p>
    <w:p>
      <w:pPr>
        <w:pStyle w:val="TextBody"/>
        <w:bidi w:val="0"/>
        <w:spacing w:lineRule="auto" w:line="288" w:before="0" w:after="0"/>
        <w:jc w:val="both"/>
        <w:rPr/>
      </w:pPr>
      <w:r>
        <w:rPr>
          <w:rFonts w:ascii="Roboto;sans-serif" w:hAnsi="Roboto;sans-serif"/>
          <w:b w:val="false"/>
          <w:color w:val="000000"/>
          <w:sz w:val="18"/>
        </w:rPr>
        <w:t>1.</w:t>
      </w:r>
      <w:r>
        <w:rPr>
          <w:rFonts w:ascii="Roboto;sans-serif" w:hAnsi="Roboto;sans-serif"/>
          <w:b w:val="false"/>
          <w:color w:val="000000"/>
          <w:sz w:val="18"/>
        </w:rPr>
        <w:t>I have reviewed this Quarterly Report on Form 10-Q of Peloton Interactive, Inc.;</w:t>
      </w:r>
    </w:p>
    <w:p>
      <w:pPr>
        <w:pStyle w:val="TextBody"/>
        <w:bidi w:val="0"/>
        <w:spacing w:before="0" w:after="0"/>
        <w:jc w:val="both"/>
        <w:rPr/>
      </w:pPr>
      <w:r>
        <w:rPr/>
      </w:r>
    </w:p>
    <w:p>
      <w:pPr>
        <w:pStyle w:val="TextBody"/>
        <w:bidi w:val="0"/>
        <w:spacing w:lineRule="auto" w:line="288" w:before="0" w:after="0"/>
        <w:jc w:val="both"/>
        <w:rPr/>
      </w:pPr>
      <w:r>
        <w:rPr>
          <w:rFonts w:ascii="Roboto;sans-serif" w:hAnsi="Roboto;sans-serif"/>
          <w:b w:val="false"/>
          <w:color w:val="000000"/>
          <w:sz w:val="18"/>
        </w:rPr>
        <w:t>2.</w:t>
      </w:r>
      <w:r>
        <w:rPr>
          <w:rFonts w:ascii="Roboto;sans-serif" w:hAnsi="Roboto;sans-serif"/>
          <w:b w:val="false"/>
          <w:color w:val="000000"/>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88" w:before="0" w:after="0"/>
        <w:jc w:val="both"/>
        <w:rPr/>
      </w:pPr>
      <w:r>
        <w:rPr>
          <w:rFonts w:ascii="Roboto;sans-serif" w:hAnsi="Roboto;sans-serif"/>
          <w:b w:val="false"/>
          <w:color w:val="000000"/>
          <w:sz w:val="18"/>
        </w:rPr>
        <w:t>3.</w:t>
      </w:r>
      <w:r>
        <w:rPr>
          <w:rFonts w:ascii="Roboto;sans-serif" w:hAnsi="Roboto;sans-serif"/>
          <w:b w:val="false"/>
          <w:color w:val="000000"/>
          <w:sz w:val="18"/>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288" w:before="0" w:after="0"/>
        <w:jc w:val="both"/>
        <w:rPr/>
      </w:pPr>
      <w:r>
        <w:rPr>
          <w:rFonts w:ascii="Roboto;sans-serif" w:hAnsi="Roboto;sans-serif"/>
          <w:b w:val="false"/>
          <w:color w:val="000000"/>
          <w:sz w:val="18"/>
        </w:rPr>
        <w:t>4.</w:t>
      </w:r>
      <w:r>
        <w:rPr>
          <w:rFonts w:ascii="Roboto;sans-serif" w:hAnsi="Roboto;sans-serif"/>
          <w:b w:val="false"/>
          <w:color w:val="000000"/>
          <w:sz w:val="18"/>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pPr>
      <w:r>
        <w:rPr/>
      </w:r>
    </w:p>
    <w:p>
      <w:pPr>
        <w:pStyle w:val="TextBody"/>
        <w:bidi w:val="0"/>
        <w:spacing w:lineRule="auto" w:line="288" w:before="0" w:after="0"/>
        <w:ind w:left="0" w:right="0" w:hanging="360"/>
        <w:jc w:val="both"/>
        <w:rPr>
          <w:rFonts w:ascii="Roboto;sans-serif" w:hAnsi="Roboto;sans-serif"/>
          <w:b w:val="false"/>
          <w:color w:val="000000"/>
          <w:sz w:val="18"/>
        </w:rPr>
      </w:pPr>
      <w:r>
        <w:rPr>
          <w:rFonts w:ascii="Roboto;sans-serif" w:hAnsi="Roboto;sans-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both"/>
        <w:rPr/>
      </w:pPr>
      <w:r>
        <w:rPr/>
      </w:r>
    </w:p>
    <w:p>
      <w:pPr>
        <w:pStyle w:val="TextBody"/>
        <w:bidi w:val="0"/>
        <w:spacing w:lineRule="auto" w:line="288" w:before="0" w:after="0"/>
        <w:ind w:left="0" w:right="0" w:hanging="360"/>
        <w:jc w:val="both"/>
        <w:rPr>
          <w:rFonts w:ascii="Roboto;sans-serif" w:hAnsi="Roboto;sans-serif"/>
          <w:b w:val="false"/>
          <w:color w:val="000000"/>
          <w:sz w:val="18"/>
        </w:rPr>
      </w:pPr>
      <w:r>
        <w:rPr>
          <w:rFonts w:ascii="Roboto;sans-serif" w:hAnsi="Roboto;sans-serif"/>
          <w:b w:val="false"/>
          <w:color w:val="000000"/>
          <w:sz w:val="18"/>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pPr>
      <w:r>
        <w:rPr/>
      </w:r>
    </w:p>
    <w:p>
      <w:pPr>
        <w:pStyle w:val="TextBody"/>
        <w:bidi w:val="0"/>
        <w:spacing w:lineRule="auto" w:line="288" w:before="0" w:after="0"/>
        <w:ind w:left="0" w:right="0" w:hanging="360"/>
        <w:jc w:val="both"/>
        <w:rPr>
          <w:rFonts w:ascii="Roboto;sans-serif" w:hAnsi="Roboto;sans-serif"/>
          <w:b w:val="false"/>
          <w:color w:val="000000"/>
          <w:sz w:val="18"/>
        </w:rPr>
      </w:pPr>
      <w:r>
        <w:rPr>
          <w:rFonts w:ascii="Roboto;sans-serif" w:hAnsi="Roboto;sans-serif"/>
          <w:b w:val="false"/>
          <w:color w:val="000000"/>
          <w:sz w:val="18"/>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r>
    </w:p>
    <w:p>
      <w:pPr>
        <w:pStyle w:val="TextBody"/>
        <w:bidi w:val="0"/>
        <w:spacing w:lineRule="auto" w:line="288" w:before="0" w:after="0"/>
        <w:ind w:left="0" w:right="0" w:hanging="360"/>
        <w:jc w:val="both"/>
        <w:rPr>
          <w:rFonts w:ascii="Roboto;sans-serif" w:hAnsi="Roboto;sans-serif"/>
          <w:b w:val="false"/>
          <w:color w:val="000000"/>
          <w:sz w:val="18"/>
        </w:rPr>
      </w:pPr>
      <w:r>
        <w:rPr>
          <w:rFonts w:ascii="Roboto;sans-serif" w:hAnsi="Roboto;sans-serif"/>
          <w:b w:val="false"/>
          <w:color w:val="000000"/>
          <w:sz w:val="18"/>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firstLine="360"/>
        <w:jc w:val="both"/>
        <w:rPr/>
      </w:pPr>
      <w:r>
        <w:rPr/>
      </w:r>
    </w:p>
    <w:p>
      <w:pPr>
        <w:pStyle w:val="TextBody"/>
        <w:bidi w:val="0"/>
        <w:spacing w:lineRule="auto" w:line="288" w:before="0" w:after="0"/>
        <w:jc w:val="both"/>
        <w:rPr/>
      </w:pPr>
      <w:r>
        <w:rPr>
          <w:rFonts w:ascii="Roboto;sans-serif" w:hAnsi="Roboto;sans-serif"/>
          <w:b w:val="false"/>
          <w:color w:val="000000"/>
          <w:sz w:val="18"/>
        </w:rPr>
        <w:t>5.</w:t>
      </w:r>
      <w:r>
        <w:rPr>
          <w:rFonts w:ascii="Roboto;sans-serif" w:hAnsi="Roboto;sans-serif"/>
          <w:b w:val="false"/>
          <w:color w:val="000000"/>
          <w:sz w:val="18"/>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ind w:left="0" w:right="0" w:hanging="360"/>
        <w:jc w:val="left"/>
        <w:rPr>
          <w:rFonts w:ascii="Roboto;sans-serif" w:hAnsi="Roboto;sans-serif"/>
          <w:b w:val="false"/>
          <w:color w:val="000000"/>
          <w:sz w:val="18"/>
        </w:rPr>
      </w:pPr>
      <w:r>
        <w:rPr>
          <w:rFonts w:ascii="Roboto;sans-serif" w:hAnsi="Roboto;sans-serif"/>
          <w:b w:val="false"/>
          <w:color w:val="000000"/>
          <w:sz w:val="18"/>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360"/>
        <w:jc w:val="left"/>
        <w:rPr>
          <w:rFonts w:ascii="Roboto;sans-serif" w:hAnsi="Roboto;sans-serif"/>
          <w:b w:val="false"/>
          <w:color w:val="000000"/>
          <w:sz w:val="18"/>
        </w:rPr>
      </w:pPr>
      <w:r>
        <w:rPr>
          <w:rFonts w:ascii="Roboto;sans-serif" w:hAnsi="Roboto;sans-serif"/>
          <w:b w:val="false"/>
          <w:color w:val="000000"/>
          <w:sz w:val="18"/>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Date: May 8, 2025</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By: /s/ Elizabeth F Coddington</w:t>
      </w:r>
    </w:p>
    <w:p>
      <w:pPr>
        <w:pStyle w:val="TextBody"/>
        <w:bidi w:val="0"/>
        <w:spacing w:before="0" w:after="0"/>
        <w:jc w:val="left"/>
        <w:rPr/>
      </w:pPr>
      <w:r>
        <w:rPr/>
      </w:r>
    </w:p>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Elizabeth F Coddington</w:t>
      </w:r>
    </w:p>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Chief Financial Officer</w:t>
      </w:r>
    </w:p>
    <w:p>
      <w:pPr>
        <w:pStyle w:val="TextBody"/>
        <w:bidi w:val="0"/>
        <w:spacing w:lineRule="auto" w:line="288"/>
        <w:jc w:val="left"/>
        <w:rPr>
          <w:rFonts w:ascii="Roboto;sans-serif" w:hAnsi="Roboto;sans-serif"/>
          <w:b w:val="false"/>
          <w:i/>
          <w:color w:val="000000"/>
          <w:sz w:val="18"/>
        </w:rPr>
      </w:pPr>
      <w:r>
        <w:rPr>
          <w:rFonts w:ascii="Roboto;sans-serif" w:hAnsi="Roboto;sans-serif"/>
          <w:b w:val="false"/>
          <w:i/>
          <w:color w:val="000000"/>
          <w:sz w:val="18"/>
        </w:rPr>
        <w:t>(Principal Financial Officer)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center"/>
        <w:rPr>
          <w:rFonts w:ascii="Roboto;sans-serif" w:hAnsi="Roboto;sans-serif"/>
          <w:b/>
          <w:color w:val="000000"/>
          <w:sz w:val="24"/>
        </w:rPr>
      </w:pPr>
      <w:r>
        <w:rPr>
          <w:rFonts w:ascii="Roboto;sans-serif" w:hAnsi="Roboto;sans-serif"/>
          <w:b/>
          <w:color w:val="000000"/>
          <w:sz w:val="24"/>
        </w:rPr>
        <w:t>CERTIFICATION OF PRINCIPAL EXECUTIVE OFFICER PURSUANT TO</w:t>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6.2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Roboto;sans-serif" w:hAnsi="Roboto;sans-serif"/>
          <w:b/>
          <w:color w:val="000000"/>
          <w:sz w:val="24"/>
        </w:rPr>
      </w:pPr>
      <w:r>
        <w:rPr>
          <w:rFonts w:ascii="Roboto;sans-serif" w:hAnsi="Roboto;sans-serif"/>
          <w:b/>
          <w:color w:val="000000"/>
          <w:sz w:val="24"/>
        </w:rPr>
        <w:t>18 U.S.C. SECTION 1350, AS ADOPTED PURSUANT TO</w:t>
      </w:r>
    </w:p>
    <w:p>
      <w:pPr>
        <w:pStyle w:val="TextBody"/>
        <w:bidi w:val="0"/>
        <w:spacing w:lineRule="auto" w:line="288" w:before="0" w:after="0"/>
        <w:jc w:val="center"/>
        <w:rPr>
          <w:rFonts w:ascii="Roboto;sans-serif" w:hAnsi="Roboto;sans-serif"/>
          <w:b/>
          <w:color w:val="000000"/>
          <w:sz w:val="24"/>
        </w:rPr>
      </w:pPr>
      <w:r>
        <w:rPr>
          <w:rFonts w:ascii="Roboto;sans-serif" w:hAnsi="Roboto;sans-serif"/>
          <w:b/>
          <w:color w:val="000000"/>
          <w:sz w:val="24"/>
        </w:rPr>
        <w:t>SECTION 906 OF THE SARBANES-OXLEY ACT OF 2002</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I, Peter Stern, Chief Executive Officer of Peloton Interactive, Inc. (the “Company”), do hereby certify, pursuant to 18 U.S.C. Section 1350, as adopted pursuant to Section 906 of the Sarbanes-Oxley Act of 2002, that to the best of my knowledge:</w:t>
      </w:r>
    </w:p>
    <w:p>
      <w:pPr>
        <w:pStyle w:val="TextBody"/>
        <w:bidi w:val="0"/>
        <w:spacing w:before="0" w:after="0"/>
        <w:jc w:val="both"/>
        <w:rPr/>
      </w:pPr>
      <w:r>
        <w:rPr/>
      </w:r>
    </w:p>
    <w:p>
      <w:pPr>
        <w:pStyle w:val="TextBody"/>
        <w:bidi w:val="0"/>
        <w:spacing w:lineRule="auto" w:line="288" w:before="0" w:after="0"/>
        <w:ind w:left="0" w:right="0" w:hanging="360"/>
        <w:jc w:val="both"/>
        <w:rPr>
          <w:rFonts w:ascii="Roboto;sans-serif" w:hAnsi="Roboto;sans-serif"/>
          <w:b w:val="false"/>
          <w:color w:val="000000"/>
          <w:sz w:val="18"/>
        </w:rPr>
      </w:pPr>
      <w:r>
        <w:rPr>
          <w:rFonts w:ascii="Roboto;sans-serif" w:hAnsi="Roboto;sans-serif"/>
          <w:b w:val="false"/>
          <w:color w:val="000000"/>
          <w:sz w:val="18"/>
        </w:rPr>
        <w:t>1.the Quarterly Report on Form 10-Q of the Company for the fiscal quarter ended March 31, 2025 (the “Report”) fully complies with the requirements of Section 13(a) or 15(d) of the Securities Exchange Act of 1934, as amended; and</w:t>
      </w:r>
    </w:p>
    <w:p>
      <w:pPr>
        <w:pStyle w:val="TextBody"/>
        <w:bidi w:val="0"/>
        <w:spacing w:before="0" w:after="0"/>
        <w:jc w:val="both"/>
        <w:rPr/>
      </w:pPr>
      <w:r>
        <w:rPr/>
      </w:r>
    </w:p>
    <w:p>
      <w:pPr>
        <w:pStyle w:val="TextBody"/>
        <w:bidi w:val="0"/>
        <w:spacing w:lineRule="auto" w:line="288" w:before="0" w:after="0"/>
        <w:ind w:left="0" w:right="0" w:hanging="360"/>
        <w:jc w:val="both"/>
        <w:rPr>
          <w:rFonts w:ascii="Roboto;sans-serif" w:hAnsi="Roboto;sans-serif"/>
          <w:b w:val="false"/>
          <w:color w:val="000000"/>
          <w:sz w:val="18"/>
        </w:rPr>
      </w:pPr>
      <w:r>
        <w:rPr>
          <w:rFonts w:ascii="Roboto;sans-serif" w:hAnsi="Roboto;sans-serif"/>
          <w:b w:val="false"/>
          <w:color w:val="000000"/>
          <w:sz w:val="18"/>
        </w:rPr>
        <w:t>2.the information contained in the Report fairly presents, in all material respects, the financial condition, and results of operations of the Company.</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Date: May 8, 2025</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By: /s/ Peter Stern</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Peter Stern</w:t>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President and Chief Executive Officer</w:t>
      </w:r>
    </w:p>
    <w:p>
      <w:pPr>
        <w:pStyle w:val="TextBody"/>
        <w:bidi w:val="0"/>
        <w:spacing w:lineRule="auto" w:line="288"/>
        <w:jc w:val="left"/>
        <w:rPr>
          <w:rFonts w:ascii="Roboto;sans-serif" w:hAnsi="Roboto;sans-serif"/>
          <w:b w:val="false"/>
          <w:i/>
          <w:color w:val="000000"/>
          <w:sz w:val="18"/>
        </w:rPr>
      </w:pPr>
      <w:r>
        <w:rPr>
          <w:rFonts w:ascii="Roboto;sans-serif" w:hAnsi="Roboto;sans-serif"/>
          <w:b w:val="false"/>
          <w:i/>
          <w:color w:val="000000"/>
          <w:sz w:val="18"/>
        </w:rPr>
        <w:t>(Principal Executive Officer)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center"/>
        <w:rPr>
          <w:rFonts w:ascii="Roboto;sans-serif" w:hAnsi="Roboto;sans-serif"/>
          <w:b/>
          <w:color w:val="000000"/>
          <w:sz w:val="24"/>
        </w:rPr>
      </w:pPr>
      <w:r>
        <w:rPr>
          <w:rFonts w:ascii="Roboto;sans-serif" w:hAnsi="Roboto;sans-serif"/>
          <w:b/>
          <w:color w:val="000000"/>
          <w:sz w:val="24"/>
        </w:rPr>
        <w:t>CERTIFICATION OF PRINCIPAL FINANCIAL OFFICER PURSUANT TO</w:t>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7.2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Roboto;sans-serif" w:hAnsi="Roboto;sans-serif"/>
          <w:b/>
          <w:color w:val="000000"/>
          <w:sz w:val="24"/>
        </w:rPr>
      </w:pPr>
      <w:r>
        <w:rPr>
          <w:rFonts w:ascii="Roboto;sans-serif" w:hAnsi="Roboto;sans-serif"/>
          <w:b/>
          <w:color w:val="000000"/>
          <w:sz w:val="24"/>
        </w:rPr>
        <w:t>18 U.S.C. SECTION 1350, AS ADOPTED PURSUANT TO</w:t>
      </w:r>
    </w:p>
    <w:p>
      <w:pPr>
        <w:pStyle w:val="TextBody"/>
        <w:bidi w:val="0"/>
        <w:spacing w:lineRule="auto" w:line="288" w:before="0" w:after="0"/>
        <w:jc w:val="center"/>
        <w:rPr>
          <w:rFonts w:ascii="Roboto;sans-serif" w:hAnsi="Roboto;sans-serif"/>
          <w:b/>
          <w:color w:val="000000"/>
          <w:sz w:val="24"/>
        </w:rPr>
      </w:pPr>
      <w:r>
        <w:rPr>
          <w:rFonts w:ascii="Roboto;sans-serif" w:hAnsi="Roboto;sans-serif"/>
          <w:b/>
          <w:color w:val="000000"/>
          <w:sz w:val="24"/>
        </w:rPr>
        <w:t>SECTION 906 OF THE SARBANES-OXLEY ACT OF 2002</w:t>
      </w:r>
    </w:p>
    <w:p>
      <w:pPr>
        <w:pStyle w:val="TextBody"/>
        <w:bidi w:val="0"/>
        <w:spacing w:before="0" w:after="0"/>
        <w:jc w:val="both"/>
        <w:rPr/>
      </w:pPr>
      <w:r>
        <w:rPr/>
      </w:r>
    </w:p>
    <w:p>
      <w:pPr>
        <w:pStyle w:val="TextBody"/>
        <w:bidi w:val="0"/>
        <w:spacing w:lineRule="auto" w:line="288" w:before="0" w:after="0"/>
        <w:jc w:val="both"/>
        <w:rPr>
          <w:rFonts w:ascii="Roboto;sans-serif" w:hAnsi="Roboto;sans-serif"/>
          <w:b w:val="false"/>
          <w:color w:val="000000"/>
          <w:sz w:val="18"/>
        </w:rPr>
      </w:pPr>
      <w:r>
        <w:rPr>
          <w:rFonts w:ascii="Roboto;sans-serif" w:hAnsi="Roboto;sans-serif"/>
          <w:b w:val="false"/>
          <w:color w:val="000000"/>
          <w:sz w:val="18"/>
        </w:rPr>
        <w:t>I, Elizabeth F Coddington, Chief Financial Officer of Peloton Interactive, Inc. (the “Company”), do hereby certify, pursuant to 18 U.S.C. Section 1350, as adopted pursuant to Section 906 of the Sarbanes-Oxley Act of 2002, that to the best of my knowledge:</w:t>
      </w:r>
    </w:p>
    <w:p>
      <w:pPr>
        <w:pStyle w:val="TextBody"/>
        <w:bidi w:val="0"/>
        <w:spacing w:before="0" w:after="0"/>
        <w:jc w:val="both"/>
        <w:rPr/>
      </w:pPr>
      <w:r>
        <w:rPr/>
      </w:r>
    </w:p>
    <w:p>
      <w:pPr>
        <w:pStyle w:val="TextBody"/>
        <w:bidi w:val="0"/>
        <w:spacing w:lineRule="auto" w:line="288" w:before="0" w:after="0"/>
        <w:ind w:left="0" w:right="0" w:hanging="360"/>
        <w:jc w:val="both"/>
        <w:rPr>
          <w:rFonts w:ascii="Roboto;sans-serif" w:hAnsi="Roboto;sans-serif"/>
          <w:b w:val="false"/>
          <w:color w:val="000000"/>
          <w:sz w:val="18"/>
        </w:rPr>
      </w:pPr>
      <w:r>
        <w:rPr>
          <w:rFonts w:ascii="Roboto;sans-serif" w:hAnsi="Roboto;sans-serif"/>
          <w:b w:val="false"/>
          <w:color w:val="000000"/>
          <w:sz w:val="18"/>
        </w:rPr>
        <w:t>1.the Quarterly Report on Form 10-Q of the Company for the fiscal quarter ended March 31, 2025 (the “Report”) fully complies with the requirements of Section 13(a) or 15(d) of the Securities Exchange Act of 1934, as amended; and</w:t>
      </w:r>
    </w:p>
    <w:p>
      <w:pPr>
        <w:pStyle w:val="TextBody"/>
        <w:bidi w:val="0"/>
        <w:spacing w:before="0" w:after="0"/>
        <w:jc w:val="both"/>
        <w:rPr/>
      </w:pPr>
      <w:r>
        <w:rPr/>
      </w:r>
    </w:p>
    <w:p>
      <w:pPr>
        <w:pStyle w:val="TextBody"/>
        <w:bidi w:val="0"/>
        <w:spacing w:lineRule="auto" w:line="288" w:before="0" w:after="0"/>
        <w:ind w:left="0" w:right="0" w:hanging="360"/>
        <w:jc w:val="both"/>
        <w:rPr>
          <w:rFonts w:ascii="Roboto;sans-serif" w:hAnsi="Roboto;sans-serif"/>
          <w:b w:val="false"/>
          <w:color w:val="000000"/>
          <w:sz w:val="18"/>
        </w:rPr>
      </w:pPr>
      <w:r>
        <w:rPr>
          <w:rFonts w:ascii="Roboto;sans-serif" w:hAnsi="Roboto;sans-serif"/>
          <w:b w:val="false"/>
          <w:color w:val="000000"/>
          <w:sz w:val="18"/>
        </w:rPr>
        <w:t>2.the information contained in the Report fairly presents, in all material respects, the financial condition, and results of operations of the Company.</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Date: May 8, 2025</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By: /s/ Elizabeth F Coddington</w:t>
      </w:r>
    </w:p>
    <w:p>
      <w:pPr>
        <w:pStyle w:val="TextBody"/>
        <w:bidi w:val="0"/>
        <w:spacing w:before="0" w:after="0"/>
        <w:jc w:val="left"/>
        <w:rPr/>
      </w:pPr>
      <w:r>
        <w:rPr/>
      </w:r>
    </w:p>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Elizabeth F Coddington</w:t>
      </w:r>
    </w:p>
    <w:p>
      <w:pPr>
        <w:pStyle w:val="TextBody"/>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Chief Financial Officer</w:t>
      </w:r>
    </w:p>
    <w:p>
      <w:pPr>
        <w:pStyle w:val="TextBody"/>
        <w:bidi w:val="0"/>
        <w:spacing w:lineRule="auto" w:line="288"/>
        <w:jc w:val="left"/>
        <w:rPr>
          <w:rFonts w:ascii="Roboto;sans-serif" w:hAnsi="Roboto;sans-serif"/>
          <w:b w:val="false"/>
          <w:i/>
          <w:color w:val="000000"/>
          <w:sz w:val="18"/>
        </w:rPr>
      </w:pPr>
      <w:r>
        <w:rPr>
          <w:rFonts w:ascii="Roboto;sans-serif" w:hAnsi="Roboto;sans-serif"/>
          <w:b w:val="false"/>
          <w:i/>
          <w:color w:val="000000"/>
          <w:sz w:val="18"/>
        </w:rPr>
        <w:t>(Principal Financial Officer)</w:t>
      </w:r>
    </w:p>
    <w:p>
      <w:pPr>
        <w:pStyle w:val="TextBody"/>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Roboto">
    <w:altName w:val="sans-serif"/>
    <w:charset w:val="01"/>
    <w:family w:val="auto"/>
    <w:pitch w:val="default"/>
  </w:font>
  <w:font w:name="Arial">
    <w:altName w:val="sans-serif"/>
    <w:charset w:val="01"/>
    <w:family w:val="auto"/>
    <w:pitch w:val="default"/>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39825/000163982519000018/exhibit31restatedcertifi.htm" TargetMode="External"/><Relationship Id="rId3" Type="http://schemas.openxmlformats.org/officeDocument/2006/relationships/hyperlink" Target="https://www.sec.gov/ix?doc=/Archives/edgar/data/0001639825/000163982524000041/pton-secondamendedandresta.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31370</Words>
  <Characters>173495</Characters>
  <CharactersWithSpaces>202908</CharactersWithSpaces>
  <Paragraphs>3215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