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3"/>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213"/>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213"/>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ind w:left="3014"/>
        <w:spacing w:after="0"/>
        <w:rPr>
          <w:sz w:val="20"/>
          <w:szCs w:val="20"/>
          <w:color w:val="auto"/>
        </w:rPr>
      </w:pPr>
      <w:r>
        <w:rPr>
          <w:rFonts w:ascii="Arial" w:cs="Arial" w:eastAsia="Arial" w:hAnsi="Arial"/>
          <w:sz w:val="21"/>
          <w:szCs w:val="21"/>
          <w:b w:val="1"/>
          <w:bCs w:val="1"/>
          <w:color w:val="auto"/>
        </w:rPr>
        <w:t>_____________________________________________</w:t>
      </w:r>
    </w:p>
    <w:p>
      <w:pPr>
        <w:spacing w:after="0" w:line="132" w:lineRule="exact"/>
        <w:rPr>
          <w:sz w:val="24"/>
          <w:szCs w:val="24"/>
          <w:color w:val="auto"/>
        </w:rPr>
      </w:pPr>
    </w:p>
    <w:p>
      <w:pPr>
        <w:jc w:val="center"/>
        <w:ind w:right="-213"/>
        <w:spacing w:after="0"/>
        <w:rPr>
          <w:sz w:val="20"/>
          <w:szCs w:val="20"/>
          <w:color w:val="auto"/>
        </w:rPr>
      </w:pPr>
      <w:r>
        <w:rPr>
          <w:rFonts w:ascii="Arial" w:cs="Arial" w:eastAsia="Arial" w:hAnsi="Arial"/>
          <w:sz w:val="32"/>
          <w:szCs w:val="32"/>
          <w:b w:val="1"/>
          <w:bCs w:val="1"/>
          <w:color w:val="auto"/>
        </w:rPr>
        <w:t>FORM SD</w:t>
      </w:r>
    </w:p>
    <w:p>
      <w:pPr>
        <w:spacing w:after="0" w:line="205" w:lineRule="exact"/>
        <w:rPr>
          <w:sz w:val="24"/>
          <w:szCs w:val="24"/>
          <w:color w:val="auto"/>
        </w:rPr>
      </w:pPr>
    </w:p>
    <w:p>
      <w:pPr>
        <w:jc w:val="center"/>
        <w:ind w:right="-213"/>
        <w:spacing w:after="0"/>
        <w:rPr>
          <w:sz w:val="20"/>
          <w:szCs w:val="20"/>
          <w:color w:val="auto"/>
        </w:rPr>
      </w:pPr>
      <w:r>
        <w:rPr>
          <w:rFonts w:ascii="Arial" w:cs="Arial" w:eastAsia="Arial" w:hAnsi="Arial"/>
          <w:sz w:val="21"/>
          <w:szCs w:val="21"/>
          <w:b w:val="1"/>
          <w:bCs w:val="1"/>
          <w:color w:val="auto"/>
        </w:rPr>
        <w:t>Specialized Disclosure Report</w:t>
      </w:r>
    </w:p>
    <w:p>
      <w:pPr>
        <w:ind w:left="3014"/>
        <w:spacing w:after="0"/>
        <w:rPr>
          <w:sz w:val="20"/>
          <w:szCs w:val="20"/>
          <w:color w:val="auto"/>
        </w:rPr>
      </w:pPr>
      <w:r>
        <w:rPr>
          <w:rFonts w:ascii="Arial" w:cs="Arial" w:eastAsia="Arial" w:hAnsi="Arial"/>
          <w:sz w:val="21"/>
          <w:szCs w:val="21"/>
          <w:b w:val="1"/>
          <w:bCs w:val="1"/>
          <w:color w:val="auto"/>
        </w:rPr>
        <w:t>_____________________________________________</w:t>
      </w:r>
    </w:p>
    <w:p>
      <w:pPr>
        <w:spacing w:after="0" w:line="355" w:lineRule="exact"/>
        <w:rPr>
          <w:sz w:val="24"/>
          <w:szCs w:val="24"/>
          <w:color w:val="auto"/>
        </w:rPr>
      </w:pPr>
    </w:p>
    <w:p>
      <w:pPr>
        <w:jc w:val="center"/>
        <w:ind w:right="-213"/>
        <w:spacing w:after="0"/>
        <w:rPr>
          <w:sz w:val="20"/>
          <w:szCs w:val="20"/>
          <w:color w:val="auto"/>
        </w:rPr>
      </w:pPr>
      <w:r>
        <w:rPr>
          <w:rFonts w:ascii="Arial" w:cs="Arial" w:eastAsia="Arial" w:hAnsi="Arial"/>
          <w:sz w:val="40"/>
          <w:szCs w:val="40"/>
          <w:b w:val="1"/>
          <w:bCs w:val="1"/>
          <w:color w:val="auto"/>
        </w:rPr>
        <w:t>Peloton Interactive Inc.</w:t>
      </w:r>
    </w:p>
    <w:p>
      <w:pPr>
        <w:jc w:val="center"/>
        <w:ind w:right="-213"/>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854" w:type="dxa"/>
        <w:tblCellMar>
          <w:top w:w="0" w:type="dxa"/>
          <w:left w:w="0" w:type="dxa"/>
          <w:bottom w:w="0" w:type="dxa"/>
          <w:right w:w="0" w:type="dxa"/>
        </w:tblCellMar>
      </w:tblPr>
      <w:tr>
        <w:trPr>
          <w:trHeight w:val="247"/>
        </w:trPr>
        <w:tc>
          <w:tcPr>
            <w:tcW w:w="3360" w:type="dxa"/>
            <w:vAlign w:val="bottom"/>
          </w:tcPr>
          <w:p>
            <w:pPr>
              <w:jc w:val="center"/>
              <w:ind w:right="419"/>
              <w:spacing w:after="0"/>
              <w:rPr>
                <w:sz w:val="20"/>
                <w:szCs w:val="20"/>
                <w:color w:val="auto"/>
              </w:rPr>
            </w:pPr>
            <w:r>
              <w:rPr>
                <w:rFonts w:ascii="Arial" w:cs="Arial" w:eastAsia="Arial" w:hAnsi="Arial"/>
                <w:sz w:val="18"/>
                <w:szCs w:val="18"/>
                <w:b w:val="1"/>
                <w:bCs w:val="1"/>
                <w:color w:val="auto"/>
                <w:w w:val="98"/>
              </w:rPr>
              <w:t>Delaware</w:t>
            </w:r>
          </w:p>
        </w:tc>
        <w:tc>
          <w:tcPr>
            <w:tcW w:w="2900" w:type="dxa"/>
            <w:vAlign w:val="bottom"/>
          </w:tcPr>
          <w:p>
            <w:pPr>
              <w:jc w:val="center"/>
              <w:ind w:right="75"/>
              <w:spacing w:after="0"/>
              <w:rPr>
                <w:sz w:val="20"/>
                <w:szCs w:val="20"/>
                <w:color w:val="auto"/>
              </w:rPr>
            </w:pPr>
            <w:r>
              <w:rPr>
                <w:rFonts w:ascii="Arial" w:cs="Arial" w:eastAsia="Arial" w:hAnsi="Arial"/>
                <w:sz w:val="18"/>
                <w:szCs w:val="18"/>
                <w:b w:val="1"/>
                <w:bCs w:val="1"/>
                <w:color w:val="auto"/>
                <w:w w:val="99"/>
              </w:rPr>
              <w:t>001-39058</w:t>
            </w:r>
          </w:p>
        </w:tc>
        <w:tc>
          <w:tcPr>
            <w:tcW w:w="2900" w:type="dxa"/>
            <w:vAlign w:val="bottom"/>
          </w:tcPr>
          <w:p>
            <w:pPr>
              <w:jc w:val="center"/>
              <w:ind w:left="581"/>
              <w:spacing w:after="0"/>
              <w:rPr>
                <w:sz w:val="20"/>
                <w:szCs w:val="20"/>
                <w:color w:val="auto"/>
              </w:rPr>
            </w:pPr>
            <w:r>
              <w:rPr>
                <w:rFonts w:ascii="Arial" w:cs="Arial" w:eastAsia="Arial" w:hAnsi="Arial"/>
                <w:sz w:val="18"/>
                <w:szCs w:val="18"/>
                <w:b w:val="1"/>
                <w:bCs w:val="1"/>
                <w:color w:val="auto"/>
                <w:w w:val="99"/>
              </w:rPr>
              <w:t>47-3533761</w:t>
            </w:r>
          </w:p>
        </w:tc>
      </w:tr>
      <w:tr>
        <w:trPr>
          <w:trHeight w:val="200"/>
        </w:trPr>
        <w:tc>
          <w:tcPr>
            <w:tcW w:w="3360" w:type="dxa"/>
            <w:vAlign w:val="bottom"/>
          </w:tcPr>
          <w:p>
            <w:pPr>
              <w:jc w:val="center"/>
              <w:ind w:right="419"/>
              <w:spacing w:after="0"/>
              <w:rPr>
                <w:sz w:val="20"/>
                <w:szCs w:val="20"/>
                <w:color w:val="auto"/>
              </w:rPr>
            </w:pPr>
            <w:r>
              <w:rPr>
                <w:rFonts w:ascii="Arial" w:cs="Arial" w:eastAsia="Arial" w:hAnsi="Arial"/>
                <w:sz w:val="13"/>
                <w:szCs w:val="13"/>
                <w:b w:val="1"/>
                <w:bCs w:val="1"/>
                <w:color w:val="auto"/>
              </w:rPr>
              <w:t>(State or other Jurisdiction of Incorporation)</w:t>
            </w:r>
          </w:p>
        </w:tc>
        <w:tc>
          <w:tcPr>
            <w:tcW w:w="2900" w:type="dxa"/>
            <w:vAlign w:val="bottom"/>
          </w:tcPr>
          <w:p>
            <w:pPr>
              <w:jc w:val="center"/>
              <w:ind w:right="55"/>
              <w:spacing w:after="0"/>
              <w:rPr>
                <w:sz w:val="20"/>
                <w:szCs w:val="20"/>
                <w:color w:val="auto"/>
              </w:rPr>
            </w:pPr>
            <w:r>
              <w:rPr>
                <w:rFonts w:ascii="Arial" w:cs="Arial" w:eastAsia="Arial" w:hAnsi="Arial"/>
                <w:sz w:val="13"/>
                <w:szCs w:val="13"/>
                <w:b w:val="1"/>
                <w:bCs w:val="1"/>
                <w:color w:val="auto"/>
              </w:rPr>
              <w:t>(Commission File Number)</w:t>
            </w:r>
          </w:p>
        </w:tc>
        <w:tc>
          <w:tcPr>
            <w:tcW w:w="2900" w:type="dxa"/>
            <w:vAlign w:val="bottom"/>
          </w:tcPr>
          <w:p>
            <w:pPr>
              <w:jc w:val="center"/>
              <w:ind w:left="601"/>
              <w:spacing w:after="0"/>
              <w:rPr>
                <w:sz w:val="20"/>
                <w:szCs w:val="20"/>
                <w:color w:val="auto"/>
              </w:rPr>
            </w:pPr>
            <w:r>
              <w:rPr>
                <w:rFonts w:ascii="Arial" w:cs="Arial" w:eastAsia="Arial" w:hAnsi="Arial"/>
                <w:sz w:val="13"/>
                <w:szCs w:val="13"/>
                <w:b w:val="1"/>
                <w:bCs w:val="1"/>
                <w:color w:val="auto"/>
              </w:rPr>
              <w:t>(I.R.S. Employer Identification No.)</w:t>
            </w:r>
          </w:p>
        </w:tc>
      </w:tr>
      <w:tr>
        <w:trPr>
          <w:trHeight w:val="826"/>
        </w:trPr>
        <w:tc>
          <w:tcPr>
            <w:tcW w:w="3360" w:type="dxa"/>
            <w:vAlign w:val="bottom"/>
          </w:tcPr>
          <w:p>
            <w:pPr>
              <w:jc w:val="center"/>
              <w:ind w:right="379"/>
              <w:spacing w:after="0"/>
              <w:rPr>
                <w:sz w:val="20"/>
                <w:szCs w:val="20"/>
                <w:color w:val="auto"/>
              </w:rPr>
            </w:pPr>
            <w:r>
              <w:rPr>
                <w:rFonts w:ascii="Arial" w:cs="Arial" w:eastAsia="Arial" w:hAnsi="Arial"/>
                <w:sz w:val="18"/>
                <w:szCs w:val="18"/>
                <w:b w:val="1"/>
                <w:bCs w:val="1"/>
                <w:color w:val="auto"/>
                <w:w w:val="99"/>
              </w:rPr>
              <w:t>441 Ninth Avenue, Sixth Floor</w:t>
            </w:r>
          </w:p>
        </w:tc>
        <w:tc>
          <w:tcPr>
            <w:tcW w:w="29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3360" w:type="dxa"/>
            <w:vAlign w:val="bottom"/>
          </w:tcPr>
          <w:p>
            <w:pPr>
              <w:jc w:val="center"/>
              <w:ind w:right="399"/>
              <w:spacing w:after="0"/>
              <w:rPr>
                <w:sz w:val="20"/>
                <w:szCs w:val="20"/>
                <w:color w:val="auto"/>
              </w:rPr>
            </w:pPr>
            <w:r>
              <w:rPr>
                <w:rFonts w:ascii="Arial" w:cs="Arial" w:eastAsia="Arial" w:hAnsi="Arial"/>
                <w:sz w:val="18"/>
                <w:szCs w:val="18"/>
                <w:b w:val="1"/>
                <w:bCs w:val="1"/>
                <w:color w:val="auto"/>
                <w:w w:val="98"/>
              </w:rPr>
              <w:t>New York, New York</w:t>
            </w:r>
          </w:p>
        </w:tc>
        <w:tc>
          <w:tcPr>
            <w:tcW w:w="2900" w:type="dxa"/>
            <w:vAlign w:val="bottom"/>
          </w:tcPr>
          <w:p>
            <w:pPr>
              <w:spacing w:after="0"/>
              <w:rPr>
                <w:sz w:val="24"/>
                <w:szCs w:val="24"/>
                <w:color w:val="auto"/>
              </w:rPr>
            </w:pPr>
          </w:p>
        </w:tc>
        <w:tc>
          <w:tcPr>
            <w:tcW w:w="2900" w:type="dxa"/>
            <w:vAlign w:val="bottom"/>
          </w:tcPr>
          <w:p>
            <w:pPr>
              <w:jc w:val="center"/>
              <w:ind w:left="561"/>
              <w:spacing w:after="0"/>
              <w:rPr>
                <w:sz w:val="20"/>
                <w:szCs w:val="20"/>
                <w:color w:val="auto"/>
              </w:rPr>
            </w:pPr>
            <w:r>
              <w:rPr>
                <w:rFonts w:ascii="Arial" w:cs="Arial" w:eastAsia="Arial" w:hAnsi="Arial"/>
                <w:sz w:val="18"/>
                <w:szCs w:val="18"/>
                <w:b w:val="1"/>
                <w:bCs w:val="1"/>
                <w:color w:val="auto"/>
                <w:w w:val="99"/>
              </w:rPr>
              <w:t>10001</w:t>
            </w:r>
          </w:p>
        </w:tc>
      </w:tr>
      <w:tr>
        <w:trPr>
          <w:trHeight w:val="186"/>
        </w:trPr>
        <w:tc>
          <w:tcPr>
            <w:tcW w:w="3360" w:type="dxa"/>
            <w:vAlign w:val="bottom"/>
          </w:tcPr>
          <w:p>
            <w:pPr>
              <w:jc w:val="center"/>
              <w:ind w:right="399"/>
              <w:spacing w:after="0"/>
              <w:rPr>
                <w:sz w:val="20"/>
                <w:szCs w:val="20"/>
                <w:color w:val="auto"/>
              </w:rPr>
            </w:pPr>
            <w:r>
              <w:rPr>
                <w:rFonts w:ascii="Arial" w:cs="Arial" w:eastAsia="Arial" w:hAnsi="Arial"/>
                <w:sz w:val="13"/>
                <w:szCs w:val="13"/>
                <w:b w:val="1"/>
                <w:bCs w:val="1"/>
                <w:color w:val="auto"/>
              </w:rPr>
              <w:t>(Address of principal executive offices)</w:t>
            </w:r>
          </w:p>
        </w:tc>
        <w:tc>
          <w:tcPr>
            <w:tcW w:w="2900" w:type="dxa"/>
            <w:vAlign w:val="bottom"/>
          </w:tcPr>
          <w:p>
            <w:pPr>
              <w:spacing w:after="0"/>
              <w:rPr>
                <w:sz w:val="16"/>
                <w:szCs w:val="16"/>
                <w:color w:val="auto"/>
              </w:rPr>
            </w:pPr>
          </w:p>
        </w:tc>
        <w:tc>
          <w:tcPr>
            <w:tcW w:w="2900" w:type="dxa"/>
            <w:vAlign w:val="bottom"/>
          </w:tcPr>
          <w:p>
            <w:pPr>
              <w:jc w:val="center"/>
              <w:ind w:left="581"/>
              <w:spacing w:after="0"/>
              <w:rPr>
                <w:sz w:val="20"/>
                <w:szCs w:val="20"/>
                <w:color w:val="auto"/>
              </w:rPr>
            </w:pPr>
            <w:r>
              <w:rPr>
                <w:rFonts w:ascii="Arial" w:cs="Arial" w:eastAsia="Arial" w:hAnsi="Arial"/>
                <w:sz w:val="13"/>
                <w:szCs w:val="13"/>
                <w:b w:val="1"/>
                <w:bCs w:val="1"/>
                <w:color w:val="auto"/>
              </w:rPr>
              <w:t>(Zip Code)</w:t>
            </w:r>
          </w:p>
        </w:tc>
      </w:tr>
      <w:tr>
        <w:trPr>
          <w:trHeight w:val="390"/>
        </w:trPr>
        <w:tc>
          <w:tcPr>
            <w:tcW w:w="3360" w:type="dxa"/>
            <w:vAlign w:val="bottom"/>
          </w:tcPr>
          <w:p>
            <w:pPr>
              <w:spacing w:after="0"/>
              <w:rPr>
                <w:sz w:val="24"/>
                <w:szCs w:val="24"/>
                <w:color w:val="auto"/>
              </w:rPr>
            </w:pPr>
          </w:p>
        </w:tc>
        <w:tc>
          <w:tcPr>
            <w:tcW w:w="2900" w:type="dxa"/>
            <w:vAlign w:val="bottom"/>
          </w:tcPr>
          <w:p>
            <w:pPr>
              <w:jc w:val="center"/>
              <w:ind w:right="55"/>
              <w:spacing w:after="0"/>
              <w:rPr>
                <w:sz w:val="20"/>
                <w:szCs w:val="20"/>
                <w:color w:val="auto"/>
              </w:rPr>
            </w:pPr>
            <w:r>
              <w:rPr>
                <w:rFonts w:ascii="Arial" w:cs="Arial" w:eastAsia="Arial" w:hAnsi="Arial"/>
                <w:sz w:val="18"/>
                <w:szCs w:val="18"/>
                <w:b w:val="1"/>
                <w:bCs w:val="1"/>
                <w:color w:val="auto"/>
                <w:w w:val="98"/>
              </w:rPr>
              <w:t>Tammy Albarrán</w:t>
            </w:r>
          </w:p>
        </w:tc>
        <w:tc>
          <w:tcPr>
            <w:tcW w:w="2900" w:type="dxa"/>
            <w:vAlign w:val="bottom"/>
          </w:tcPr>
          <w:p>
            <w:pPr>
              <w:spacing w:after="0"/>
              <w:rPr>
                <w:sz w:val="24"/>
                <w:szCs w:val="24"/>
                <w:color w:val="auto"/>
              </w:rPr>
            </w:pPr>
          </w:p>
        </w:tc>
      </w:tr>
      <w:tr>
        <w:trPr>
          <w:trHeight w:val="247"/>
        </w:trPr>
        <w:tc>
          <w:tcPr>
            <w:tcW w:w="3360" w:type="dxa"/>
            <w:vAlign w:val="bottom"/>
          </w:tcPr>
          <w:p>
            <w:pPr>
              <w:spacing w:after="0"/>
              <w:rPr>
                <w:sz w:val="21"/>
                <w:szCs w:val="21"/>
                <w:color w:val="auto"/>
              </w:rPr>
            </w:pPr>
          </w:p>
        </w:tc>
        <w:tc>
          <w:tcPr>
            <w:tcW w:w="2900" w:type="dxa"/>
            <w:vAlign w:val="bottom"/>
          </w:tcPr>
          <w:p>
            <w:pPr>
              <w:jc w:val="center"/>
              <w:ind w:right="55"/>
              <w:spacing w:after="0"/>
              <w:rPr>
                <w:sz w:val="20"/>
                <w:szCs w:val="20"/>
                <w:color w:val="auto"/>
              </w:rPr>
            </w:pPr>
            <w:r>
              <w:rPr>
                <w:rFonts w:ascii="Arial" w:cs="Arial" w:eastAsia="Arial" w:hAnsi="Arial"/>
                <w:sz w:val="18"/>
                <w:szCs w:val="18"/>
                <w:b w:val="1"/>
                <w:bCs w:val="1"/>
                <w:color w:val="auto"/>
                <w:w w:val="99"/>
              </w:rPr>
              <w:t>Chief Legal Officer</w:t>
            </w:r>
          </w:p>
        </w:tc>
        <w:tc>
          <w:tcPr>
            <w:tcW w:w="2900" w:type="dxa"/>
            <w:vAlign w:val="bottom"/>
          </w:tcPr>
          <w:p>
            <w:pPr>
              <w:spacing w:after="0"/>
              <w:rPr>
                <w:sz w:val="21"/>
                <w:szCs w:val="21"/>
                <w:color w:val="auto"/>
              </w:rPr>
            </w:pPr>
          </w:p>
        </w:tc>
      </w:tr>
      <w:tr>
        <w:trPr>
          <w:trHeight w:val="257"/>
        </w:trPr>
        <w:tc>
          <w:tcPr>
            <w:tcW w:w="3360" w:type="dxa"/>
            <w:vAlign w:val="bottom"/>
          </w:tcPr>
          <w:p>
            <w:pPr>
              <w:spacing w:after="0"/>
              <w:rPr>
                <w:sz w:val="22"/>
                <w:szCs w:val="22"/>
                <w:color w:val="auto"/>
              </w:rPr>
            </w:pPr>
          </w:p>
        </w:tc>
        <w:tc>
          <w:tcPr>
            <w:tcW w:w="2900" w:type="dxa"/>
            <w:vAlign w:val="bottom"/>
          </w:tcPr>
          <w:p>
            <w:pPr>
              <w:jc w:val="right"/>
              <w:ind w:right="1015"/>
              <w:spacing w:after="0"/>
              <w:rPr>
                <w:sz w:val="20"/>
                <w:szCs w:val="20"/>
                <w:color w:val="auto"/>
              </w:rPr>
            </w:pPr>
            <w:r>
              <w:rPr>
                <w:rFonts w:ascii="Arial" w:cs="Arial" w:eastAsia="Arial" w:hAnsi="Arial"/>
                <w:sz w:val="18"/>
                <w:szCs w:val="18"/>
                <w:b w:val="1"/>
                <w:bCs w:val="1"/>
                <w:color w:val="auto"/>
              </w:rPr>
              <w:t>(929) 567-0006</w:t>
            </w:r>
          </w:p>
        </w:tc>
        <w:tc>
          <w:tcPr>
            <w:tcW w:w="2900" w:type="dxa"/>
            <w:vAlign w:val="bottom"/>
          </w:tcPr>
          <w:p>
            <w:pPr>
              <w:spacing w:after="0"/>
              <w:rPr>
                <w:sz w:val="22"/>
                <w:szCs w:val="22"/>
                <w:color w:val="auto"/>
              </w:rPr>
            </w:pPr>
          </w:p>
        </w:tc>
      </w:tr>
    </w:tbl>
    <w:p>
      <w:pPr>
        <w:spacing w:after="0" w:line="46" w:lineRule="exact"/>
        <w:rPr>
          <w:sz w:val="24"/>
          <w:szCs w:val="24"/>
          <w:color w:val="auto"/>
        </w:rPr>
      </w:pPr>
    </w:p>
    <w:p>
      <w:pPr>
        <w:ind w:left="195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329" w:lineRule="exact"/>
        <w:rPr>
          <w:sz w:val="24"/>
          <w:szCs w:val="24"/>
          <w:color w:val="auto"/>
        </w:rPr>
      </w:pPr>
    </w:p>
    <w:p>
      <w:pPr>
        <w:ind w:left="54"/>
        <w:spacing w:after="0"/>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4" w:lineRule="exact"/>
        <w:rPr>
          <w:sz w:val="24"/>
          <w:szCs w:val="24"/>
          <w:color w:val="auto"/>
        </w:rPr>
      </w:pPr>
    </w:p>
    <w:p>
      <w:pPr>
        <w:ind w:left="494" w:right="640" w:hanging="494"/>
        <w:spacing w:after="0" w:line="248" w:lineRule="auto"/>
        <w:tabs>
          <w:tab w:leader="none" w:pos="4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2025.</w:t>
      </w:r>
    </w:p>
    <w:p>
      <w:pPr>
        <w:spacing w:after="0" w:line="261" w:lineRule="exact"/>
        <w:rPr>
          <w:sz w:val="24"/>
          <w:szCs w:val="24"/>
          <w:color w:val="auto"/>
        </w:rPr>
      </w:pPr>
    </w:p>
    <w:p>
      <w:pPr>
        <w:ind w:left="494" w:right="640" w:hanging="494"/>
        <w:spacing w:after="0" w:line="190" w:lineRule="auto"/>
        <w:tabs>
          <w:tab w:leader="none" w:pos="494"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8"/>
          <w:szCs w:val="18"/>
          <w:color w:val="auto"/>
        </w:rPr>
        <w:t>Rule 13q-1 under the Securities Exchange Act (17 CFR 240.13q-1) for the reporting period from January 1 to December 31, 2025.</w:t>
      </w:r>
    </w:p>
    <w:p>
      <w:pPr>
        <w:sectPr>
          <w:pgSz w:w="11900" w:h="16838" w:orient="portrait"/>
          <w:cols w:equalWidth="0" w:num="1">
            <w:col w:w="10974"/>
          </w:cols>
          <w:pgMar w:left="346" w:top="987"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Form SD of Peloton Interactive, Inc. (the “Company”), including the Company’s Conflict Minerals Report for the reporting</w:t>
      </w:r>
    </w:p>
    <w:p>
      <w:pPr>
        <w:jc w:val="both"/>
        <w:spacing w:after="0" w:line="221" w:lineRule="auto"/>
        <w:rPr>
          <w:sz w:val="20"/>
          <w:szCs w:val="20"/>
          <w:color w:val="auto"/>
        </w:rPr>
      </w:pPr>
      <w:r>
        <w:rPr>
          <w:rFonts w:ascii="Arial" w:cs="Arial" w:eastAsia="Arial" w:hAnsi="Arial"/>
          <w:sz w:val="18"/>
          <w:szCs w:val="18"/>
          <w:color w:val="auto"/>
        </w:rPr>
        <w:t>period January 1, 2025 to December 31, 2025, filed as Exhibit 1.01 hereto, is publicly available at https://investor.onepeloton.com/financial-information/sec-filings. The information contained on the Company’s website is not incorporated by reference into this Form SD or the Company’s Conflict Minerals Report and should not be considered part of this Form SD or the Conflict Minerals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The Company's Conflict Minerals Report for the period January 1, 2025 to December 31,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Peloton Interactive, Inc.</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60"/>
              <w:spacing w:after="0"/>
              <w:rPr>
                <w:sz w:val="20"/>
                <w:szCs w:val="20"/>
                <w:color w:val="auto"/>
              </w:rPr>
            </w:pPr>
            <w:r>
              <w:rPr>
                <w:rFonts w:ascii="Arial" w:cs="Arial" w:eastAsia="Arial" w:hAnsi="Arial"/>
                <w:sz w:val="18"/>
                <w:szCs w:val="18"/>
                <w:color w:val="auto"/>
              </w:rPr>
              <w:t>/s/ Tammy Albarrán</w:t>
            </w:r>
          </w:p>
        </w:tc>
        <w:tc>
          <w:tcPr>
            <w:tcW w:w="2100" w:type="dxa"/>
            <w:vAlign w:val="bottom"/>
          </w:tcPr>
          <w:p>
            <w:pPr>
              <w:ind w:left="80"/>
              <w:spacing w:after="0"/>
              <w:rPr>
                <w:sz w:val="20"/>
                <w:szCs w:val="20"/>
                <w:color w:val="auto"/>
              </w:rPr>
            </w:pPr>
            <w:r>
              <w:rPr>
                <w:rFonts w:ascii="Arial" w:cs="Arial" w:eastAsia="Arial" w:hAnsi="Arial"/>
                <w:sz w:val="18"/>
                <w:szCs w:val="18"/>
                <w:color w:val="auto"/>
              </w:rPr>
              <w:t>Date: June 1, 2026</w:t>
            </w:r>
          </w:p>
        </w:tc>
      </w:tr>
      <w:tr>
        <w:trPr>
          <w:trHeight w:val="232"/>
        </w:trPr>
        <w:tc>
          <w:tcPr>
            <w:tcW w:w="54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Legal Officer</w:t>
            </w:r>
          </w:p>
        </w:tc>
        <w:tc>
          <w:tcPr>
            <w:tcW w:w="62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r>
    </w:tbl>
    <w:p>
      <w:pPr>
        <w:sectPr>
          <w:pgSz w:w="11900" w:h="16838" w:orient="portrait"/>
          <w:cols w:equalWidth="0" w:num="1">
            <w:col w:w="11120"/>
          </w:cols>
          <w:pgMar w:left="320" w:top="1241"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CONFLICT MINERALS REPORT OF</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Peloton Interactive, Inc.</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REPORTING PERIOD FROM JANUARY 1, 2025 TO</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217805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Peloton Interactive, Inc. (“we,” “our,” “us,” “Peloton,” or the “Company”) provides this Conflict Minerals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Report for calendar year 2025 (the “Reporting</w:t>
      </w:r>
    </w:p>
    <w:p>
      <w:pPr>
        <w:spacing w:after="0"/>
        <w:rPr>
          <w:sz w:val="20"/>
          <w:szCs w:val="20"/>
          <w:color w:val="auto"/>
        </w:rPr>
      </w:pPr>
      <w:r>
        <w:rPr>
          <w:rFonts w:ascii="Times New Roman" w:cs="Times New Roman" w:eastAsia="Times New Roman" w:hAnsi="Times New Roman"/>
          <w:sz w:val="16"/>
          <w:szCs w:val="16"/>
          <w:color w:val="auto"/>
        </w:rPr>
        <w:t>Period”) in accordance with Rule 13p-1 (“Rule 13p-1”) under the Securities Exchange Act of 1934, as amended. In this report, the words “we,” “us,” “our,”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and “Peloton”, refer to Peloton Interactive, Inc. and its wholly owned subsidiaries, unless the context requires otherwise.</w:t>
      </w:r>
    </w:p>
    <w:p>
      <w:pPr>
        <w:spacing w:after="0" w:line="267" w:lineRule="exact"/>
        <w:rPr>
          <w:sz w:val="20"/>
          <w:szCs w:val="20"/>
          <w:color w:val="auto"/>
        </w:rPr>
      </w:pPr>
    </w:p>
    <w:p>
      <w:pPr>
        <w:jc w:val="both"/>
        <w:ind w:right="680"/>
        <w:spacing w:after="0" w:line="296" w:lineRule="auto"/>
        <w:rPr>
          <w:sz w:val="20"/>
          <w:szCs w:val="20"/>
          <w:color w:val="auto"/>
        </w:rPr>
      </w:pPr>
      <w:r>
        <w:rPr>
          <w:rFonts w:ascii="Times New Roman" w:cs="Times New Roman" w:eastAsia="Times New Roman" w:hAnsi="Times New Roman"/>
          <w:sz w:val="16"/>
          <w:szCs w:val="16"/>
          <w:color w:val="auto"/>
        </w:rPr>
        <w:t xml:space="preserve">At Peloton, we are committed to respecting and protecting the human rights for all our stakeholders, including our team members, Members (as defined below), partners, and individuals at all levels of our supply chain. We designed our processes to enable sufficient knowledge of input materials and components to reasonably assure that they were obtained from sources in compliance with applicable laws and regulatory requirements, including those relating to conflict minerals. As part of our commitment to responsible sourcing practices, we undertook due diligence with respect to potential sourcing of tin, tungsten, tantalum, and gold (“3TG” or “conflict minerals”) materials within our products. Our due diligence efforts were consistent with the internationally recognized framework set forth in the </w:t>
      </w:r>
      <w:r>
        <w:rPr>
          <w:rFonts w:ascii="Times New Roman" w:cs="Times New Roman" w:eastAsia="Times New Roman" w:hAnsi="Times New Roman"/>
          <w:sz w:val="16"/>
          <w:szCs w:val="16"/>
          <w:i w:val="1"/>
          <w:iCs w:val="1"/>
          <w:color w:val="auto"/>
        </w:rPr>
        <w:t>Organisation for Economic Co-operation and Development (“OECD”) Due Diligence Guidance for Responsible Supply Chains of Minerals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Conflict-Affected and High-Risk Areas</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(“OECD Due Diligence Guidance”) and related supplements.</w:t>
      </w:r>
    </w:p>
    <w:p>
      <w:pPr>
        <w:spacing w:after="0" w:line="136" w:lineRule="exact"/>
        <w:rPr>
          <w:sz w:val="20"/>
          <w:szCs w:val="20"/>
          <w:color w:val="auto"/>
        </w:rPr>
      </w:pPr>
    </w:p>
    <w:p>
      <w:pPr>
        <w:jc w:val="both"/>
        <w:ind w:right="680"/>
        <w:spacing w:after="0" w:line="304" w:lineRule="auto"/>
        <w:rPr>
          <w:sz w:val="20"/>
          <w:szCs w:val="20"/>
          <w:color w:val="auto"/>
        </w:rPr>
      </w:pPr>
      <w:r>
        <w:rPr>
          <w:rFonts w:ascii="Times New Roman" w:cs="Times New Roman" w:eastAsia="Times New Roman" w:hAnsi="Times New Roman"/>
          <w:sz w:val="16"/>
          <w:szCs w:val="16"/>
          <w:color w:val="auto"/>
        </w:rPr>
        <w:t>The statements below are based on the activities performed to date in good faith by the Company and are based on the infrastructure and information available at the time of this filing. Factors that could cause actual results to differ materially from these statements include, but are not limited to, incomplete supplier data or available smelter data, errors or omissions by suppliers or smelters, evolving identification of smelters, incomplete information from industry or other third-party sources, continuing guidance regarding U.S. Securities and Exchange Commission (“SEC”) final rules, and other issues.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91" w:lineRule="exact"/>
        <w:rPr>
          <w:sz w:val="20"/>
          <w:szCs w:val="20"/>
          <w:color w:val="auto"/>
        </w:rPr>
      </w:pPr>
    </w:p>
    <w:p>
      <w:pPr>
        <w:jc w:val="both"/>
        <w:ind w:right="680"/>
        <w:spacing w:after="0" w:line="295"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report other than statements of historical fact, including, without limitation, statements regarding our future conflict minerals due diligence efforts,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report, and we undertake no obligation to update any of these forward-looking statements for any reason after the date of this report or to conform these statements to actual results or revised expectations, except as required by law.</w:t>
      </w:r>
    </w:p>
    <w:p>
      <w:pPr>
        <w:spacing w:after="0" w:line="194" w:lineRule="exact"/>
        <w:rPr>
          <w:sz w:val="20"/>
          <w:szCs w:val="20"/>
          <w:color w:val="auto"/>
        </w:rPr>
      </w:pPr>
    </w:p>
    <w:p>
      <w:pPr>
        <w:jc w:val="right"/>
        <w:ind w:right="10000" w:firstLine="235"/>
        <w:spacing w:after="0" w:line="618" w:lineRule="auto"/>
        <w:tabs>
          <w:tab w:leader="none" w:pos="569"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Overview </w:t>
      </w:r>
      <w:r>
        <w:rPr>
          <w:rFonts w:ascii="Times New Roman" w:cs="Times New Roman" w:eastAsia="Times New Roman" w:hAnsi="Times New Roman"/>
          <w:sz w:val="16"/>
          <w:szCs w:val="16"/>
          <w:b w:val="1"/>
          <w:bCs w:val="1"/>
          <w:u w:val="single" w:color="auto"/>
          <w:color w:val="auto"/>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7" w:lineRule="exact"/>
        <w:rPr>
          <w:sz w:val="20"/>
          <w:szCs w:val="20"/>
          <w:color w:val="auto"/>
        </w:rPr>
      </w:pPr>
    </w:p>
    <w:p>
      <w:pPr>
        <w:jc w:val="both"/>
        <w:ind w:right="680" w:firstLine="8"/>
        <w:spacing w:after="0" w:line="279" w:lineRule="auto"/>
        <w:tabs>
          <w:tab w:leader="none" w:pos="9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term “conflict mineral” is defined in Section 1502(e)(4) of the Dodd-Frank Wall Street Reform and Consumer Protection Act as (A) columbite-tantalite, also 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(“DRC”) or an adjoining country.</w:t>
      </w:r>
    </w:p>
    <w:p>
      <w:pPr>
        <w:spacing w:after="0" w:line="153" w:lineRule="exact"/>
        <w:rPr>
          <w:rFonts w:ascii="Times New Roman" w:cs="Times New Roman" w:eastAsia="Times New Roman" w:hAnsi="Times New Roman"/>
          <w:sz w:val="9"/>
          <w:szCs w:val="9"/>
          <w:color w:val="auto"/>
        </w:rPr>
      </w:pPr>
    </w:p>
    <w:p>
      <w:pPr>
        <w:ind w:right="680"/>
        <w:spacing w:after="0" w:line="220"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OECD (2016), OECD Due Diligence Guidance for Responsible Supply Chains of Minerals from Conflict-Affected and High-Risk Areas: Third Edition, OECD Publishing, Paris. http://dx.doi.org/10.1787/9789264252479-en.</w:t>
      </w:r>
    </w:p>
    <w:p>
      <w:pPr>
        <w:sectPr>
          <w:pgSz w:w="11900" w:h="16838" w:orient="portrait"/>
          <w:cols w:equalWidth="0" w:num="1">
            <w:col w:w="11240"/>
          </w:cols>
          <w:pgMar w:left="320" w:top="120" w:right="339" w:bottom="10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0" w:right="339" w:bottom="1019"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55" w:lineRule="exact"/>
        <w:rPr>
          <w:sz w:val="20"/>
          <w:szCs w:val="20"/>
          <w:color w:val="auto"/>
        </w:rPr>
      </w:pPr>
    </w:p>
    <w:p>
      <w:pPr>
        <w:jc w:val="both"/>
        <w:ind w:right="680"/>
        <w:spacing w:after="0" w:line="299" w:lineRule="auto"/>
        <w:rPr>
          <w:sz w:val="20"/>
          <w:szCs w:val="20"/>
          <w:color w:val="auto"/>
        </w:rPr>
      </w:pPr>
      <w:r>
        <w:rPr>
          <w:rFonts w:ascii="Times New Roman" w:cs="Times New Roman" w:eastAsia="Times New Roman" w:hAnsi="Times New Roman"/>
          <w:sz w:val="16"/>
          <w:szCs w:val="16"/>
          <w:color w:val="auto"/>
        </w:rPr>
        <w:t>Peloton is a leading global fitness and wellness company that empowers people to live fit, strong, long, and happy, by providing fitness and wellness experiences to Members (as defined below) anytime, anywhere. We have a highly engaged community of Members across the United States, United Kingdom, Canada, Germany, Australia, and Austria. As a category innovator at the nexus of fitness and wellness, technology, and media, we deliver experiences through our world-renowned instructors, premium hardware and innovative software, personalization, extensive modalities, and an expansive content library.</w:t>
      </w:r>
    </w:p>
    <w:p>
      <w:pPr>
        <w:spacing w:after="0" w:line="217" w:lineRule="exact"/>
        <w:rPr>
          <w:sz w:val="20"/>
          <w:szCs w:val="20"/>
          <w:color w:val="auto"/>
        </w:rPr>
      </w:pPr>
    </w:p>
    <w:p>
      <w:pPr>
        <w:jc w:val="both"/>
        <w:ind w:left="20" w:right="660"/>
        <w:spacing w:after="0" w:line="299" w:lineRule="auto"/>
        <w:rPr>
          <w:sz w:val="20"/>
          <w:szCs w:val="20"/>
          <w:color w:val="auto"/>
        </w:rPr>
      </w:pPr>
      <w:r>
        <w:rPr>
          <w:rFonts w:ascii="Times New Roman" w:cs="Times New Roman" w:eastAsia="Times New Roman" w:hAnsi="Times New Roman"/>
          <w:sz w:val="16"/>
          <w:szCs w:val="16"/>
          <w:color w:val="auto"/>
        </w:rPr>
        <w:t>We define a “Member” as any individual who has a Peloton account through a Paid Connected Fitness Subscription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(guided, time, and distance-based rides filed in locations around the world), and Lanebreak workouts (our game-inspired workout experience); (ii) at least 10 minutes of any activity tracking workout (such as “Just Ride,” “Just Run,” or “Just Row”), or Peloton Entertainment workout (video streaming); (iii) at least 5 minutes of any Strength+ workout with 80% of sets marked complete; or (iv) at least 10 minutes of any Breathwrk class.</w:t>
      </w:r>
    </w:p>
    <w:p>
      <w:pPr>
        <w:spacing w:after="0" w:line="218" w:lineRule="exact"/>
        <w:rPr>
          <w:sz w:val="20"/>
          <w:szCs w:val="20"/>
          <w:color w:val="auto"/>
        </w:rPr>
      </w:pPr>
    </w:p>
    <w:p>
      <w:pPr>
        <w:jc w:val="both"/>
        <w:ind w:left="20" w:right="660"/>
        <w:spacing w:after="0" w:line="307" w:lineRule="auto"/>
        <w:rPr>
          <w:sz w:val="20"/>
          <w:szCs w:val="20"/>
          <w:color w:val="auto"/>
        </w:rPr>
      </w:pPr>
      <w:r>
        <w:rPr>
          <w:rFonts w:ascii="Times New Roman" w:cs="Times New Roman" w:eastAsia="Times New Roman" w:hAnsi="Times New Roman"/>
          <w:sz w:val="16"/>
          <w:szCs w:val="16"/>
          <w:color w:val="auto"/>
        </w:rPr>
        <w:t>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p>
    <w:p>
      <w:pPr>
        <w:spacing w:after="0" w:line="212" w:lineRule="exact"/>
        <w:rPr>
          <w:sz w:val="20"/>
          <w:szCs w:val="20"/>
          <w:color w:val="auto"/>
        </w:rPr>
      </w:pPr>
    </w:p>
    <w:p>
      <w:pPr>
        <w:jc w:val="both"/>
        <w:ind w:left="20" w:right="660"/>
        <w:spacing w:after="0" w:line="299" w:lineRule="auto"/>
        <w:rPr>
          <w:sz w:val="20"/>
          <w:szCs w:val="20"/>
          <w:color w:val="auto"/>
        </w:rPr>
      </w:pPr>
      <w:r>
        <w:rPr>
          <w:rFonts w:ascii="Times New Roman" w:cs="Times New Roman" w:eastAsia="Times New Roman" w:hAnsi="Times New Roman"/>
          <w:sz w:val="16"/>
          <w:szCs w:val="16"/>
          <w:color w:val="auto"/>
        </w:rPr>
        <w:t>We have determined that, during the Reporting Period, conflict minerals were likely necessary to the functionality or production of certain products that Peloton, and its wholly-owned subsidiary, Precor Inc. (“Precor”), manufactured or contracted to manufacture, based on the inclusion of metal and electronic components that contain 3TG materials. Although Peloton does not directly purchase, procure, or source conflict minerals, and is many steps removed from the mining of conflict minerals, we are committed to meeting internationally accepted due diligence standards for primary minerals in our supply chain. Our responsible minerals sourcing program includes requirements that apply to all levels of Peloton’s and Precor’s supply chain.</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Peloton maintains a conflict minerals policy that reflects our commitments to conflict-free sourcing. The link to this Policy is maintained on Peloton’s website at:</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1155CC"/>
        </w:rPr>
        <w:t>https://investor.onepeloton.com/corporate-governance.</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Reasonable Country of Origin Inquiry Information</w:t>
      </w:r>
    </w:p>
    <w:p>
      <w:pPr>
        <w:spacing w:after="0" w:line="291" w:lineRule="exact"/>
        <w:rPr>
          <w:sz w:val="20"/>
          <w:szCs w:val="20"/>
          <w:color w:val="auto"/>
        </w:rPr>
      </w:pPr>
    </w:p>
    <w:p>
      <w:pPr>
        <w:jc w:val="both"/>
        <w:ind w:left="20" w:right="700"/>
        <w:spacing w:after="0" w:line="351" w:lineRule="auto"/>
        <w:rPr>
          <w:sz w:val="20"/>
          <w:szCs w:val="20"/>
          <w:color w:val="auto"/>
        </w:rPr>
      </w:pPr>
      <w:r>
        <w:rPr>
          <w:rFonts w:ascii="Times New Roman" w:cs="Times New Roman" w:eastAsia="Times New Roman" w:hAnsi="Times New Roman"/>
          <w:sz w:val="16"/>
          <w:szCs w:val="16"/>
          <w:color w:val="auto"/>
        </w:rPr>
        <w:t>We have conducted a good faith reasonable country of origin inquiry (“RCOI”) to determine whether the necessary conflict minerals originated in the DRC or an adjoining country, or came from recycled or scrap sources.</w:t>
      </w:r>
    </w:p>
    <w:p>
      <w:pPr>
        <w:spacing w:after="0" w:line="191" w:lineRule="exact"/>
        <w:rPr>
          <w:sz w:val="20"/>
          <w:szCs w:val="20"/>
          <w:color w:val="auto"/>
        </w:rPr>
      </w:pPr>
    </w:p>
    <w:p>
      <w:pPr>
        <w:jc w:val="both"/>
        <w:ind w:left="20" w:right="700"/>
        <w:spacing w:after="0" w:line="325" w:lineRule="auto"/>
        <w:rPr>
          <w:sz w:val="20"/>
          <w:szCs w:val="20"/>
          <w:color w:val="auto"/>
        </w:rPr>
      </w:pPr>
      <w:r>
        <w:rPr>
          <w:rFonts w:ascii="Times New Roman" w:cs="Times New Roman" w:eastAsia="Times New Roman" w:hAnsi="Times New Roman"/>
          <w:sz w:val="16"/>
          <w:szCs w:val="16"/>
          <w:color w:val="auto"/>
        </w:rPr>
        <w:t>Similar to other companies our size, our supply chain is complex, consisting of a number of suppliers across many countries that provide products and components. Peloton does not purchase raw ore or unrefined minerals from, or conduct business directly with, any SORs. Peloton is downstream from SORs, with many layers of suppliers between Peloton and 3TG SORs. We source our products and components from suppliers, which, in turn, source materials described in this report from sub-tier suppliers. Given the nature of our supply chain, we relied on the information concerning the source of 3TG in our products provided by our in-scope direct suppliers, who in turn gathered the information from their upstream suppliers.</w:t>
      </w:r>
    </w:p>
    <w:p>
      <w:pPr>
        <w:spacing w:after="0" w:line="226" w:lineRule="exact"/>
        <w:rPr>
          <w:sz w:val="20"/>
          <w:szCs w:val="20"/>
          <w:color w:val="auto"/>
        </w:rPr>
      </w:pPr>
    </w:p>
    <w:p>
      <w:pPr>
        <w:jc w:val="both"/>
        <w:ind w:left="20" w:right="680"/>
        <w:spacing w:after="0" w:line="325" w:lineRule="auto"/>
        <w:rPr>
          <w:sz w:val="20"/>
          <w:szCs w:val="20"/>
          <w:color w:val="auto"/>
        </w:rPr>
      </w:pPr>
      <w:r>
        <w:rPr>
          <w:rFonts w:ascii="Times New Roman" w:cs="Times New Roman" w:eastAsia="Times New Roman" w:hAnsi="Times New Roman"/>
          <w:sz w:val="16"/>
          <w:szCs w:val="16"/>
          <w:color w:val="auto"/>
        </w:rPr>
        <w:t>The Company’s RCOI process included reviewing the products manufactured or contracted to be manufactured during the Reporting Period to identify products that should be deemed in-scope under Rule 13p-1 and conducting an inquiry of our direct suppliers of the in-scope products using the Responsible Minerals Initiative’s (“RMI”) Conflict Minerals Reporting Template (“CMRT”). Based on the results of our RCOI, which indicated sourcing from the DRC or an adjoining country, we exercised due diligence on the source and chain of custody of the conflict minerals in accordance with the OECD Due Diligence Guidance. Our due diligence efforts are discussed further in this Conflict Minerals Report.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Due Diligence Program Design</w:t>
      </w:r>
    </w:p>
    <w:p>
      <w:pPr>
        <w:spacing w:after="0" w:line="264" w:lineRule="exact"/>
        <w:rPr>
          <w:sz w:val="20"/>
          <w:szCs w:val="20"/>
          <w:color w:val="auto"/>
        </w:rPr>
      </w:pPr>
    </w:p>
    <w:p>
      <w:pPr>
        <w:jc w:val="both"/>
        <w:ind w:left="20" w:right="620"/>
        <w:spacing w:after="0" w:line="316" w:lineRule="auto"/>
        <w:rPr>
          <w:sz w:val="20"/>
          <w:szCs w:val="20"/>
          <w:color w:val="auto"/>
        </w:rPr>
      </w:pPr>
      <w:r>
        <w:rPr>
          <w:rFonts w:ascii="Times New Roman" w:cs="Times New Roman" w:eastAsia="Times New Roman" w:hAnsi="Times New Roman"/>
          <w:sz w:val="16"/>
          <w:szCs w:val="16"/>
          <w:color w:val="auto"/>
        </w:rPr>
        <w:t>The Company designed its conflict minerals program to conform, in all material respects, with the five-step framework of the OECD Due Diligence Guidance, the Supplement on Tin, Tantalum, and Tungsten, and the Supplement on Gold, specifically as they relate to our position in the minerals supply chain as a “downstream” company:</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Step 1: Establish strong company management systems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20"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 2: Identify and assess risks in the supply chain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 3: Design and implement a strategy to respond to identified risks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 4: Carry out independent third-party audit of smelter/refiner due diligence practices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 5: Report annually on supply chain due diligence</w:t>
      </w:r>
    </w:p>
    <w:p>
      <w:pPr>
        <w:spacing w:after="0" w:line="287" w:lineRule="exact"/>
        <w:rPr>
          <w:sz w:val="20"/>
          <w:szCs w:val="20"/>
          <w:color w:val="auto"/>
        </w:rPr>
      </w:pPr>
    </w:p>
    <w:p>
      <w:pPr>
        <w:ind w:left="720" w:hanging="579"/>
        <w:spacing w:after="0"/>
        <w:tabs>
          <w:tab w:leader="none" w:pos="72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Due Diligence Measures Performed by The Company</w:t>
      </w:r>
    </w:p>
    <w:p>
      <w:pPr>
        <w:spacing w:after="0" w:line="264" w:lineRule="exact"/>
        <w:rPr>
          <w:sz w:val="20"/>
          <w:szCs w:val="20"/>
          <w:color w:val="auto"/>
        </w:rPr>
      </w:pPr>
    </w:p>
    <w:p>
      <w:pPr>
        <w:ind w:right="620"/>
        <w:spacing w:after="0" w:line="333" w:lineRule="auto"/>
        <w:rPr>
          <w:sz w:val="20"/>
          <w:szCs w:val="20"/>
          <w:color w:val="auto"/>
        </w:rPr>
      </w:pPr>
      <w:r>
        <w:rPr>
          <w:rFonts w:ascii="Times New Roman" w:cs="Times New Roman" w:eastAsia="Times New Roman" w:hAnsi="Times New Roman"/>
          <w:sz w:val="16"/>
          <w:szCs w:val="16"/>
          <w:color w:val="auto"/>
        </w:rPr>
        <w:t>Consistent with the five steps of the OECD Due Diligence Guidance, Peloton has undertaken the following steps to reasonably determine the country of origin of, and to exercise due diligence in, the 3TG mineral supply chain.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 1: Establish strong company management systems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established and maintain certain policies, procedures, and systems, in connection with the mineral supply chain and our commitments related thereto:</w:t>
      </w:r>
    </w:p>
    <w:p>
      <w:pPr>
        <w:spacing w:after="0" w:line="287" w:lineRule="exact"/>
        <w:rPr>
          <w:sz w:val="20"/>
          <w:szCs w:val="20"/>
          <w:color w:val="auto"/>
        </w:rPr>
      </w:pPr>
    </w:p>
    <w:p>
      <w:pPr>
        <w:jc w:val="both"/>
        <w:ind w:left="640" w:right="620" w:hanging="325"/>
        <w:spacing w:after="0" w:line="300"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Supplier Code of Conduct </w:t>
      </w:r>
      <w:r>
        <w:rPr>
          <w:rFonts w:ascii="Times New Roman" w:cs="Times New Roman" w:eastAsia="Times New Roman" w:hAnsi="Times New Roman"/>
          <w:sz w:val="16"/>
          <w:szCs w:val="16"/>
          <w:color w:val="auto"/>
        </w:rPr>
        <w:t>– Peloton’s Supplier Code of Conduct (the “Supplier Code”), which incorporates Peloton’s Conflict Minerals Policy, applies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 levels of Peloton’s supply chain, including our trusted partners and sub-tier suppliers. The Supplier Code and Conflict Minerals Policy are based on</w:t>
      </w:r>
    </w:p>
    <w:p>
      <w:pPr>
        <w:spacing w:after="0" w:line="1" w:lineRule="exact"/>
        <w:rPr>
          <w:rFonts w:ascii="Times New Roman" w:cs="Times New Roman" w:eastAsia="Times New Roman" w:hAnsi="Times New Roman"/>
          <w:sz w:val="16"/>
          <w:szCs w:val="16"/>
          <w:color w:val="auto"/>
        </w:rPr>
      </w:pPr>
    </w:p>
    <w:p>
      <w:pPr>
        <w:ind w:left="640" w:right="62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and internationally accepted principles, including the International Labour Organization’s Labour Standards and the OECD Due Diligence Guidance.</w:t>
      </w:r>
    </w:p>
    <w:p>
      <w:pPr>
        <w:spacing w:after="0" w:line="202" w:lineRule="exact"/>
        <w:rPr>
          <w:rFonts w:ascii="Times New Roman" w:cs="Times New Roman" w:eastAsia="Times New Roman" w:hAnsi="Times New Roman"/>
          <w:sz w:val="16"/>
          <w:szCs w:val="16"/>
          <w:color w:val="auto"/>
        </w:rPr>
      </w:pPr>
    </w:p>
    <w:p>
      <w:pPr>
        <w:jc w:val="both"/>
        <w:ind w:left="640" w:right="620" w:hanging="325"/>
        <w:spacing w:after="0" w:line="317"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Conflict Minerals Policy </w:t>
      </w:r>
      <w:r>
        <w:rPr>
          <w:rFonts w:ascii="Times New Roman" w:cs="Times New Roman" w:eastAsia="Times New Roman" w:hAnsi="Times New Roman"/>
          <w:sz w:val="16"/>
          <w:szCs w:val="16"/>
          <w:color w:val="auto"/>
        </w:rPr>
        <w:t>– The Conflict Minerals Policy highlights the Company’s commitment to complying with the reporting and due diligence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required by Rule 13p-1 and the Company’s expectations that our suppliers comply with the same obligations. The policy is available on our corporate website at https://investor.onepeloton.com/corporate-governance.</w:t>
      </w:r>
    </w:p>
    <w:p>
      <w:pPr>
        <w:spacing w:after="0" w:line="202" w:lineRule="exact"/>
        <w:rPr>
          <w:rFonts w:ascii="Times New Roman" w:cs="Times New Roman" w:eastAsia="Times New Roman" w:hAnsi="Times New Roman"/>
          <w:sz w:val="16"/>
          <w:szCs w:val="16"/>
          <w:color w:val="auto"/>
        </w:rPr>
      </w:pPr>
    </w:p>
    <w:p>
      <w:pPr>
        <w:jc w:val="both"/>
        <w:ind w:left="640" w:right="620" w:hanging="325"/>
        <w:spacing w:after="0" w:line="304"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Policy Commitments </w:t>
      </w:r>
      <w:r>
        <w:rPr>
          <w:rFonts w:ascii="Times New Roman" w:cs="Times New Roman" w:eastAsia="Times New Roman" w:hAnsi="Times New Roman"/>
          <w:sz w:val="16"/>
          <w:szCs w:val="16"/>
          <w:color w:val="auto"/>
        </w:rPr>
        <w:t>– The Supplier Code sets forth Peloton’s commitments for our suppliers in the areas of labor and human rights, health and safety,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environment, integrity in business dealings, and other risk areas. The Company’s policy commitments are sustained through the structures and processes set forth below. The Supplier Code establishes five Guiding Principles that shape our commitments to help maintain a responsible and ethical supply chain. A key Guiding Principle is acting as a responsible global citizen, which encompasses our conflict minerals due diligence commitments as reflected in the Company’s Conflict Minerals Policy.</w:t>
      </w:r>
    </w:p>
    <w:p>
      <w:pPr>
        <w:spacing w:after="0" w:line="198" w:lineRule="exact"/>
        <w:rPr>
          <w:rFonts w:ascii="Times New Roman" w:cs="Times New Roman" w:eastAsia="Times New Roman" w:hAnsi="Times New Roman"/>
          <w:sz w:val="16"/>
          <w:szCs w:val="16"/>
          <w:color w:val="auto"/>
        </w:rPr>
      </w:pPr>
    </w:p>
    <w:p>
      <w:pPr>
        <w:ind w:left="640" w:hanging="325"/>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Relevant Policies </w:t>
      </w:r>
      <w:r>
        <w:rPr>
          <w:rFonts w:ascii="Times New Roman" w:cs="Times New Roman" w:eastAsia="Times New Roman" w:hAnsi="Times New Roman"/>
          <w:sz w:val="16"/>
          <w:szCs w:val="16"/>
          <w:color w:val="auto"/>
        </w:rPr>
        <w:t>– We maintain other policies relevant to the Company’s Conflict Minerals commitments, which include the following:</w:t>
      </w:r>
    </w:p>
    <w:p>
      <w:pPr>
        <w:spacing w:after="0" w:line="290" w:lineRule="exact"/>
        <w:rPr>
          <w:rFonts w:ascii="Times New Roman" w:cs="Times New Roman" w:eastAsia="Times New Roman" w:hAnsi="Times New Roman"/>
          <w:sz w:val="16"/>
          <w:szCs w:val="16"/>
          <w:color w:val="auto"/>
        </w:rPr>
      </w:pPr>
    </w:p>
    <w:p>
      <w:pPr>
        <w:jc w:val="both"/>
        <w:ind w:left="640" w:right="62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Code of Conduct: Sets forth the standards that govern all of our business dealings and establishes expectations for everyone at Peloton. Peloton’s commitments in the Code of Conduct are reflected in the Supplier Code, and we expect our partners and sub-tier suppliers to be aware of and adhere to Peloton’s standards and Guiding Principles for maintaining a responsible and ethical supply chain.</w:t>
      </w:r>
    </w:p>
    <w:p>
      <w:pPr>
        <w:spacing w:after="0" w:line="204" w:lineRule="exact"/>
        <w:rPr>
          <w:rFonts w:ascii="Times New Roman" w:cs="Times New Roman" w:eastAsia="Times New Roman" w:hAnsi="Times New Roman"/>
          <w:sz w:val="16"/>
          <w:szCs w:val="16"/>
          <w:color w:val="auto"/>
        </w:rPr>
      </w:pPr>
    </w:p>
    <w:p>
      <w:pPr>
        <w:ind w:left="640" w:right="62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Integrity Reporting Policy: Applies to Peloton’s team members, directors, and officers, and contractors, and sets forth our approach to protecting and supporting individuals who report potential misconduct.</w:t>
      </w:r>
    </w:p>
    <w:p>
      <w:pPr>
        <w:spacing w:after="0" w:line="202" w:lineRule="exact"/>
        <w:rPr>
          <w:rFonts w:ascii="Times New Roman" w:cs="Times New Roman" w:eastAsia="Times New Roman" w:hAnsi="Times New Roman"/>
          <w:sz w:val="16"/>
          <w:szCs w:val="16"/>
          <w:color w:val="auto"/>
        </w:rPr>
      </w:pPr>
    </w:p>
    <w:p>
      <w:pPr>
        <w:jc w:val="both"/>
        <w:ind w:left="640" w:right="620" w:hanging="328"/>
        <w:spacing w:after="0" w:line="300"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Peloton Management Systems </w:t>
      </w:r>
      <w:r>
        <w:rPr>
          <w:rFonts w:ascii="Times New Roman" w:cs="Times New Roman" w:eastAsia="Times New Roman" w:hAnsi="Times New Roman"/>
          <w:sz w:val="16"/>
          <w:szCs w:val="16"/>
          <w:color w:val="auto"/>
        </w:rPr>
        <w:t>– The Peloton Safety, Compliance, Policy and Regulatory Affairs, and Procurement Teams, in coordination with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stakeholders, manage the Company’s Conflict Minerals diligence efforts. These efforts include senior leadership involvement to ensure that critical information, including the Company’s conflict minerals standard and the Supplier Code, reach relevant team members and all suppliers. These teams</w:t>
      </w:r>
    </w:p>
    <w:p>
      <w:pPr>
        <w:jc w:val="both"/>
        <w:ind w:left="640" w:right="620"/>
        <w:spacing w:after="0" w:line="3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coordinate efforts related to Peloton’s Supplier Code and across Peloton’s business teams and functions, including Supply Chain, Product, legal, and finance. The Safety, Compliance, Policy and Regulatory Affairs, and Procurement teams regularly report to, and consult with, Peloton’s senior management to review progress and set ongoing commitments for our responsible sourcing of materials and environmental due diligence efforts.</w:t>
      </w:r>
    </w:p>
    <w:p>
      <w:pPr>
        <w:spacing w:after="0" w:line="209" w:lineRule="exact"/>
        <w:rPr>
          <w:rFonts w:ascii="Times New Roman" w:cs="Times New Roman" w:eastAsia="Times New Roman" w:hAnsi="Times New Roman"/>
          <w:sz w:val="16"/>
          <w:szCs w:val="16"/>
          <w:color w:val="auto"/>
        </w:rPr>
      </w:pPr>
    </w:p>
    <w:p>
      <w:pPr>
        <w:jc w:val="both"/>
        <w:ind w:left="640" w:right="620" w:hanging="328"/>
        <w:spacing w:after="0" w:line="317"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Board Oversight </w:t>
      </w:r>
      <w:r>
        <w:rPr>
          <w:rFonts w:ascii="Times New Roman" w:cs="Times New Roman" w:eastAsia="Times New Roman" w:hAnsi="Times New Roman"/>
          <w:sz w:val="16"/>
          <w:szCs w:val="16"/>
          <w:color w:val="auto"/>
        </w:rPr>
        <w:t>– Peloton’s Board of Directors oversees Peloton’s Chief Executive Officer and other senior management in the competent and ethical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 of Peloton on a day-to-day basis related to conflict minerals. The Audit Committee assists Peloton’s Board of Directors in monitoring significant business risks, including operational and reputational risks.</w:t>
      </w:r>
    </w:p>
    <w:p>
      <w:pPr>
        <w:spacing w:after="0" w:line="188" w:lineRule="exact"/>
        <w:rPr>
          <w:rFonts w:ascii="Times New Roman" w:cs="Times New Roman" w:eastAsia="Times New Roman" w:hAnsi="Times New Roman"/>
          <w:sz w:val="16"/>
          <w:szCs w:val="16"/>
          <w:color w:val="auto"/>
        </w:rPr>
      </w:pPr>
    </w:p>
    <w:p>
      <w:pPr>
        <w:ind w:left="640" w:right="620" w:hanging="328"/>
        <w:spacing w:after="0" w:line="336"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Internal Engagement </w:t>
      </w:r>
      <w:r>
        <w:rPr>
          <w:rFonts w:ascii="Times New Roman" w:cs="Times New Roman" w:eastAsia="Times New Roman" w:hAnsi="Times New Roman"/>
          <w:sz w:val="16"/>
          <w:szCs w:val="16"/>
          <w:color w:val="auto"/>
        </w:rPr>
        <w:t>– The Company administers a role based program to ensure that team members involved with the conflict minerals process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aware of the goals of its program, and its reporting obligations as a public company.</w:t>
      </w:r>
    </w:p>
    <w:p>
      <w:pPr>
        <w:sectPr>
          <w:pgSz w:w="11900" w:h="16838" w:orient="portrait"/>
          <w:cols w:equalWidth="0" w:num="1">
            <w:col w:w="11220"/>
          </w:cols>
          <w:pgMar w:left="34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40" w:top="120"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10" w:lineRule="exact"/>
        <w:rPr>
          <w:sz w:val="20"/>
          <w:szCs w:val="20"/>
          <w:color w:val="auto"/>
        </w:rPr>
      </w:pPr>
    </w:p>
    <w:p>
      <w:pPr>
        <w:ind w:left="640" w:hanging="32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Supplier Engagement </w:t>
      </w:r>
      <w:r>
        <w:rPr>
          <w:rFonts w:ascii="Times New Roman" w:cs="Times New Roman" w:eastAsia="Times New Roman" w:hAnsi="Times New Roman"/>
          <w:sz w:val="16"/>
          <w:szCs w:val="16"/>
          <w:color w:val="auto"/>
        </w:rPr>
        <w:t>– The Company communicates its Conflict Minerals Policy and provides educational materials to its in-scope suppliers, enforced</w:t>
      </w:r>
    </w:p>
    <w:p>
      <w:pPr>
        <w:spacing w:after="0" w:line="47" w:lineRule="exact"/>
        <w:rPr>
          <w:rFonts w:ascii="Times New Roman" w:cs="Times New Roman" w:eastAsia="Times New Roman" w:hAnsi="Times New Roman"/>
          <w:sz w:val="16"/>
          <w:szCs w:val="16"/>
          <w:color w:val="auto"/>
        </w:rPr>
      </w:pPr>
    </w:p>
    <w:p>
      <w:pPr>
        <w:jc w:val="both"/>
        <w:ind w:left="640" w:right="620"/>
        <w:spacing w:after="0" w:line="3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Supplier Code. In-scope suppliers are informed of the Company’s conflict minerals disclosure requirements on an annual basis when the Company requests information in connection with the Conflict Minerals Policy, along with recommendations for developing, implementing, and documenting a conflict minerals compliance program.</w:t>
      </w:r>
    </w:p>
    <w:p>
      <w:pPr>
        <w:spacing w:after="0" w:line="209" w:lineRule="exact"/>
        <w:rPr>
          <w:rFonts w:ascii="Times New Roman" w:cs="Times New Roman" w:eastAsia="Times New Roman" w:hAnsi="Times New Roman"/>
          <w:sz w:val="16"/>
          <w:szCs w:val="16"/>
          <w:color w:val="auto"/>
        </w:rPr>
      </w:pPr>
    </w:p>
    <w:p>
      <w:pPr>
        <w:jc w:val="both"/>
        <w:ind w:left="640" w:right="620" w:hanging="328"/>
        <w:spacing w:after="0" w:line="300"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Company Level Reporting Mechanism </w:t>
      </w:r>
      <w:r>
        <w:rPr>
          <w:rFonts w:ascii="Times New Roman" w:cs="Times New Roman" w:eastAsia="Times New Roman" w:hAnsi="Times New Roman"/>
          <w:sz w:val="16"/>
          <w:szCs w:val="16"/>
          <w:color w:val="auto"/>
        </w:rPr>
        <w:t>– Stakeholders, internal and external, can communicate directly and confidentially with the Company’s Safety,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Ethics and Compliance team by reporting through available channels. For example, Peloton maintains a dedicated, external Integrity Helpline so that</w:t>
      </w:r>
    </w:p>
    <w:p>
      <w:pPr>
        <w:spacing w:after="0" w:line="1" w:lineRule="exact"/>
        <w:rPr>
          <w:rFonts w:ascii="Times New Roman" w:cs="Times New Roman" w:eastAsia="Times New Roman" w:hAnsi="Times New Roman"/>
          <w:sz w:val="16"/>
          <w:szCs w:val="16"/>
          <w:color w:val="auto"/>
        </w:rPr>
      </w:pPr>
    </w:p>
    <w:p>
      <w:pPr>
        <w:ind w:left="640" w:right="62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team members, contractors, and supplier partners can raise concerns or report misconduct on a confidential basis. Concerns can be reported anonymously. All concerns are reviewed by dedicated investigators through our confidential investigation processes.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 2: Identify and assess risks in the supply chain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performed the following steps as part of our risk management process:</w:t>
      </w:r>
    </w:p>
    <w:p>
      <w:pPr>
        <w:spacing w:after="0" w:line="273" w:lineRule="exact"/>
        <w:rPr>
          <w:sz w:val="20"/>
          <w:szCs w:val="20"/>
          <w:color w:val="auto"/>
        </w:rPr>
      </w:pPr>
    </w:p>
    <w:p>
      <w:pPr>
        <w:ind w:left="640" w:right="620" w:hanging="325"/>
        <w:spacing w:after="0" w:line="336"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Identified products in scope </w:t>
      </w:r>
      <w:r>
        <w:rPr>
          <w:rFonts w:ascii="Times New Roman" w:cs="Times New Roman" w:eastAsia="Times New Roman" w:hAnsi="Times New Roman"/>
          <w:sz w:val="16"/>
          <w:szCs w:val="16"/>
          <w:color w:val="auto"/>
        </w:rPr>
        <w:t>– Peloton conducted a detailed review of the products manufactured or contracted to be manufactured during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to identify products that should be deemed in-scope as described by the Adopting Release.</w:t>
      </w:r>
    </w:p>
    <w:p>
      <w:pPr>
        <w:spacing w:after="0" w:line="186" w:lineRule="exact"/>
        <w:rPr>
          <w:rFonts w:ascii="Times New Roman" w:cs="Times New Roman" w:eastAsia="Times New Roman" w:hAnsi="Times New Roman"/>
          <w:sz w:val="16"/>
          <w:szCs w:val="16"/>
          <w:color w:val="auto"/>
        </w:rPr>
      </w:pPr>
    </w:p>
    <w:p>
      <w:pPr>
        <w:jc w:val="both"/>
        <w:ind w:left="640" w:right="620" w:hanging="325"/>
        <w:spacing w:after="0" w:line="300"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Conducted RCOI </w:t>
      </w:r>
      <w:r>
        <w:rPr>
          <w:rFonts w:ascii="Times New Roman" w:cs="Times New Roman" w:eastAsia="Times New Roman" w:hAnsi="Times New Roman"/>
          <w:sz w:val="16"/>
          <w:szCs w:val="16"/>
          <w:color w:val="auto"/>
        </w:rPr>
        <w:t>– The Company utilized the most recent version of the industry-developed CMRT to query our suppliers for conflict minerals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We requested this information from the Tier 1 suppliers who provide materials and components for the products deemed in-scope by our</w:t>
      </w:r>
    </w:p>
    <w:p>
      <w:pPr>
        <w:spacing w:after="0" w:line="1" w:lineRule="exact"/>
        <w:rPr>
          <w:rFonts w:ascii="Times New Roman" w:cs="Times New Roman" w:eastAsia="Times New Roman" w:hAnsi="Times New Roman"/>
          <w:sz w:val="16"/>
          <w:szCs w:val="16"/>
          <w:color w:val="auto"/>
        </w:rPr>
      </w:pPr>
    </w:p>
    <w:p>
      <w:pPr>
        <w:ind w:left="640" w:right="62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Minerals team. We evaluated the responses from the templates submitted by our suppliers to determine our reporting obligation based on this RCOI. See Appendix I for a list of countries of origin identified through the RCOI process.</w:t>
      </w:r>
    </w:p>
    <w:p>
      <w:pPr>
        <w:spacing w:after="0" w:line="202" w:lineRule="exact"/>
        <w:rPr>
          <w:rFonts w:ascii="Times New Roman" w:cs="Times New Roman" w:eastAsia="Times New Roman" w:hAnsi="Times New Roman"/>
          <w:sz w:val="16"/>
          <w:szCs w:val="16"/>
          <w:color w:val="auto"/>
        </w:rPr>
      </w:pPr>
    </w:p>
    <w:p>
      <w:pPr>
        <w:jc w:val="both"/>
        <w:ind w:left="640" w:right="620" w:hanging="325"/>
        <w:spacing w:after="0" w:line="311"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Completed additional follow-up </w:t>
      </w:r>
      <w:r>
        <w:rPr>
          <w:rFonts w:ascii="Times New Roman" w:cs="Times New Roman" w:eastAsia="Times New Roman" w:hAnsi="Times New Roman"/>
          <w:sz w:val="16"/>
          <w:szCs w:val="16"/>
          <w:color w:val="auto"/>
        </w:rPr>
        <w:t>– The Company contacted direct suppliers multiple times to request detailed conflict minerals information. We worked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clarify and validate the accuracy of information provided by our suppliers through standardized feedback questions to address any issues or uncertainty with the template provided when necessary and/or obtaining additional information upon request (product identification, order numbers, or shipping addresses) to help ensure we received conflict minerals information specific to our supply-chain.</w:t>
      </w:r>
    </w:p>
    <w:p>
      <w:pPr>
        <w:spacing w:after="0" w:line="193" w:lineRule="exact"/>
        <w:rPr>
          <w:rFonts w:ascii="Times New Roman" w:cs="Times New Roman" w:eastAsia="Times New Roman" w:hAnsi="Times New Roman"/>
          <w:sz w:val="16"/>
          <w:szCs w:val="16"/>
          <w:color w:val="auto"/>
        </w:rPr>
      </w:pPr>
    </w:p>
    <w:p>
      <w:pPr>
        <w:jc w:val="both"/>
        <w:ind w:left="640" w:right="620" w:hanging="325"/>
        <w:spacing w:after="0" w:line="300"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Identified smelters or refiners (“SORs”) </w:t>
      </w:r>
      <w:r>
        <w:rPr>
          <w:rFonts w:ascii="Times New Roman" w:cs="Times New Roman" w:eastAsia="Times New Roman" w:hAnsi="Times New Roman"/>
          <w:sz w:val="16"/>
          <w:szCs w:val="16"/>
          <w:color w:val="auto"/>
        </w:rPr>
        <w:t>– The Company compiled a list of SORs in our supply chain using our suppliers’ responses in their CMRTs.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reconciled this list to the list of smelter facilities designated by the RMI’s Responsible Minerals Assurance Process (“RMAP”). The RMAP conducts independent, third-party audits of SORs to determine which have validated systems that help ensure the minerals were responsibly sourced according to the OECD Due Diligence Guidance. The Company also utilized information provided by the London Bullion Market Association</w:t>
      </w:r>
    </w:p>
    <w:p>
      <w:pPr>
        <w:jc w:val="both"/>
        <w:ind w:left="640" w:right="620"/>
        <w:spacing w:after="0" w:line="3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(“LBMA”), and Responsible Jewelry Council (“RJC”) cross-recognition audit programs. The Company maintains a database of smelter aliases to reconcile suppliers’ smelters lists to the list of RMI SORs. We have provided that list in this report within section IV – Product Description; Processing Facilities.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 3: Design and implement a strategy to respond to identified risks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performed the following steps as part of our risk management plan:</w:t>
      </w:r>
    </w:p>
    <w:p>
      <w:pPr>
        <w:spacing w:after="0" w:line="287" w:lineRule="exact"/>
        <w:rPr>
          <w:sz w:val="20"/>
          <w:szCs w:val="20"/>
          <w:color w:val="auto"/>
        </w:rPr>
      </w:pPr>
    </w:p>
    <w:p>
      <w:pPr>
        <w:ind w:left="640" w:right="620" w:hanging="325"/>
        <w:spacing w:after="0" w:line="336"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Reporting results to senior management </w:t>
      </w:r>
      <w:r>
        <w:rPr>
          <w:rFonts w:ascii="Times New Roman" w:cs="Times New Roman" w:eastAsia="Times New Roman" w:hAnsi="Times New Roman"/>
          <w:sz w:val="16"/>
          <w:szCs w:val="16"/>
          <w:color w:val="auto"/>
        </w:rPr>
        <w:t>– The Conflict Minerals team reports the results of our RCOI to senior management. These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the Conflict Minerals team’s plan to respond, as needed, to risks identified in the due diligence processes.</w:t>
      </w:r>
    </w:p>
    <w:p>
      <w:pPr>
        <w:spacing w:after="0" w:line="186" w:lineRule="exact"/>
        <w:rPr>
          <w:rFonts w:ascii="Times New Roman" w:cs="Times New Roman" w:eastAsia="Times New Roman" w:hAnsi="Times New Roman"/>
          <w:sz w:val="16"/>
          <w:szCs w:val="16"/>
          <w:color w:val="auto"/>
        </w:rPr>
      </w:pPr>
    </w:p>
    <w:p>
      <w:pPr>
        <w:ind w:left="640" w:hanging="325"/>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Designed and implemented a plan </w:t>
      </w:r>
      <w:r>
        <w:rPr>
          <w:rFonts w:ascii="Times New Roman" w:cs="Times New Roman" w:eastAsia="Times New Roman" w:hAnsi="Times New Roman"/>
          <w:sz w:val="16"/>
          <w:szCs w:val="16"/>
          <w:color w:val="auto"/>
        </w:rPr>
        <w:t>– The Company used established risk rating criteria to evaluate suppliers based on the responses provided within their</w:t>
      </w:r>
    </w:p>
    <w:p>
      <w:pPr>
        <w:spacing w:after="0" w:line="47" w:lineRule="exact"/>
        <w:rPr>
          <w:rFonts w:ascii="Times New Roman" w:cs="Times New Roman" w:eastAsia="Times New Roman" w:hAnsi="Times New Roman"/>
          <w:sz w:val="16"/>
          <w:szCs w:val="16"/>
          <w:color w:val="auto"/>
        </w:rPr>
      </w:pPr>
    </w:p>
    <w:p>
      <w:pPr>
        <w:jc w:val="both"/>
        <w:ind w:left="640" w:right="620"/>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CMRTs, as well as any additional documentation furnished to support those responses and the suppliers’ due diligence processes. The resulting risk ratings were used to develop specific supplier outreach and training to address the identified risks and to take corrective actions with suppliers found not in compliance with the Company’s Conflict Minerals Policy. This includes additional outreach to suppliers who failed to respond to our multiple requests for information, suppliers who provided inconsistent or erroneous information, and suppliers who indicated they had received responses from less than 50% of their in-scope suppliers. Our Conflict Minerals team further reviews the responses to verify the validity of SORs reported by our suppliers, the audit status of such SORs and the country of origin of the minerals processed at such facilities.</w:t>
      </w:r>
    </w:p>
    <w:p>
      <w:pPr>
        <w:spacing w:after="0" w:line="201" w:lineRule="exact"/>
        <w:rPr>
          <w:rFonts w:ascii="Times New Roman" w:cs="Times New Roman" w:eastAsia="Times New Roman" w:hAnsi="Times New Roman"/>
          <w:sz w:val="16"/>
          <w:szCs w:val="16"/>
          <w:color w:val="auto"/>
        </w:rPr>
      </w:pPr>
    </w:p>
    <w:p>
      <w:pPr>
        <w:ind w:left="640" w:right="620" w:hanging="325"/>
        <w:spacing w:after="0" w:line="336"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Provided informational materials </w:t>
      </w:r>
      <w:r>
        <w:rPr>
          <w:rFonts w:ascii="Times New Roman" w:cs="Times New Roman" w:eastAsia="Times New Roman" w:hAnsi="Times New Roman"/>
          <w:sz w:val="16"/>
          <w:szCs w:val="16"/>
          <w:color w:val="auto"/>
        </w:rPr>
        <w:t>– The Company provided each supplier with informational materials that explain Section 1502 of the Dodd Frank 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OECD framework, the RCOI process, and general information on the contents of the most</w:t>
      </w:r>
    </w:p>
    <w:p>
      <w:pPr>
        <w:sectPr>
          <w:pgSz w:w="11900" w:h="16838" w:orient="portrait"/>
          <w:cols w:equalWidth="0" w:num="1">
            <w:col w:w="11220"/>
          </w:cols>
          <w:pgMar w:left="34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40" w:top="120" w:right="339" w:bottom="1440" w:gutter="0" w:footer="0" w:header="0"/>
          <w:type w:val="continuous"/>
        </w:sectPr>
      </w:pPr>
    </w:p>
    <w:bookmarkStart w:id="7" w:name="page8"/>
    <w:bookmarkEnd w:id="7"/>
    <w:p>
      <w:pPr>
        <w:ind w:left="10420"/>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12" w:lineRule="exact"/>
        <w:rPr>
          <w:sz w:val="20"/>
          <w:szCs w:val="20"/>
          <w:color w:val="auto"/>
        </w:rPr>
      </w:pPr>
    </w:p>
    <w:p>
      <w:pPr>
        <w:jc w:val="both"/>
        <w:ind w:left="640" w:right="620"/>
        <w:spacing w:after="0" w:line="304" w:lineRule="auto"/>
        <w:rPr>
          <w:sz w:val="20"/>
          <w:szCs w:val="20"/>
          <w:color w:val="auto"/>
        </w:rPr>
      </w:pPr>
      <w:r>
        <w:rPr>
          <w:rFonts w:ascii="Times New Roman" w:cs="Times New Roman" w:eastAsia="Times New Roman" w:hAnsi="Times New Roman"/>
          <w:sz w:val="16"/>
          <w:szCs w:val="16"/>
          <w:color w:val="auto"/>
        </w:rPr>
        <w:t>recent revision of the CMRT (including definitions of common phrases and frequently asked questions). These materials are provided to suppliers at the time of the initial request for a completed CMRT. The informational materials serve as a point of reference for suppliers that are unfamiliar with the rule and helps to limit the risk of obtaining inaccurate information from them. We offer assistance to our suppliers throughout the process to improve the quality of the information provided to us.</w:t>
      </w:r>
    </w:p>
    <w:p>
      <w:pPr>
        <w:spacing w:after="0" w:line="213" w:lineRule="exact"/>
        <w:rPr>
          <w:sz w:val="20"/>
          <w:szCs w:val="20"/>
          <w:color w:val="auto"/>
        </w:rPr>
      </w:pPr>
    </w:p>
    <w:p>
      <w:pPr>
        <w:ind w:left="640" w:right="620" w:hanging="325"/>
        <w:spacing w:after="0" w:line="336" w:lineRule="auto"/>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Identified SORs </w:t>
      </w:r>
      <w:r>
        <w:rPr>
          <w:rFonts w:ascii="Times New Roman" w:cs="Times New Roman" w:eastAsia="Times New Roman" w:hAnsi="Times New Roman"/>
          <w:sz w:val="16"/>
          <w:szCs w:val="16"/>
          <w:color w:val="auto"/>
        </w:rPr>
        <w:t>– As part of the risk mitigation process, the Company reconciled the list of SORs collected from suppliers to the list of smelter facilities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validated by the RMI.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 4: Carry out independent third-party audit of smelter/refiner due diligence practices</w:t>
      </w:r>
    </w:p>
    <w:p>
      <w:pPr>
        <w:spacing w:after="0" w:line="277" w:lineRule="exact"/>
        <w:rPr>
          <w:sz w:val="20"/>
          <w:szCs w:val="20"/>
          <w:color w:val="auto"/>
        </w:rPr>
      </w:pPr>
    </w:p>
    <w:p>
      <w:pPr>
        <w:jc w:val="both"/>
        <w:ind w:right="620"/>
        <w:spacing w:after="0" w:line="333" w:lineRule="auto"/>
        <w:rPr>
          <w:sz w:val="20"/>
          <w:szCs w:val="20"/>
          <w:color w:val="auto"/>
        </w:rPr>
      </w:pPr>
      <w:r>
        <w:rPr>
          <w:rFonts w:ascii="Times New Roman" w:cs="Times New Roman" w:eastAsia="Times New Roman" w:hAnsi="Times New Roman"/>
          <w:sz w:val="16"/>
          <w:szCs w:val="16"/>
          <w:color w:val="auto"/>
        </w:rPr>
        <w:t>The Company uses information provided by independent third-party audit programs, including the RMI RMAP, LBMA, and RJC, to confirm the existence, and verify the OECD-conformance status, of SORs identified during our due diligence.</w:t>
      </w:r>
    </w:p>
    <w:p>
      <w:pPr>
        <w:spacing w:after="0" w:line="191" w:lineRule="exact"/>
        <w:rPr>
          <w:sz w:val="20"/>
          <w:szCs w:val="20"/>
          <w:color w:val="auto"/>
        </w:rPr>
      </w:pPr>
    </w:p>
    <w:p>
      <w:pPr>
        <w:jc w:val="both"/>
        <w:ind w:right="620"/>
        <w:spacing w:after="0" w:line="333" w:lineRule="auto"/>
        <w:rPr>
          <w:sz w:val="20"/>
          <w:szCs w:val="20"/>
          <w:color w:val="auto"/>
        </w:rPr>
      </w:pPr>
      <w:r>
        <w:rPr>
          <w:rFonts w:ascii="Times New Roman" w:cs="Times New Roman" w:eastAsia="Times New Roman" w:hAnsi="Times New Roman"/>
          <w:sz w:val="16"/>
          <w:szCs w:val="16"/>
          <w:color w:val="auto"/>
        </w:rPr>
        <w:t>The Company encouraged participation in the RMAP and requested the SORs to provide the mines and/or locations from which the SOR sources to assist in identifying all countries of origin.</w:t>
      </w:r>
    </w:p>
    <w:p>
      <w:pPr>
        <w:spacing w:after="0" w:line="191" w:lineRule="exact"/>
        <w:rPr>
          <w:sz w:val="20"/>
          <w:szCs w:val="20"/>
          <w:color w:val="auto"/>
        </w:rPr>
      </w:pPr>
    </w:p>
    <w:p>
      <w:pPr>
        <w:jc w:val="both"/>
        <w:ind w:right="620"/>
        <w:spacing w:after="0" w:line="307" w:lineRule="auto"/>
        <w:rPr>
          <w:sz w:val="20"/>
          <w:szCs w:val="20"/>
          <w:color w:val="auto"/>
        </w:rPr>
      </w:pPr>
      <w:r>
        <w:rPr>
          <w:rFonts w:ascii="Times New Roman" w:cs="Times New Roman" w:eastAsia="Times New Roman" w:hAnsi="Times New Roman"/>
          <w:sz w:val="16"/>
          <w:szCs w:val="16"/>
          <w:color w:val="auto"/>
        </w:rPr>
        <w:t>The Company is also a member of the RMI (under member ID PLTN). As a member, the Company financially supports the development of the RMAP through its member dues and utilizes the RMI data to determine the country of origin of conflict minerals in the Company’s products in addition to the Company’s efforts of reaching out to smelters.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 5: Report annually on supply chain due diligence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this Conflict Minerals Report has been filed with the SEC and is available on our investor relations website at https://investor.onepeloton.com.</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IV. Product Description; Processing Facilities</w:t>
      </w: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u w:val="single" w:color="auto"/>
          <w:color w:val="auto"/>
        </w:rPr>
        <w:t>Our Connected Fitness Products</w:t>
      </w:r>
    </w:p>
    <w:p>
      <w:pPr>
        <w:spacing w:after="0" w:line="291" w:lineRule="exact"/>
        <w:rPr>
          <w:sz w:val="20"/>
          <w:szCs w:val="20"/>
          <w:color w:val="auto"/>
        </w:rPr>
      </w:pPr>
    </w:p>
    <w:p>
      <w:pPr>
        <w:jc w:val="both"/>
        <w:ind w:right="620"/>
        <w:spacing w:after="0" w:line="302" w:lineRule="auto"/>
        <w:rPr>
          <w:sz w:val="20"/>
          <w:szCs w:val="20"/>
          <w:color w:val="auto"/>
        </w:rPr>
      </w:pPr>
      <w:r>
        <w:rPr>
          <w:rFonts w:ascii="Times New Roman" w:cs="Times New Roman" w:eastAsia="Times New Roman" w:hAnsi="Times New Roman"/>
          <w:sz w:val="16"/>
          <w:szCs w:val="16"/>
          <w:color w:val="auto"/>
        </w:rPr>
        <w:t>We provide Members with expert instruction and world-class content to create impactful and entertaining workout and wellness experiences for anyone, anywhere, and at any stage in their fitness journey. At home, outdoors, traveling, or at the gym, we offer an immersive and personalized experience. With a vast library of classes across many fitness disciplines, Members can access Peloton content via our hardware or our Peloton Apps, which can be accessed via phone, tablet, computer, or TV, allowing Members to work out when, where, and how they want. Our business is managed and our financial results are reported on a segment basis, consisting of Connected Fitness Products and Subscriptions. Our Connected Fitness Products are subject to Rule 13p-1 and include the Peloton Pro series, a refresh of our portfolio of commercial-certified Peloton-branded products, which includes the Bike+ Pro, Tread+ Pro, and Row+ Pro, as well as our Cross Training Series, a refreshed portfolio of Connected Fitness Products, which include:</w:t>
      </w:r>
    </w:p>
    <w:p>
      <w:pPr>
        <w:spacing w:after="0" w:line="213" w:lineRule="exact"/>
        <w:rPr>
          <w:sz w:val="20"/>
          <w:szCs w:val="20"/>
          <w:color w:val="auto"/>
        </w:rPr>
      </w:pPr>
    </w:p>
    <w:p>
      <w:pPr>
        <w:ind w:left="640" w:hanging="325"/>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Peloton Bike: </w:t>
      </w:r>
      <w:r>
        <w:rPr>
          <w:rFonts w:ascii="Times New Roman" w:cs="Times New Roman" w:eastAsia="Times New Roman" w:hAnsi="Times New Roman"/>
          <w:sz w:val="16"/>
          <w:szCs w:val="16"/>
          <w:color w:val="auto"/>
        </w:rPr>
        <w:t>The original Peloton Bike combines fitness, technology, and media, to connect riders to live and on-demand workouts led by Peloton</w:t>
      </w:r>
    </w:p>
    <w:p>
      <w:pPr>
        <w:spacing w:after="0" w:line="47" w:lineRule="exact"/>
        <w:rPr>
          <w:rFonts w:ascii="Times New Roman" w:cs="Times New Roman" w:eastAsia="Times New Roman" w:hAnsi="Times New Roman"/>
          <w:sz w:val="16"/>
          <w:szCs w:val="16"/>
          <w:color w:val="auto"/>
        </w:rPr>
      </w:pPr>
    </w:p>
    <w:p>
      <w:pPr>
        <w:jc w:val="both"/>
        <w:ind w:left="640" w:right="62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Instructors. It features a carbon steel frame, a nearly silent belt drive, durable magnetic resistance, and a rotating 22” high-definition (“HD”) touchscreen with built-in stereo speakers to stream live and on-demand classes, all in a compact 4’ by 2’ footprint. The Peloton Bike also offers alternative workout experiences like Peloton Entertainment, Scenic, and Lanebreak. The original Peloton Bike is available in the United States, Canada, the United Kingdom, Germany, Australia and Austria.</w:t>
      </w:r>
    </w:p>
    <w:p>
      <w:pPr>
        <w:spacing w:after="0" w:line="213" w:lineRule="exact"/>
        <w:rPr>
          <w:rFonts w:ascii="Times New Roman" w:cs="Times New Roman" w:eastAsia="Times New Roman" w:hAnsi="Times New Roman"/>
          <w:sz w:val="16"/>
          <w:szCs w:val="16"/>
          <w:color w:val="auto"/>
        </w:rPr>
      </w:pPr>
    </w:p>
    <w:p>
      <w:pPr>
        <w:ind w:left="640" w:hanging="325"/>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Peloton Bike+: </w:t>
      </w:r>
      <w:r>
        <w:rPr>
          <w:rFonts w:ascii="Times New Roman" w:cs="Times New Roman" w:eastAsia="Times New Roman" w:hAnsi="Times New Roman"/>
          <w:sz w:val="16"/>
          <w:szCs w:val="16"/>
          <w:color w:val="auto"/>
        </w:rPr>
        <w:t>The Peloton Bike+ includes all original Peloton Bike features, but introduces an upgraded 24”, 360-degree rotating HD touchscreen</w:t>
      </w:r>
    </w:p>
    <w:p>
      <w:pPr>
        <w:spacing w:after="0" w:line="47" w:lineRule="exact"/>
        <w:rPr>
          <w:rFonts w:ascii="Times New Roman" w:cs="Times New Roman" w:eastAsia="Times New Roman" w:hAnsi="Times New Roman"/>
          <w:sz w:val="16"/>
          <w:szCs w:val="16"/>
          <w:color w:val="auto"/>
        </w:rPr>
      </w:pPr>
    </w:p>
    <w:p>
      <w:pPr>
        <w:jc w:val="both"/>
        <w:ind w:left="640" w:right="620"/>
        <w:spacing w:after="0" w:line="3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display, allowing Members to easily pivot and tilt the screen for floor-based routines. Resistance on the Peloton Bike+ is controlled digitally with an electronic braking system that enables an Instructor-led “Auto Follow” feature. Additional hardware components include a three-speed fan for optimal airflow, Sonos-tuned speakers, a powerful built-in soundbar and subwoofer system, and a front-facing, movement-tracking camera powered by Peloton IQ for real-time form correction, repetition tracking, and weight suggestions. The Peloton Bike+ is currently available for purchase in the United States, Canada, the United Kingdom, Germany, Australia and Austria.</w:t>
      </w:r>
    </w:p>
    <w:p>
      <w:pPr>
        <w:spacing w:after="0" w:line="213" w:lineRule="exact"/>
        <w:rPr>
          <w:rFonts w:ascii="Times New Roman" w:cs="Times New Roman" w:eastAsia="Times New Roman" w:hAnsi="Times New Roman"/>
          <w:sz w:val="16"/>
          <w:szCs w:val="16"/>
          <w:color w:val="auto"/>
        </w:rPr>
      </w:pPr>
    </w:p>
    <w:p>
      <w:pPr>
        <w:jc w:val="both"/>
        <w:ind w:left="640" w:right="620" w:hanging="325"/>
        <w:spacing w:after="0" w:line="304" w:lineRule="auto"/>
        <w:tabs>
          <w:tab w:leader="none" w:pos="6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Peloton Tread: </w:t>
      </w:r>
      <w:r>
        <w:rPr>
          <w:rFonts w:ascii="Times New Roman" w:cs="Times New Roman" w:eastAsia="Times New Roman" w:hAnsi="Times New Roman"/>
          <w:sz w:val="16"/>
          <w:szCs w:val="16"/>
          <w:color w:val="auto"/>
        </w:rPr>
        <w:t>The Peloton Tread combines a treadmill hardware design with Peloton’s Instructor-led running, walking, hiking, and bootcamp content,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well as Peloton Entertainment, Scenic, and Lanebreak. It maintains an ample running surface area and runner comfort in an affordable and compact form. The Peloton Tread features a sleek belt drive, a rotating 24” HD touchscreen with integrated soundbar and subwoofer, heart rate monitor integration, and hardware control elements unique to Peloton, including dial control knobs, jump buttons, and an auto-incline feature. The Peloton Tread is currently available for purchase in the United States, Canada, the United Kingdom, Australia, and Germany.</w:t>
      </w:r>
    </w:p>
    <w:p>
      <w:pPr>
        <w:sectPr>
          <w:pgSz w:w="11900" w:h="16838" w:orient="portrait"/>
          <w:cols w:equalWidth="0" w:num="1">
            <w:col w:w="11220"/>
          </w:cols>
          <w:pgMar w:left="34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40" w:top="120"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53" w:lineRule="exact"/>
        <w:rPr>
          <w:sz w:val="20"/>
          <w:szCs w:val="20"/>
          <w:color w:val="auto"/>
        </w:rPr>
      </w:pPr>
    </w:p>
    <w:p>
      <w:pPr>
        <w:ind w:left="660" w:hanging="325"/>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Peloton Tread+: </w:t>
      </w:r>
      <w:r>
        <w:rPr>
          <w:rFonts w:ascii="Times New Roman" w:cs="Times New Roman" w:eastAsia="Times New Roman" w:hAnsi="Times New Roman"/>
          <w:sz w:val="16"/>
          <w:szCs w:val="16"/>
          <w:color w:val="auto"/>
        </w:rPr>
        <w:t>The Peloton Tread+ includes all base Peloton Tread features and incorporates a shock-absorbing rubber-slat belt and ball bearing</w:t>
      </w:r>
    </w:p>
    <w:p>
      <w:pPr>
        <w:spacing w:after="0" w:line="47" w:lineRule="exact"/>
        <w:rPr>
          <w:rFonts w:ascii="Times New Roman" w:cs="Times New Roman" w:eastAsia="Times New Roman" w:hAnsi="Times New Roman"/>
          <w:sz w:val="16"/>
          <w:szCs w:val="16"/>
          <w:color w:val="auto"/>
        </w:rPr>
      </w:pPr>
    </w:p>
    <w:p>
      <w:pPr>
        <w:jc w:val="both"/>
        <w:ind w:left="660" w:right="62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designed for low-impact training. It features an upgraded 32” swivel HD touchscreen with a 20-watt sound bar, ergonomic pace and incline control knobs, and a rear safety guard that enhances the product’s safety features. The Peloton Tread+ further incorporates an integrated three-speed fan for optimal airflow, Sonos-tuned speakers, hands-free control, and a front-facing, movement-tracking camera powered by Peloton IQ for real-time form correction, repetition tracking, and weight suggestions.</w:t>
      </w:r>
    </w:p>
    <w:p>
      <w:pPr>
        <w:spacing w:after="0" w:line="213" w:lineRule="exact"/>
        <w:rPr>
          <w:rFonts w:ascii="Times New Roman" w:cs="Times New Roman" w:eastAsia="Times New Roman" w:hAnsi="Times New Roman"/>
          <w:sz w:val="16"/>
          <w:szCs w:val="16"/>
          <w:color w:val="auto"/>
        </w:rPr>
      </w:pPr>
    </w:p>
    <w:p>
      <w:pPr>
        <w:ind w:left="660" w:hanging="325"/>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Peloton Row+: </w:t>
      </w:r>
      <w:r>
        <w:rPr>
          <w:rFonts w:ascii="Times New Roman" w:cs="Times New Roman" w:eastAsia="Times New Roman" w:hAnsi="Times New Roman"/>
          <w:sz w:val="16"/>
          <w:szCs w:val="16"/>
          <w:color w:val="auto"/>
        </w:rPr>
        <w:t>The Peloton Row+ combines innovative software, premium hardware design, and exclusive Peloton content to deliver a unique low-</w:t>
      </w:r>
    </w:p>
    <w:p>
      <w:pPr>
        <w:spacing w:after="0" w:line="47" w:lineRule="exact"/>
        <w:rPr>
          <w:rFonts w:ascii="Times New Roman" w:cs="Times New Roman" w:eastAsia="Times New Roman" w:hAnsi="Times New Roman"/>
          <w:sz w:val="16"/>
          <w:szCs w:val="16"/>
          <w:color w:val="auto"/>
        </w:rPr>
      </w:pPr>
    </w:p>
    <w:p>
      <w:pPr>
        <w:jc w:val="both"/>
        <w:ind w:left="660" w:right="62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full-body cardio and strength rowing workout. The Peloton Row+ features a rotating HD touchscreen, proprietary rowing form assistance and form guidance technology, an integrated three-speed fan for optimal airflow, Sonos-tuned speakers, and hands-free control. It also incorporates a front-facing, movement-tracking camera powered by Peloton IQ for repetition tracking and weight suggestions. The Peloton Row+ is currently available for purchase in the United States and Canada.</w:t>
      </w:r>
    </w:p>
    <w:p>
      <w:pPr>
        <w:spacing w:after="0" w:line="21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Precor Products and Services</w:t>
      </w:r>
    </w:p>
    <w:p>
      <w:pPr>
        <w:spacing w:after="0" w:line="291" w:lineRule="exact"/>
        <w:rPr>
          <w:sz w:val="20"/>
          <w:szCs w:val="20"/>
          <w:color w:val="auto"/>
        </w:rPr>
      </w:pPr>
    </w:p>
    <w:p>
      <w:pPr>
        <w:jc w:val="both"/>
        <w:ind w:left="20" w:right="620"/>
        <w:spacing w:after="0" w:line="304" w:lineRule="auto"/>
        <w:rPr>
          <w:sz w:val="20"/>
          <w:szCs w:val="20"/>
          <w:color w:val="auto"/>
        </w:rPr>
      </w:pPr>
      <w:r>
        <w:rPr>
          <w:rFonts w:ascii="Times New Roman" w:cs="Times New Roman" w:eastAsia="Times New Roman" w:hAnsi="Times New Roman"/>
          <w:sz w:val="16"/>
          <w:szCs w:val="16"/>
          <w:color w:val="auto"/>
        </w:rPr>
        <w:t>Precor products and services span across all major categories, including cardio, connected fitness consoles, strength, and functional fitness. Precor cardio products include treadmills, Elliptical Fitness Crosstrainers, adaptive motion trainers, bikes, and a StairClimber. Cardio products may be equipped with touchscreen internet-connected fitness consoles, or non-internet-connected LED consoles. Precor strength products include a variety of selectorized and plate-loaded machines, as well as functional multi-station units, benches, racks, and stretching equipment.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u w:val="single" w:color="auto"/>
          <w:color w:val="auto"/>
        </w:rPr>
        <w:t>Processing Facilities</w:t>
      </w:r>
    </w:p>
    <w:p>
      <w:pPr>
        <w:spacing w:after="0" w:line="291" w:lineRule="exact"/>
        <w:rPr>
          <w:sz w:val="20"/>
          <w:szCs w:val="20"/>
          <w:color w:val="auto"/>
        </w:rPr>
      </w:pPr>
    </w:p>
    <w:p>
      <w:pPr>
        <w:jc w:val="both"/>
        <w:ind w:left="20" w:right="620"/>
        <w:spacing w:after="0" w:line="303" w:lineRule="auto"/>
        <w:rPr>
          <w:sz w:val="20"/>
          <w:szCs w:val="20"/>
          <w:color w:val="auto"/>
        </w:rPr>
      </w:pPr>
      <w:r>
        <w:rPr>
          <w:rFonts w:ascii="Times New Roman" w:cs="Times New Roman" w:eastAsia="Times New Roman" w:hAnsi="Times New Roman"/>
          <w:sz w:val="16"/>
          <w:szCs w:val="16"/>
          <w:color w:val="auto"/>
        </w:rPr>
        <w:t>Based on our due diligence process and the information received from our suppliers, the facilities listed in the table below were identified by the Company’s suppliers as the smelters and refiners of the 3TG present in and necessary to the functionality of products manufactured for the Company in the Reporting Period. As such, this smelter list is presented in good faith as the best information we have to date. During the Reporting Period, we identified 216 SORs in our supply chain. This list may contain smelters that are not in our supply chain and/or there may be other smelters in our supply chain which have not yet been identified by our due diligence process.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ABC Refinery Pty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CID002920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Abington Reldan Metals, LLC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CID002708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Advanced Chemical Company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CID000015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Agosi AG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CID000035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Gold Corporation - The Perth Mint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CID002030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Aida Chemical Industries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CID000019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Dowa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CID000401</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Almalyk Mining and Metallurgical Complex (AMMC)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UZBEKISTAN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CID000041</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ASAHI METALFINE,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CID000082</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AngloGold Ashanti Corrego do Sitio Mineracao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CID000058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Argor-Heraeus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SWITZERLAND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CID000077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Asahi Refining Canada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CID000924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Asahi Refining USA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CID000920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Asaka Riken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CID000090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Gold by Gold Colombia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COLOMBIA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CID003641</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Aurubis AG, Hamburg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CID000113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Bangalore Refinery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CID002863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Bangko Sentral ng Pilipinas (Central Bank of the Philippines)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CID000128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Boliden Mineral AB (Ronnskar)</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SWEDEN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CID000157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 Hafner GmbH + Co. KG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CID000176</w:t>
            </w: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2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Glencore Canada Corporation - CCR Refinery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CID000185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Chimet S.p.A.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ITALY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CID000233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Zhongyuan Gold Smelter of Zhongjin Gold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CID002224</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Chugai Mining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CID000264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Coimpa Industrial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CID004010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DSC (Do Sung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CID000359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Dongwu Gold Group</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CID003663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Eco-System Recycling Co., Ltd. East Plant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CID000425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Eco-System Recycling Co., Ltd. North Plant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CID003424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Eco-System Recycling Co., Ltd. West Plant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CID003425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Elite Industech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CID004755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Zijin Mining Group Gold Smelting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CID002243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GG Refinery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TANZANIA, UNITED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CID004506</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Great Wall Precious Metals Co., Ltd. of CBPM</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CID001909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LT Metal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CID000689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Heimerle + Meule GmbH</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CID000694</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Heraeus Germany GmbH Co. KG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CID000711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Heraeus Metals Hong Kong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CID000707</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Impala Platinum - Platinum Metals Refinery (PMR)</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CID004714</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Inner Mongolia Qiankun Gold and Silver Refinery Share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CID000801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Ishifuku Metal Industry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CID000807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Istanbul Gold Refinery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TURKEY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CID000814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Italpreziosi</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ITALY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CID002765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 Mint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CID000823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Copper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CID000855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JX Advanced Metals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CID000937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Kazzinc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KAZAKHSTAN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CID000957</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Kennecott Utah Copper LLC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CID000969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KGHM Polska Miedz Spolka Akcyjna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CID002511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Yamakin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CID002100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Kojima Chemicals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CID000981</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Zinc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CID002605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LS MnM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CID001078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Materion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CID001113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Matsuda Sangyo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CID001119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Sumitomo Metal Mining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CID001798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 Concentrators SA (Pty)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CID003575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Metalurgica Met-Mex Penoles S.A. De C.V.</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CID001161</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Umicore S.A. Business Unit Precious Metals Refining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BELGIUM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CID001980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SWITZERLAND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CID001153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(Hong Kong)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CID001149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(Singapore) Pte.,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CID001152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(Suzhou)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CID001147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Metalor USA Refining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CID001157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CID001188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Mitsui Mining and Smelting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CID001193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MKS PAMP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SWITZERLAND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CID001352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MMTC-PAMP India Pvt.,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Nadir Metal Rafineri San. Ve Tic. A.S.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TURKEY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CID001220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Navoi Mining and Metallurgical Combinat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UZBEKISTAN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CID001236</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NH Recytech Company</w:t>
            </w: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CID003189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Nihon Material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CID001259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Oegussa Oesterreichische Gold- und Silber-Scheideanstalt Gesm.b.H.</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CID002779</w:t>
            </w: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0" w:right="33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r>
      <w:tr>
        <w:trPr>
          <w:trHeight w:val="208"/>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Ohura Precious Metal Industry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CID001325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Planta Recuperadora de Metales SpA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CID002919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Aneka Tambang (Persero) Tbk</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CID001397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PX Precinox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SWITZERLAND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CID001498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Rand Refinery (Pty)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CID001512</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REMONDIS PMR B.V.</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CID002582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Royal Canadian Mint</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CID001534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SAFINA A.S.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CZECHIA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CID002290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SEMPSA Joyeria Plateria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CID001585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Shenzhen CuiLu Gold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CID002750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Tanaka Kikinzoku Kogyo K.K.</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CID001875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Sichuan Tianze Precious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CID001736</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Solar Applied Materials Technology Corp.</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CID001761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SungEel HiMetal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CID002918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T.C.A S.p.A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ITALY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CID002580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Tokuriki Honten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CID001938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TOO Tau-Ken-Altyn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KAZAKHSTAN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CID002615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Precious Metal Refining,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CID001993</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Valcambi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SWITZERLAND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CID002003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WIELAND Edelmetalle GmbH</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CID002778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Yokohama Metal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CID002129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AMG Brasil</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CID001076</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Guangdong Rising Rare Metals-EO Materials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CID000291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 Block Metals, LLC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F&amp;X Electro-Materials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CID000460</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 Metals &amp; Resource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Advanced Metals Aizu</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CID002558</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Advanced Metals Boyertown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CID002557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XIMEI RESOURCES (GUANGDONG) LIMITED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CID000616</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TANIOBIS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Materion Newton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CID002548</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TANIOBIS Japan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CID002550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TANIOBIS GmbH</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CID002545</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Hengyang King Xing Lifeng New Materials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CID002492</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Dinghai Tantalum &amp; Niobium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CID002512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Tuohong New Raw Material</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CID002842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JiuJiang JinXin Nonferrous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CID000914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Jiujiang Tanbre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CID000917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Jiujiang Zhongao Tantalum &amp; Niobium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CID002506</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KEMET de Mexico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CID002539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Metallurgical Products India Pvt.,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CID001163</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Mineracao Taboca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CID001175</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Mitsui Kinzoku Company, Limited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CID001192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NPM Silmet OU</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ESTONIA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CID001200</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Ningxia Orient Tantalum Industry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CID001277</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PowerX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RWANDA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CID004054</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CID002707</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Yanling Jincheng Tantalum &amp; Niobium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CID001522</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Taki Chemical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CID001869</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Telex Metals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CID001891</w:t>
            </w: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Ulba Metallurgical Plant JSC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KAZAKHSTAN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CID001969</w:t>
            </w: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Tantalum</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XinXing HaoRong Electronic Material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CID002508</w:t>
            </w:r>
          </w:p>
        </w:tc>
      </w:tr>
    </w:tbl>
    <w:p>
      <w:pPr>
        <w:spacing w:after="0" w:line="200" w:lineRule="exact"/>
        <w:rPr>
          <w:sz w:val="20"/>
          <w:szCs w:val="20"/>
          <w:color w:val="auto"/>
        </w:rPr>
      </w:pPr>
    </w:p>
    <w:p>
      <w:pPr>
        <w:sectPr>
          <w:pgSz w:w="11900" w:h="16838" w:orient="portrait"/>
          <w:cols w:equalWidth="0" w:num="1">
            <w:col w:w="11240"/>
          </w:cols>
          <w:pgMar w:left="320" w:top="120" w:right="339" w:bottom="9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20" w:right="339" w:bottom="992"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c>
          <w:tcPr>
            <w:tcW w:w="0" w:type="dxa"/>
            <w:vAlign w:val="bottom"/>
          </w:tcPr>
          <w:p>
            <w:pPr>
              <w:spacing w:after="0"/>
              <w:rPr>
                <w:sz w:val="1"/>
                <w:szCs w:val="1"/>
                <w:color w:val="auto"/>
              </w:rPr>
            </w:pPr>
          </w:p>
        </w:tc>
      </w:tr>
      <w:tr>
        <w:trPr>
          <w:trHeight w:val="208"/>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Alpha Assembly Solutions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CID000292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Aurubis Beerse</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BELGIUM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CID002773</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Aurubis Berango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CID002774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Yunnan Chengfeng Non-ferrous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CID002158</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Chenzhou Yunxiang Mining and Metallurgy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CID000228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 Tin Group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CID001070</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Tin Smelting Branch of Yunnan Tin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CID002180</w:t>
            </w: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CRM Fundicao De Metais E Comercio De Equipamentos Eletronicos</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CID003486</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 Brasil Ltda</w:t>
            </w:r>
          </w:p>
        </w:tc>
        <w:tc>
          <w:tcPr>
            <w:tcW w:w="2960" w:type="dxa"/>
            <w:vAlign w:val="bottom"/>
            <w:tcBorders>
              <w:bottom w:val="single" w:sz="8" w:color="auto"/>
              <w:right w:val="single" w:sz="8" w:color="auto"/>
            </w:tcBorders>
            <w:vMerge w:val="continue"/>
          </w:tcPr>
          <w:p>
            <w:pPr>
              <w:spacing w:after="0"/>
              <w:rPr>
                <w:sz w:val="18"/>
                <w:szCs w:val="18"/>
                <w:color w:val="auto"/>
              </w:rPr>
            </w:pP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CRM Synergies EMEA, S.L.U.</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CID003524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CV Ayi Jaya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CID002570</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Aries Kencana Sejahtera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CID000309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Premium Tin Indonesia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CID000313</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Rajehan Ariq</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CID002593</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Dongguan Best Alloys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CID000377</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Dowa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CID000402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Empresa Metallurgica Vinto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CID000438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Estanho de Rondonia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CID000448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Fabrica Auricchio Industria e Comercio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CID003582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Fenix Metals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CID000468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Minsur</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PERU</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CID001182</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Gejiu Non-Ferrous Metal Processing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CID000538</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Advanced Metals Greenbushes Pty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CID004754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Guangdong Hanhe Non-ferrous Metal Limited Company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CID003116</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CID001191</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Timah Tbk Mentok</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CID001482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New Nanshan Technology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CID001231</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Timah Tbk Kundur</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CID001477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Luna Smelter,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RWANDA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CID003387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Magnu's Minerais Metais e Ligas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CID002468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Malaysia Smelting Corporation Berhad (Port Klang)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MALAYSIA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CID004434</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Metallic Resources,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CID001142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Mineracao Taboca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CID001173</w:t>
            </w: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Mining Minerals Resources SARL</w:t>
            </w:r>
          </w:p>
        </w:tc>
        <w:tc>
          <w:tcPr>
            <w:tcW w:w="296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CONGO, DEMOCRATIC REPUBLIC OF</w:t>
            </w:r>
          </w:p>
        </w:tc>
        <w:tc>
          <w:tcPr>
            <w:tcW w:w="1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CID004065</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600" w:type="dxa"/>
            <w:vAlign w:val="bottom"/>
            <w:tcBorders>
              <w:bottom w:val="single" w:sz="8" w:color="auto"/>
              <w:right w:val="single" w:sz="8" w:color="auto"/>
            </w:tcBorders>
            <w:vMerge w:val="continue"/>
          </w:tcPr>
          <w:p>
            <w:pPr>
              <w:spacing w:after="0"/>
              <w:rPr>
                <w:sz w:val="18"/>
                <w:szCs w:val="18"/>
                <w:color w:val="auto"/>
              </w:rPr>
            </w:pP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w:t>
            </w: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O.M. Manufacturing (Thailand)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CID001314</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O.M. Manufacturing Philippines,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CID002517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Operaciones Metalurgicas S.A.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CID001337</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 Kay Metal, Inc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CID005189</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Precious Minerals and Smelting Limited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CID003409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Artha Cipta Langgeng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CID001399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ATD Makmur Mandiri Jaya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CID002503</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Bangka Prima Tin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CID002776</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Cipta Persada Mulia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CID002696</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Mitra Stania Prima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CID001453</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Mitra Sukses Globalindo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CID003449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Prima Timah Utama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CID001458</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 Putera Sarana Shakti (PT PSS)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CID003868</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CID002706</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Rui Da Hung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CID001539</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Super Ligas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CID002756</w:t>
            </w: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Takehara PVD Materials Plant / PVD Materials Division of MITSUI</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CID004403</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MINING &amp; SMELTING CO., LTD.</w:t>
            </w:r>
          </w:p>
        </w:tc>
        <w:tc>
          <w:tcPr>
            <w:tcW w:w="2960" w:type="dxa"/>
            <w:vAlign w:val="bottom"/>
            <w:tcBorders>
              <w:bottom w:val="single" w:sz="8" w:color="auto"/>
              <w:right w:val="single" w:sz="8" w:color="auto"/>
            </w:tcBorders>
            <w:vMerge w:val="continue"/>
          </w:tcPr>
          <w:p>
            <w:pPr>
              <w:spacing w:after="0"/>
              <w:rPr>
                <w:sz w:val="18"/>
                <w:szCs w:val="18"/>
                <w:color w:val="auto"/>
              </w:rPr>
            </w:pP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Thaisarco</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CID001898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20"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c>
          <w:tcPr>
            <w:tcW w:w="0" w:type="dxa"/>
            <w:vAlign w:val="bottom"/>
          </w:tcPr>
          <w:p>
            <w:pPr>
              <w:spacing w:after="0"/>
              <w:rPr>
                <w:sz w:val="1"/>
                <w:szCs w:val="1"/>
                <w:color w:val="auto"/>
              </w:rPr>
            </w:pPr>
          </w:p>
        </w:tc>
      </w:tr>
      <w:tr>
        <w:trPr>
          <w:trHeight w:val="208"/>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Tin Technology &amp; Refining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CID003325</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White Solder Metalurgia e Mineracao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CID002036</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Woodcross Smelting Company Limited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UGANDA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CID004724</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Yunnan Yunfan Non-ferrous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CID003397</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A.L.M.T. Corp.</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CID000004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Asia Tungsten Products Vietnam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VIET NAM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CID002502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Kennametal Huntsville</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CID000105</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Guangdong Xianglu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CID000218</w:t>
            </w: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Hunan Shizhuyuan Nonferrous Metals Co., Ltd. Chenzhou Tungsten</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CID002513</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Products Branch</w:t>
            </w:r>
          </w:p>
        </w:tc>
        <w:tc>
          <w:tcPr>
            <w:tcW w:w="2960" w:type="dxa"/>
            <w:vAlign w:val="bottom"/>
            <w:tcBorders>
              <w:bottom w:val="single" w:sz="8" w:color="auto"/>
              <w:right w:val="single" w:sz="8" w:color="auto"/>
            </w:tcBorders>
            <w:vMerge w:val="continue"/>
          </w:tcPr>
          <w:p>
            <w:pPr>
              <w:spacing w:after="0"/>
              <w:rPr>
                <w:sz w:val="18"/>
                <w:szCs w:val="18"/>
                <w:color w:val="auto"/>
              </w:rPr>
            </w:pP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 Molybdenum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CID002641</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Chongyi Zhangyuan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CID000258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Cronimet Brasil Ltda</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CID003468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Fujian Xinlu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CID003609</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Ganzhou Jiangwu Ferrotungsten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CID002315</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Ganzhou Seadragon W &amp; Mo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CID002494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Hubei Green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CID003417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Tungsten &amp; Powders LLC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CID000568</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CID002542</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H.C. Starck Tungsten GmbH</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CID002541</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 New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CID000825</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Jiangwu H.C. Starck Tungsten Products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CID002551</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Gan Bei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CID002321</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Xinsheng Tungsten Industry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CID002317</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Jiangxi Yaosheng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CID002316</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KENEE MINING VIETNAM COMPANY LIMITED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VIET NAM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CID004619</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Kennametal Fallon</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CID000966</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Lianyou Metals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CID003407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Lianyou Resources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CID004397</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Malipo Haiyu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CID002319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Masan High-Tech Materials</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VIET NAM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CID002543</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Niagara Refining LLC</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CID002589</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Shinwon Tungsten (Fujian Shanghang)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CID004430</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Tungsten Vietnam Joint Stock Company</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VIET NAM</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CID003993</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Wolfram Bergbau und Hutten AG</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AUSTRIA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CID002044</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Xiamen Tungsten (H.C.)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CID002320</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Xiamen Tungsten Co., Ltd.</w:t>
            </w:r>
          </w:p>
        </w:tc>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CID002082</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V.</w:t>
        <w:tab/>
        <w:t>Future Due Diligence</w:t>
      </w:r>
    </w:p>
    <w:p>
      <w:pPr>
        <w:spacing w:after="0" w:line="277" w:lineRule="exact"/>
        <w:rPr>
          <w:sz w:val="20"/>
          <w:szCs w:val="20"/>
          <w:color w:val="auto"/>
        </w:rPr>
      </w:pPr>
    </w:p>
    <w:p>
      <w:pPr>
        <w:jc w:val="both"/>
        <w:ind w:left="20" w:right="620"/>
        <w:spacing w:after="0" w:line="307" w:lineRule="auto"/>
        <w:rPr>
          <w:sz w:val="20"/>
          <w:szCs w:val="20"/>
          <w:color w:val="auto"/>
        </w:rPr>
      </w:pPr>
      <w:r>
        <w:rPr>
          <w:rFonts w:ascii="Times New Roman" w:cs="Times New Roman" w:eastAsia="Times New Roman" w:hAnsi="Times New Roman"/>
          <w:sz w:val="16"/>
          <w:szCs w:val="16"/>
          <w:color w:val="auto"/>
        </w:rPr>
        <w:t>We intend to continue communicating our expectations and data requirements to our direct suppliers. Over time, we anticipate that the global availability of traceability and sourcing information for these minerals will expand, enhancing our supply chain visibility. We will continue to inquire with our direct suppliers regarding the ultimate sources of these raw materials, and will undertake additional risk assessments as new facts or circumstances arise. If a supplier fails to meet our responsible sourcing expectations, we will work collaboratively with them, leveraging industry-wide programs where appropriate, to build their capacity. We expect our direct suppliers to implement similar due diligence measures with their own upstream suppliers to ensure alignment throughout our entire supply chain.</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addition to the actions noted elsewhere in this report, we expect to undertake the following steps during the next compliance period:</w:t>
      </w:r>
    </w:p>
    <w:p>
      <w:pPr>
        <w:spacing w:after="0" w:line="289" w:lineRule="exact"/>
        <w:rPr>
          <w:sz w:val="20"/>
          <w:szCs w:val="20"/>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update our Conflict Minerals Policy, as necessary.</w:t>
      </w:r>
    </w:p>
    <w:p>
      <w:pPr>
        <w:spacing w:after="0" w:line="45" w:lineRule="exact"/>
        <w:rPr>
          <w:rFonts w:ascii="Times New Roman" w:cs="Times New Roman" w:eastAsia="Times New Roman" w:hAnsi="Times New Roman"/>
          <w:sz w:val="16"/>
          <w:szCs w:val="16"/>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refine supplier and internal team member training materials, as necessary.</w:t>
      </w:r>
    </w:p>
    <w:p>
      <w:pPr>
        <w:spacing w:after="0" w:line="45" w:lineRule="exact"/>
        <w:rPr>
          <w:rFonts w:ascii="Times New Roman" w:cs="Times New Roman" w:eastAsia="Times New Roman" w:hAnsi="Times New Roman"/>
          <w:sz w:val="16"/>
          <w:szCs w:val="16"/>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collecting supplier disclosures utilizing the most recent revision of the CMRT.</w:t>
      </w:r>
    </w:p>
    <w:p>
      <w:pPr>
        <w:spacing w:after="0" w:line="45" w:lineRule="exact"/>
        <w:rPr>
          <w:rFonts w:ascii="Times New Roman" w:cs="Times New Roman" w:eastAsia="Times New Roman" w:hAnsi="Times New Roman"/>
          <w:sz w:val="16"/>
          <w:szCs w:val="16"/>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with suppliers that did not provide a response in prior year(s) or provided incomplete responses to enhance our data collection for 2026.</w:t>
      </w:r>
    </w:p>
    <w:p>
      <w:pPr>
        <w:spacing w:after="0" w:line="32" w:lineRule="exact"/>
        <w:rPr>
          <w:rFonts w:ascii="Times New Roman" w:cs="Times New Roman" w:eastAsia="Times New Roman" w:hAnsi="Times New Roman"/>
          <w:sz w:val="16"/>
          <w:szCs w:val="16"/>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 and track performance of our risk mitigation efforts, including the performance of suppliers deemed high-risk.</w:t>
      </w:r>
    </w:p>
    <w:p>
      <w:pPr>
        <w:spacing w:after="0" w:line="45" w:lineRule="exact"/>
        <w:rPr>
          <w:rFonts w:ascii="Times New Roman" w:cs="Times New Roman" w:eastAsia="Times New Roman" w:hAnsi="Times New Roman"/>
          <w:sz w:val="16"/>
          <w:szCs w:val="16"/>
          <w:color w:val="auto"/>
        </w:rPr>
      </w:pPr>
    </w:p>
    <w:p>
      <w:pPr>
        <w:ind w:left="640" w:hanging="305"/>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product-level or user-defined level disclosures from suppliers, where feasible, to obtain more granular sourcing data.</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20"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12" w:lineRule="exact"/>
        <w:rPr>
          <w:sz w:val="20"/>
          <w:szCs w:val="20"/>
          <w:color w:val="auto"/>
        </w:rPr>
      </w:pPr>
    </w:p>
    <w:p>
      <w:pPr>
        <w:ind w:left="325" w:right="620" w:hanging="325"/>
        <w:spacing w:after="0" w:line="290" w:lineRule="auto"/>
        <w:tabs>
          <w:tab w:leader="none" w:pos="32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Compare and validate RCOI results against data from independent third-party audit programs, such as the RMI, and through our own coordinated outreach to smelters.</w:t>
      </w:r>
    </w:p>
    <w:p>
      <w:pPr>
        <w:ind w:left="325" w:right="620" w:hanging="325"/>
        <w:spacing w:after="0" w:line="299" w:lineRule="auto"/>
        <w:tabs>
          <w:tab w:leader="none" w:pos="32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Encourage responsible sourcing from the DRC and its adjoining countries, while monitoring global developments and emerging standards across all regions applicable to our supply chain.</w:t>
      </w:r>
    </w:p>
    <w:p>
      <w:pPr>
        <w:ind w:left="305" w:hanging="305"/>
        <w:spacing w:after="0"/>
        <w:tabs>
          <w:tab w:leader="none" w:pos="30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Track emerging supply chain challenges that impact the RMI audit status of smelters and refiners.</w:t>
      </w:r>
    </w:p>
    <w:p>
      <w:pPr>
        <w:spacing w:after="0" w:line="45" w:lineRule="exact"/>
        <w:rPr>
          <w:rFonts w:ascii="Times New Roman" w:cs="Times New Roman" w:eastAsia="Times New Roman" w:hAnsi="Times New Roman"/>
          <w:sz w:val="16"/>
          <w:szCs w:val="16"/>
          <w:color w:val="auto"/>
        </w:rPr>
      </w:pPr>
    </w:p>
    <w:p>
      <w:pPr>
        <w:ind w:left="305" w:hanging="305"/>
        <w:spacing w:after="0"/>
        <w:tabs>
          <w:tab w:leader="none" w:pos="30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supporting the initiatives of industry groups, like the RMI, to strengthen broader institutional due diligence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905"/>
          </w:cols>
          <w:pgMar w:left="655" w:top="12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APPENDIX I – Countries of Origin</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information provided in this Appendix is based on the information collected from the Company’s suppliers.</w:t>
      </w:r>
    </w:p>
    <w:p>
      <w:pPr>
        <w:spacing w:after="0" w:line="282" w:lineRule="exact"/>
        <w:rPr>
          <w:sz w:val="20"/>
          <w:szCs w:val="20"/>
          <w:color w:val="auto"/>
        </w:rPr>
      </w:pPr>
    </w:p>
    <w:tbl>
      <w:tblPr>
        <w:tblLayout w:type="fixed"/>
        <w:tblInd w:w="310" w:type="dxa"/>
        <w:tblCellMar>
          <w:top w:w="0" w:type="dxa"/>
          <w:left w:w="0" w:type="dxa"/>
          <w:bottom w:w="0" w:type="dxa"/>
          <w:right w:w="0" w:type="dxa"/>
        </w:tblCellMar>
      </w:tblPr>
      <w:tr>
        <w:trPr>
          <w:trHeight w:val="227"/>
        </w:trPr>
        <w:tc>
          <w:tcPr>
            <w:tcW w:w="3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Australia</w:t>
            </w:r>
          </w:p>
        </w:tc>
        <w:tc>
          <w:tcPr>
            <w:tcW w:w="48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Myanmar</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Benin</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Namibia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Bolivia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Nicaragua</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Niger</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Burundi</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Nigeria</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Papua New Guinea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Chile</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Peru</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Philippines</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Colombia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Portugal</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Congo, Democratic Republic of the</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Rwanda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Ethiopia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Sierra Leone</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France</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South Africa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Spain</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Guyana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Sweden</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Tanzania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Thailand</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Uganda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Laos</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Liberia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r>
      <w:tr>
        <w:trPr>
          <w:trHeight w:val="210"/>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Madagascar</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Uzbekistan</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Malaysia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Vietnam</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Mongolia</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Zambia</w:t>
            </w:r>
          </w:p>
        </w:tc>
      </w:tr>
      <w:tr>
        <w:trPr>
          <w:trHeight w:val="20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Mozambique</w:t>
            </w: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Zimbabwe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6"/>
          <w:szCs w:val="16"/>
          <w:color w:val="auto"/>
        </w:rPr>
        <w:t>12</w:t>
      </w:r>
    </w:p>
    <w:sectPr>
      <w:pgSz w:w="11900" w:h="16838" w:orient="portrait"/>
      <w:cols w:equalWidth="0" w:num="1">
        <w:col w:w="10120"/>
      </w:cols>
      <w:pgMar w:left="144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9"/>
    </w:lvl>
  </w:abstractNum>
  <w:abstractNum w:abstractNumId="3">
    <w:nsid w:val="12200854"/>
    <w:multiLevelType w:val="hybridMultilevel"/>
    <w:lvl w:ilvl="0">
      <w:lvlJc w:val="left"/>
      <w:lvlText w:val="%1."/>
      <w:numFmt w:val="upperLetter"/>
      <w:start w:val="35"/>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upperLetter"/>
      <w:start w:val="6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8"/>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2026-06-01T16:31:30Z</dcterms:created>
  <dcterms:modified xsi:type="dcterms:W3CDTF">2026-06-01T16:31:30Z</dcterms:modified>
</cp:coreProperties>
</file>