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58081.xml.htm"/>
      <w:bookmarkStart w:id="1" w:name="kswkform4_17891580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Bruzzo Chris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PELOTON INTERACTIVE,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 9TH AVENUE, SIXTH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PELOTON INTERACTIVE, INC.</w:t>
              </w:r>
            </w:hyperlink>
            <w:r>
              <w:rPr/>
              <w:t xml:space="preserve"> [ </w:t>
            </w:r>
            <w:r>
              <w:rPr>
                <w:rFonts w:ascii="Times;serif" w:hAnsi="Times;serif"/>
                <w:color w:val="0000FF"/>
                <w:sz w:val="24"/>
                <w:shd w:fill="FFFFFF" w:val="clear"/>
              </w:rPr>
              <w:t>PTON</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9,022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268,236</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9,022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9,023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as to 25% of the total shares quarterly on each of March 9, 2026, June 9, 2026, September 9, 2026, and the earlier of (i) December 9, 2026 and (ii) the 2026 annual meeting of stockholders, subject to the Reporting Person's provision of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Tammy Albarran as attorney-in-fact for Christopher Bruzzo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5336" TargetMode="External"/><Relationship Id="rId5" Type="http://schemas.openxmlformats.org/officeDocument/2006/relationships/hyperlink" Target="http://www.sec.gov/cgi-bin/browse-edgar?action=getcompany&amp;CIK=0001639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666</Words>
  <Characters>3542</Characters>
  <CharactersWithSpaces>4127</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