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88884.xml.htm"/>
      <w:bookmarkStart w:id="1" w:name="kswkform4_17889888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Sanders Dion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PELOTON INTERACTIVE,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441 NINTH AVENUE, SIXTH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PELOTON INTERACTIVE,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PTON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(RSU)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273,623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273,623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273,623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Acquired upon the satisfaction of performance criteria underlying an award of performance stock units granted to the Reporting Person on September 14,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as to 31.25% of the total shares on November 15, 2026, then 6.25% of the total shares vest quarterly thereafter, with 100% of the total shares vested on August 15, 2029,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Tammy Albarran as attorney-in-fact for Dion C. Sanders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0798" TargetMode="External"/><Relationship Id="rId5" Type="http://schemas.openxmlformats.org/officeDocument/2006/relationships/hyperlink" Target="http://www.sec.gov/cgi-bin/browse-edgar?action=getcompany&amp;CIK=0001639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679</Words>
  <Characters>3650</Characters>
  <CharactersWithSpaces>4254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