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60" w:hanging="38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wp:posOffset>
            </wp:positionH>
            <wp:positionV relativeFrom="paragraph">
              <wp:posOffset>-101600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02" w:lineRule="exact"/>
        <w:rPr>
          <w:sz w:val="24"/>
          <w:szCs w:val="24"/>
          <w:color w:val="auto"/>
        </w:rPr>
      </w:pPr>
    </w:p>
    <w:p>
      <w:pPr>
        <w:ind w:left="560" w:hanging="38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wp:posOffset>
            </wp:positionH>
            <wp:positionV relativeFrom="paragraph">
              <wp:posOffset>-101600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001-39058</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Peloton Interactive, Inc.</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44450</wp:posOffset>
            </wp:positionV>
            <wp:extent cx="1036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94" w:lineRule="exact"/>
        <w:rPr>
          <w:sz w:val="24"/>
          <w:szCs w:val="24"/>
          <w:color w:val="auto"/>
        </w:rPr>
      </w:pPr>
    </w:p>
    <w:tbl>
      <w:tblPr>
        <w:tblLayout w:type="fixed"/>
        <w:tblInd w:w="1060" w:type="dxa"/>
        <w:tblCellMar>
          <w:top w:w="0" w:type="dxa"/>
          <w:left w:w="0" w:type="dxa"/>
          <w:bottom w:w="0" w:type="dxa"/>
          <w:right w:w="0" w:type="dxa"/>
        </w:tblCellMar>
      </w:tblPr>
      <w:tr>
        <w:trPr>
          <w:trHeight w:val="239"/>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5560" w:type="dxa"/>
            <w:vAlign w:val="bottom"/>
            <w:gridSpan w:val="3"/>
          </w:tcPr>
          <w:p>
            <w:pPr>
              <w:jc w:val="center"/>
              <w:ind w:left="4315"/>
              <w:spacing w:after="0"/>
              <w:rPr>
                <w:sz w:val="20"/>
                <w:szCs w:val="20"/>
                <w:color w:val="auto"/>
              </w:rPr>
            </w:pPr>
            <w:r>
              <w:rPr>
                <w:rFonts w:ascii="Arial" w:cs="Arial" w:eastAsia="Arial" w:hAnsi="Arial"/>
                <w:sz w:val="18"/>
                <w:szCs w:val="18"/>
                <w:b w:val="1"/>
                <w:bCs w:val="1"/>
                <w:color w:val="auto"/>
                <w:w w:val="99"/>
              </w:rPr>
              <w:t>47-3533761</w:t>
            </w:r>
          </w:p>
        </w:tc>
      </w:tr>
      <w:tr>
        <w:trPr>
          <w:trHeight w:val="166"/>
        </w:trPr>
        <w:tc>
          <w:tcPr>
            <w:tcW w:w="280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60" w:type="dxa"/>
            <w:vAlign w:val="bottom"/>
          </w:tcPr>
          <w:p>
            <w:pPr>
              <w:jc w:val="center"/>
              <w:ind w:left="174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80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960" w:type="dxa"/>
            <w:vAlign w:val="bottom"/>
          </w:tcPr>
          <w:p>
            <w:pPr>
              <w:jc w:val="center"/>
              <w:ind w:left="1768"/>
              <w:spacing w:after="0"/>
              <w:rPr>
                <w:sz w:val="20"/>
                <w:szCs w:val="20"/>
                <w:color w:val="auto"/>
              </w:rPr>
            </w:pPr>
            <w:r>
              <w:rPr>
                <w:rFonts w:ascii="Arial" w:cs="Arial" w:eastAsia="Arial" w:hAnsi="Arial"/>
                <w:sz w:val="14"/>
                <w:szCs w:val="14"/>
                <w:i w:val="1"/>
                <w:iCs w:val="1"/>
                <w:color w:val="auto"/>
              </w:rPr>
              <w:t>Identification No.)</w:t>
            </w:r>
          </w:p>
        </w:tc>
      </w:tr>
      <w:tr>
        <w:trPr>
          <w:trHeight w:val="269"/>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9"/>
              </w:rPr>
              <w:t>125 West 25th Street, 11th Floor</w:t>
            </w:r>
          </w:p>
        </w:tc>
        <w:tc>
          <w:tcPr>
            <w:tcW w:w="5560" w:type="dxa"/>
            <w:vAlign w:val="bottom"/>
            <w:gridSpan w:val="3"/>
          </w:tcPr>
          <w:p>
            <w:pPr>
              <w:jc w:val="center"/>
              <w:ind w:left="4375"/>
              <w:spacing w:after="0"/>
              <w:rPr>
                <w:sz w:val="20"/>
                <w:szCs w:val="20"/>
                <w:color w:val="auto"/>
              </w:rPr>
            </w:pPr>
            <w:r>
              <w:rPr>
                <w:rFonts w:ascii="Arial" w:cs="Arial" w:eastAsia="Arial" w:hAnsi="Arial"/>
                <w:sz w:val="18"/>
                <w:szCs w:val="18"/>
                <w:b w:val="1"/>
                <w:bCs w:val="1"/>
                <w:color w:val="auto"/>
                <w:w w:val="99"/>
              </w:rPr>
              <w:t>10001</w:t>
            </w:r>
          </w:p>
        </w:tc>
      </w:tr>
      <w:tr>
        <w:trPr>
          <w:trHeight w:val="243"/>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8"/>
              </w:rPr>
              <w:t>New York, New York</w:t>
            </w:r>
          </w:p>
        </w:tc>
        <w:tc>
          <w:tcPr>
            <w:tcW w:w="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960" w:type="dxa"/>
            <w:vAlign w:val="bottom"/>
          </w:tcPr>
          <w:p>
            <w:pPr>
              <w:jc w:val="center"/>
              <w:ind w:left="1768"/>
              <w:spacing w:after="0"/>
              <w:rPr>
                <w:sz w:val="20"/>
                <w:szCs w:val="20"/>
                <w:color w:val="auto"/>
              </w:rPr>
            </w:pPr>
            <w:r>
              <w:rPr>
                <w:rFonts w:ascii="Arial" w:cs="Arial" w:eastAsia="Arial" w:hAnsi="Arial"/>
                <w:sz w:val="14"/>
                <w:szCs w:val="14"/>
                <w:i w:val="1"/>
                <w:iCs w:val="1"/>
                <w:color w:val="auto"/>
              </w:rPr>
              <w:t>(Zip Code)</w:t>
            </w:r>
          </w:p>
        </w:tc>
      </w:tr>
      <w:tr>
        <w:trPr>
          <w:trHeight w:val="204"/>
        </w:trPr>
        <w:tc>
          <w:tcPr>
            <w:tcW w:w="2800" w:type="dxa"/>
            <w:vAlign w:val="bottom"/>
          </w:tcPr>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tc>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192"/>
        </w:trPr>
        <w:tc>
          <w:tcPr>
            <w:tcW w:w="2800" w:type="dxa"/>
            <w:vAlign w:val="bottom"/>
          </w:tcPr>
          <w:p>
            <w:pPr>
              <w:spacing w:after="0"/>
              <w:rPr>
                <w:sz w:val="16"/>
                <w:szCs w:val="16"/>
                <w:color w:val="auto"/>
              </w:rPr>
            </w:pPr>
          </w:p>
        </w:tc>
        <w:tc>
          <w:tcPr>
            <w:tcW w:w="2600" w:type="dxa"/>
            <w:vAlign w:val="bottom"/>
            <w:gridSpan w:val="2"/>
          </w:tcPr>
          <w:p>
            <w:pPr>
              <w:jc w:val="right"/>
              <w:ind w:right="220"/>
              <w:spacing w:after="0" w:line="192" w:lineRule="exact"/>
              <w:rPr>
                <w:sz w:val="20"/>
                <w:szCs w:val="20"/>
                <w:color w:val="auto"/>
              </w:rPr>
            </w:pPr>
            <w:r>
              <w:rPr>
                <w:rFonts w:ascii="Arial" w:cs="Arial" w:eastAsia="Arial" w:hAnsi="Arial"/>
                <w:sz w:val="18"/>
                <w:szCs w:val="18"/>
                <w:b w:val="1"/>
                <w:bCs w:val="1"/>
                <w:color w:val="auto"/>
              </w:rPr>
              <w:t>(866) 679-9129</w:t>
            </w:r>
          </w:p>
        </w:tc>
        <w:tc>
          <w:tcPr>
            <w:tcW w:w="2960" w:type="dxa"/>
            <w:vAlign w:val="bottom"/>
          </w:tcPr>
          <w:p>
            <w:pPr>
              <w:spacing w:after="0"/>
              <w:rPr>
                <w:sz w:val="16"/>
                <w:szCs w:val="16"/>
                <w:color w:val="auto"/>
              </w:rPr>
            </w:pPr>
          </w:p>
        </w:tc>
      </w:tr>
      <w:tr>
        <w:trPr>
          <w:trHeight w:val="186"/>
        </w:trPr>
        <w:tc>
          <w:tcPr>
            <w:tcW w:w="2800" w:type="dxa"/>
            <w:vAlign w:val="bottom"/>
          </w:tcPr>
          <w:p>
            <w:pPr>
              <w:spacing w:after="0"/>
              <w:rPr>
                <w:sz w:val="16"/>
                <w:szCs w:val="16"/>
                <w:color w:val="auto"/>
              </w:rPr>
            </w:pPr>
          </w:p>
        </w:tc>
        <w:tc>
          <w:tcPr>
            <w:tcW w:w="5560" w:type="dxa"/>
            <w:vAlign w:val="bottom"/>
            <w:gridSpan w:val="3"/>
          </w:tcPr>
          <w:p>
            <w:pPr>
              <w:jc w:val="center"/>
              <w:ind w:right="1968"/>
              <w:spacing w:after="0"/>
              <w:rPr>
                <w:sz w:val="20"/>
                <w:szCs w:val="20"/>
                <w:color w:val="auto"/>
              </w:rPr>
            </w:pPr>
            <w:r>
              <w:rPr>
                <w:rFonts w:ascii="Arial" w:cs="Arial" w:eastAsia="Arial" w:hAnsi="Arial"/>
                <w:sz w:val="14"/>
                <w:szCs w:val="14"/>
                <w:i w:val="1"/>
                <w:iCs w:val="1"/>
                <w:color w:val="auto"/>
              </w:rPr>
              <w:t>(Registrant's telephone number, including area code)</w:t>
            </w:r>
          </w:p>
        </w:tc>
      </w:tr>
      <w:tr>
        <w:trPr>
          <w:trHeight w:val="53"/>
        </w:trPr>
        <w:tc>
          <w:tcPr>
            <w:tcW w:w="2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960" w:type="dxa"/>
            <w:vAlign w:val="bottom"/>
          </w:tcPr>
          <w:p>
            <w:pPr>
              <w:spacing w:after="0"/>
              <w:rPr>
                <w:sz w:val="4"/>
                <w:szCs w:val="4"/>
                <w:color w:val="auto"/>
              </w:rPr>
            </w:pPr>
          </w:p>
        </w:tc>
      </w:tr>
    </w:tbl>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 w:lineRule="exact"/>
        <w:rPr>
          <w:sz w:val="24"/>
          <w:szCs w:val="24"/>
          <w:color w:val="auto"/>
        </w:rPr>
      </w:pPr>
    </w:p>
    <w:tbl>
      <w:tblPr>
        <w:tblLayout w:type="fixed"/>
        <w:tblInd w:w="650" w:type="dxa"/>
        <w:tblCellMar>
          <w:top w:w="0" w:type="dxa"/>
          <w:left w:w="0" w:type="dxa"/>
          <w:bottom w:w="0" w:type="dxa"/>
          <w:right w:w="0" w:type="dxa"/>
        </w:tblCellMar>
      </w:tblPr>
      <w:tr>
        <w:trPr>
          <w:trHeight w:val="243"/>
        </w:trPr>
        <w:tc>
          <w:tcPr>
            <w:tcW w:w="3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9"/>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PTON</w:t>
            </w: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09"/>
        </w:trPr>
        <w:tc>
          <w:tcPr>
            <w:tcW w:w="35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9"/>
                <w:szCs w:val="9"/>
                <w:color w:val="auto"/>
              </w:rPr>
            </w:pPr>
          </w:p>
        </w:tc>
        <w:tc>
          <w:tcPr>
            <w:tcW w:w="4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5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37" w:lineRule="exact"/>
        <w:rPr>
          <w:sz w:val="24"/>
          <w:szCs w:val="24"/>
          <w:color w:val="auto"/>
        </w:rPr>
      </w:pPr>
    </w:p>
    <w:p>
      <w:pPr>
        <w:jc w:val="both"/>
        <w:ind w:right="18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as amended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4714875</wp:posOffset>
            </wp:positionH>
            <wp:positionV relativeFrom="paragraph">
              <wp:posOffset>-133350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-133350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85" w:lineRule="exact"/>
        <w:rPr>
          <w:sz w:val="24"/>
          <w:szCs w:val="24"/>
          <w:color w:val="auto"/>
        </w:rPr>
      </w:pPr>
    </w:p>
    <w:p>
      <w:pPr>
        <w:ind w:right="26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2384425</wp:posOffset>
            </wp:positionH>
            <wp:positionV relativeFrom="paragraph">
              <wp:posOffset>-133350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-133350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85" w:lineRule="exact"/>
        <w:rPr>
          <w:sz w:val="24"/>
          <w:szCs w:val="24"/>
          <w:color w:val="auto"/>
        </w:rPr>
      </w:pPr>
    </w:p>
    <w:p>
      <w:pPr>
        <w:jc w:val="both"/>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1680" w:type="dxa"/>
        <w:tblCellMar>
          <w:top w:w="0" w:type="dxa"/>
          <w:left w:w="0" w:type="dxa"/>
          <w:bottom w:w="0" w:type="dxa"/>
          <w:right w:w="0" w:type="dxa"/>
        </w:tblCellMar>
      </w:tblPr>
      <w:tr>
        <w:trPr>
          <w:trHeight w:val="243"/>
        </w:trPr>
        <w:tc>
          <w:tcPr>
            <w:tcW w:w="2200" w:type="dxa"/>
            <w:vAlign w:val="bottom"/>
          </w:tcPr>
          <w:p>
            <w:pPr>
              <w:jc w:val="center"/>
              <w:ind w:right="330"/>
              <w:spacing w:after="0"/>
              <w:rPr>
                <w:sz w:val="20"/>
                <w:szCs w:val="20"/>
                <w:color w:val="auto"/>
              </w:rPr>
            </w:pPr>
            <w:r>
              <w:rPr>
                <w:rFonts w:ascii="Arial" w:cs="Arial" w:eastAsia="Arial" w:hAnsi="Arial"/>
                <w:sz w:val="18"/>
                <w:szCs w:val="18"/>
                <w:color w:val="auto"/>
                <w:w w:val="99"/>
              </w:rPr>
              <w:t>Large accelerated filer</w:t>
            </w:r>
          </w:p>
        </w:tc>
        <w:tc>
          <w:tcPr>
            <w:tcW w:w="11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200" w:type="dxa"/>
            <w:vAlign w:val="bottom"/>
          </w:tcPr>
          <w:p>
            <w:pPr>
              <w:jc w:val="center"/>
              <w:ind w:right="370"/>
              <w:spacing w:after="0"/>
              <w:rPr>
                <w:sz w:val="20"/>
                <w:szCs w:val="20"/>
                <w:color w:val="auto"/>
              </w:rPr>
            </w:pPr>
            <w:r>
              <w:rPr>
                <w:rFonts w:ascii="Arial" w:cs="Arial" w:eastAsia="Arial" w:hAnsi="Arial"/>
                <w:sz w:val="18"/>
                <w:szCs w:val="18"/>
                <w:color w:val="auto"/>
                <w:w w:val="99"/>
              </w:rPr>
              <w:t>Non-accelerated filer</w:t>
            </w:r>
          </w:p>
        </w:tc>
        <w:tc>
          <w:tcPr>
            <w:tcW w:w="11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60" w:type="dxa"/>
            <w:vAlign w:val="bottom"/>
          </w:tcPr>
          <w:p>
            <w:pPr>
              <w:ind w:left="56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-443230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-443230</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-288925</wp:posOffset>
            </wp:positionV>
            <wp:extent cx="86995"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-288925</wp:posOffset>
            </wp:positionV>
            <wp:extent cx="86995"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-134620</wp:posOffset>
            </wp:positionV>
            <wp:extent cx="86995" cy="88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10" w:lineRule="exact"/>
        <w:rPr>
          <w:sz w:val="24"/>
          <w:szCs w:val="24"/>
          <w:color w:val="auto"/>
        </w:rPr>
      </w:pPr>
    </w:p>
    <w:p>
      <w:pPr>
        <w:ind w:right="20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5680710</wp:posOffset>
            </wp:positionH>
            <wp:positionV relativeFrom="paragraph">
              <wp:posOffset>-134620</wp:posOffset>
            </wp:positionV>
            <wp:extent cx="86995" cy="88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6" w:lineRule="exact"/>
        <w:rPr>
          <w:sz w:val="24"/>
          <w:szCs w:val="24"/>
          <w:color w:val="auto"/>
        </w:rPr>
      </w:pPr>
    </w:p>
    <w:p>
      <w:pPr>
        <w:spacing w:after="0" w:line="207" w:lineRule="exact"/>
        <w:tabs>
          <w:tab w:leader="none" w:pos="8380" w:val="left"/>
          <w:tab w:leader="none" w:pos="9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5591175</wp:posOffset>
            </wp:positionH>
            <wp:positionV relativeFrom="paragraph">
              <wp:posOffset>-86360</wp:posOffset>
            </wp:positionV>
            <wp:extent cx="86995" cy="88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6062345</wp:posOffset>
            </wp:positionH>
            <wp:positionV relativeFrom="paragraph">
              <wp:posOffset>-86360</wp:posOffset>
            </wp:positionV>
            <wp:extent cx="86995" cy="88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right="60"/>
        <w:spacing w:after="0" w:line="227" w:lineRule="auto"/>
        <w:rPr>
          <w:sz w:val="20"/>
          <w:szCs w:val="20"/>
          <w:color w:val="auto"/>
        </w:rPr>
      </w:pPr>
      <w:r>
        <w:rPr>
          <w:rFonts w:ascii="Arial" w:cs="Arial" w:eastAsia="Arial" w:hAnsi="Arial"/>
          <w:sz w:val="18"/>
          <w:szCs w:val="18"/>
          <w:color w:val="auto"/>
        </w:rPr>
        <w:t>As of April 30, 2020, the number of shares of the registrant's Class A common stock outstanding was 206,067,364 and the number of shares of the registrant's Class B common stock outstanding was 77,164,869.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440690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80" w:type="dxa"/>
            <w:vAlign w:val="bottom"/>
            <w:gridSpan w:val="5"/>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3"/>
        </w:trPr>
        <w:tc>
          <w:tcPr>
            <w:tcW w:w="9640" w:type="dxa"/>
            <w:vAlign w:val="bottom"/>
            <w:gridSpan w:val="9"/>
          </w:tcPr>
          <w:p>
            <w:pPr>
              <w:ind w:left="4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Special Note Regarding Forward Looking Statements</w:t>
              </w:r>
            </w:hyperlink>
          </w:p>
        </w:tc>
        <w:tc>
          <w:tcPr>
            <w:tcW w:w="1600" w:type="dxa"/>
            <w:vAlign w:val="bottom"/>
          </w:tcPr>
          <w:p>
            <w:pPr>
              <w:jc w:val="center"/>
              <w:ind w:right="530"/>
              <w:spacing w:after="0"/>
              <w:rPr>
                <w:rFonts w:ascii="Arial" w:cs="Arial" w:eastAsia="Arial" w:hAnsi="Arial"/>
                <w:sz w:val="18"/>
                <w:szCs w:val="18"/>
                <w:u w:val="single" w:color="auto"/>
                <w:color w:val="0000FF"/>
                <w:w w:val="99"/>
              </w:rPr>
            </w:pPr>
            <w:hyperlink w:anchor="page2">
              <w:r>
                <w:rPr>
                  <w:rFonts w:ascii="Arial" w:cs="Arial" w:eastAsia="Arial" w:hAnsi="Arial"/>
                  <w:sz w:val="18"/>
                  <w:szCs w:val="18"/>
                  <w:u w:val="single" w:color="auto"/>
                  <w:color w:val="0000FF"/>
                  <w:w w:val="99"/>
                </w:rPr>
                <w:t>3</w:t>
              </w:r>
            </w:hyperlink>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80" w:type="dxa"/>
            <w:vAlign w:val="bottom"/>
            <w:gridSpan w:val="5"/>
          </w:tcPr>
          <w:p>
            <w:pPr>
              <w:jc w:val="center"/>
              <w:ind w:right="1960"/>
              <w:spacing w:after="0"/>
              <w:rPr>
                <w:sz w:val="20"/>
                <w:szCs w:val="20"/>
                <w:color w:val="auto"/>
              </w:rPr>
            </w:pPr>
            <w:r>
              <w:rPr>
                <w:rFonts w:ascii="Arial" w:cs="Arial" w:eastAsia="Arial" w:hAnsi="Arial"/>
                <w:sz w:val="18"/>
                <w:szCs w:val="18"/>
                <w:b w:val="1"/>
                <w:bCs w:val="1"/>
                <w:color w:val="auto"/>
                <w:w w:val="99"/>
              </w:rPr>
              <w:t>Part I. Financial Information</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ind w:left="4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340" w:type="dxa"/>
            <w:vAlign w:val="bottom"/>
            <w:gridSpan w:val="8"/>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1600" w:type="dxa"/>
            <w:vAlign w:val="bottom"/>
          </w:tcPr>
          <w:p>
            <w:pPr>
              <w:jc w:val="center"/>
              <w:ind w:right="53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340" w:type="dxa"/>
            <w:vAlign w:val="bottom"/>
            <w:gridSpan w:val="8"/>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Sheets as of March </w:t>
              </w:r>
              <w:r>
                <w:rPr>
                  <w:rFonts w:ascii="Arial" w:cs="Arial" w:eastAsia="Arial" w:hAnsi="Arial"/>
                  <w:sz w:val="18"/>
                  <w:szCs w:val="18"/>
                  <w:u w:val="single" w:color="auto"/>
                  <w:color w:val="0000FF"/>
                </w:rPr>
                <w:t>31, 2020 and June 30, 2019 (unaudited)</w:t>
              </w:r>
            </w:hyperlink>
          </w:p>
        </w:tc>
        <w:tc>
          <w:tcPr>
            <w:tcW w:w="1600" w:type="dxa"/>
            <w:vAlign w:val="bottom"/>
          </w:tcPr>
          <w:p>
            <w:pPr>
              <w:jc w:val="center"/>
              <w:ind w:right="530"/>
              <w:spacing w:after="0" w:line="189" w:lineRule="exact"/>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340" w:type="dxa"/>
            <w:vAlign w:val="bottom"/>
            <w:gridSpan w:val="8"/>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Operations and Comprehensive Loss for the Three and Nine</w:t>
              </w:r>
            </w:hyperlink>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8340" w:type="dxa"/>
            <w:vAlign w:val="bottom"/>
            <w:gridSpan w:val="8"/>
          </w:tcPr>
          <w:p>
            <w:pPr>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Months Ended March </w:t>
              </w:r>
              <w:r>
                <w:rPr>
                  <w:rFonts w:ascii="Arial" w:cs="Arial" w:eastAsia="Arial" w:hAnsi="Arial"/>
                  <w:sz w:val="18"/>
                  <w:szCs w:val="18"/>
                  <w:u w:val="single" w:color="auto"/>
                  <w:color w:val="0000FF"/>
                </w:rPr>
                <w:t>31,</w:t>
              </w:r>
              <w:r>
                <w:rPr>
                  <w:rFonts w:ascii="Arial" w:cs="Arial" w:eastAsia="Arial" w:hAnsi="Arial"/>
                  <w:sz w:val="18"/>
                  <w:szCs w:val="18"/>
                  <w:color w:val="0000FF"/>
                </w:rPr>
                <w:t xml:space="preserve"> 2020 and </w:t>
              </w:r>
            </w:hyperlink>
            <w:r>
              <w:rPr>
                <w:rFonts w:ascii="Arial" w:cs="Arial" w:eastAsia="Arial" w:hAnsi="Arial"/>
                <w:sz w:val="18"/>
                <w:szCs w:val="18"/>
                <w:color w:val="0000FF"/>
              </w:rPr>
              <w:t xml:space="preserve">2019 </w:t>
            </w:r>
            <w:hyperlink w:anchor="page5">
              <w:r>
                <w:rPr>
                  <w:rFonts w:ascii="Arial" w:cs="Arial" w:eastAsia="Arial" w:hAnsi="Arial"/>
                  <w:sz w:val="18"/>
                  <w:szCs w:val="18"/>
                  <w:u w:val="single" w:color="auto"/>
                  <w:color w:val="0000FF"/>
                </w:rPr>
                <w:t>(unaudited)</w:t>
              </w:r>
            </w:hyperlink>
          </w:p>
        </w:tc>
        <w:tc>
          <w:tcPr>
            <w:tcW w:w="1600" w:type="dxa"/>
            <w:vAlign w:val="bottom"/>
          </w:tcPr>
          <w:p>
            <w:pPr>
              <w:jc w:val="center"/>
              <w:ind w:right="530"/>
              <w:spacing w:after="0" w:line="176" w:lineRule="exact"/>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6</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340" w:type="dxa"/>
            <w:vAlign w:val="bottom"/>
            <w:gridSpan w:val="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Nine Months Ended March 31, 2020 and</w:t>
              </w:r>
            </w:hyperlink>
          </w:p>
        </w:tc>
        <w:tc>
          <w:tcPr>
            <w:tcW w:w="1600" w:type="dxa"/>
            <w:vAlign w:val="bottom"/>
            <w:vMerge w:val="restart"/>
          </w:tcPr>
          <w:p>
            <w:pPr>
              <w:jc w:val="center"/>
              <w:ind w:right="53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0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2019 </w:t>
              </w:r>
              <w:r>
                <w:rPr>
                  <w:rFonts w:ascii="Arial" w:cs="Arial" w:eastAsia="Arial" w:hAnsi="Arial"/>
                  <w:sz w:val="18"/>
                  <w:szCs w:val="18"/>
                  <w:u w:val="single" w:color="auto"/>
                  <w:color w:val="0000FF"/>
                </w:rPr>
                <w:t>(unaudited)</w:t>
              </w:r>
            </w:hyperlink>
          </w:p>
        </w:tc>
        <w:tc>
          <w:tcPr>
            <w:tcW w:w="34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2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340" w:type="dxa"/>
            <w:vAlign w:val="bottom"/>
            <w:gridSpan w:val="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Changes in Redeemable Convertible Preferred Stock and</w:t>
              </w:r>
            </w:hyperlink>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7820" w:type="dxa"/>
            <w:vAlign w:val="bottom"/>
            <w:tcBorders>
              <w:top w:val="single" w:sz="8" w:color="0000FF"/>
            </w:tcBorders>
            <w:gridSpan w:val="6"/>
          </w:tcPr>
          <w:p>
            <w:pPr>
              <w:spacing w:after="0" w:line="154" w:lineRule="exact"/>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Stockholders’ Equity (Deficit) for the Three and Nine Months Ended March 31, 2020 and 2019</w:t>
              </w:r>
            </w:hyperlink>
          </w:p>
        </w:tc>
        <w:tc>
          <w:tcPr>
            <w:tcW w:w="520" w:type="dxa"/>
            <w:vAlign w:val="bottom"/>
            <w:gridSpan w:val="2"/>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8340" w:type="dxa"/>
            <w:vAlign w:val="bottom"/>
            <w:gridSpan w:val="8"/>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(unaudited)</w:t>
              </w:r>
            </w:hyperlink>
          </w:p>
        </w:tc>
        <w:tc>
          <w:tcPr>
            <w:tcW w:w="1600" w:type="dxa"/>
            <w:vAlign w:val="bottom"/>
          </w:tcPr>
          <w:p>
            <w:pPr>
              <w:jc w:val="center"/>
              <w:ind w:right="530"/>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8340" w:type="dxa"/>
            <w:vAlign w:val="bottom"/>
            <w:gridSpan w:val="8"/>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 (unaudited)</w:t>
              </w:r>
            </w:hyperlink>
          </w:p>
        </w:tc>
        <w:tc>
          <w:tcPr>
            <w:tcW w:w="1600" w:type="dxa"/>
            <w:vAlign w:val="bottom"/>
          </w:tcPr>
          <w:p>
            <w:pPr>
              <w:jc w:val="center"/>
              <w:ind w:right="510"/>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10</w:t>
              </w:r>
            </w:hyperlink>
          </w:p>
        </w:tc>
        <w:tc>
          <w:tcPr>
            <w:tcW w:w="0" w:type="dxa"/>
            <w:vAlign w:val="bottom"/>
          </w:tcPr>
          <w:p>
            <w:pPr>
              <w:spacing w:after="0"/>
              <w:rPr>
                <w:sz w:val="1"/>
                <w:szCs w:val="1"/>
                <w:color w:val="auto"/>
              </w:rPr>
            </w:pPr>
          </w:p>
        </w:tc>
      </w:tr>
      <w:tr>
        <w:trPr>
          <w:trHeight w:val="229"/>
        </w:trPr>
        <w:tc>
          <w:tcPr>
            <w:tcW w:w="1300" w:type="dxa"/>
            <w:vAlign w:val="bottom"/>
          </w:tcPr>
          <w:p>
            <w:pPr>
              <w:ind w:left="4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w:t>
              </w:r>
            </w:hyperlink>
          </w:p>
        </w:tc>
        <w:tc>
          <w:tcPr>
            <w:tcW w:w="8340" w:type="dxa"/>
            <w:vAlign w:val="bottom"/>
            <w:gridSpan w:val="8"/>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Management's Discussion and Analysis of Financial Condition and Results of Operations</w:t>
              </w:r>
            </w:hyperlink>
          </w:p>
        </w:tc>
        <w:tc>
          <w:tcPr>
            <w:tcW w:w="1600" w:type="dxa"/>
            <w:vAlign w:val="bottom"/>
          </w:tcPr>
          <w:p>
            <w:pPr>
              <w:jc w:val="center"/>
              <w:ind w:right="510"/>
              <w:spacing w:after="0"/>
              <w:rPr>
                <w:rFonts w:ascii="Arial" w:cs="Arial" w:eastAsia="Arial" w:hAnsi="Arial"/>
                <w:sz w:val="18"/>
                <w:szCs w:val="18"/>
                <w:u w:val="single" w:color="auto"/>
                <w:color w:val="0000FF"/>
                <w:w w:val="99"/>
              </w:rPr>
            </w:pPr>
            <w:hyperlink w:anchor="page23">
              <w:r>
                <w:rPr>
                  <w:rFonts w:ascii="Arial" w:cs="Arial" w:eastAsia="Arial" w:hAnsi="Arial"/>
                  <w:sz w:val="18"/>
                  <w:szCs w:val="18"/>
                  <w:u w:val="single" w:color="auto"/>
                  <w:color w:val="0000FF"/>
                  <w:w w:val="99"/>
                </w:rPr>
                <w:t>24</w:t>
              </w:r>
            </w:hyperlink>
          </w:p>
        </w:tc>
        <w:tc>
          <w:tcPr>
            <w:tcW w:w="0" w:type="dxa"/>
            <w:vAlign w:val="bottom"/>
          </w:tcPr>
          <w:p>
            <w:pPr>
              <w:spacing w:after="0"/>
              <w:rPr>
                <w:sz w:val="1"/>
                <w:szCs w:val="1"/>
                <w:color w:val="auto"/>
              </w:rPr>
            </w:pPr>
          </w:p>
        </w:tc>
      </w:tr>
      <w:tr>
        <w:trPr>
          <w:trHeight w:val="230"/>
        </w:trPr>
        <w:tc>
          <w:tcPr>
            <w:tcW w:w="1300" w:type="dxa"/>
            <w:vAlign w:val="bottom"/>
          </w:tcPr>
          <w:p>
            <w:pPr>
              <w:ind w:left="4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3</w:t>
              </w:r>
            </w:hyperlink>
          </w:p>
        </w:tc>
        <w:tc>
          <w:tcPr>
            <w:tcW w:w="8340" w:type="dxa"/>
            <w:vAlign w:val="bottom"/>
            <w:gridSpan w:val="8"/>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Quantitative and Qualitative Disclosures About Market Risk</w:t>
              </w:r>
            </w:hyperlink>
          </w:p>
        </w:tc>
        <w:tc>
          <w:tcPr>
            <w:tcW w:w="1600" w:type="dxa"/>
            <w:vAlign w:val="bottom"/>
          </w:tcPr>
          <w:p>
            <w:pPr>
              <w:jc w:val="center"/>
              <w:ind w:right="510"/>
              <w:spacing w:after="0"/>
              <w:rPr>
                <w:rFonts w:ascii="Arial" w:cs="Arial" w:eastAsia="Arial" w:hAnsi="Arial"/>
                <w:sz w:val="18"/>
                <w:szCs w:val="18"/>
                <w:u w:val="single" w:color="auto"/>
                <w:color w:val="0000FF"/>
                <w:w w:val="99"/>
              </w:rPr>
            </w:pPr>
            <w:hyperlink w:anchor="page39">
              <w:r>
                <w:rPr>
                  <w:rFonts w:ascii="Arial" w:cs="Arial" w:eastAsia="Arial" w:hAnsi="Arial"/>
                  <w:sz w:val="18"/>
                  <w:szCs w:val="18"/>
                  <w:u w:val="single" w:color="auto"/>
                  <w:color w:val="0000FF"/>
                  <w:w w:val="99"/>
                </w:rPr>
                <w:t>39</w:t>
              </w:r>
            </w:hyperlink>
          </w:p>
        </w:tc>
        <w:tc>
          <w:tcPr>
            <w:tcW w:w="0" w:type="dxa"/>
            <w:vAlign w:val="bottom"/>
          </w:tcPr>
          <w:p>
            <w:pPr>
              <w:spacing w:after="0"/>
              <w:rPr>
                <w:sz w:val="1"/>
                <w:szCs w:val="1"/>
                <w:color w:val="auto"/>
              </w:rPr>
            </w:pPr>
          </w:p>
        </w:tc>
      </w:tr>
      <w:tr>
        <w:trPr>
          <w:trHeight w:val="229"/>
        </w:trPr>
        <w:tc>
          <w:tcPr>
            <w:tcW w:w="1300" w:type="dxa"/>
            <w:vAlign w:val="bottom"/>
          </w:tcPr>
          <w:p>
            <w:pPr>
              <w:ind w:left="4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4</w:t>
              </w:r>
            </w:hyperlink>
          </w:p>
        </w:tc>
        <w:tc>
          <w:tcPr>
            <w:tcW w:w="8340" w:type="dxa"/>
            <w:vAlign w:val="bottom"/>
            <w:gridSpan w:val="8"/>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Controls and Procedures</w:t>
              </w:r>
            </w:hyperlink>
          </w:p>
        </w:tc>
        <w:tc>
          <w:tcPr>
            <w:tcW w:w="1600" w:type="dxa"/>
            <w:vAlign w:val="bottom"/>
          </w:tcPr>
          <w:p>
            <w:pPr>
              <w:jc w:val="center"/>
              <w:ind w:right="510"/>
              <w:spacing w:after="0"/>
              <w:rPr>
                <w:rFonts w:ascii="Arial" w:cs="Arial" w:eastAsia="Arial" w:hAnsi="Arial"/>
                <w:sz w:val="18"/>
                <w:szCs w:val="18"/>
                <w:u w:val="single" w:color="auto"/>
                <w:color w:val="0000FF"/>
                <w:w w:val="99"/>
              </w:rPr>
            </w:pPr>
            <w:hyperlink w:anchor="page40">
              <w:r>
                <w:rPr>
                  <w:rFonts w:ascii="Arial" w:cs="Arial" w:eastAsia="Arial" w:hAnsi="Arial"/>
                  <w:sz w:val="18"/>
                  <w:szCs w:val="18"/>
                  <w:u w:val="single" w:color="auto"/>
                  <w:color w:val="0000FF"/>
                  <w:w w:val="99"/>
                </w:rPr>
                <w:t>40</w:t>
              </w:r>
            </w:hyperlink>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80" w:type="dxa"/>
            <w:vAlign w:val="bottom"/>
            <w:gridSpan w:val="4"/>
          </w:tcPr>
          <w:p>
            <w:pPr>
              <w:jc w:val="center"/>
              <w:ind w:right="2960"/>
              <w:spacing w:after="0"/>
              <w:rPr>
                <w:sz w:val="20"/>
                <w:szCs w:val="20"/>
                <w:color w:val="auto"/>
              </w:rPr>
            </w:pPr>
            <w:r>
              <w:rPr>
                <w:rFonts w:ascii="Arial" w:cs="Arial" w:eastAsia="Arial" w:hAnsi="Arial"/>
                <w:sz w:val="18"/>
                <w:szCs w:val="18"/>
                <w:b w:val="1"/>
                <w:bCs w:val="1"/>
                <w:color w:val="auto"/>
                <w:w w:val="99"/>
              </w:rPr>
              <w:t>Part II. Other Information</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ind w:left="4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1</w:t>
              </w:r>
            </w:hyperlink>
          </w:p>
        </w:tc>
        <w:tc>
          <w:tcPr>
            <w:tcW w:w="8340" w:type="dxa"/>
            <w:vAlign w:val="bottom"/>
            <w:gridSpan w:val="8"/>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Legal Proceedings</w:t>
              </w:r>
            </w:hyperlink>
          </w:p>
        </w:tc>
        <w:tc>
          <w:tcPr>
            <w:tcW w:w="1600" w:type="dxa"/>
            <w:vAlign w:val="bottom"/>
          </w:tcPr>
          <w:p>
            <w:pPr>
              <w:jc w:val="center"/>
              <w:ind w:right="510"/>
              <w:spacing w:after="0"/>
              <w:rPr>
                <w:rFonts w:ascii="Arial" w:cs="Arial" w:eastAsia="Arial" w:hAnsi="Arial"/>
                <w:sz w:val="18"/>
                <w:szCs w:val="18"/>
                <w:u w:val="single" w:color="auto"/>
                <w:color w:val="0000FF"/>
                <w:w w:val="99"/>
              </w:rPr>
            </w:pPr>
            <w:hyperlink w:anchor="page41">
              <w:r>
                <w:rPr>
                  <w:rFonts w:ascii="Arial" w:cs="Arial" w:eastAsia="Arial" w:hAnsi="Arial"/>
                  <w:sz w:val="18"/>
                  <w:szCs w:val="18"/>
                  <w:u w:val="single" w:color="auto"/>
                  <w:color w:val="0000FF"/>
                  <w:w w:val="99"/>
                </w:rPr>
                <w:t>41</w:t>
              </w:r>
            </w:hyperlink>
          </w:p>
        </w:tc>
        <w:tc>
          <w:tcPr>
            <w:tcW w:w="0" w:type="dxa"/>
            <w:vAlign w:val="bottom"/>
          </w:tcPr>
          <w:p>
            <w:pPr>
              <w:spacing w:after="0"/>
              <w:rPr>
                <w:sz w:val="1"/>
                <w:szCs w:val="1"/>
                <w:color w:val="auto"/>
              </w:rPr>
            </w:pPr>
          </w:p>
        </w:tc>
      </w:tr>
      <w:tr>
        <w:trPr>
          <w:trHeight w:val="230"/>
        </w:trPr>
        <w:tc>
          <w:tcPr>
            <w:tcW w:w="1300" w:type="dxa"/>
            <w:vAlign w:val="bottom"/>
          </w:tcPr>
          <w:p>
            <w:pPr>
              <w:ind w:left="4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1A</w:t>
              </w:r>
            </w:hyperlink>
          </w:p>
        </w:tc>
        <w:tc>
          <w:tcPr>
            <w:tcW w:w="8340" w:type="dxa"/>
            <w:vAlign w:val="bottom"/>
            <w:gridSpan w:val="8"/>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Risk Factors</w:t>
              </w:r>
            </w:hyperlink>
          </w:p>
        </w:tc>
        <w:tc>
          <w:tcPr>
            <w:tcW w:w="1600" w:type="dxa"/>
            <w:vAlign w:val="bottom"/>
          </w:tcPr>
          <w:p>
            <w:pPr>
              <w:jc w:val="center"/>
              <w:ind w:right="510"/>
              <w:spacing w:after="0"/>
              <w:rPr>
                <w:rFonts w:ascii="Arial" w:cs="Arial" w:eastAsia="Arial" w:hAnsi="Arial"/>
                <w:sz w:val="18"/>
                <w:szCs w:val="18"/>
                <w:u w:val="single" w:color="auto"/>
                <w:color w:val="0000FF"/>
                <w:w w:val="99"/>
              </w:rPr>
            </w:pPr>
            <w:hyperlink w:anchor="page41">
              <w:r>
                <w:rPr>
                  <w:rFonts w:ascii="Arial" w:cs="Arial" w:eastAsia="Arial" w:hAnsi="Arial"/>
                  <w:sz w:val="18"/>
                  <w:szCs w:val="18"/>
                  <w:u w:val="single" w:color="auto"/>
                  <w:color w:val="0000FF"/>
                  <w:w w:val="99"/>
                </w:rPr>
                <w:t>41</w:t>
              </w:r>
            </w:hyperlink>
          </w:p>
        </w:tc>
        <w:tc>
          <w:tcPr>
            <w:tcW w:w="0" w:type="dxa"/>
            <w:vAlign w:val="bottom"/>
          </w:tcPr>
          <w:p>
            <w:pPr>
              <w:spacing w:after="0"/>
              <w:rPr>
                <w:sz w:val="1"/>
                <w:szCs w:val="1"/>
                <w:color w:val="auto"/>
              </w:rPr>
            </w:pPr>
          </w:p>
        </w:tc>
      </w:tr>
      <w:tr>
        <w:trPr>
          <w:trHeight w:val="229"/>
        </w:trPr>
        <w:tc>
          <w:tcPr>
            <w:tcW w:w="1300" w:type="dxa"/>
            <w:vAlign w:val="bottom"/>
          </w:tcPr>
          <w:p>
            <w:pPr>
              <w:ind w:left="4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2</w:t>
              </w:r>
            </w:hyperlink>
          </w:p>
        </w:tc>
        <w:tc>
          <w:tcPr>
            <w:tcW w:w="8340" w:type="dxa"/>
            <w:vAlign w:val="bottom"/>
            <w:gridSpan w:val="8"/>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Unregistered Sales of Equity Securities and Use of Proceeds</w:t>
              </w:r>
            </w:hyperlink>
          </w:p>
        </w:tc>
        <w:tc>
          <w:tcPr>
            <w:tcW w:w="1600" w:type="dxa"/>
            <w:vAlign w:val="bottom"/>
          </w:tcPr>
          <w:p>
            <w:pPr>
              <w:jc w:val="center"/>
              <w:ind w:right="510"/>
              <w:spacing w:after="0"/>
              <w:rPr>
                <w:rFonts w:ascii="Arial" w:cs="Arial" w:eastAsia="Arial" w:hAnsi="Arial"/>
                <w:sz w:val="18"/>
                <w:szCs w:val="18"/>
                <w:u w:val="single" w:color="auto"/>
                <w:color w:val="0000FF"/>
                <w:w w:val="99"/>
              </w:rPr>
            </w:pPr>
            <w:hyperlink w:anchor="page64">
              <w:r>
                <w:rPr>
                  <w:rFonts w:ascii="Arial" w:cs="Arial" w:eastAsia="Arial" w:hAnsi="Arial"/>
                  <w:sz w:val="18"/>
                  <w:szCs w:val="18"/>
                  <w:u w:val="single" w:color="auto"/>
                  <w:color w:val="0000FF"/>
                  <w:w w:val="99"/>
                </w:rPr>
                <w:t>64</w:t>
              </w:r>
            </w:hyperlink>
          </w:p>
        </w:tc>
        <w:tc>
          <w:tcPr>
            <w:tcW w:w="0" w:type="dxa"/>
            <w:vAlign w:val="bottom"/>
          </w:tcPr>
          <w:p>
            <w:pPr>
              <w:spacing w:after="0"/>
              <w:rPr>
                <w:sz w:val="1"/>
                <w:szCs w:val="1"/>
                <w:color w:val="auto"/>
              </w:rPr>
            </w:pPr>
          </w:p>
        </w:tc>
      </w:tr>
      <w:tr>
        <w:trPr>
          <w:trHeight w:val="230"/>
        </w:trPr>
        <w:tc>
          <w:tcPr>
            <w:tcW w:w="1300" w:type="dxa"/>
            <w:vAlign w:val="bottom"/>
          </w:tcPr>
          <w:p>
            <w:pPr>
              <w:ind w:left="4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6</w:t>
              </w:r>
            </w:hyperlink>
          </w:p>
        </w:tc>
        <w:tc>
          <w:tcPr>
            <w:tcW w:w="8340" w:type="dxa"/>
            <w:vAlign w:val="bottom"/>
            <w:gridSpan w:val="8"/>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Exhibits</w:t>
              </w:r>
            </w:hyperlink>
          </w:p>
        </w:tc>
        <w:tc>
          <w:tcPr>
            <w:tcW w:w="1600" w:type="dxa"/>
            <w:vAlign w:val="bottom"/>
          </w:tcPr>
          <w:p>
            <w:pPr>
              <w:jc w:val="center"/>
              <w:ind w:right="510"/>
              <w:spacing w:after="0"/>
              <w:rPr>
                <w:rFonts w:ascii="Arial" w:cs="Arial" w:eastAsia="Arial" w:hAnsi="Arial"/>
                <w:sz w:val="18"/>
                <w:szCs w:val="18"/>
                <w:u w:val="single" w:color="auto"/>
                <w:color w:val="0000FF"/>
                <w:w w:val="99"/>
              </w:rPr>
            </w:pPr>
            <w:hyperlink w:anchor="page65">
              <w:r>
                <w:rPr>
                  <w:rFonts w:ascii="Arial" w:cs="Arial" w:eastAsia="Arial" w:hAnsi="Arial"/>
                  <w:sz w:val="18"/>
                  <w:szCs w:val="18"/>
                  <w:u w:val="single" w:color="auto"/>
                  <w:color w:val="0000FF"/>
                  <w:w w:val="99"/>
                </w:rPr>
                <w:t>65</w:t>
              </w:r>
            </w:hyperlink>
          </w:p>
        </w:tc>
        <w:tc>
          <w:tcPr>
            <w:tcW w:w="0" w:type="dxa"/>
            <w:vAlign w:val="bottom"/>
          </w:tcPr>
          <w:p>
            <w:pPr>
              <w:spacing w:after="0"/>
              <w:rPr>
                <w:sz w:val="1"/>
                <w:szCs w:val="1"/>
                <w:color w:val="auto"/>
              </w:rPr>
            </w:pPr>
          </w:p>
        </w:tc>
      </w:tr>
      <w:tr>
        <w:trPr>
          <w:trHeight w:val="230"/>
        </w:trPr>
        <w:tc>
          <w:tcPr>
            <w:tcW w:w="9640" w:type="dxa"/>
            <w:vAlign w:val="bottom"/>
            <w:gridSpan w:val="9"/>
          </w:tcPr>
          <w:p>
            <w:pPr>
              <w:ind w:left="4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SIGNATURES</w:t>
              </w:r>
            </w:hyperlink>
          </w:p>
        </w:tc>
        <w:tc>
          <w:tcPr>
            <w:tcW w:w="1600" w:type="dxa"/>
            <w:vAlign w:val="bottom"/>
          </w:tcPr>
          <w:p>
            <w:pPr>
              <w:jc w:val="center"/>
              <w:ind w:right="510"/>
              <w:spacing w:after="0"/>
              <w:rPr>
                <w:rFonts w:ascii="Arial" w:cs="Arial" w:eastAsia="Arial" w:hAnsi="Arial"/>
                <w:sz w:val="18"/>
                <w:szCs w:val="18"/>
                <w:u w:val="single" w:color="auto"/>
                <w:color w:val="0000FF"/>
                <w:w w:val="99"/>
              </w:rPr>
            </w:pPr>
            <w:hyperlink w:anchor="page65">
              <w:r>
                <w:rPr>
                  <w:rFonts w:ascii="Arial" w:cs="Arial" w:eastAsia="Arial" w:hAnsi="Arial"/>
                  <w:sz w:val="18"/>
                  <w:szCs w:val="18"/>
                  <w:u w:val="single" w:color="auto"/>
                  <w:color w:val="0000FF"/>
                  <w:w w:val="99"/>
                </w:rPr>
                <w:t>66</w:t>
              </w:r>
            </w:hyperlink>
          </w:p>
        </w:tc>
        <w:tc>
          <w:tcPr>
            <w:tcW w:w="0" w:type="dxa"/>
            <w:vAlign w:val="bottom"/>
          </w:tcPr>
          <w:p>
            <w:pPr>
              <w:spacing w:after="0"/>
              <w:rPr>
                <w:sz w:val="1"/>
                <w:szCs w:val="1"/>
                <w:color w:val="auto"/>
              </w:rPr>
            </w:pPr>
          </w:p>
        </w:tc>
      </w:tr>
      <w:tr>
        <w:trPr>
          <w:trHeight w:val="1222"/>
        </w:trPr>
        <w:tc>
          <w:tcPr>
            <w:tcW w:w="1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Quarterly Report on Form 10-Q contains forward-looking statements.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contained in this Quarterly Report on Form 10-Q include, but are not limited to, statements about:</w:t>
      </w:r>
    </w:p>
    <w:p>
      <w:pPr>
        <w:spacing w:after="0" w:line="248" w:lineRule="exact"/>
        <w:rPr>
          <w:sz w:val="20"/>
          <w:szCs w:val="20"/>
          <w:color w:val="auto"/>
        </w:rPr>
      </w:pPr>
    </w:p>
    <w:p>
      <w:pPr>
        <w:jc w:val="both"/>
        <w:ind w:left="660" w:hanging="328"/>
        <w:spacing w:after="0" w:line="25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profit, Adjusted EBITDA, operating expenses including changes in sales and marketing, general and administrative expenses (including any components of the foregoing), and research and development, and our ability to achieve and maintain future profitability;</w:t>
      </w:r>
    </w:p>
    <w:p>
      <w:pPr>
        <w:spacing w:after="0" w:line="22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international expansion plans and ability to continue to expand internationally;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beliefs and objectives for future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increase sales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further penetrate our existing Subscriber base and maintain and expand our Subscriber base;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seasonal trends on our results of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content costs for past use;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impacts to our business and financial performance from the COVID-19 pandemic;</w:t>
      </w:r>
    </w:p>
    <w:p>
      <w:pPr>
        <w:spacing w:after="0" w:line="24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 and</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and industry trends, projected growth, or trend analysis.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caution you that the foregoing list may not contain all of the forward-looking statements made in this Quarterly Report on Form 10-Q.</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in Part II, Item 1A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In particular, the impact of the current COVID-19 pandemic to economic conditions and the fitness industry in general and our financial position and operating results in particular have been material, are changing rapidly, and cannot be predicted.</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3" w:name="page4"/>
    <w:bookmarkEnd w:id="3"/>
    <w:p>
      <w:pPr>
        <w:spacing w:after="0" w:line="260" w:lineRule="auto"/>
        <w:rPr>
          <w:sz w:val="20"/>
          <w:szCs w:val="20"/>
          <w:color w:val="auto"/>
        </w:rPr>
      </w:pPr>
      <w:r>
        <w:rPr>
          <w:rFonts w:ascii="Arial" w:cs="Arial" w:eastAsia="Arial" w:hAnsi="Arial"/>
          <w:sz w:val="16"/>
          <w:szCs w:val="16"/>
          <w:color w:val="auto"/>
        </w:rPr>
        <w:t>In this Quarterly Report on Form 10-Q, the words "we," "us," "our" and "Peloton" refer to Peloton Interactive, Inc. and its wholly owned subsidiaries, unless the context requires otherwise.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 w:name="page5"/>
    <w:bookmarkEnd w:id="4"/>
    <w:p>
      <w:pPr>
        <w:ind w:left="4140"/>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4720" w:type="dxa"/>
            <w:vAlign w:val="bottom"/>
            <w:gridSpan w:val="2"/>
          </w:tcPr>
          <w:p>
            <w:pPr>
              <w:jc w:val="center"/>
              <w:ind w:left="374"/>
              <w:spacing w:after="0"/>
              <w:rPr>
                <w:sz w:val="20"/>
                <w:szCs w:val="20"/>
                <w:color w:val="auto"/>
              </w:rPr>
            </w:pPr>
            <w:r>
              <w:rPr>
                <w:rFonts w:ascii="Arial" w:cs="Arial" w:eastAsia="Arial" w:hAnsi="Arial"/>
                <w:sz w:val="18"/>
                <w:szCs w:val="18"/>
                <w:b w:val="1"/>
                <w:bCs w:val="1"/>
                <w:color w:val="auto"/>
                <w:w w:val="99"/>
              </w:rPr>
              <w:t>PELOTON INTERACTIVE, INC.</w:t>
            </w:r>
          </w:p>
        </w:tc>
        <w:tc>
          <w:tcPr>
            <w:tcW w:w="1320" w:type="dxa"/>
            <w:vAlign w:val="bottom"/>
          </w:tcPr>
          <w:p>
            <w:pPr>
              <w:spacing w:after="0"/>
              <w:rPr>
                <w:sz w:val="17"/>
                <w:szCs w:val="17"/>
                <w:color w:val="auto"/>
              </w:rPr>
            </w:pPr>
          </w:p>
        </w:tc>
      </w:tr>
      <w:tr>
        <w:trPr>
          <w:trHeight w:val="216"/>
        </w:trPr>
        <w:tc>
          <w:tcPr>
            <w:tcW w:w="2680" w:type="dxa"/>
            <w:vAlign w:val="bottom"/>
          </w:tcPr>
          <w:p>
            <w:pPr>
              <w:spacing w:after="0"/>
              <w:rPr>
                <w:sz w:val="18"/>
                <w:szCs w:val="18"/>
                <w:color w:val="auto"/>
              </w:rPr>
            </w:pPr>
          </w:p>
        </w:tc>
        <w:tc>
          <w:tcPr>
            <w:tcW w:w="6040" w:type="dxa"/>
            <w:vAlign w:val="bottom"/>
            <w:gridSpan w:val="3"/>
          </w:tcPr>
          <w:p>
            <w:pPr>
              <w:jc w:val="center"/>
              <w:ind w:right="799"/>
              <w:spacing w:after="0"/>
              <w:rPr>
                <w:sz w:val="20"/>
                <w:szCs w:val="20"/>
                <w:color w:val="auto"/>
              </w:rPr>
            </w:pPr>
            <w:r>
              <w:rPr>
                <w:rFonts w:ascii="Arial" w:cs="Arial" w:eastAsia="Arial" w:hAnsi="Arial"/>
                <w:sz w:val="18"/>
                <w:szCs w:val="18"/>
                <w:b w:val="1"/>
                <w:bCs w:val="1"/>
                <w:color w:val="auto"/>
                <w:w w:val="99"/>
              </w:rPr>
              <w:t>CONDENSED CONSOLIDATED BALANCE SHEETS</w:t>
            </w:r>
          </w:p>
        </w:tc>
      </w:tr>
      <w:tr>
        <w:trPr>
          <w:trHeight w:val="239"/>
        </w:trPr>
        <w:tc>
          <w:tcPr>
            <w:tcW w:w="2680" w:type="dxa"/>
            <w:vAlign w:val="bottom"/>
          </w:tcPr>
          <w:p>
            <w:pPr>
              <w:spacing w:after="0"/>
              <w:rPr>
                <w:sz w:val="20"/>
                <w:szCs w:val="20"/>
                <w:color w:val="auto"/>
              </w:rPr>
            </w:pPr>
          </w:p>
        </w:tc>
        <w:tc>
          <w:tcPr>
            <w:tcW w:w="4720" w:type="dxa"/>
            <w:vAlign w:val="bottom"/>
            <w:gridSpan w:val="2"/>
          </w:tcPr>
          <w:p>
            <w:pPr>
              <w:jc w:val="center"/>
              <w:ind w:left="354"/>
              <w:spacing w:after="0"/>
              <w:rPr>
                <w:sz w:val="20"/>
                <w:szCs w:val="20"/>
                <w:color w:val="auto"/>
              </w:rPr>
            </w:pPr>
            <w:r>
              <w:rPr>
                <w:rFonts w:ascii="Arial" w:cs="Arial" w:eastAsia="Arial" w:hAnsi="Arial"/>
                <w:sz w:val="18"/>
                <w:szCs w:val="18"/>
                <w:b w:val="1"/>
                <w:bCs w:val="1"/>
                <w:color w:val="auto"/>
                <w:w w:val="99"/>
              </w:rPr>
              <w:t>(in millions, except share and per share amounts)</w:t>
            </w:r>
          </w:p>
        </w:tc>
        <w:tc>
          <w:tcPr>
            <w:tcW w:w="1320" w:type="dxa"/>
            <w:vAlign w:val="bottom"/>
          </w:tcPr>
          <w:p>
            <w:pPr>
              <w:spacing w:after="0"/>
              <w:rPr>
                <w:sz w:val="20"/>
                <w:szCs w:val="20"/>
                <w:color w:val="auto"/>
              </w:rPr>
            </w:pPr>
          </w:p>
        </w:tc>
      </w:tr>
      <w:tr>
        <w:trPr>
          <w:trHeight w:val="494"/>
        </w:trPr>
        <w:tc>
          <w:tcPr>
            <w:tcW w:w="2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center"/>
              <w:ind w:right="319"/>
              <w:spacing w:after="0"/>
              <w:rPr>
                <w:sz w:val="20"/>
                <w:szCs w:val="20"/>
                <w:color w:val="auto"/>
              </w:rPr>
            </w:pPr>
            <w:r>
              <w:rPr>
                <w:rFonts w:ascii="Arial" w:cs="Arial" w:eastAsia="Arial" w:hAnsi="Arial"/>
                <w:sz w:val="16"/>
                <w:szCs w:val="16"/>
                <w:b w:val="1"/>
                <w:bCs w:val="1"/>
                <w:color w:val="auto"/>
              </w:rPr>
              <w:t>March 31,</w:t>
            </w:r>
          </w:p>
        </w:tc>
      </w:tr>
      <w:tr>
        <w:trPr>
          <w:trHeight w:val="256"/>
        </w:trPr>
        <w:tc>
          <w:tcPr>
            <w:tcW w:w="268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2020</w:t>
            </w:r>
          </w:p>
        </w:tc>
      </w:tr>
      <w:tr>
        <w:trPr>
          <w:trHeight w:val="224"/>
        </w:trPr>
        <w:tc>
          <w:tcPr>
            <w:tcW w:w="26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center"/>
              <w:ind w:right="319"/>
              <w:spacing w:after="0"/>
              <w:rPr>
                <w:sz w:val="20"/>
                <w:szCs w:val="20"/>
                <w:color w:val="auto"/>
              </w:rPr>
            </w:pPr>
            <w:r>
              <w:rPr>
                <w:rFonts w:ascii="Arial" w:cs="Arial" w:eastAsia="Arial" w:hAnsi="Arial"/>
                <w:sz w:val="16"/>
                <w:szCs w:val="16"/>
                <w:b w:val="1"/>
                <w:bCs w:val="1"/>
                <w:color w:val="auto"/>
              </w:rPr>
              <w:t>(unaudited)</w:t>
            </w:r>
          </w:p>
        </w:tc>
      </w:tr>
      <w:tr>
        <w:trPr>
          <w:trHeight w:val="229"/>
        </w:trPr>
        <w:tc>
          <w:tcPr>
            <w:tcW w:w="26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4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Current assets:</w:t>
            </w:r>
          </w:p>
        </w:tc>
        <w:tc>
          <w:tcPr>
            <w:tcW w:w="4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268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47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509.0</w:t>
            </w:r>
          </w:p>
        </w:tc>
      </w:tr>
      <w:tr>
        <w:trPr>
          <w:trHeight w:val="257"/>
        </w:trPr>
        <w:tc>
          <w:tcPr>
            <w:tcW w:w="2680" w:type="dxa"/>
            <w:vAlign w:val="bottom"/>
          </w:tcPr>
          <w:p>
            <w:pPr>
              <w:ind w:left="320"/>
              <w:spacing w:after="0"/>
              <w:rPr>
                <w:sz w:val="20"/>
                <w:szCs w:val="20"/>
                <w:color w:val="auto"/>
              </w:rPr>
            </w:pPr>
            <w:r>
              <w:rPr>
                <w:rFonts w:ascii="Arial" w:cs="Arial" w:eastAsia="Arial" w:hAnsi="Arial"/>
                <w:sz w:val="16"/>
                <w:szCs w:val="16"/>
                <w:color w:val="auto"/>
              </w:rPr>
              <w:t>Marketable securities</w:t>
            </w:r>
          </w:p>
        </w:tc>
        <w:tc>
          <w:tcPr>
            <w:tcW w:w="4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923.7</w:t>
            </w:r>
          </w:p>
        </w:tc>
      </w:tr>
      <w:tr>
        <w:trPr>
          <w:trHeight w:val="243"/>
        </w:trPr>
        <w:tc>
          <w:tcPr>
            <w:tcW w:w="2680" w:type="dxa"/>
            <w:vAlign w:val="bottom"/>
          </w:tcPr>
          <w:p>
            <w:pPr>
              <w:ind w:left="320"/>
              <w:spacing w:after="0"/>
              <w:rPr>
                <w:sz w:val="20"/>
                <w:szCs w:val="20"/>
                <w:color w:val="auto"/>
              </w:rPr>
            </w:pPr>
            <w:r>
              <w:rPr>
                <w:rFonts w:ascii="Arial" w:cs="Arial" w:eastAsia="Arial" w:hAnsi="Arial"/>
                <w:sz w:val="16"/>
                <w:szCs w:val="16"/>
                <w:color w:val="auto"/>
              </w:rPr>
              <w:t>Accounts receivable, net</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51.2</w:t>
            </w:r>
          </w:p>
        </w:tc>
      </w:tr>
      <w:tr>
        <w:trPr>
          <w:trHeight w:val="243"/>
        </w:trPr>
        <w:tc>
          <w:tcPr>
            <w:tcW w:w="2680" w:type="dxa"/>
            <w:vAlign w:val="bottom"/>
          </w:tcPr>
          <w:p>
            <w:pPr>
              <w:ind w:left="320"/>
              <w:spacing w:after="0"/>
              <w:rPr>
                <w:sz w:val="20"/>
                <w:szCs w:val="20"/>
                <w:color w:val="auto"/>
              </w:rPr>
            </w:pPr>
            <w:r>
              <w:rPr>
                <w:rFonts w:ascii="Arial" w:cs="Arial" w:eastAsia="Arial" w:hAnsi="Arial"/>
                <w:sz w:val="16"/>
                <w:szCs w:val="16"/>
                <w:color w:val="auto"/>
              </w:rPr>
              <w:t>Inventories, net</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194.2</w:t>
            </w:r>
          </w:p>
        </w:tc>
      </w:tr>
      <w:tr>
        <w:trPr>
          <w:trHeight w:val="246"/>
        </w:trPr>
        <w:tc>
          <w:tcPr>
            <w:tcW w:w="7400" w:type="dxa"/>
            <w:vAlign w:val="bottom"/>
            <w:gridSpan w:val="3"/>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114.5</w:t>
            </w:r>
          </w:p>
        </w:tc>
      </w:tr>
      <w:tr>
        <w:trPr>
          <w:trHeight w:val="236"/>
        </w:trPr>
        <w:tc>
          <w:tcPr>
            <w:tcW w:w="2680" w:type="dxa"/>
            <w:vAlign w:val="bottom"/>
          </w:tcPr>
          <w:p>
            <w:pPr>
              <w:ind w:left="760"/>
              <w:spacing w:after="0"/>
              <w:rPr>
                <w:sz w:val="20"/>
                <w:szCs w:val="20"/>
                <w:color w:val="auto"/>
              </w:rPr>
            </w:pPr>
            <w:r>
              <w:rPr>
                <w:rFonts w:ascii="Arial" w:cs="Arial" w:eastAsia="Arial" w:hAnsi="Arial"/>
                <w:sz w:val="16"/>
                <w:szCs w:val="16"/>
                <w:color w:val="auto"/>
              </w:rPr>
              <w:t>Total current assets</w:t>
            </w:r>
          </w:p>
        </w:tc>
        <w:tc>
          <w:tcPr>
            <w:tcW w:w="43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1,792.7</w:t>
            </w:r>
          </w:p>
        </w:tc>
      </w:tr>
      <w:tr>
        <w:trPr>
          <w:trHeight w:val="234"/>
        </w:trPr>
        <w:tc>
          <w:tcPr>
            <w:tcW w:w="26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207.3</w:t>
            </w:r>
          </w:p>
        </w:tc>
      </w:tr>
      <w:tr>
        <w:trPr>
          <w:trHeight w:val="243"/>
        </w:trPr>
        <w:tc>
          <w:tcPr>
            <w:tcW w:w="2680" w:type="dxa"/>
            <w:vAlign w:val="bottom"/>
          </w:tcPr>
          <w:p>
            <w:pPr>
              <w:spacing w:after="0"/>
              <w:rPr>
                <w:sz w:val="20"/>
                <w:szCs w:val="20"/>
                <w:color w:val="auto"/>
              </w:rPr>
            </w:pPr>
            <w:r>
              <w:rPr>
                <w:rFonts w:ascii="Arial" w:cs="Arial" w:eastAsia="Arial" w:hAnsi="Arial"/>
                <w:sz w:val="16"/>
                <w:szCs w:val="16"/>
                <w:color w:val="auto"/>
              </w:rPr>
              <w:t>Intangible assets, net</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17.3</w:t>
            </w:r>
          </w:p>
        </w:tc>
      </w:tr>
      <w:tr>
        <w:trPr>
          <w:trHeight w:val="243"/>
        </w:trPr>
        <w:tc>
          <w:tcPr>
            <w:tcW w:w="2680" w:type="dxa"/>
            <w:vAlign w:val="bottom"/>
          </w:tcPr>
          <w:p>
            <w:pPr>
              <w:spacing w:after="0"/>
              <w:rPr>
                <w:sz w:val="20"/>
                <w:szCs w:val="20"/>
                <w:color w:val="auto"/>
              </w:rPr>
            </w:pPr>
            <w:r>
              <w:rPr>
                <w:rFonts w:ascii="Arial" w:cs="Arial" w:eastAsia="Arial" w:hAnsi="Arial"/>
                <w:sz w:val="16"/>
                <w:szCs w:val="16"/>
                <w:color w:val="auto"/>
              </w:rPr>
              <w:t>Goodwill</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38.1</w:t>
            </w:r>
          </w:p>
        </w:tc>
      </w:tr>
      <w:tr>
        <w:trPr>
          <w:trHeight w:val="243"/>
        </w:trPr>
        <w:tc>
          <w:tcPr>
            <w:tcW w:w="2680" w:type="dxa"/>
            <w:vAlign w:val="bottom"/>
          </w:tcPr>
          <w:p>
            <w:pPr>
              <w:spacing w:after="0"/>
              <w:rPr>
                <w:sz w:val="20"/>
                <w:szCs w:val="20"/>
                <w:color w:val="auto"/>
              </w:rPr>
            </w:pPr>
            <w:r>
              <w:rPr>
                <w:rFonts w:ascii="Arial" w:cs="Arial" w:eastAsia="Arial" w:hAnsi="Arial"/>
                <w:sz w:val="16"/>
                <w:szCs w:val="16"/>
                <w:color w:val="auto"/>
              </w:rPr>
              <w:t>Restricted cash</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1.5</w:t>
            </w:r>
          </w:p>
        </w:tc>
      </w:tr>
      <w:tr>
        <w:trPr>
          <w:trHeight w:val="229"/>
        </w:trPr>
        <w:tc>
          <w:tcPr>
            <w:tcW w:w="2680" w:type="dxa"/>
            <w:vAlign w:val="bottom"/>
          </w:tcPr>
          <w:p>
            <w:pPr>
              <w:spacing w:after="0"/>
              <w:rPr>
                <w:sz w:val="20"/>
                <w:szCs w:val="20"/>
                <w:color w:val="auto"/>
              </w:rPr>
            </w:pPr>
            <w:r>
              <w:rPr>
                <w:rFonts w:ascii="Arial" w:cs="Arial" w:eastAsia="Arial" w:hAnsi="Arial"/>
                <w:sz w:val="16"/>
                <w:szCs w:val="16"/>
                <w:color w:val="auto"/>
              </w:rPr>
              <w:t>Right-of-use asset</w:t>
            </w:r>
          </w:p>
        </w:tc>
        <w:tc>
          <w:tcPr>
            <w:tcW w:w="4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484.6</w:t>
            </w:r>
          </w:p>
        </w:tc>
      </w:tr>
      <w:tr>
        <w:trPr>
          <w:trHeight w:val="260"/>
        </w:trPr>
        <w:tc>
          <w:tcPr>
            <w:tcW w:w="2680" w:type="dxa"/>
            <w:vAlign w:val="bottom"/>
          </w:tcPr>
          <w:p>
            <w:pPr>
              <w:spacing w:after="0"/>
              <w:rPr>
                <w:sz w:val="20"/>
                <w:szCs w:val="20"/>
                <w:color w:val="auto"/>
              </w:rPr>
            </w:pPr>
            <w:r>
              <w:rPr>
                <w:rFonts w:ascii="Arial" w:cs="Arial" w:eastAsia="Arial" w:hAnsi="Arial"/>
                <w:sz w:val="16"/>
                <w:szCs w:val="16"/>
                <w:color w:val="auto"/>
              </w:rPr>
              <w:t>Other assets</w:t>
            </w:r>
          </w:p>
        </w:tc>
        <w:tc>
          <w:tcPr>
            <w:tcW w:w="43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28.0</w:t>
            </w:r>
          </w:p>
        </w:tc>
      </w:tr>
      <w:tr>
        <w:trPr>
          <w:trHeight w:val="239"/>
        </w:trPr>
        <w:tc>
          <w:tcPr>
            <w:tcW w:w="2680" w:type="dxa"/>
            <w:vAlign w:val="bottom"/>
          </w:tcPr>
          <w:p>
            <w:pPr>
              <w:ind w:left="760"/>
              <w:spacing w:after="0"/>
              <w:rPr>
                <w:sz w:val="20"/>
                <w:szCs w:val="20"/>
                <w:color w:val="auto"/>
              </w:rPr>
            </w:pPr>
            <w:r>
              <w:rPr>
                <w:rFonts w:ascii="Arial" w:cs="Arial" w:eastAsia="Arial" w:hAnsi="Arial"/>
                <w:sz w:val="16"/>
                <w:szCs w:val="16"/>
                <w:color w:val="auto"/>
              </w:rPr>
              <w:t>Total assets</w:t>
            </w:r>
          </w:p>
        </w:tc>
        <w:tc>
          <w:tcPr>
            <w:tcW w:w="47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2,569.4</w:t>
            </w:r>
          </w:p>
        </w:tc>
      </w:tr>
      <w:tr>
        <w:trPr>
          <w:trHeight w:val="21"/>
        </w:trPr>
        <w:tc>
          <w:tcPr>
            <w:tcW w:w="2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-2339340</wp:posOffset>
            </wp:positionV>
            <wp:extent cx="670369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-2065020</wp:posOffset>
            </wp:positionV>
            <wp:extent cx="670369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36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-1757045</wp:posOffset>
            </wp:positionV>
            <wp:extent cx="67036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36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-1447800</wp:posOffset>
            </wp:positionV>
            <wp:extent cx="670369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36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-814070</wp:posOffset>
            </wp:positionV>
            <wp:extent cx="670369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36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-505460</wp:posOffset>
            </wp:positionV>
            <wp:extent cx="670369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36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-196215</wp:posOffset>
            </wp:positionV>
            <wp:extent cx="670369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3695" cy="1797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-1130935</wp:posOffset>
            </wp:positionV>
            <wp:extent cx="670369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3695" cy="16319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b w:val="1"/>
          <w:bCs w:val="1"/>
          <w:color w:val="auto"/>
        </w:rPr>
        <w:t>LIABILITIES, REDEEMABLE CONVERTIBLE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20320</wp:posOffset>
            </wp:positionV>
            <wp:extent cx="670369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36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7"/>
        <w:spacing w:after="0"/>
        <w:rPr>
          <w:sz w:val="20"/>
          <w:szCs w:val="20"/>
          <w:color w:val="auto"/>
        </w:rPr>
      </w:pPr>
      <w:r>
        <w:rPr>
          <w:rFonts w:ascii="Arial" w:cs="Arial" w:eastAsia="Arial" w:hAnsi="Arial"/>
          <w:sz w:val="16"/>
          <w:szCs w:val="16"/>
          <w:b w:val="1"/>
          <w:bCs w:val="1"/>
          <w:color w:val="auto"/>
        </w:rPr>
        <w:t>June 30,</w:t>
      </w:r>
    </w:p>
    <w:p>
      <w:pPr>
        <w:spacing w:after="0" w:line="59" w:lineRule="exact"/>
        <w:rPr>
          <w:sz w:val="20"/>
          <w:szCs w:val="20"/>
          <w:color w:val="auto"/>
        </w:rPr>
      </w:pPr>
    </w:p>
    <w:p>
      <w:pPr>
        <w:jc w:val="center"/>
        <w:ind w:right="-67"/>
        <w:spacing w:after="0"/>
        <w:rPr>
          <w:sz w:val="20"/>
          <w:szCs w:val="20"/>
          <w:color w:val="auto"/>
        </w:rPr>
      </w:pP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089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48" w:hanging="1148"/>
        <w:spacing w:after="0"/>
        <w:tabs>
          <w:tab w:leader="none" w:pos="1148" w:val="left"/>
        </w:tabs>
        <w:numPr>
          <w:ilvl w:val="0"/>
          <w:numId w:val="4"/>
        </w:numPr>
        <w:rPr>
          <w:rFonts w:ascii="Arial" w:cs="Arial" w:eastAsia="Arial" w:hAnsi="Arial"/>
          <w:sz w:val="15"/>
          <w:szCs w:val="15"/>
          <w:color w:val="auto"/>
        </w:rPr>
      </w:pPr>
      <w:r>
        <w:rPr>
          <w:rFonts w:ascii="Arial" w:cs="Arial" w:eastAsia="Arial" w:hAnsi="Arial"/>
          <w:sz w:val="15"/>
          <w:szCs w:val="15"/>
          <w:color w:val="auto"/>
        </w:rPr>
        <w:t>162.1</w:t>
      </w:r>
    </w:p>
    <w:p>
      <w:pPr>
        <w:spacing w:after="0" w:line="70" w:lineRule="exact"/>
        <w:rPr>
          <w:rFonts w:ascii="Arial" w:cs="Arial" w:eastAsia="Arial" w:hAnsi="Arial"/>
          <w:sz w:val="15"/>
          <w:szCs w:val="15"/>
          <w:color w:val="auto"/>
        </w:rPr>
      </w:pPr>
    </w:p>
    <w:p>
      <w:pPr>
        <w:ind w:left="1148"/>
        <w:spacing w:after="0"/>
        <w:rPr>
          <w:rFonts w:ascii="Arial" w:cs="Arial" w:eastAsia="Arial" w:hAnsi="Arial"/>
          <w:sz w:val="15"/>
          <w:szCs w:val="15"/>
          <w:color w:val="auto"/>
        </w:rPr>
      </w:pPr>
      <w:r>
        <w:rPr>
          <w:rFonts w:ascii="Arial" w:cs="Arial" w:eastAsia="Arial" w:hAnsi="Arial"/>
          <w:sz w:val="15"/>
          <w:szCs w:val="15"/>
          <w:color w:val="auto"/>
        </w:rPr>
        <w:t>216.0</w:t>
      </w:r>
    </w:p>
    <w:p>
      <w:pPr>
        <w:spacing w:after="0" w:line="70" w:lineRule="exact"/>
        <w:rPr>
          <w:rFonts w:ascii="Arial" w:cs="Arial" w:eastAsia="Arial" w:hAnsi="Arial"/>
          <w:sz w:val="15"/>
          <w:szCs w:val="15"/>
          <w:color w:val="auto"/>
        </w:rPr>
      </w:pPr>
    </w:p>
    <w:p>
      <w:pPr>
        <w:ind w:left="1248"/>
        <w:spacing w:after="0"/>
        <w:rPr>
          <w:rFonts w:ascii="Arial" w:cs="Arial" w:eastAsia="Arial" w:hAnsi="Arial"/>
          <w:sz w:val="15"/>
          <w:szCs w:val="15"/>
          <w:color w:val="auto"/>
        </w:rPr>
      </w:pPr>
      <w:r>
        <w:rPr>
          <w:rFonts w:ascii="Arial" w:cs="Arial" w:eastAsia="Arial" w:hAnsi="Arial"/>
          <w:sz w:val="15"/>
          <w:szCs w:val="15"/>
          <w:color w:val="auto"/>
        </w:rPr>
        <w:t>18.5</w:t>
      </w:r>
    </w:p>
    <w:p>
      <w:pPr>
        <w:spacing w:after="0" w:line="70" w:lineRule="exact"/>
        <w:rPr>
          <w:rFonts w:ascii="Arial" w:cs="Arial" w:eastAsia="Arial" w:hAnsi="Arial"/>
          <w:sz w:val="15"/>
          <w:szCs w:val="15"/>
          <w:color w:val="auto"/>
        </w:rPr>
      </w:pPr>
    </w:p>
    <w:p>
      <w:pPr>
        <w:ind w:left="1148"/>
        <w:spacing w:after="0"/>
        <w:rPr>
          <w:rFonts w:ascii="Arial" w:cs="Arial" w:eastAsia="Arial" w:hAnsi="Arial"/>
          <w:sz w:val="15"/>
          <w:szCs w:val="15"/>
          <w:color w:val="auto"/>
        </w:rPr>
      </w:pPr>
      <w:r>
        <w:rPr>
          <w:rFonts w:ascii="Arial" w:cs="Arial" w:eastAsia="Arial" w:hAnsi="Arial"/>
          <w:sz w:val="15"/>
          <w:szCs w:val="15"/>
          <w:color w:val="auto"/>
        </w:rPr>
        <w:t>136.6</w:t>
      </w:r>
    </w:p>
    <w:p>
      <w:pPr>
        <w:spacing w:after="0" w:line="70" w:lineRule="exact"/>
        <w:rPr>
          <w:rFonts w:ascii="Arial" w:cs="Arial" w:eastAsia="Arial" w:hAnsi="Arial"/>
          <w:sz w:val="15"/>
          <w:szCs w:val="15"/>
          <w:color w:val="auto"/>
        </w:rPr>
      </w:pPr>
    </w:p>
    <w:p>
      <w:pPr>
        <w:ind w:left="1248"/>
        <w:spacing w:after="0"/>
        <w:rPr>
          <w:rFonts w:ascii="Arial" w:cs="Arial" w:eastAsia="Arial" w:hAnsi="Arial"/>
          <w:sz w:val="15"/>
          <w:szCs w:val="15"/>
          <w:color w:val="auto"/>
        </w:rPr>
      </w:pPr>
      <w:r>
        <w:rPr>
          <w:rFonts w:ascii="Arial" w:cs="Arial" w:eastAsia="Arial" w:hAnsi="Arial"/>
          <w:sz w:val="15"/>
          <w:szCs w:val="15"/>
          <w:color w:val="auto"/>
        </w:rPr>
        <w:t>48.4</w:t>
      </w:r>
    </w:p>
    <w:p>
      <w:pPr>
        <w:spacing w:after="0" w:line="84" w:lineRule="exact"/>
        <w:rPr>
          <w:rFonts w:ascii="Arial" w:cs="Arial" w:eastAsia="Arial" w:hAnsi="Arial"/>
          <w:sz w:val="15"/>
          <w:szCs w:val="15"/>
          <w:color w:val="auto"/>
        </w:rPr>
      </w:pPr>
    </w:p>
    <w:p>
      <w:pPr>
        <w:ind w:left="1148"/>
        <w:spacing w:after="0"/>
        <w:rPr>
          <w:rFonts w:ascii="Arial" w:cs="Arial" w:eastAsia="Arial" w:hAnsi="Arial"/>
          <w:sz w:val="15"/>
          <w:szCs w:val="15"/>
          <w:color w:val="auto"/>
        </w:rPr>
      </w:pPr>
      <w:r>
        <w:rPr>
          <w:rFonts w:ascii="Arial" w:cs="Arial" w:eastAsia="Arial" w:hAnsi="Arial"/>
          <w:sz w:val="15"/>
          <w:szCs w:val="15"/>
          <w:color w:val="auto"/>
        </w:rPr>
        <w:t>581.7</w:t>
      </w:r>
    </w:p>
    <w:p>
      <w:pPr>
        <w:spacing w:after="0" w:line="84" w:lineRule="exact"/>
        <w:rPr>
          <w:rFonts w:ascii="Arial" w:cs="Arial" w:eastAsia="Arial" w:hAnsi="Arial"/>
          <w:sz w:val="15"/>
          <w:szCs w:val="15"/>
          <w:color w:val="auto"/>
        </w:rPr>
      </w:pPr>
    </w:p>
    <w:p>
      <w:pPr>
        <w:ind w:left="1148"/>
        <w:spacing w:after="0"/>
        <w:rPr>
          <w:rFonts w:ascii="Arial" w:cs="Arial" w:eastAsia="Arial" w:hAnsi="Arial"/>
          <w:sz w:val="15"/>
          <w:szCs w:val="15"/>
          <w:color w:val="auto"/>
        </w:rPr>
      </w:pPr>
      <w:r>
        <w:rPr>
          <w:rFonts w:ascii="Arial" w:cs="Arial" w:eastAsia="Arial" w:hAnsi="Arial"/>
          <w:sz w:val="15"/>
          <w:szCs w:val="15"/>
          <w:color w:val="auto"/>
        </w:rPr>
        <w:t>249.7</w:t>
      </w:r>
    </w:p>
    <w:p>
      <w:pPr>
        <w:spacing w:after="0" w:line="70" w:lineRule="exact"/>
        <w:rPr>
          <w:rFonts w:ascii="Arial" w:cs="Arial" w:eastAsia="Arial" w:hAnsi="Arial"/>
          <w:sz w:val="15"/>
          <w:szCs w:val="15"/>
          <w:color w:val="auto"/>
        </w:rPr>
      </w:pPr>
    </w:p>
    <w:p>
      <w:pPr>
        <w:ind w:left="1248"/>
        <w:spacing w:after="0"/>
        <w:rPr>
          <w:rFonts w:ascii="Arial" w:cs="Arial" w:eastAsia="Arial" w:hAnsi="Arial"/>
          <w:sz w:val="15"/>
          <w:szCs w:val="15"/>
          <w:color w:val="auto"/>
        </w:rPr>
      </w:pPr>
      <w:r>
        <w:rPr>
          <w:rFonts w:ascii="Arial" w:cs="Arial" w:eastAsia="Arial" w:hAnsi="Arial"/>
          <w:sz w:val="15"/>
          <w:szCs w:val="15"/>
          <w:color w:val="auto"/>
        </w:rPr>
        <w:t>19.5</w:t>
      </w:r>
    </w:p>
    <w:p>
      <w:pPr>
        <w:spacing w:after="0" w:line="70" w:lineRule="exact"/>
        <w:rPr>
          <w:rFonts w:ascii="Arial" w:cs="Arial" w:eastAsia="Arial" w:hAnsi="Arial"/>
          <w:sz w:val="15"/>
          <w:szCs w:val="15"/>
          <w:color w:val="auto"/>
        </w:rPr>
      </w:pPr>
    </w:p>
    <w:p>
      <w:pPr>
        <w:ind w:left="1328"/>
        <w:spacing w:after="0"/>
        <w:rPr>
          <w:rFonts w:ascii="Arial" w:cs="Arial" w:eastAsia="Arial" w:hAnsi="Arial"/>
          <w:sz w:val="15"/>
          <w:szCs w:val="15"/>
          <w:color w:val="auto"/>
        </w:rPr>
      </w:pPr>
      <w:r>
        <w:rPr>
          <w:rFonts w:ascii="Arial" w:cs="Arial" w:eastAsia="Arial" w:hAnsi="Arial"/>
          <w:sz w:val="15"/>
          <w:szCs w:val="15"/>
          <w:color w:val="auto"/>
        </w:rPr>
        <w:t>4.3</w:t>
      </w:r>
    </w:p>
    <w:p>
      <w:pPr>
        <w:spacing w:after="0" w:line="70" w:lineRule="exact"/>
        <w:rPr>
          <w:rFonts w:ascii="Arial" w:cs="Arial" w:eastAsia="Arial" w:hAnsi="Arial"/>
          <w:sz w:val="15"/>
          <w:szCs w:val="15"/>
          <w:color w:val="auto"/>
        </w:rPr>
      </w:pPr>
    </w:p>
    <w:p>
      <w:pPr>
        <w:ind w:left="1328"/>
        <w:spacing w:after="0"/>
        <w:rPr>
          <w:rFonts w:ascii="Arial" w:cs="Arial" w:eastAsia="Arial" w:hAnsi="Arial"/>
          <w:sz w:val="15"/>
          <w:szCs w:val="15"/>
          <w:color w:val="auto"/>
        </w:rPr>
      </w:pPr>
      <w:r>
        <w:rPr>
          <w:rFonts w:ascii="Arial" w:cs="Arial" w:eastAsia="Arial" w:hAnsi="Arial"/>
          <w:sz w:val="15"/>
          <w:szCs w:val="15"/>
          <w:color w:val="auto"/>
        </w:rPr>
        <w:t>0.8</w:t>
      </w:r>
    </w:p>
    <w:p>
      <w:pPr>
        <w:spacing w:after="0" w:line="70" w:lineRule="exact"/>
        <w:rPr>
          <w:rFonts w:ascii="Arial" w:cs="Arial" w:eastAsia="Arial" w:hAnsi="Arial"/>
          <w:sz w:val="15"/>
          <w:szCs w:val="15"/>
          <w:color w:val="auto"/>
        </w:rPr>
      </w:pPr>
    </w:p>
    <w:p>
      <w:pPr>
        <w:ind w:left="1388"/>
        <w:spacing w:after="0"/>
        <w:rPr>
          <w:rFonts w:ascii="Arial" w:cs="Arial" w:eastAsia="Arial" w:hAnsi="Arial"/>
          <w:sz w:val="15"/>
          <w:szCs w:val="15"/>
          <w:color w:val="auto"/>
        </w:rPr>
      </w:pPr>
      <w:r>
        <w:rPr>
          <w:rFonts w:ascii="Arial" w:cs="Arial" w:eastAsia="Arial" w:hAnsi="Arial"/>
          <w:sz w:val="16"/>
          <w:szCs w:val="16"/>
          <w:color w:val="auto"/>
        </w:rPr>
        <w:t>—</w:t>
      </w:r>
    </w:p>
    <w:p>
      <w:pPr>
        <w:spacing w:after="0" w:line="59" w:lineRule="exact"/>
        <w:rPr>
          <w:rFonts w:ascii="Arial" w:cs="Arial" w:eastAsia="Arial" w:hAnsi="Arial"/>
          <w:sz w:val="15"/>
          <w:szCs w:val="15"/>
          <w:color w:val="auto"/>
        </w:rPr>
      </w:pPr>
    </w:p>
    <w:p>
      <w:pPr>
        <w:ind w:left="1328"/>
        <w:spacing w:after="0"/>
        <w:rPr>
          <w:rFonts w:ascii="Arial" w:cs="Arial" w:eastAsia="Arial" w:hAnsi="Arial"/>
          <w:sz w:val="15"/>
          <w:szCs w:val="15"/>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-1069975</wp:posOffset>
            </wp:positionV>
            <wp:extent cx="10890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64" w:lineRule="exact"/>
        <w:rPr>
          <w:sz w:val="20"/>
          <w:szCs w:val="20"/>
          <w:color w:val="auto"/>
        </w:rPr>
      </w:pPr>
    </w:p>
    <w:p>
      <w:pPr>
        <w:ind w:left="1148" w:hanging="1148"/>
        <w:spacing w:after="0"/>
        <w:tabs>
          <w:tab w:leader="none" w:pos="1148" w:val="left"/>
        </w:tabs>
        <w:numPr>
          <w:ilvl w:val="0"/>
          <w:numId w:val="5"/>
        </w:numPr>
        <w:rPr>
          <w:rFonts w:ascii="Arial" w:cs="Arial" w:eastAsia="Arial" w:hAnsi="Arial"/>
          <w:sz w:val="15"/>
          <w:szCs w:val="15"/>
          <w:color w:val="auto"/>
        </w:rPr>
      </w:pPr>
      <w:r>
        <w:rPr>
          <w:rFonts w:ascii="Arial" w:cs="Arial" w:eastAsia="Arial" w:hAnsi="Arial"/>
          <w:sz w:val="15"/>
          <w:szCs w:val="15"/>
          <w:color w:val="auto"/>
        </w:rPr>
        <w:t>864.5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10890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9080" w:space="112"/>
            <w:col w:w="1608"/>
          </w:cols>
          <w:pgMar w:left="320" w:top="643" w:right="779" w:bottom="1440" w:gutter="0" w:footer="0" w:header="0"/>
        </w:sectPr>
      </w:pPr>
    </w:p>
    <w:p>
      <w:pPr>
        <w:ind w:left="360"/>
        <w:spacing w:after="0"/>
        <w:rPr>
          <w:sz w:val="20"/>
          <w:szCs w:val="20"/>
          <w:color w:val="auto"/>
        </w:rPr>
      </w:pPr>
      <w:r>
        <w:rPr>
          <w:rFonts w:ascii="Arial" w:cs="Arial" w:eastAsia="Arial" w:hAnsi="Arial"/>
          <w:sz w:val="16"/>
          <w:szCs w:val="16"/>
          <w:color w:val="auto"/>
        </w:rPr>
        <w:t>Current liabilities: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70369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3695"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Accrued expenses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Customer deposits and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70369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3695"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current liabilities</w:t>
      </w:r>
    </w:p>
    <w:p>
      <w:pPr>
        <w:spacing w:after="0" w:line="7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703695"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3695" cy="163195"/>
                    </a:xfrm>
                    <a:prstGeom prst="rect">
                      <a:avLst/>
                    </a:prstGeom>
                    <a:noFill/>
                  </pic:spPr>
                </pic:pic>
              </a:graphicData>
            </a:graphic>
          </wp:anchor>
        </w:drawing>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rent</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Build-to-suit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70369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3695" cy="154305"/>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Long term lease liability</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19050</wp:posOffset>
            </wp:positionV>
            <wp:extent cx="670369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3695" cy="163195"/>
                    </a:xfrm>
                    <a:prstGeom prst="rect">
                      <a:avLst/>
                    </a:prstGeom>
                    <a:noFill/>
                  </pic:spPr>
                </pic:pic>
              </a:graphicData>
            </a:graphic>
          </wp:anchor>
        </w:drawing>
      </w:r>
    </w:p>
    <w:p>
      <w:pPr>
        <w:spacing w:after="0" w:line="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Total liabilities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703695"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3695" cy="342900"/>
                    </a:xfrm>
                    <a:prstGeom prst="rect">
                      <a:avLst/>
                    </a:prstGeom>
                    <a:noFill/>
                  </pic:spPr>
                </pic:pic>
              </a:graphicData>
            </a:graphic>
          </wp:anchor>
        </w:drawing>
      </w:r>
    </w:p>
    <w:p>
      <w:pPr>
        <w:spacing w:after="0" w:line="12" w:lineRule="exact"/>
        <w:rPr>
          <w:sz w:val="20"/>
          <w:szCs w:val="20"/>
          <w:color w:val="auto"/>
        </w:rPr>
      </w:pPr>
    </w:p>
    <w:p>
      <w:pPr>
        <w:ind w:left="360" w:right="320"/>
        <w:spacing w:after="0" w:line="225" w:lineRule="auto"/>
        <w:rPr>
          <w:sz w:val="20"/>
          <w:szCs w:val="20"/>
          <w:color w:val="auto"/>
        </w:rPr>
      </w:pPr>
      <w:r>
        <w:rPr>
          <w:rFonts w:ascii="Arial" w:cs="Arial" w:eastAsia="Arial" w:hAnsi="Arial"/>
          <w:sz w:val="16"/>
          <w:szCs w:val="16"/>
          <w:color w:val="auto"/>
        </w:rPr>
        <w:t>Redeemable convertible preferred stock, $0.000025 par value, zero and 215,443,468 shares authorized; zero and 210,640,629 shares issued and outstanding as of March 31, 2020 and June 30, 2019, respectively.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703695" cy="548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3695" cy="548640"/>
                    </a:xfrm>
                    <a:prstGeom prst="rect">
                      <a:avLst/>
                    </a:prstGeom>
                    <a:noFill/>
                  </pic:spPr>
                </pic:pic>
              </a:graphicData>
            </a:graphic>
          </wp:anchor>
        </w:drawing>
      </w:r>
    </w:p>
    <w:p>
      <w:pPr>
        <w:spacing w:after="0" w:line="12" w:lineRule="exact"/>
        <w:rPr>
          <w:sz w:val="20"/>
          <w:szCs w:val="20"/>
          <w:color w:val="auto"/>
        </w:rPr>
      </w:pPr>
    </w:p>
    <w:p>
      <w:pPr>
        <w:ind w:left="680"/>
        <w:spacing w:after="0" w:line="219" w:lineRule="auto"/>
        <w:rPr>
          <w:sz w:val="20"/>
          <w:szCs w:val="20"/>
          <w:color w:val="auto"/>
        </w:rPr>
      </w:pPr>
      <w:r>
        <w:rPr>
          <w:rFonts w:ascii="Arial" w:cs="Arial" w:eastAsia="Arial" w:hAnsi="Arial"/>
          <w:sz w:val="16"/>
          <w:szCs w:val="16"/>
          <w:color w:val="auto"/>
        </w:rPr>
        <w:t>Common stock, $0.000025 par value; 2,500,000,000 and zero Class A shares authorized, 175,029,321 and zero shares issued and outstanding as of March 31, 2020 and June 30, 2019, respectively; 2,500,000,000 and 400,000,000 Class B shares authorized, 107,144,281 and 25,301,604 shares issued and outstanding as of March 31, 2020 and June 30, 2019, respectively.</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70369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3695" cy="154305"/>
                    </a:xfrm>
                    <a:prstGeom prst="rect">
                      <a:avLst/>
                    </a:prstGeom>
                    <a:noFill/>
                  </pic:spPr>
                </pic:pic>
              </a:graphicData>
            </a:graphic>
          </wp:anchor>
        </w:drawing>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Accumulated other comprehensive income</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70369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3695" cy="162560"/>
                    </a:xfrm>
                    <a:prstGeom prst="rect">
                      <a:avLst/>
                    </a:prstGeom>
                    <a:noFill/>
                  </pic:spPr>
                </pic:pic>
              </a:graphicData>
            </a:graphic>
          </wp:anchor>
        </w:drawing>
      </w:r>
    </w:p>
    <w:p>
      <w:pPr>
        <w:spacing w:after="0" w:line="5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Total stockholders’ equity (deficit)</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liabilities, redeemable convertible preferred stock, and stockholders’ equity (deficit)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160" w:hanging="1157"/>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141.5</w:t>
      </w:r>
    </w:p>
    <w:p>
      <w:pPr>
        <w:spacing w:after="0" w:line="59"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151.7</w:t>
      </w:r>
    </w:p>
    <w:p>
      <w:pPr>
        <w:spacing w:after="0" w:line="59"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215.2</w:t>
      </w:r>
    </w:p>
    <w:p>
      <w:pPr>
        <w:spacing w:after="0" w:line="59"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6"/>
          <w:szCs w:val="16"/>
          <w:color w:val="auto"/>
        </w:rPr>
        <w:t>31.4</w:t>
      </w:r>
    </w:p>
    <w:p>
      <w:pPr>
        <w:spacing w:after="0" w:line="7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539.9</w:t>
      </w:r>
    </w:p>
    <w:p>
      <w:pPr>
        <w:spacing w:after="0" w:line="72"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497.7</w:t>
      </w:r>
    </w:p>
    <w:p>
      <w:pPr>
        <w:spacing w:after="0" w:line="59"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-768985</wp:posOffset>
            </wp:positionV>
            <wp:extent cx="10883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5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1,052.1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wp:posOffset>
            </wp:positionV>
            <wp:extent cx="10883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2,300.0</w:t>
      </w:r>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0.3</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(783.0)</w:t>
      </w:r>
    </w:p>
    <w:p>
      <w:pPr>
        <w:spacing w:after="0" w:line="7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1,517.3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wp:posOffset>
            </wp:positionV>
            <wp:extent cx="10883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8390" cy="8890"/>
                    </a:xfrm>
                    <a:prstGeom prst="rect">
                      <a:avLst/>
                    </a:prstGeom>
                    <a:noFill/>
                  </pic:spPr>
                </pic:pic>
              </a:graphicData>
            </a:graphic>
          </wp:anchor>
        </w:drawing>
      </w:r>
    </w:p>
    <w:p>
      <w:pPr>
        <w:spacing w:after="0" w:line="53" w:lineRule="exact"/>
        <w:rPr>
          <w:sz w:val="20"/>
          <w:szCs w:val="20"/>
          <w:color w:val="auto"/>
        </w:rPr>
      </w:pPr>
    </w:p>
    <w:p>
      <w:pPr>
        <w:ind w:left="1020" w:hanging="1017"/>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2,569.4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wp:posOffset>
            </wp:positionV>
            <wp:extent cx="10883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839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45085</wp:posOffset>
            </wp:positionV>
            <wp:extent cx="10883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883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248" w:hanging="1248"/>
        <w:spacing w:after="0"/>
        <w:tabs>
          <w:tab w:leader="none" w:pos="1248" w:val="left"/>
        </w:tabs>
        <w:numPr>
          <w:ilvl w:val="0"/>
          <w:numId w:val="8"/>
        </w:numPr>
        <w:rPr>
          <w:rFonts w:ascii="Arial" w:cs="Arial" w:eastAsia="Arial" w:hAnsi="Arial"/>
          <w:sz w:val="16"/>
          <w:szCs w:val="16"/>
          <w:color w:val="auto"/>
        </w:rPr>
      </w:pPr>
      <w:r>
        <w:rPr>
          <w:rFonts w:ascii="Arial" w:cs="Arial" w:eastAsia="Arial" w:hAnsi="Arial"/>
          <w:sz w:val="16"/>
          <w:szCs w:val="16"/>
          <w:color w:val="auto"/>
        </w:rPr>
        <w:t>92.2</w:t>
      </w:r>
    </w:p>
    <w:p>
      <w:pPr>
        <w:spacing w:after="0" w:line="59" w:lineRule="exact"/>
        <w:rPr>
          <w:rFonts w:ascii="Arial" w:cs="Arial" w:eastAsia="Arial" w:hAnsi="Arial"/>
          <w:sz w:val="16"/>
          <w:szCs w:val="16"/>
          <w:color w:val="auto"/>
        </w:rPr>
      </w:pPr>
    </w:p>
    <w:p>
      <w:pPr>
        <w:ind w:left="1148"/>
        <w:spacing w:after="0"/>
        <w:rPr>
          <w:rFonts w:ascii="Arial" w:cs="Arial" w:eastAsia="Arial" w:hAnsi="Arial"/>
          <w:sz w:val="16"/>
          <w:szCs w:val="16"/>
          <w:color w:val="auto"/>
        </w:rPr>
      </w:pPr>
      <w:r>
        <w:rPr>
          <w:rFonts w:ascii="Arial" w:cs="Arial" w:eastAsia="Arial" w:hAnsi="Arial"/>
          <w:sz w:val="16"/>
          <w:szCs w:val="16"/>
          <w:color w:val="auto"/>
        </w:rPr>
        <w:t>104.5</w:t>
      </w:r>
    </w:p>
    <w:p>
      <w:pPr>
        <w:spacing w:after="0" w:line="59" w:lineRule="exact"/>
        <w:rPr>
          <w:rFonts w:ascii="Arial" w:cs="Arial" w:eastAsia="Arial" w:hAnsi="Arial"/>
          <w:sz w:val="16"/>
          <w:szCs w:val="16"/>
          <w:color w:val="auto"/>
        </w:rPr>
      </w:pPr>
    </w:p>
    <w:p>
      <w:pPr>
        <w:ind w:left="1248"/>
        <w:spacing w:after="0"/>
        <w:rPr>
          <w:rFonts w:ascii="Arial" w:cs="Arial" w:eastAsia="Arial" w:hAnsi="Arial"/>
          <w:sz w:val="16"/>
          <w:szCs w:val="16"/>
          <w:color w:val="auto"/>
        </w:rPr>
      </w:pPr>
      <w:r>
        <w:rPr>
          <w:rFonts w:ascii="Arial" w:cs="Arial" w:eastAsia="Arial" w:hAnsi="Arial"/>
          <w:sz w:val="16"/>
          <w:szCs w:val="16"/>
          <w:color w:val="auto"/>
        </w:rPr>
        <w:t>90.8</w:t>
      </w:r>
    </w:p>
    <w:p>
      <w:pPr>
        <w:spacing w:after="0" w:line="59" w:lineRule="exact"/>
        <w:rPr>
          <w:rFonts w:ascii="Arial" w:cs="Arial" w:eastAsia="Arial" w:hAnsi="Arial"/>
          <w:sz w:val="16"/>
          <w:szCs w:val="16"/>
          <w:color w:val="auto"/>
        </w:rPr>
      </w:pPr>
    </w:p>
    <w:p>
      <w:pPr>
        <w:ind w:left="1328"/>
        <w:spacing w:after="0"/>
        <w:rPr>
          <w:rFonts w:ascii="Arial" w:cs="Arial" w:eastAsia="Arial" w:hAnsi="Arial"/>
          <w:sz w:val="16"/>
          <w:szCs w:val="16"/>
          <w:color w:val="auto"/>
        </w:rPr>
      </w:pPr>
      <w:r>
        <w:rPr>
          <w:rFonts w:ascii="Arial" w:cs="Arial" w:eastAsia="Arial" w:hAnsi="Arial"/>
          <w:sz w:val="16"/>
          <w:szCs w:val="16"/>
          <w:color w:val="auto"/>
        </w:rPr>
        <w:t>3.3</w:t>
      </w:r>
    </w:p>
    <w:p>
      <w:pPr>
        <w:spacing w:after="0" w:line="72" w:lineRule="exact"/>
        <w:rPr>
          <w:rFonts w:ascii="Arial" w:cs="Arial" w:eastAsia="Arial" w:hAnsi="Arial"/>
          <w:sz w:val="16"/>
          <w:szCs w:val="16"/>
          <w:color w:val="auto"/>
        </w:rPr>
      </w:pPr>
    </w:p>
    <w:p>
      <w:pPr>
        <w:ind w:left="1148"/>
        <w:spacing w:after="0"/>
        <w:rPr>
          <w:rFonts w:ascii="Arial" w:cs="Arial" w:eastAsia="Arial" w:hAnsi="Arial"/>
          <w:sz w:val="16"/>
          <w:szCs w:val="16"/>
          <w:color w:val="auto"/>
        </w:rPr>
      </w:pPr>
      <w:r>
        <w:rPr>
          <w:rFonts w:ascii="Arial" w:cs="Arial" w:eastAsia="Arial" w:hAnsi="Arial"/>
          <w:sz w:val="16"/>
          <w:szCs w:val="16"/>
          <w:color w:val="auto"/>
        </w:rPr>
        <w:t>290.8</w:t>
      </w:r>
    </w:p>
    <w:p>
      <w:pPr>
        <w:spacing w:after="0" w:line="72" w:lineRule="exact"/>
        <w:rPr>
          <w:rFonts w:ascii="Arial" w:cs="Arial" w:eastAsia="Arial" w:hAnsi="Arial"/>
          <w:sz w:val="16"/>
          <w:szCs w:val="16"/>
          <w:color w:val="auto"/>
        </w:rPr>
      </w:pPr>
    </w:p>
    <w:p>
      <w:pPr>
        <w:ind w:left="1248"/>
        <w:spacing w:after="0"/>
        <w:rPr>
          <w:rFonts w:ascii="Arial" w:cs="Arial" w:eastAsia="Arial" w:hAnsi="Arial"/>
          <w:sz w:val="16"/>
          <w:szCs w:val="16"/>
          <w:color w:val="auto"/>
        </w:rPr>
      </w:pPr>
      <w:r>
        <w:rPr>
          <w:rFonts w:ascii="Arial" w:cs="Arial" w:eastAsia="Arial" w:hAnsi="Arial"/>
          <w:sz w:val="16"/>
          <w:szCs w:val="16"/>
          <w:color w:val="auto"/>
        </w:rPr>
        <w:t>23.7</w:t>
      </w:r>
    </w:p>
    <w:p>
      <w:pPr>
        <w:spacing w:after="0" w:line="59" w:lineRule="exact"/>
        <w:rPr>
          <w:rFonts w:ascii="Arial" w:cs="Arial" w:eastAsia="Arial" w:hAnsi="Arial"/>
          <w:sz w:val="16"/>
          <w:szCs w:val="16"/>
          <w:color w:val="auto"/>
        </w:rPr>
      </w:pPr>
    </w:p>
    <w:p>
      <w:pPr>
        <w:ind w:left="1148"/>
        <w:spacing w:after="0"/>
        <w:rPr>
          <w:rFonts w:ascii="Arial" w:cs="Arial" w:eastAsia="Arial" w:hAnsi="Arial"/>
          <w:sz w:val="16"/>
          <w:szCs w:val="16"/>
          <w:color w:val="auto"/>
        </w:rPr>
      </w:pPr>
      <w:r>
        <w:rPr>
          <w:rFonts w:ascii="Arial" w:cs="Arial" w:eastAsia="Arial" w:hAnsi="Arial"/>
          <w:sz w:val="16"/>
          <w:szCs w:val="16"/>
          <w:color w:val="auto"/>
        </w:rPr>
        <w:t>147.1</w:t>
      </w:r>
    </w:p>
    <w:p>
      <w:pPr>
        <w:spacing w:after="0" w:line="59" w:lineRule="exact"/>
        <w:rPr>
          <w:rFonts w:ascii="Arial" w:cs="Arial" w:eastAsia="Arial" w:hAnsi="Arial"/>
          <w:sz w:val="16"/>
          <w:szCs w:val="16"/>
          <w:color w:val="auto"/>
        </w:rPr>
      </w:pPr>
    </w:p>
    <w:p>
      <w:pPr>
        <w:ind w:left="1388"/>
        <w:spacing w:after="0"/>
        <w:rPr>
          <w:rFonts w:ascii="Arial" w:cs="Arial" w:eastAsia="Arial" w:hAnsi="Arial"/>
          <w:sz w:val="16"/>
          <w:szCs w:val="16"/>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1328"/>
        <w:spacing w:after="0"/>
        <w:rPr>
          <w:rFonts w:ascii="Arial" w:cs="Arial" w:eastAsia="Arial" w:hAnsi="Arial"/>
          <w:sz w:val="16"/>
          <w:szCs w:val="16"/>
          <w:color w:val="auto"/>
        </w:rPr>
      </w:pPr>
      <w:r>
        <w:rPr>
          <w:rFonts w:ascii="Arial" w:cs="Arial" w:eastAsia="Arial" w:hAnsi="Arial"/>
          <w:sz w:val="16"/>
          <w:szCs w:val="16"/>
          <w:color w:val="auto"/>
        </w:rPr>
        <w:t>0.4</w:t>
      </w:r>
    </w:p>
    <w:p>
      <w:pPr>
        <w:spacing w:after="0" w:line="72" w:lineRule="exact"/>
        <w:rPr>
          <w:rFonts w:ascii="Arial" w:cs="Arial" w:eastAsia="Arial" w:hAnsi="Arial"/>
          <w:sz w:val="16"/>
          <w:szCs w:val="16"/>
          <w:color w:val="auto"/>
        </w:rPr>
      </w:pPr>
    </w:p>
    <w:p>
      <w:pPr>
        <w:ind w:left="1148"/>
        <w:spacing w:after="0"/>
        <w:rPr>
          <w:rFonts w:ascii="Arial" w:cs="Arial" w:eastAsia="Arial" w:hAnsi="Arial"/>
          <w:sz w:val="16"/>
          <w:szCs w:val="16"/>
          <w:color w:val="auto"/>
        </w:rPr>
      </w:pPr>
      <w:r>
        <w:rPr>
          <w:rFonts w:ascii="Arial" w:cs="Arial" w:eastAsia="Arial" w:hAnsi="Arial"/>
          <w:sz w:val="16"/>
          <w:szCs w:val="16"/>
          <w:color w:val="auto"/>
        </w:rPr>
        <w:t>462.0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890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-931545</wp:posOffset>
            </wp:positionV>
            <wp:extent cx="10890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148"/>
        <w:spacing w:after="0"/>
        <w:rPr>
          <w:sz w:val="20"/>
          <w:szCs w:val="20"/>
          <w:color w:val="auto"/>
        </w:rPr>
      </w:pPr>
      <w:r>
        <w:rPr>
          <w:rFonts w:ascii="Arial" w:cs="Arial" w:eastAsia="Arial" w:hAnsi="Arial"/>
          <w:sz w:val="16"/>
          <w:szCs w:val="16"/>
          <w:color w:val="auto"/>
        </w:rPr>
        <w:t>941.1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90.7</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0.2</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(629.5)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890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53" w:lineRule="exact"/>
        <w:rPr>
          <w:sz w:val="20"/>
          <w:szCs w:val="20"/>
          <w:color w:val="auto"/>
        </w:rPr>
      </w:pPr>
    </w:p>
    <w:p>
      <w:pPr>
        <w:ind w:left="1148" w:hanging="1148"/>
        <w:spacing w:after="0"/>
        <w:tabs>
          <w:tab w:leader="none" w:pos="1148" w:val="left"/>
        </w:tabs>
        <w:numPr>
          <w:ilvl w:val="0"/>
          <w:numId w:val="9"/>
        </w:numPr>
        <w:rPr>
          <w:rFonts w:ascii="Arial" w:cs="Arial" w:eastAsia="Arial" w:hAnsi="Arial"/>
          <w:sz w:val="16"/>
          <w:szCs w:val="16"/>
          <w:color w:val="auto"/>
        </w:rPr>
      </w:pPr>
      <w:r>
        <w:rPr>
          <w:rFonts w:ascii="Arial" w:cs="Arial" w:eastAsia="Arial" w:hAnsi="Arial"/>
          <w:sz w:val="16"/>
          <w:szCs w:val="16"/>
          <w:color w:val="auto"/>
        </w:rPr>
        <w:t>864.5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890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45085</wp:posOffset>
            </wp:positionV>
            <wp:extent cx="10890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3">
            <w:col w:w="7300" w:space="80"/>
            <w:col w:w="1600" w:space="212"/>
            <w:col w:w="1608"/>
          </w:cols>
          <w:pgMar w:left="320" w:top="643" w:right="779" w:bottom="1440" w:gutter="0" w:footer="0" w:header="0"/>
          <w:type w:val="continuous"/>
        </w:sectPr>
      </w:pPr>
    </w:p>
    <w:p>
      <w:pPr>
        <w:ind w:left="2360"/>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643" w:right="779" w:bottom="1440" w:gutter="0" w:footer="0" w:header="0"/>
          <w:type w:val="continuous"/>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9"/>
                <w:szCs w:val="19"/>
                <w:color w:val="auto"/>
              </w:rPr>
            </w:pPr>
          </w:p>
        </w:tc>
        <w:tc>
          <w:tcPr>
            <w:tcW w:w="26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720" w:type="dxa"/>
            <w:vAlign w:val="bottom"/>
          </w:tcPr>
          <w:p>
            <w:pPr>
              <w:ind w:left="340"/>
              <w:spacing w:after="0"/>
              <w:rPr>
                <w:sz w:val="20"/>
                <w:szCs w:val="20"/>
                <w:color w:val="auto"/>
              </w:rPr>
            </w:pPr>
            <w:r>
              <w:rPr>
                <w:rFonts w:ascii="Arial" w:cs="Arial" w:eastAsia="Arial" w:hAnsi="Arial"/>
                <w:sz w:val="16"/>
                <w:szCs w:val="16"/>
                <w:color w:val="auto"/>
              </w:rPr>
              <w:t>Connected Fitness Products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420.2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261.6</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958.9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560.8</w:t>
            </w:r>
          </w:p>
        </w:tc>
        <w:tc>
          <w:tcPr>
            <w:tcW w:w="0" w:type="dxa"/>
            <w:vAlign w:val="bottom"/>
          </w:tcPr>
          <w:p>
            <w:pPr>
              <w:spacing w:after="0"/>
              <w:rPr>
                <w:sz w:val="1"/>
                <w:szCs w:val="1"/>
                <w:color w:val="auto"/>
              </w:rPr>
            </w:pPr>
          </w:p>
        </w:tc>
      </w:tr>
      <w:tr>
        <w:trPr>
          <w:trHeight w:val="246"/>
        </w:trPr>
        <w:tc>
          <w:tcPr>
            <w:tcW w:w="4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Subscription</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40"/>
        </w:trPr>
        <w:tc>
          <w:tcPr>
            <w:tcW w:w="4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40"/>
        </w:trPr>
        <w:tc>
          <w:tcPr>
            <w:tcW w:w="47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524.6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316.7</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1,218.8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691.7</w:t>
            </w:r>
          </w:p>
        </w:tc>
        <w:tc>
          <w:tcPr>
            <w:tcW w:w="0" w:type="dxa"/>
            <w:vAlign w:val="bottom"/>
          </w:tcPr>
          <w:p>
            <w:pPr>
              <w:spacing w:after="0"/>
              <w:rPr>
                <w:sz w:val="1"/>
                <w:szCs w:val="1"/>
                <w:color w:val="auto"/>
              </w:rPr>
            </w:pPr>
          </w:p>
        </w:tc>
      </w:tr>
      <w:tr>
        <w:trPr>
          <w:trHeight w:val="193"/>
        </w:trPr>
        <w:tc>
          <w:tcPr>
            <w:tcW w:w="4720" w:type="dxa"/>
            <w:vAlign w:val="bottom"/>
          </w:tcPr>
          <w:p>
            <w:pPr>
              <w:ind w:left="60"/>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Connected Fitness Products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240"/>
        </w:trPr>
        <w:tc>
          <w:tcPr>
            <w:tcW w:w="4720" w:type="dxa"/>
            <w:vAlign w:val="bottom"/>
          </w:tcPr>
          <w:p>
            <w:pPr>
              <w:ind w:left="340"/>
              <w:spacing w:after="0"/>
              <w:rPr>
                <w:sz w:val="20"/>
                <w:szCs w:val="20"/>
                <w:color w:val="auto"/>
              </w:rPr>
            </w:pPr>
            <w:r>
              <w:rPr>
                <w:rFonts w:ascii="Arial" w:cs="Arial" w:eastAsia="Arial" w:hAnsi="Arial"/>
                <w:sz w:val="16"/>
                <w:szCs w:val="16"/>
                <w:color w:val="auto"/>
              </w:rPr>
              <w:t>Subscription</w:t>
            </w:r>
          </w:p>
        </w:tc>
        <w:tc>
          <w:tcPr>
            <w:tcW w:w="180" w:type="dxa"/>
            <w:vAlign w:val="bottom"/>
          </w:tcPr>
          <w:p>
            <w:pPr>
              <w:spacing w:after="0"/>
              <w:rPr>
                <w:sz w:val="20"/>
                <w:szCs w:val="20"/>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cost of revenue</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196.1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670.9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408.2</w:t>
            </w:r>
          </w:p>
        </w:tc>
        <w:tc>
          <w:tcPr>
            <w:tcW w:w="0" w:type="dxa"/>
            <w:vAlign w:val="bottom"/>
          </w:tcPr>
          <w:p>
            <w:pPr>
              <w:spacing w:after="0"/>
              <w:rPr>
                <w:sz w:val="1"/>
                <w:szCs w:val="1"/>
                <w:color w:val="auto"/>
              </w:rPr>
            </w:pPr>
          </w:p>
        </w:tc>
      </w:tr>
      <w:tr>
        <w:trPr>
          <w:trHeight w:val="23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548.0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283.5</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154.8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101.1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240"/>
        </w:trPr>
        <w:tc>
          <w:tcPr>
            <w:tcW w:w="472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265.4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304.2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162.0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718.8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436.4</w:t>
            </w:r>
          </w:p>
        </w:tc>
        <w:tc>
          <w:tcPr>
            <w:tcW w:w="0" w:type="dxa"/>
            <w:vAlign w:val="bottom"/>
          </w:tcPr>
          <w:p>
            <w:pPr>
              <w:spacing w:after="0"/>
              <w:rPr>
                <w:sz w:val="1"/>
                <w:szCs w:val="1"/>
                <w:color w:val="auto"/>
              </w:rPr>
            </w:pPr>
          </w:p>
        </w:tc>
      </w:tr>
      <w:tr>
        <w:trPr>
          <w:trHeight w:val="23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 net</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0"/>
        </w:trPr>
        <w:tc>
          <w:tcPr>
            <w:tcW w:w="4720" w:type="dxa"/>
            <w:vAlign w:val="bottom"/>
          </w:tcPr>
          <w:p>
            <w:pPr>
              <w:ind w:left="340"/>
              <w:spacing w:after="0"/>
              <w:rPr>
                <w:sz w:val="20"/>
                <w:szCs w:val="20"/>
                <w:color w:val="auto"/>
              </w:rPr>
            </w:pPr>
            <w:r>
              <w:rPr>
                <w:rFonts w:ascii="Arial" w:cs="Arial" w:eastAsia="Arial" w:hAnsi="Arial"/>
                <w:sz w:val="16"/>
                <w:szCs w:val="16"/>
                <w:color w:val="auto"/>
              </w:rPr>
              <w:t>Other expense, net</w:t>
            </w:r>
          </w:p>
        </w:tc>
        <w:tc>
          <w:tcPr>
            <w:tcW w:w="1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47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other income, net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0"/>
        </w:trPr>
        <w:tc>
          <w:tcPr>
            <w:tcW w:w="4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Class A and Class B common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(160.7)</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share attributable to Class A and Class B common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720" w:type="dxa"/>
            <w:vAlign w:val="bottom"/>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4"/>
                <w:szCs w:val="14"/>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6"/>
                <w:szCs w:val="16"/>
                <w:color w:val="auto"/>
              </w:rPr>
              <w:t>stockholders, basic and diluted</w:t>
            </w:r>
          </w:p>
        </w:tc>
        <w:tc>
          <w:tcPr>
            <w:tcW w:w="1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Class A and Class B common shares</w:t>
            </w:r>
          </w:p>
        </w:tc>
        <w:tc>
          <w:tcPr>
            <w:tcW w:w="18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280,879,011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21,959,822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199,769,233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23,673,350</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basic and diluted</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unrealized loss on marketable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Change in foreign currency translation adjustment</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(loss) income</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70485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660" w:top="118" w:right="6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9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 March 31,</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20" w:type="dxa"/>
            <w:vAlign w:val="bottom"/>
          </w:tcPr>
          <w:p>
            <w:pPr>
              <w:ind w:left="3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35"/>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provided by (used in) operating</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20" w:type="dxa"/>
            <w:vAlign w:val="bottom"/>
          </w:tcPr>
          <w:p>
            <w:pPr>
              <w:ind w:left="74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63"/>
        </w:trPr>
        <w:tc>
          <w:tcPr>
            <w:tcW w:w="69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50"/>
        </w:trPr>
        <w:tc>
          <w:tcPr>
            <w:tcW w:w="6920" w:type="dxa"/>
            <w:vAlign w:val="bottom"/>
          </w:tcPr>
          <w:p>
            <w:pPr>
              <w:ind w:left="740"/>
              <w:spacing w:after="0"/>
              <w:rPr>
                <w:sz w:val="20"/>
                <w:szCs w:val="20"/>
                <w:color w:val="auto"/>
              </w:rPr>
            </w:pPr>
            <w:r>
              <w:rPr>
                <w:rFonts w:ascii="Arial" w:cs="Arial" w:eastAsia="Arial" w:hAnsi="Arial"/>
                <w:sz w:val="18"/>
                <w:szCs w:val="18"/>
                <w:color w:val="auto"/>
              </w:rPr>
              <w:t>Non-cash operating lease expense</w:t>
            </w:r>
          </w:p>
        </w:tc>
        <w:tc>
          <w:tcPr>
            <w:tcW w:w="3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9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Other non-cash items</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69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9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0"/>
        </w:trPr>
        <w:tc>
          <w:tcPr>
            <w:tcW w:w="692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63"/>
        </w:trPr>
        <w:tc>
          <w:tcPr>
            <w:tcW w:w="69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0"/>
        </w:trPr>
        <w:tc>
          <w:tcPr>
            <w:tcW w:w="692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3"/>
        </w:trPr>
        <w:tc>
          <w:tcPr>
            <w:tcW w:w="69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50"/>
        </w:trPr>
        <w:tc>
          <w:tcPr>
            <w:tcW w:w="6920" w:type="dxa"/>
            <w:vAlign w:val="bottom"/>
          </w:tcPr>
          <w:p>
            <w:pPr>
              <w:ind w:left="740"/>
              <w:spacing w:after="0"/>
              <w:rPr>
                <w:sz w:val="20"/>
                <w:szCs w:val="20"/>
                <w:color w:val="auto"/>
              </w:rPr>
            </w:pPr>
            <w:r>
              <w:rPr>
                <w:rFonts w:ascii="Arial" w:cs="Arial" w:eastAsia="Arial" w:hAnsi="Arial"/>
                <w:sz w:val="18"/>
                <w:szCs w:val="18"/>
                <w:color w:val="auto"/>
              </w:rPr>
              <w:t>Customer deposits and deferred revenue</w:t>
            </w:r>
          </w:p>
        </w:tc>
        <w:tc>
          <w:tcPr>
            <w:tcW w:w="3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63"/>
        </w:trPr>
        <w:tc>
          <w:tcPr>
            <w:tcW w:w="69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Operating lease liabilities, net</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6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(1,199.6)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50"/>
        </w:trPr>
        <w:tc>
          <w:tcPr>
            <w:tcW w:w="6920" w:type="dxa"/>
            <w:vAlign w:val="bottom"/>
          </w:tcPr>
          <w:p>
            <w:pPr>
              <w:ind w:left="320"/>
              <w:spacing w:after="0"/>
              <w:rPr>
                <w:sz w:val="20"/>
                <w:szCs w:val="20"/>
                <w:color w:val="auto"/>
              </w:rPr>
            </w:pPr>
            <w:r>
              <w:rPr>
                <w:rFonts w:ascii="Arial" w:cs="Arial" w:eastAsia="Arial" w:hAnsi="Arial"/>
                <w:sz w:val="18"/>
                <w:szCs w:val="18"/>
                <w:color w:val="auto"/>
              </w:rPr>
              <w:t>Maturities of marketable securities</w:t>
            </w:r>
          </w:p>
        </w:tc>
        <w:tc>
          <w:tcPr>
            <w:tcW w:w="3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 of marketable securities</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920" w:type="dxa"/>
            <w:vAlign w:val="bottom"/>
          </w:tcPr>
          <w:p>
            <w:pPr>
              <w:ind w:left="320"/>
              <w:spacing w:after="0"/>
              <w:rPr>
                <w:sz w:val="20"/>
                <w:szCs w:val="20"/>
                <w:color w:val="auto"/>
              </w:rPr>
            </w:pPr>
            <w:r>
              <w:rPr>
                <w:rFonts w:ascii="Arial" w:cs="Arial" w:eastAsia="Arial" w:hAnsi="Arial"/>
                <w:sz w:val="18"/>
                <w:szCs w:val="18"/>
                <w:color w:val="auto"/>
              </w:rPr>
              <w:t>Cash paid for cost method investment</w:t>
            </w:r>
          </w:p>
        </w:tc>
        <w:tc>
          <w:tcPr>
            <w:tcW w:w="3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63"/>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of business, net of cash acquired</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57"/>
        </w:trPr>
        <w:tc>
          <w:tcPr>
            <w:tcW w:w="6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(905.9)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common stock upon initial public offering, net of</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offering costs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1,195.7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920" w:type="dxa"/>
            <w:vAlign w:val="bottom"/>
          </w:tcPr>
          <w:p>
            <w:pPr>
              <w:ind w:left="320"/>
              <w:spacing w:after="0"/>
              <w:rPr>
                <w:sz w:val="20"/>
                <w:szCs w:val="20"/>
                <w:color w:val="auto"/>
              </w:rPr>
            </w:pPr>
            <w:r>
              <w:rPr>
                <w:rFonts w:ascii="Arial" w:cs="Arial" w:eastAsia="Arial" w:hAnsi="Arial"/>
                <w:sz w:val="18"/>
                <w:szCs w:val="18"/>
                <w:color w:val="auto"/>
              </w:rPr>
              <w:t>Repurchase of common and convertible preferred stock, including issuance costs</w:t>
            </w:r>
          </w:p>
        </w:tc>
        <w:tc>
          <w:tcPr>
            <w:tcW w:w="30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5"/>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redeemable convertible preferred stock, net of</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costs</w:t>
            </w: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50"/>
        </w:trPr>
        <w:tc>
          <w:tcPr>
            <w:tcW w:w="6920" w:type="dxa"/>
            <w:vAlign w:val="bottom"/>
          </w:tcPr>
          <w:p>
            <w:pPr>
              <w:ind w:left="320"/>
              <w:spacing w:after="0"/>
              <w:rPr>
                <w:sz w:val="20"/>
                <w:szCs w:val="20"/>
                <w:color w:val="auto"/>
              </w:rPr>
            </w:pPr>
            <w:r>
              <w:rPr>
                <w:rFonts w:ascii="Arial" w:cs="Arial" w:eastAsia="Arial" w:hAnsi="Arial"/>
                <w:sz w:val="18"/>
                <w:szCs w:val="18"/>
                <w:color w:val="auto"/>
              </w:rPr>
              <w:t>Proceeds from employee stock purchase plan withholdings</w:t>
            </w:r>
          </w:p>
        </w:tc>
        <w:tc>
          <w:tcPr>
            <w:tcW w:w="3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CCEEFF"/>
            </w:tcBorders>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57"/>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692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57"/>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3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57"/>
        </w:trPr>
        <w:tc>
          <w:tcPr>
            <w:tcW w:w="69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92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Disclosures of Non-Cash Investing and Financing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6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Conversion of convertible preferred stock to common stock</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(941.1)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tcPr>
          <w:p>
            <w:pPr>
              <w:ind w:left="320"/>
              <w:spacing w:after="0"/>
              <w:rPr>
                <w:sz w:val="20"/>
                <w:szCs w:val="20"/>
                <w:color w:val="auto"/>
              </w:rPr>
            </w:pPr>
            <w:r>
              <w:rPr>
                <w:rFonts w:ascii="Arial" w:cs="Arial" w:eastAsia="Arial" w:hAnsi="Arial"/>
                <w:sz w:val="18"/>
                <w:szCs w:val="18"/>
                <w:color w:val="auto"/>
              </w:rPr>
              <w:t>Property and equipment accrued but unpaid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Building - build-to-suit asset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tcPr>
          <w:p>
            <w:pPr>
              <w:ind w:left="320"/>
              <w:spacing w:after="0"/>
              <w:rPr>
                <w:sz w:val="20"/>
                <w:szCs w:val="20"/>
                <w:color w:val="auto"/>
              </w:rPr>
            </w:pPr>
            <w:r>
              <w:rPr>
                <w:rFonts w:ascii="Arial" w:cs="Arial" w:eastAsia="Arial" w:hAnsi="Arial"/>
                <w:sz w:val="18"/>
                <w:szCs w:val="18"/>
                <w:color w:val="auto"/>
              </w:rPr>
              <w:t>Stock-based compensation capitalized for software development costs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ectPr>
          <w:pgSz w:w="11900" w:h="16838" w:orient="portrait"/>
          <w:cols w:equalWidth="0" w:num="1">
            <w:col w:w="10460"/>
          </w:cols>
          <w:pgMar w:left="660" w:top="118" w:right="779" w:bottom="1440" w:gutter="0" w:footer="0" w:header="0"/>
        </w:sect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85090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660" w:top="118" w:right="779" w:bottom="1440" w:gutter="0" w:footer="0" w:header="0"/>
          <w:type w:val="continuous"/>
        </w:sectPr>
      </w:pPr>
    </w:p>
    <w:bookmarkStart w:id="7" w:name="page8"/>
    <w:bookmarkEnd w:id="7"/>
    <w:p>
      <w:pPr>
        <w:jc w:val="center"/>
        <w:ind w:right="160"/>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7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Redeemable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1780" w:type="dxa"/>
            <w:vAlign w:val="bottom"/>
            <w:gridSpan w:val="5"/>
            <w:vMerge w:val="restart"/>
          </w:tcPr>
          <w:p>
            <w:pPr>
              <w:jc w:val="center"/>
              <w:ind w:right="100"/>
              <w:spacing w:after="0"/>
              <w:rPr>
                <w:sz w:val="20"/>
                <w:szCs w:val="20"/>
                <w:color w:val="auto"/>
              </w:rPr>
            </w:pPr>
            <w:r>
              <w:rPr>
                <w:rFonts w:ascii="Arial" w:cs="Arial" w:eastAsia="Arial" w:hAnsi="Arial"/>
                <w:sz w:val="16"/>
                <w:szCs w:val="16"/>
                <w:b w:val="1"/>
                <w:bCs w:val="1"/>
                <w:color w:val="auto"/>
                <w:w w:val="99"/>
              </w:rPr>
              <w:t>Convertible</w:t>
            </w:r>
          </w:p>
        </w:tc>
        <w:tc>
          <w:tcPr>
            <w:tcW w:w="172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960" w:type="dxa"/>
            <w:vAlign w:val="bottom"/>
            <w:gridSpan w:val="3"/>
          </w:tcPr>
          <w:p>
            <w:pPr>
              <w:ind w:left="40"/>
              <w:spacing w:after="0" w:line="167" w:lineRule="exact"/>
              <w:rPr>
                <w:sz w:val="20"/>
                <w:szCs w:val="20"/>
                <w:color w:val="auto"/>
              </w:rPr>
            </w:pPr>
            <w:r>
              <w:rPr>
                <w:rFonts w:ascii="Arial" w:cs="Arial" w:eastAsia="Arial" w:hAnsi="Arial"/>
                <w:sz w:val="16"/>
                <w:szCs w:val="16"/>
                <w:b w:val="1"/>
                <w:bCs w:val="1"/>
                <w:color w:val="auto"/>
              </w:rPr>
              <w:t>Additional</w:t>
            </w:r>
          </w:p>
        </w:tc>
        <w:tc>
          <w:tcPr>
            <w:tcW w:w="220" w:type="dxa"/>
            <w:vAlign w:val="bottom"/>
          </w:tcPr>
          <w:p>
            <w:pPr>
              <w:spacing w:after="0"/>
              <w:rPr>
                <w:sz w:val="14"/>
                <w:szCs w:val="14"/>
                <w:color w:val="auto"/>
              </w:rPr>
            </w:pPr>
          </w:p>
        </w:tc>
        <w:tc>
          <w:tcPr>
            <w:tcW w:w="1100" w:type="dxa"/>
            <w:vAlign w:val="bottom"/>
            <w:gridSpan w:val="2"/>
          </w:tcPr>
          <w:p>
            <w:pPr>
              <w:ind w:left="180"/>
              <w:spacing w:after="0" w:line="167"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0"/>
              <w:spacing w:after="0" w:line="167"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tcPr>
          <w:p>
            <w:pPr>
              <w:spacing w:after="0"/>
              <w:rPr>
                <w:sz w:val="17"/>
                <w:szCs w:val="17"/>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Paid-In</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Comprehensive</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7"/>
        </w:trPr>
        <w:tc>
          <w:tcPr>
            <w:tcW w:w="27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Income</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2018</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210.6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941.1</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(479.5)</w:t>
            </w:r>
          </w:p>
        </w:tc>
        <w:tc>
          <w:tcPr>
            <w:tcW w:w="0" w:type="dxa"/>
            <w:vAlign w:val="bottom"/>
          </w:tcPr>
          <w:p>
            <w:pPr>
              <w:spacing w:after="0"/>
              <w:rPr>
                <w:sz w:val="1"/>
                <w:szCs w:val="1"/>
                <w:color w:val="auto"/>
              </w:rPr>
            </w:pPr>
          </w:p>
        </w:tc>
      </w:tr>
      <w:tr>
        <w:trPr>
          <w:trHeight w:val="233"/>
        </w:trPr>
        <w:tc>
          <w:tcPr>
            <w:tcW w:w="2700" w:type="dxa"/>
            <w:vAlign w:val="bottom"/>
          </w:tcPr>
          <w:p>
            <w:pPr>
              <w:ind w:left="200"/>
              <w:spacing w:after="0"/>
              <w:rPr>
                <w:sz w:val="20"/>
                <w:szCs w:val="20"/>
                <w:color w:val="auto"/>
              </w:rPr>
            </w:pPr>
            <w:r>
              <w:rPr>
                <w:rFonts w:ascii="Arial" w:cs="Arial" w:eastAsia="Arial" w:hAnsi="Arial"/>
                <w:sz w:val="16"/>
                <w:szCs w:val="16"/>
                <w:color w:val="auto"/>
              </w:rPr>
              <w:t>Exercise of stock options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expense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3"/>
        </w:trPr>
        <w:tc>
          <w:tcPr>
            <w:tcW w:w="2700" w:type="dxa"/>
            <w:vAlign w:val="bottom"/>
          </w:tcPr>
          <w:p>
            <w:pPr>
              <w:ind w:left="200"/>
              <w:spacing w:after="0"/>
              <w:rPr>
                <w:sz w:val="20"/>
                <w:szCs w:val="20"/>
                <w:color w:val="auto"/>
              </w:rPr>
            </w:pPr>
            <w:r>
              <w:rPr>
                <w:rFonts w:ascii="Arial" w:cs="Arial" w:eastAsia="Arial" w:hAnsi="Arial"/>
                <w:sz w:val="16"/>
                <w:szCs w:val="16"/>
                <w:color w:val="auto"/>
              </w:rPr>
              <w:t>Other comprehensive income</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6"/>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6"/>
                <w:szCs w:val="16"/>
                <w:color w:val="auto"/>
              </w:rPr>
              <w:t>Balance – March 31, 2019</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72.3</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(582.0)</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(508.7)</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700" w:type="dxa"/>
            <w:vAlign w:val="bottom"/>
          </w:tcPr>
          <w:p>
            <w:pPr>
              <w:ind w:left="20"/>
              <w:spacing w:after="0"/>
              <w:rPr>
                <w:sz w:val="20"/>
                <w:szCs w:val="20"/>
                <w:color w:val="auto"/>
              </w:rPr>
            </w:pPr>
            <w:r>
              <w:rPr>
                <w:rFonts w:ascii="Arial" w:cs="Arial" w:eastAsia="Arial" w:hAnsi="Arial"/>
                <w:sz w:val="16"/>
                <w:szCs w:val="16"/>
                <w:color w:val="auto"/>
              </w:rPr>
              <w:t>Balance – December 31, 2019</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280.6</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2,269.3</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(727.4)</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1,545.2</w:t>
            </w:r>
          </w:p>
        </w:tc>
        <w:tc>
          <w:tcPr>
            <w:tcW w:w="0" w:type="dxa"/>
            <w:vAlign w:val="bottom"/>
          </w:tcPr>
          <w:p>
            <w:pPr>
              <w:spacing w:after="0"/>
              <w:rPr>
                <w:sz w:val="1"/>
                <w:szCs w:val="1"/>
                <w:color w:val="auto"/>
              </w:rPr>
            </w:pPr>
          </w:p>
        </w:tc>
      </w:tr>
      <w:tr>
        <w:trPr>
          <w:trHeight w:val="246"/>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 of stock options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8"/>
        </w:trPr>
        <w:tc>
          <w:tcPr>
            <w:tcW w:w="2700" w:type="dxa"/>
            <w:vAlign w:val="bottom"/>
          </w:tcPr>
          <w:p>
            <w:pPr>
              <w:ind w:left="200"/>
              <w:spacing w:after="0"/>
              <w:rPr>
                <w:sz w:val="20"/>
                <w:szCs w:val="20"/>
                <w:color w:val="auto"/>
              </w:rPr>
            </w:pPr>
            <w:r>
              <w:rPr>
                <w:rFonts w:ascii="Arial" w:cs="Arial" w:eastAsia="Arial" w:hAnsi="Arial"/>
                <w:sz w:val="16"/>
                <w:szCs w:val="16"/>
                <w:color w:val="auto"/>
              </w:rPr>
              <w:t>Issuance of common stock under</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00" w:type="dxa"/>
            <w:vAlign w:val="bottom"/>
          </w:tcPr>
          <w:p>
            <w:pPr>
              <w:ind w:left="200"/>
              <w:spacing w:after="0"/>
              <w:rPr>
                <w:sz w:val="20"/>
                <w:szCs w:val="20"/>
                <w:color w:val="auto"/>
              </w:rPr>
            </w:pPr>
            <w:r>
              <w:rPr>
                <w:rFonts w:ascii="Arial" w:cs="Arial" w:eastAsia="Arial" w:hAnsi="Arial"/>
                <w:sz w:val="16"/>
                <w:szCs w:val="16"/>
                <w:color w:val="auto"/>
              </w:rPr>
              <w:t>employee stock purchase plan</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expense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3"/>
        </w:trPr>
        <w:tc>
          <w:tcPr>
            <w:tcW w:w="2700" w:type="dxa"/>
            <w:vAlign w:val="bottom"/>
          </w:tcPr>
          <w:p>
            <w:pPr>
              <w:ind w:left="200"/>
              <w:spacing w:after="0"/>
              <w:rPr>
                <w:sz w:val="20"/>
                <w:szCs w:val="20"/>
                <w:color w:val="auto"/>
              </w:rPr>
            </w:pPr>
            <w:r>
              <w:rPr>
                <w:rFonts w:ascii="Arial" w:cs="Arial" w:eastAsia="Arial" w:hAnsi="Arial"/>
                <w:sz w:val="16"/>
                <w:szCs w:val="16"/>
                <w:color w:val="auto"/>
              </w:rPr>
              <w:t>Other comprehensive loss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6"/>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6"/>
                <w:szCs w:val="16"/>
                <w:color w:val="auto"/>
              </w:rPr>
              <w:t>Balance – March 31, 2020</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2,300.0</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(783.0)</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1,517.3</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60"/>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70485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660" w:top="118" w:right="519" w:bottom="1440" w:gutter="0" w:footer="0" w:header="0"/>
        </w:sectPr>
      </w:pPr>
    </w:p>
    <w:bookmarkStart w:id="8" w:name="page9"/>
    <w:bookmarkEnd w:id="8"/>
    <w:p>
      <w:pPr>
        <w:jc w:val="center"/>
        <w:ind w:right="160"/>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7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Redeemable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1780" w:type="dxa"/>
            <w:vAlign w:val="bottom"/>
            <w:gridSpan w:val="5"/>
            <w:vMerge w:val="restart"/>
          </w:tcPr>
          <w:p>
            <w:pPr>
              <w:jc w:val="center"/>
              <w:ind w:right="100"/>
              <w:spacing w:after="0"/>
              <w:rPr>
                <w:sz w:val="20"/>
                <w:szCs w:val="20"/>
                <w:color w:val="auto"/>
              </w:rPr>
            </w:pPr>
            <w:r>
              <w:rPr>
                <w:rFonts w:ascii="Arial" w:cs="Arial" w:eastAsia="Arial" w:hAnsi="Arial"/>
                <w:sz w:val="16"/>
                <w:szCs w:val="16"/>
                <w:b w:val="1"/>
                <w:bCs w:val="1"/>
                <w:color w:val="auto"/>
                <w:w w:val="99"/>
              </w:rPr>
              <w:t>Convertible</w:t>
            </w:r>
          </w:p>
        </w:tc>
        <w:tc>
          <w:tcPr>
            <w:tcW w:w="172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960" w:type="dxa"/>
            <w:vAlign w:val="bottom"/>
            <w:gridSpan w:val="3"/>
          </w:tcPr>
          <w:p>
            <w:pPr>
              <w:ind w:left="40"/>
              <w:spacing w:after="0" w:line="167" w:lineRule="exact"/>
              <w:rPr>
                <w:sz w:val="20"/>
                <w:szCs w:val="20"/>
                <w:color w:val="auto"/>
              </w:rPr>
            </w:pPr>
            <w:r>
              <w:rPr>
                <w:rFonts w:ascii="Arial" w:cs="Arial" w:eastAsia="Arial" w:hAnsi="Arial"/>
                <w:sz w:val="16"/>
                <w:szCs w:val="16"/>
                <w:b w:val="1"/>
                <w:bCs w:val="1"/>
                <w:color w:val="auto"/>
              </w:rPr>
              <w:t>Additional</w:t>
            </w:r>
          </w:p>
        </w:tc>
        <w:tc>
          <w:tcPr>
            <w:tcW w:w="220" w:type="dxa"/>
            <w:vAlign w:val="bottom"/>
          </w:tcPr>
          <w:p>
            <w:pPr>
              <w:spacing w:after="0"/>
              <w:rPr>
                <w:sz w:val="14"/>
                <w:szCs w:val="14"/>
                <w:color w:val="auto"/>
              </w:rPr>
            </w:pPr>
          </w:p>
        </w:tc>
        <w:tc>
          <w:tcPr>
            <w:tcW w:w="1100" w:type="dxa"/>
            <w:vAlign w:val="bottom"/>
            <w:gridSpan w:val="2"/>
          </w:tcPr>
          <w:p>
            <w:pPr>
              <w:ind w:left="180"/>
              <w:spacing w:after="0" w:line="167"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0"/>
              <w:spacing w:after="0" w:line="167"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tcPr>
          <w:p>
            <w:pPr>
              <w:spacing w:after="0"/>
              <w:rPr>
                <w:sz w:val="17"/>
                <w:szCs w:val="17"/>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Paid-In</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Comprehensive</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7"/>
        </w:trPr>
        <w:tc>
          <w:tcPr>
            <w:tcW w:w="27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Income</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2018</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176.3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406.3</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218"/>
        </w:trPr>
        <w:tc>
          <w:tcPr>
            <w:tcW w:w="2700" w:type="dxa"/>
            <w:vAlign w:val="bottom"/>
          </w:tcPr>
          <w:p>
            <w:pPr>
              <w:ind w:left="200"/>
              <w:spacing w:after="0"/>
              <w:rPr>
                <w:sz w:val="20"/>
                <w:szCs w:val="20"/>
                <w:color w:val="auto"/>
              </w:rPr>
            </w:pPr>
            <w:r>
              <w:rPr>
                <w:rFonts w:ascii="Arial" w:cs="Arial" w:eastAsia="Arial" w:hAnsi="Arial"/>
                <w:sz w:val="16"/>
                <w:szCs w:val="16"/>
                <w:color w:val="auto"/>
              </w:rPr>
              <w:t>Issuance of Series F redeemable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00" w:type="dxa"/>
            <w:vAlign w:val="bottom"/>
          </w:tcPr>
          <w:p>
            <w:pPr>
              <w:ind w:left="200"/>
              <w:spacing w:after="0"/>
              <w:rPr>
                <w:sz w:val="20"/>
                <w:szCs w:val="20"/>
                <w:color w:val="auto"/>
              </w:rPr>
            </w:pPr>
            <w:r>
              <w:rPr>
                <w:rFonts w:ascii="Arial" w:cs="Arial" w:eastAsia="Arial" w:hAnsi="Arial"/>
                <w:sz w:val="16"/>
                <w:szCs w:val="16"/>
                <w:color w:val="auto"/>
              </w:rPr>
              <w:t>convertible preferred stock, net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539.1</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 of common and</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33"/>
        </w:trPr>
        <w:tc>
          <w:tcPr>
            <w:tcW w:w="2700" w:type="dxa"/>
            <w:vAlign w:val="bottom"/>
          </w:tcPr>
          <w:p>
            <w:pPr>
              <w:ind w:left="200"/>
              <w:spacing w:after="0"/>
              <w:rPr>
                <w:sz w:val="20"/>
                <w:szCs w:val="20"/>
                <w:color w:val="auto"/>
              </w:rPr>
            </w:pPr>
            <w:r>
              <w:rPr>
                <w:rFonts w:ascii="Arial" w:cs="Arial" w:eastAsia="Arial" w:hAnsi="Arial"/>
                <w:sz w:val="16"/>
                <w:szCs w:val="16"/>
                <w:color w:val="auto"/>
              </w:rPr>
              <w:t>Exercise of stock options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expense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33"/>
        </w:trPr>
        <w:tc>
          <w:tcPr>
            <w:tcW w:w="2700" w:type="dxa"/>
            <w:vAlign w:val="bottom"/>
          </w:tcPr>
          <w:p>
            <w:pPr>
              <w:ind w:left="200"/>
              <w:spacing w:after="0"/>
              <w:rPr>
                <w:sz w:val="20"/>
                <w:szCs w:val="20"/>
                <w:color w:val="auto"/>
              </w:rPr>
            </w:pPr>
            <w:r>
              <w:rPr>
                <w:rFonts w:ascii="Arial" w:cs="Arial" w:eastAsia="Arial" w:hAnsi="Arial"/>
                <w:sz w:val="16"/>
                <w:szCs w:val="16"/>
                <w:color w:val="auto"/>
              </w:rPr>
              <w:t>Other comprehensive income</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6"/>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6"/>
                <w:szCs w:val="16"/>
                <w:color w:val="auto"/>
              </w:rPr>
              <w:t>Balance – March 31, 2019</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72.3</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(582.0)</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(508.7)</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7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700" w:type="dxa"/>
            <w:vAlign w:val="bottom"/>
          </w:tcPr>
          <w:p>
            <w:pPr>
              <w:ind w:left="20"/>
              <w:spacing w:after="0"/>
              <w:rPr>
                <w:sz w:val="20"/>
                <w:szCs w:val="20"/>
                <w:color w:val="auto"/>
              </w:rPr>
            </w:pPr>
            <w:r>
              <w:rPr>
                <w:rFonts w:ascii="Arial" w:cs="Arial" w:eastAsia="Arial" w:hAnsi="Arial"/>
                <w:sz w:val="16"/>
                <w:szCs w:val="16"/>
                <w:color w:val="auto"/>
              </w:rPr>
              <w:t>Balance – June 30, 2019</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90.7</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(629.5)</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(538.6)</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Initial public offering, net of</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1,195.7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1,195.7</w:t>
            </w:r>
          </w:p>
        </w:tc>
        <w:tc>
          <w:tcPr>
            <w:tcW w:w="0" w:type="dxa"/>
            <w:vAlign w:val="bottom"/>
          </w:tcPr>
          <w:p>
            <w:pPr>
              <w:spacing w:after="0"/>
              <w:rPr>
                <w:sz w:val="1"/>
                <w:szCs w:val="1"/>
                <w:color w:val="auto"/>
              </w:rPr>
            </w:pPr>
          </w:p>
        </w:tc>
      </w:tr>
      <w:tr>
        <w:trPr>
          <w:trHeight w:val="201"/>
        </w:trPr>
        <w:tc>
          <w:tcPr>
            <w:tcW w:w="2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costs of $6.3 million</w:t>
            </w: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00" w:type="dxa"/>
            <w:vAlign w:val="bottom"/>
          </w:tcPr>
          <w:p>
            <w:pPr>
              <w:ind w:left="200"/>
              <w:spacing w:after="0"/>
              <w:rPr>
                <w:sz w:val="20"/>
                <w:szCs w:val="20"/>
                <w:color w:val="auto"/>
              </w:rPr>
            </w:pPr>
            <w:r>
              <w:rPr>
                <w:rFonts w:ascii="Arial" w:cs="Arial" w:eastAsia="Arial" w:hAnsi="Arial"/>
                <w:sz w:val="16"/>
                <w:szCs w:val="16"/>
                <w:color w:val="auto"/>
              </w:rPr>
              <w:t>Conversion of redeemable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200"/>
              <w:spacing w:after="0"/>
              <w:rPr>
                <w:sz w:val="20"/>
                <w:szCs w:val="20"/>
                <w:color w:val="auto"/>
              </w:rPr>
            </w:pPr>
            <w:r>
              <w:rPr>
                <w:rFonts w:ascii="Arial" w:cs="Arial" w:eastAsia="Arial" w:hAnsi="Arial"/>
                <w:sz w:val="16"/>
                <w:szCs w:val="16"/>
                <w:color w:val="auto"/>
              </w:rPr>
              <w:t>convertible preferred stock to</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210.6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941.1</w:t>
            </w:r>
          </w:p>
        </w:tc>
        <w:tc>
          <w:tcPr>
            <w:tcW w:w="0" w:type="dxa"/>
            <w:vAlign w:val="bottom"/>
          </w:tcPr>
          <w:p>
            <w:pPr>
              <w:spacing w:after="0"/>
              <w:rPr>
                <w:sz w:val="1"/>
                <w:szCs w:val="1"/>
                <w:color w:val="auto"/>
              </w:rPr>
            </w:pPr>
          </w:p>
        </w:tc>
      </w:tr>
      <w:tr>
        <w:trPr>
          <w:trHeight w:val="253"/>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 of stock options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3"/>
        </w:trPr>
        <w:tc>
          <w:tcPr>
            <w:tcW w:w="2700" w:type="dxa"/>
            <w:vAlign w:val="bottom"/>
          </w:tcPr>
          <w:p>
            <w:pPr>
              <w:ind w:left="200"/>
              <w:spacing w:after="0"/>
              <w:rPr>
                <w:sz w:val="20"/>
                <w:szCs w:val="20"/>
                <w:color w:val="auto"/>
              </w:rPr>
            </w:pPr>
            <w:r>
              <w:rPr>
                <w:rFonts w:ascii="Arial" w:cs="Arial" w:eastAsia="Arial" w:hAnsi="Arial"/>
                <w:sz w:val="16"/>
                <w:szCs w:val="16"/>
                <w:color w:val="auto"/>
              </w:rPr>
              <w:t>Exercise of stock warrants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of common stock under</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stock purchase plan</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8"/>
        </w:trPr>
        <w:tc>
          <w:tcPr>
            <w:tcW w:w="27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00" w:type="dxa"/>
            <w:vAlign w:val="bottom"/>
          </w:tcPr>
          <w:p>
            <w:pPr>
              <w:ind w:left="200"/>
              <w:spacing w:after="0"/>
              <w:rPr>
                <w:sz w:val="20"/>
                <w:szCs w:val="20"/>
                <w:color w:val="auto"/>
              </w:rPr>
            </w:pPr>
            <w:r>
              <w:rPr>
                <w:rFonts w:ascii="Arial" w:cs="Arial" w:eastAsia="Arial" w:hAnsi="Arial"/>
                <w:sz w:val="16"/>
                <w:szCs w:val="16"/>
                <w:color w:val="auto"/>
              </w:rPr>
              <w:t>expense</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57.8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53"/>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comprehensive income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3"/>
        </w:trPr>
        <w:tc>
          <w:tcPr>
            <w:tcW w:w="27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Cumulative effect adjustment in</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connection with adoption of ASU</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2016-02</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6"/>
                <w:szCs w:val="16"/>
                <w:color w:val="auto"/>
              </w:rPr>
              <w:t>Balance – March 31, 2020</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2,300.0</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(783.0)</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1,517.3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60"/>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70485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660" w:top="118" w:right="5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66"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Peloton Interactive, Inc. ("Peloton" or the “Company”) is the largest interactive fitness platform in the world with a loyal community of Members, which we define as any individual who has a Peloton account through a paid Connected Fitness Subscription or a paid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20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organizes its business into the following three reportable segments: Connected Fitness Products, Subscription and Other. See Note 15 of the notes to the condensed consolidated financial statements in Part I, Item 1 of this Quarterly Report on Form 10-Q for further discussion of the Company's segment reporting structure.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Initial Public Offering and Concurrent Private Placement</w:t>
      </w:r>
    </w:p>
    <w:p>
      <w:pPr>
        <w:spacing w:after="0" w:line="66"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In September 2019, the Company closed its initial public offering ("IPO") and a concurrent private placement, in which it issued and sold 43,448,275 shares of its Class A common stock. The price per share to the public in the IPO and in the concurrent private placement was $29.00 per share. The Company received aggregate proceeds of $1.2 billion from the IPO and the concurrent private placement, net of the underwriting discount and before deducting offering costs of approximately $6.3 million. Prior to the closing of the IPO, all shares of the Company's common stock then outstanding were redesignated into 25,301,604 shares of Class B common stock, and upon the closing of the IPO, all shares of the Company's then outstanding preferred stock automatically converted into 210,640,629 shares of Class B common stock on a one-to-one basis.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6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2019,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interim condensed consolidated financial statements should be read in conjunction with the consolidated financial statements and notes included in the final prospectus dated September 25, 2019 and filed with the SEC pursuant to Rule 424(b) under the Securities Act of 1933, as amended, (the "Securities Act"), on September 26, 2019 (the "Prospectus"). However, the Company believes that the disclosures provided herein are adequate to prevent the information presented from being misleading.</w:t>
      </w:r>
    </w:p>
    <w:p>
      <w:pPr>
        <w:spacing w:after="0" w:line="206"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The condensed consolidated financial statements include the accounts of the Company and its wholly-owned subsidiaries. All significant intercompany balances and transactions have been eliminated in consolidation.</w:t>
      </w:r>
    </w:p>
    <w:p>
      <w:pPr>
        <w:spacing w:after="0" w:line="222"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and nine months ended March 31, 2020, are not necessarily indicative of the results to be expected for any subsequent quarter, the fiscal year ending June 30, 2020, or any other period.</w:t>
      </w:r>
    </w:p>
    <w:p>
      <w:pPr>
        <w:spacing w:after="0" w:line="229"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16" w:lineRule="exact"/>
        <w:rPr>
          <w:sz w:val="20"/>
          <w:szCs w:val="20"/>
          <w:color w:val="auto"/>
        </w:rPr>
      </w:pPr>
    </w:p>
    <w:p>
      <w:pPr>
        <w:ind w:left="340" w:right="40"/>
        <w:spacing w:after="0" w:line="237" w:lineRule="auto"/>
        <w:rPr>
          <w:sz w:val="20"/>
          <w:szCs w:val="20"/>
          <w:color w:val="auto"/>
        </w:rPr>
      </w:pPr>
      <w:r>
        <w:rPr>
          <w:rFonts w:ascii="Arial" w:cs="Arial" w:eastAsia="Arial" w:hAnsi="Arial"/>
          <w:sz w:val="16"/>
          <w:szCs w:val="16"/>
          <w:color w:val="auto"/>
        </w:rPr>
        <w:t>Except as described elsewhere in Note 2 of the notes to the condensed consolidated financial statements in the section titled "—Recently Issued Accounting Pronouncements" in Part I, Item 1 of this Quarterly Report on Form 10-Q, there have been no material changes to the Company's significant accounting policies as described in the Prospectus.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66" w:lineRule="exact"/>
        <w:rPr>
          <w:sz w:val="20"/>
          <w:szCs w:val="20"/>
          <w:color w:val="auto"/>
        </w:rPr>
      </w:pPr>
    </w:p>
    <w:p>
      <w:pPr>
        <w:jc w:val="both"/>
        <w:ind w:left="340" w:right="160"/>
        <w:spacing w:after="0" w:line="249"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and expenses and related disclosures. On an ongoing basis, the Company evaluates its estimates, including, among others, those related to income taxes, stock-based compensation, contingencies, transaction price estimates, content costs, the fair values of assets acquired and liabilities assumed in business combinations, contingent consideration, and impairment of goodwill, intangible and long-lived assets. The Company bases its estimates on historical experience, market conditions, and on various other assumptions that are believed to be reasonable. Actual results may differ from these estimates.</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66"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In August 2019, the Board of Directors adopted the 2019 Employee Stock Purchase Plan ("ESPP"), which was subsequently approved by the Company’s stockholders in September 2019. The Company recognizes stock-based compensation expense related to shares issued pursuant to its ESPP on a straight-line basis over the offering period, which is twenty-four months. The ESPP allows employees to purchase shares of the Company's Class A common stock at a 15 percent discount. The ESPP also includes a look-back provision for the purchase price if the stock price on the purchase date is less than the stock price on the offering date.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ASU 2016-02</w:t>
      </w:r>
    </w:p>
    <w:p>
      <w:pPr>
        <w:spacing w:after="0" w:line="21" w:lineRule="exact"/>
        <w:rPr>
          <w:sz w:val="20"/>
          <w:szCs w:val="20"/>
          <w:color w:val="auto"/>
        </w:rPr>
      </w:pPr>
    </w:p>
    <w:p>
      <w:pPr>
        <w:jc w:val="both"/>
        <w:ind w:left="340" w:right="160"/>
        <w:spacing w:after="0" w:line="247"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introduced and codified new lease accounting guidance under ASC 842. ASU 2016-02 requires a lessee to separate the lease components from the non-lease components in a contract and recognize in the statement of financial position a lease payment liability and a right-of-use asset representing its right to use the underlying asset for the lease term. The Company adopted this ASU and related amendments as of July 1, 2019 under the modified retrospective approach, whereby all prior periods continue to be reported under previous lease accounting guidance. The Company elected the package of practical expedients and, as permitted, the Company did not assess whether existing contracts are or contain leases, the lease classification for any existing leases, and identification of initial direct costs for any existing leases. Adoption of the new standard resulted in the recognition of right-of-use assets and operating lease liabilities on the Company's condensed consolidated balance sheet. In addition, the Company de-recognized a build-to-suit arrangement in accordance with the transition requirements, which resulted in an adjustment to retained earnings. The standard did not materially impact the Company's condensed consolidated statements of operations and comprehensive loss. See Note 8 for further discussion of the Company's accounting for leases under ASC 842.</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ASU 2017-04</w:t>
      </w:r>
    </w:p>
    <w:p>
      <w:pPr>
        <w:spacing w:after="0" w:line="21"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-Goodwill and Other: Simplifying the Test for Goodwill Impairment</w:t>
      </w:r>
      <w:r>
        <w:rPr>
          <w:rFonts w:ascii="Arial" w:cs="Arial" w:eastAsia="Arial" w:hAnsi="Arial"/>
          <w:sz w:val="16"/>
          <w:szCs w:val="16"/>
          <w:color w:val="auto"/>
        </w:rPr>
        <w:t>, to simplify the subsequent measurement of goodwill by eliminating Step 2 from the goodwill impairment test. The standard is effective for public entities for annual or any interim goodwill impairment tests in annual reporting years beginning after December 15, 2019. For all other entities, including emerging growth companies, the standard is effective for annual or any interim goodwill impairment tests in annual reporting years beginning after December 15, 2021. Early adoption of this standard is permitted. The Company adopted this ASU on July 1, 2019. The standard did not materially impact the Company's condensed consolidated financial statements.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ASU 2018-07</w:t>
      </w:r>
    </w:p>
    <w:p>
      <w:pPr>
        <w:spacing w:after="0" w:line="21" w:lineRule="exact"/>
        <w:rPr>
          <w:sz w:val="20"/>
          <w:szCs w:val="20"/>
          <w:color w:val="auto"/>
        </w:rPr>
      </w:pPr>
    </w:p>
    <w:p>
      <w:pPr>
        <w:jc w:val="both"/>
        <w:ind w:left="340" w:right="160"/>
        <w:spacing w:after="0" w:line="251" w:lineRule="auto"/>
        <w:rPr>
          <w:sz w:val="20"/>
          <w:szCs w:val="20"/>
          <w:color w:val="auto"/>
        </w:rPr>
      </w:pPr>
      <w:r>
        <w:rPr>
          <w:rFonts w:ascii="Arial" w:cs="Arial" w:eastAsia="Arial" w:hAnsi="Arial"/>
          <w:sz w:val="16"/>
          <w:szCs w:val="16"/>
          <w:color w:val="auto"/>
        </w:rPr>
        <w:t xml:space="preserve">In June 2018, the FASB issued ASU 2018-07 to expand the scope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to include share-based payment transactions for acquiring goods and services from nonemployees. The pronouncement is effective for fiscal years, and for interim periods within those fiscal years, beginning after December 15, 2018, with early adoption permitted. The Company adopted this ASU on July 1, 2019. The standard did not materially impact the Company's condensed consolidated statements of operations and comprehensive loss.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ASU 2016-13</w:t>
      </w:r>
    </w:p>
    <w:p>
      <w:pPr>
        <w:spacing w:after="0" w:line="21" w:lineRule="exact"/>
        <w:rPr>
          <w:sz w:val="20"/>
          <w:szCs w:val="20"/>
          <w:color w:val="auto"/>
        </w:rPr>
      </w:pPr>
    </w:p>
    <w:p>
      <w:pPr>
        <w:jc w:val="both"/>
        <w:ind w:left="340" w:right="160"/>
        <w:spacing w:after="0" w:line="25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This standard changes the impairment model for most financial assets. The new model uses a forward-looking expected loss method, which may result in earlier recognition of allowances for losses, and require expected credit losses to be reflected as allowances rather than reductions in the amortized cost of available-for-sale debt securities. The Company expects to adopt this standard on July 1, 2020. The Company has completed its initial assessment and does not expect adoption of the standard to have a material impact on its condensed consolidated financial statements.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ASU 2019-12</w:t>
      </w:r>
    </w:p>
    <w:p>
      <w:pPr>
        <w:spacing w:after="0" w:line="21" w:lineRule="exact"/>
        <w:rPr>
          <w:sz w:val="20"/>
          <w:szCs w:val="20"/>
          <w:color w:val="auto"/>
        </w:rPr>
      </w:pPr>
    </w:p>
    <w:p>
      <w:pPr>
        <w:jc w:val="both"/>
        <w:ind w:left="340" w:right="160"/>
        <w:spacing w:after="0" w:line="250"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which amends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This ASU simplifies the accounting for income taxes by modifying the treatment of intraperiod tax allocation in certain circumstances, eliminating an exception to recognizing deferred tax liabilities for outside basis differences for foreign equity method investments and foreign subsidiaries when ownership or control changes, and modifying interim period tax calculations when a loss is forecast. In addition, this ASU also requires that enacted changes in tax laws or rates be included in the annual effective rate</w:t>
      </w:r>
    </w:p>
    <w:p>
      <w:pPr>
        <w:sectPr>
          <w:pgSz w:w="11900" w:h="16838" w:orient="portrait"/>
          <w:cols w:equalWidth="0" w:num="1">
            <w:col w:w="11240"/>
          </w:cols>
          <w:pgMar w:left="320" w:top="1066" w:right="339"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1" w:name="page12"/>
    <w:bookmarkEnd w:id="11"/>
    <w:p>
      <w:pPr>
        <w:jc w:val="both"/>
        <w:ind w:left="340" w:right="160"/>
        <w:spacing w:after="0" w:line="253" w:lineRule="auto"/>
        <w:rPr>
          <w:sz w:val="20"/>
          <w:szCs w:val="20"/>
          <w:color w:val="auto"/>
        </w:rPr>
      </w:pPr>
      <w:r>
        <w:rPr>
          <w:rFonts w:ascii="Arial" w:cs="Arial" w:eastAsia="Arial" w:hAnsi="Arial"/>
          <w:sz w:val="16"/>
          <w:szCs w:val="16"/>
          <w:color w:val="auto"/>
        </w:rPr>
        <w:t>determination in the period that includes the enactment date and clarifies the tax accounting of a step up in tax basis of goodwill. The Company expects to adopt this standard on July 1, 2020. The Company has completed its initial assessment, and does not expect adoption of the standard to have a material impact on its condensed consolidated financial statements.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ASU 2020-04</w:t>
      </w:r>
    </w:p>
    <w:p>
      <w:pPr>
        <w:spacing w:after="0" w:line="21" w:lineRule="exact"/>
        <w:rPr>
          <w:sz w:val="20"/>
          <w:szCs w:val="20"/>
          <w:color w:val="auto"/>
        </w:rPr>
      </w:pPr>
    </w:p>
    <w:p>
      <w:pPr>
        <w:jc w:val="both"/>
        <w:ind w:left="340" w:right="160"/>
        <w:spacing w:after="0" w:line="249"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This guidance provides temporary optional expedients and exceptions to accounting guidance on contract modifications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hedge accounting to ease entities' financial reporting burdens as the market transitions from the London Interbank Offered Rate (LIBOR) and other interbank offered rates to alternative reference rates. The guidance was effective upon issuance and generally can be applied through December 31, 2022. The Company is currently evaluating the potential impact of adopting this new accounting guidance, but does not expect the adoption of the standard to have a material impact on its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primary source of revenue is from sales of its Connected Fitness Products and associated recurring Subscription revenue.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48"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and discounts. The Company estimates its liability for product returns based on historical return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32"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standalone selling price based on prices charged to customers.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Connected Fitness Products</w:t>
      </w:r>
    </w:p>
    <w:p>
      <w:pPr>
        <w:spacing w:after="0" w:line="26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Connected Fitness Products include the Company’s Bike and Tread, related accessories, delivery and installation services, and extended warranty agreements. The Company recognizes Connected Fitness Product revenue net of sales returns and discounts when the product has been delivered to the customer. The Company generally allows customers to return products within thirty days of purchase, as stated in its return policy.</w:t>
      </w:r>
    </w:p>
    <w:p>
      <w:pPr>
        <w:spacing w:after="0" w:line="228"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Subscription</w:t>
      </w:r>
    </w:p>
    <w:p>
      <w:pPr>
        <w:spacing w:after="0" w:line="264"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Company’s subscriptions provide unlimited access to content in its library of live and on-demand fitness classes. The Company’s subscriptions are offered on a month-to-month basis.</w:t>
      </w:r>
    </w:p>
    <w:p>
      <w:pPr>
        <w:spacing w:after="0" w:line="222"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Historically, the Company offered a prepaid subscription option where Subscribers earned one free month or three free months of subscription with the purchase of a 12-month subscription or 24-month subscription, respectively. The Company also offered Subscribers the ability to finance the prepaid subscription with the purchase of a Connected Fitness Product as part of its financing program. The associated financing fees were paid to the Company’s third-party partner at the outset of the arrangement and were recorded as a reduction to Subscription revenue. The Company terminated both programs in July 2018.</w:t>
      </w:r>
    </w:p>
    <w:p>
      <w:pPr>
        <w:spacing w:after="0" w:line="230"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Amounts paid for subscription fees are included within customer deposits and deferred revenue and recognized ratably on a month-to-month basis. The Company records payment processing fees for its monthly subscription charges within Cost of subscription revenue in the Company's condensed consolidated statements of operations and comprehensive loss.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Product Warranty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2" w:name="page13"/>
    <w:bookmarkEnd w:id="12"/>
    <w:p>
      <w:pPr>
        <w:jc w:val="both"/>
        <w:ind w:left="340"/>
        <w:spacing w:after="0" w:line="249"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for a period of one year from the date of original delivery.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The Company’s products are manufactured both in-house and by contract manufacturers, and in certain cases, the Company may have recourse to such contract manufacturers.</w:t>
      </w:r>
    </w:p>
    <w:p>
      <w:pPr>
        <w:spacing w:after="0" w:line="232"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The Company also offers the option for customers in some markets to purchase a third-party extended warranty and service contract that extends or enhances the technical support, parts, and labor coverage offered as part of the base warranty included with the Connected Fitness Product for an additional period of 12 to 27 months.</w:t>
      </w:r>
    </w:p>
    <w:p>
      <w:pPr>
        <w:spacing w:after="0" w:line="228"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Revenue and related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loss.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66"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Company's revenue from contracts with customers disaggregated by major product lines, excluding sales-based taxes, are included in Note 15 under the heading "Segment Information".</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revenue disaggregated by geographic region, were as follows: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324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March 31,</w:t>
            </w:r>
          </w:p>
        </w:tc>
        <w:tc>
          <w:tcPr>
            <w:tcW w:w="420" w:type="dxa"/>
            <w:vAlign w:val="bottom"/>
          </w:tcPr>
          <w:p>
            <w:pPr>
              <w:spacing w:after="0"/>
              <w:rPr>
                <w:sz w:val="19"/>
                <w:szCs w:val="19"/>
                <w:color w:val="auto"/>
              </w:rPr>
            </w:pPr>
          </w:p>
        </w:tc>
        <w:tc>
          <w:tcPr>
            <w:tcW w:w="27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 March 31,</w:t>
            </w:r>
          </w:p>
        </w:tc>
      </w:tr>
      <w:tr>
        <w:trPr>
          <w:trHeight w:val="237"/>
        </w:trPr>
        <w:tc>
          <w:tcPr>
            <w:tcW w:w="35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33"/>
        </w:trPr>
        <w:tc>
          <w:tcPr>
            <w:tcW w:w="3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North America </w:t>
            </w:r>
            <w:r>
              <w:rPr>
                <w:rFonts w:ascii="Arial" w:cs="Arial" w:eastAsia="Arial" w:hAnsi="Arial"/>
                <w:sz w:val="21"/>
                <w:szCs w:val="21"/>
                <w:color w:val="auto"/>
                <w:vertAlign w:val="superscript"/>
              </w:rPr>
              <w:t>(1)</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9"/>
              </w:rPr>
              <w:t>503.9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309.4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1,176.7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680.0</w:t>
            </w:r>
          </w:p>
        </w:tc>
      </w:tr>
      <w:tr>
        <w:trPr>
          <w:trHeight w:val="243"/>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 xml:space="preserve">International </w:t>
            </w:r>
            <w:r>
              <w:rPr>
                <w:rFonts w:ascii="Arial" w:cs="Arial" w:eastAsia="Arial" w:hAnsi="Arial"/>
                <w:sz w:val="21"/>
                <w:szCs w:val="21"/>
                <w:color w:val="auto"/>
                <w:vertAlign w:val="superscript"/>
              </w:rPr>
              <w:t>(2)</w:t>
            </w: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11.7</w:t>
            </w:r>
          </w:p>
        </w:tc>
      </w:tr>
      <w:tr>
        <w:trPr>
          <w:trHeight w:val="262"/>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524.6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316.7</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1,218.8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691.7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_________________________</w:t>
      </w:r>
    </w:p>
    <w:p>
      <w:pPr>
        <w:spacing w:after="0" w:line="71" w:lineRule="exact"/>
        <w:rPr>
          <w:sz w:val="20"/>
          <w:szCs w:val="20"/>
          <w:color w:val="auto"/>
        </w:rPr>
      </w:pPr>
    </w:p>
    <w:p>
      <w:pPr>
        <w:ind w:left="680" w:hanging="186"/>
        <w:spacing w:after="0"/>
        <w:tabs>
          <w:tab w:leader="none" w:pos="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Consists of United States and Canada.</w:t>
      </w:r>
    </w:p>
    <w:p>
      <w:pPr>
        <w:spacing w:after="0" w:line="53" w:lineRule="exact"/>
        <w:rPr>
          <w:rFonts w:ascii="Arial" w:cs="Arial" w:eastAsia="Arial" w:hAnsi="Arial"/>
          <w:sz w:val="13"/>
          <w:szCs w:val="13"/>
          <w:color w:val="auto"/>
        </w:rPr>
      </w:pPr>
    </w:p>
    <w:p>
      <w:pPr>
        <w:ind w:left="680" w:hanging="186"/>
        <w:spacing w:after="0"/>
        <w:tabs>
          <w:tab w:leader="none" w:pos="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Consists of United Kingdom and Germany.</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Customer Deposits and Deferred Revenue</w:t>
      </w:r>
    </w:p>
    <w:p>
      <w:pPr>
        <w:spacing w:after="0" w:line="66"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Deferred revenue consists of subscription fees billed that have not been recognized. Customer deposits represent payments received in advance before the Company transfers a good or service to the customer and are refundable.</w:t>
      </w:r>
    </w:p>
    <w:p>
      <w:pPr>
        <w:spacing w:after="0" w:line="228"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As of March 31, 2020 and June 30, 2019, customer deposits of $198.6 million and $81.3 million, respectively, and deferred revenue of $16.6 million and $9.5 million, respectively, were included in Customer deposits and deferred revenue on the Company's Condensed consolidated balance sheet.</w:t>
      </w:r>
    </w:p>
    <w:p>
      <w:pPr>
        <w:spacing w:after="0" w:line="222"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In the nine months ended March 31, 2020, the Company recognized $9.5 million of revenue that was included in the deferred revenue balance as of June 30, 2019.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Investments in Marketable Securities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investments in marketable securities: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3" w:name="page14"/>
    <w:bookmarkEnd w:id="13"/>
    <w:tbl>
      <w:tblPr>
        <w:tblLayout w:type="fixed"/>
        <w:tblInd w:w="332"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98"/>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Amortized</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Unrealized</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Unrealized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Cost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Gains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Fair Value</w:t>
            </w:r>
          </w:p>
        </w:tc>
      </w:tr>
      <w:tr>
        <w:trPr>
          <w:trHeight w:val="233"/>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5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448.6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443.1</w:t>
            </w:r>
          </w:p>
        </w:tc>
      </w:tr>
      <w:tr>
        <w:trPr>
          <w:trHeight w:val="233"/>
        </w:trPr>
        <w:tc>
          <w:tcPr>
            <w:tcW w:w="5320" w:type="dxa"/>
            <w:vAlign w:val="bottom"/>
          </w:tcPr>
          <w:p>
            <w:pPr>
              <w:ind w:left="120"/>
              <w:spacing w:after="0"/>
              <w:rPr>
                <w:sz w:val="20"/>
                <w:szCs w:val="20"/>
                <w:color w:val="auto"/>
              </w:rPr>
            </w:pPr>
            <w:r>
              <w:rPr>
                <w:rFonts w:ascii="Arial" w:cs="Arial" w:eastAsia="Arial" w:hAnsi="Arial"/>
                <w:sz w:val="16"/>
                <w:szCs w:val="16"/>
                <w:color w:val="auto"/>
              </w:rPr>
              <w:t>U.S. treasury securities</w:t>
            </w:r>
          </w:p>
        </w:tc>
        <w:tc>
          <w:tcPr>
            <w:tcW w:w="16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300.7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303.5</w:t>
            </w:r>
          </w:p>
        </w:tc>
      </w:tr>
      <w:tr>
        <w:trPr>
          <w:trHeight w:val="253"/>
        </w:trPr>
        <w:tc>
          <w:tcPr>
            <w:tcW w:w="5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106.0</w:t>
            </w:r>
          </w:p>
        </w:tc>
      </w:tr>
      <w:tr>
        <w:trPr>
          <w:trHeight w:val="233"/>
        </w:trPr>
        <w:tc>
          <w:tcPr>
            <w:tcW w:w="532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64.3</w:t>
            </w:r>
          </w:p>
        </w:tc>
      </w:tr>
      <w:tr>
        <w:trPr>
          <w:trHeight w:val="246"/>
        </w:trPr>
        <w:tc>
          <w:tcPr>
            <w:tcW w:w="5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Certificate of deposits</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45.4</w:t>
            </w:r>
          </w:p>
        </w:tc>
      </w:tr>
      <w:tr>
        <w:trPr>
          <w:trHeight w:val="237"/>
        </w:trPr>
        <w:tc>
          <w:tcPr>
            <w:tcW w:w="53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965.3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962.3</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5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xml:space="preserve">Less: Restricted marketable securities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38.6</w:t>
            </w:r>
          </w:p>
        </w:tc>
      </w:tr>
      <w:tr>
        <w:trPr>
          <w:trHeight w:val="237"/>
        </w:trPr>
        <w:tc>
          <w:tcPr>
            <w:tcW w:w="5320" w:type="dxa"/>
            <w:vAlign w:val="bottom"/>
          </w:tcPr>
          <w:p>
            <w:pPr>
              <w:ind w:left="340"/>
              <w:spacing w:after="0"/>
              <w:rPr>
                <w:sz w:val="20"/>
                <w:szCs w:val="20"/>
                <w:color w:val="auto"/>
              </w:rPr>
            </w:pPr>
            <w:r>
              <w:rPr>
                <w:rFonts w:ascii="Arial" w:cs="Arial" w:eastAsia="Arial" w:hAnsi="Arial"/>
                <w:sz w:val="16"/>
                <w:szCs w:val="16"/>
                <w:color w:val="auto"/>
              </w:rPr>
              <w:t>Total marketable securities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923.7</w:t>
            </w:r>
          </w:p>
        </w:tc>
      </w:tr>
      <w:tr>
        <w:trPr>
          <w:trHeight w:val="20"/>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492"/>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ind w:left="492" w:hanging="6"/>
        <w:spacing w:after="0"/>
        <w:tabs>
          <w:tab w:leader="none" w:pos="681" w:val="left"/>
        </w:tabs>
        <w:numPr>
          <w:ilvl w:val="1"/>
          <w:numId w:val="12"/>
        </w:numPr>
        <w:rPr>
          <w:rFonts w:ascii="Arial" w:cs="Arial" w:eastAsia="Arial" w:hAnsi="Arial"/>
          <w:sz w:val="13"/>
          <w:szCs w:val="13"/>
          <w:color w:val="auto"/>
        </w:rPr>
      </w:pPr>
      <w:r>
        <w:rPr>
          <w:rFonts w:ascii="Arial" w:cs="Arial" w:eastAsia="Arial" w:hAnsi="Arial"/>
          <w:sz w:val="13"/>
          <w:szCs w:val="13"/>
          <w:color w:val="auto"/>
        </w:rPr>
        <w:t>The Company is required to pledge or otherwise restrict a portion of cash, cash equivalents, and marketable securities as collateral for standby letters of credit. The Company classifies cash, cash equivalents, and marketable securities with use restrictions of less than twelve months as "Prepaid expenses and other assets" and of twelve months or longer as non-current "Other assets" on its condensed consolidated balance sheets.</w:t>
      </w:r>
    </w:p>
    <w:p>
      <w:pPr>
        <w:spacing w:after="0" w:line="227" w:lineRule="exact"/>
        <w:rPr>
          <w:rFonts w:ascii="Arial" w:cs="Arial" w:eastAsia="Arial" w:hAnsi="Arial"/>
          <w:sz w:val="13"/>
          <w:szCs w:val="13"/>
          <w:color w:val="auto"/>
        </w:rPr>
      </w:pPr>
    </w:p>
    <w:p>
      <w:pPr>
        <w:ind w:left="172" w:hanging="172"/>
        <w:spacing w:after="0"/>
        <w:tabs>
          <w:tab w:leader="none" w:pos="172"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41" w:lineRule="exact"/>
        <w:rPr>
          <w:sz w:val="20"/>
          <w:szCs w:val="20"/>
          <w:color w:val="auto"/>
        </w:rPr>
      </w:pPr>
    </w:p>
    <w:p>
      <w:pPr>
        <w:jc w:val="both"/>
        <w:ind w:left="332"/>
        <w:spacing w:after="0" w:line="260" w:lineRule="auto"/>
        <w:rPr>
          <w:sz w:val="20"/>
          <w:szCs w:val="20"/>
          <w:color w:val="auto"/>
        </w:rPr>
      </w:pPr>
      <w:r>
        <w:rPr>
          <w:rFonts w:ascii="Arial" w:cs="Arial" w:eastAsia="Arial" w:hAnsi="Arial"/>
          <w:sz w:val="16"/>
          <w:szCs w:val="16"/>
          <w:color w:val="auto"/>
        </w:rPr>
        <w:t>The following table summarizes the Company's assets and liabilities that are measured at fair value on a recurring basis, by level, within the fair value hierarchy:</w:t>
      </w:r>
    </w:p>
    <w:p>
      <w:pPr>
        <w:spacing w:after="0" w:line="364" w:lineRule="exact"/>
        <w:rPr>
          <w:sz w:val="20"/>
          <w:szCs w:val="20"/>
          <w:color w:val="auto"/>
        </w:rPr>
      </w:pPr>
    </w:p>
    <w:tbl>
      <w:tblPr>
        <w:tblLayout w:type="fixed"/>
        <w:tblInd w:w="332" w:type="dxa"/>
        <w:tblCellMar>
          <w:top w:w="0" w:type="dxa"/>
          <w:left w:w="0" w:type="dxa"/>
          <w:bottom w:w="0" w:type="dxa"/>
          <w:right w:w="0" w:type="dxa"/>
        </w:tblCellMar>
      </w:tblPr>
      <w:tr>
        <w:trPr>
          <w:trHeight w:val="228"/>
        </w:trPr>
        <w:tc>
          <w:tcPr>
            <w:tcW w:w="5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As of March 31, 2020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36"/>
        </w:trPr>
        <w:tc>
          <w:tcPr>
            <w:tcW w:w="5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24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80" w:type="dxa"/>
            <w:vAlign w:val="bottom"/>
            <w:gridSpan w:val="5"/>
            <w:shd w:val="clear" w:color="auto" w:fill="CCEEFF"/>
          </w:tcPr>
          <w:p>
            <w:pPr>
              <w:ind w:left="6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53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5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Commercial paper</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r>
      <w:tr>
        <w:trPr>
          <w:trHeight w:val="233"/>
        </w:trPr>
        <w:tc>
          <w:tcPr>
            <w:tcW w:w="530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3"/>
        </w:trPr>
        <w:tc>
          <w:tcPr>
            <w:tcW w:w="5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Corporate bonds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443.1</w:t>
            </w:r>
          </w:p>
        </w:tc>
      </w:tr>
      <w:tr>
        <w:trPr>
          <w:trHeight w:val="233"/>
        </w:trPr>
        <w:tc>
          <w:tcPr>
            <w:tcW w:w="5300" w:type="dxa"/>
            <w:vAlign w:val="bottom"/>
          </w:tcPr>
          <w:p>
            <w:pPr>
              <w:ind w:left="200"/>
              <w:spacing w:after="0"/>
              <w:rPr>
                <w:sz w:val="20"/>
                <w:szCs w:val="20"/>
                <w:color w:val="auto"/>
              </w:rPr>
            </w:pPr>
            <w:r>
              <w:rPr>
                <w:rFonts w:ascii="Arial" w:cs="Arial" w:eastAsia="Arial" w:hAnsi="Arial"/>
                <w:sz w:val="16"/>
                <w:szCs w:val="16"/>
                <w:color w:val="auto"/>
              </w:rPr>
              <w:t>U.S. treasury securities</w:t>
            </w:r>
          </w:p>
        </w:tc>
        <w:tc>
          <w:tcPr>
            <w:tcW w:w="22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303.5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303.5</w:t>
            </w:r>
          </w:p>
        </w:tc>
      </w:tr>
      <w:tr>
        <w:trPr>
          <w:trHeight w:val="253"/>
        </w:trPr>
        <w:tc>
          <w:tcPr>
            <w:tcW w:w="5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Asset- backed securities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106.0</w:t>
            </w:r>
          </w:p>
        </w:tc>
      </w:tr>
      <w:tr>
        <w:trPr>
          <w:trHeight w:val="233"/>
        </w:trPr>
        <w:tc>
          <w:tcPr>
            <w:tcW w:w="5300" w:type="dxa"/>
            <w:vAlign w:val="bottom"/>
          </w:tcPr>
          <w:p>
            <w:pPr>
              <w:ind w:left="200"/>
              <w:spacing w:after="0"/>
              <w:rPr>
                <w:sz w:val="20"/>
                <w:szCs w:val="20"/>
                <w:color w:val="auto"/>
              </w:rPr>
            </w:pPr>
            <w:r>
              <w:rPr>
                <w:rFonts w:ascii="Arial" w:cs="Arial" w:eastAsia="Arial" w:hAnsi="Arial"/>
                <w:sz w:val="16"/>
                <w:szCs w:val="16"/>
                <w:color w:val="auto"/>
              </w:rPr>
              <w:t>Commercial paper</w:t>
            </w:r>
          </w:p>
        </w:tc>
        <w:tc>
          <w:tcPr>
            <w:tcW w:w="22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64.3</w:t>
            </w:r>
          </w:p>
        </w:tc>
      </w:tr>
      <w:tr>
        <w:trPr>
          <w:trHeight w:val="253"/>
        </w:trPr>
        <w:tc>
          <w:tcPr>
            <w:tcW w:w="5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Certificates of deposit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45.4</w:t>
            </w:r>
          </w:p>
        </w:tc>
      </w:tr>
      <w:tr>
        <w:trPr>
          <w:trHeight w:val="233"/>
        </w:trPr>
        <w:tc>
          <w:tcPr>
            <w:tcW w:w="530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6"/>
        </w:trPr>
        <w:tc>
          <w:tcPr>
            <w:tcW w:w="5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Cost-method investments</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r>
      <w:tr>
        <w:trPr>
          <w:trHeight w:val="243"/>
        </w:trPr>
        <w:tc>
          <w:tcPr>
            <w:tcW w:w="5300" w:type="dxa"/>
            <w:vAlign w:val="bottom"/>
          </w:tcPr>
          <w:p>
            <w:pPr>
              <w:ind w:left="42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966.3</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967.0</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3"/>
        </w:trPr>
        <w:tc>
          <w:tcPr>
            <w:tcW w:w="5300" w:type="dxa"/>
            <w:vAlign w:val="bottom"/>
          </w:tcPr>
          <w:p>
            <w:pPr>
              <w:ind w:left="200"/>
              <w:spacing w:after="0"/>
              <w:rPr>
                <w:sz w:val="20"/>
                <w:szCs w:val="20"/>
                <w:color w:val="auto"/>
              </w:rPr>
            </w:pPr>
            <w:r>
              <w:rPr>
                <w:rFonts w:ascii="Arial" w:cs="Arial" w:eastAsia="Arial" w:hAnsi="Arial"/>
                <w:sz w:val="16"/>
                <w:szCs w:val="16"/>
                <w:color w:val="auto"/>
              </w:rPr>
              <w:t>Contingent consideration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2.4</w:t>
            </w:r>
          </w:p>
        </w:tc>
      </w:tr>
      <w:tr>
        <w:trPr>
          <w:trHeight w:val="25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6"/>
        </w:trPr>
        <w:tc>
          <w:tcPr>
            <w:tcW w:w="53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Contingent consideration</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w:t>
            </w:r>
          </w:p>
        </w:tc>
      </w:tr>
      <w:tr>
        <w:trPr>
          <w:trHeight w:val="263"/>
        </w:trPr>
        <w:tc>
          <w:tcPr>
            <w:tcW w:w="53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492"/>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ind w:left="492"/>
        <w:spacing w:after="0"/>
        <w:rPr>
          <w:sz w:val="20"/>
          <w:szCs w:val="20"/>
          <w:color w:val="auto"/>
        </w:rPr>
      </w:pPr>
      <w:r>
        <w:rPr>
          <w:rFonts w:ascii="Arial" w:cs="Arial" w:eastAsia="Arial" w:hAnsi="Arial"/>
          <w:sz w:val="13"/>
          <w:szCs w:val="13"/>
          <w:color w:val="auto"/>
        </w:rPr>
        <w:t>(1) Included in cash and cash equivalents.</w:t>
      </w:r>
    </w:p>
    <w:p>
      <w:pPr>
        <w:spacing w:after="0" w:line="250" w:lineRule="exact"/>
        <w:rPr>
          <w:sz w:val="20"/>
          <w:szCs w:val="20"/>
          <w:color w:val="auto"/>
        </w:rPr>
      </w:pPr>
    </w:p>
    <w:p>
      <w:pPr>
        <w:jc w:val="both"/>
        <w:ind w:left="332" w:right="20"/>
        <w:spacing w:after="0" w:line="253" w:lineRule="auto"/>
        <w:rPr>
          <w:sz w:val="20"/>
          <w:szCs w:val="20"/>
          <w:color w:val="auto"/>
        </w:rPr>
      </w:pPr>
      <w:r>
        <w:rPr>
          <w:rFonts w:ascii="Arial" w:cs="Arial" w:eastAsia="Arial" w:hAnsi="Arial"/>
          <w:sz w:val="16"/>
          <w:szCs w:val="16"/>
          <w:color w:val="auto"/>
        </w:rPr>
        <w:t>Cash equivalents are highly liquid investments with maturities of three months or less when purchased. These investments are carried at cost, which approximates fair value. All investments classified as available-for-sale are recorded at fair value within Marketable securities in the condensed consolidated balance sheets. The Company’s investments classified as Level 1 are based on quoted prices that are available in active markets.</w:t>
      </w:r>
    </w:p>
    <w:p>
      <w:pPr>
        <w:sectPr>
          <w:pgSz w:w="11900" w:h="16838" w:orient="portrait"/>
          <w:cols w:equalWidth="0" w:num="1">
            <w:col w:w="11232"/>
          </w:cols>
          <w:pgMar w:left="328" w:top="661"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type w:val="continuous"/>
        </w:sectPr>
      </w:pPr>
    </w:p>
    <w:bookmarkStart w:id="14" w:name="page15"/>
    <w:bookmarkEnd w:id="14"/>
    <w:p>
      <w:pPr>
        <w:jc w:val="both"/>
        <w:ind w:left="340"/>
        <w:spacing w:after="0" w:line="248" w:lineRule="auto"/>
        <w:rPr>
          <w:sz w:val="20"/>
          <w:szCs w:val="20"/>
          <w:color w:val="auto"/>
        </w:rPr>
      </w:pPr>
      <w:r>
        <w:rPr>
          <w:rFonts w:ascii="Arial" w:cs="Arial" w:eastAsia="Arial" w:hAnsi="Arial"/>
          <w:sz w:val="16"/>
          <w:szCs w:val="16"/>
          <w:color w:val="auto"/>
        </w:rPr>
        <w:t>The contingent consideration represents the estimated fair value of cash consideration payable in connection with a recent acquisition that is contingent upon the achievement of certain performance milestones. The Company estimated the fair value using expected future cash flows over the period in which the obligation is expected to be settled, and applied a discount rate that appropriately captures a market participant's view of risk associated with the obligation, which are considered to be Level 3 inputs. The fair value of the contingent consideration arrangement is sensitive to change in the expected achievement of the applicable milestones and changes in discount rate. The Company remeasures the fair value of the contingent consideration arrangement each reporting period, including the accretion of the discount, if applicable, and changes are recognized in General and administrative expense in the condensed consolidated statements of operations and comprehensive loss. See Note 7 for further discussion of the Company's accounting for the contingent consideration.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Inventory</w:t>
      </w:r>
    </w:p>
    <w:p>
      <w:pPr>
        <w:spacing w:after="0" w:line="268"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900" w:type="dxa"/>
            <w:vAlign w:val="bottom"/>
          </w:tcPr>
          <w:p>
            <w:pPr>
              <w:spacing w:after="0"/>
              <w:rPr>
                <w:sz w:val="20"/>
                <w:szCs w:val="20"/>
                <w:color w:val="auto"/>
              </w:rPr>
            </w:pPr>
            <w:r>
              <w:rPr>
                <w:rFonts w:ascii="Arial" w:cs="Arial" w:eastAsia="Arial" w:hAnsi="Arial"/>
                <w:sz w:val="16"/>
                <w:szCs w:val="16"/>
                <w:color w:val="auto"/>
              </w:rPr>
              <w:t>Inventories were as follows:</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568"/>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24"/>
                <w:szCs w:val="24"/>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June 30,</w:t>
            </w:r>
          </w:p>
        </w:tc>
      </w:tr>
      <w:tr>
        <w:trPr>
          <w:trHeight w:val="228"/>
        </w:trPr>
        <w:tc>
          <w:tcPr>
            <w:tcW w:w="6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33"/>
        </w:trPr>
        <w:tc>
          <w:tcPr>
            <w:tcW w:w="6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80" w:type="dxa"/>
            <w:vAlign w:val="bottom"/>
          </w:tcPr>
          <w:p>
            <w:pPr>
              <w:spacing w:after="0"/>
              <w:rPr>
                <w:sz w:val="20"/>
                <w:szCs w:val="20"/>
                <w:color w:val="auto"/>
              </w:rPr>
            </w:pPr>
          </w:p>
        </w:tc>
      </w:tr>
      <w:tr>
        <w:trPr>
          <w:trHeight w:val="25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3"/>
        </w:trPr>
        <w:tc>
          <w:tcPr>
            <w:tcW w:w="69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32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204.0</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152.0</w:t>
            </w:r>
          </w:p>
        </w:tc>
      </w:tr>
      <w:tr>
        <w:trPr>
          <w:trHeight w:val="233"/>
        </w:trPr>
        <w:tc>
          <w:tcPr>
            <w:tcW w:w="690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32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220.5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152.0</w:t>
            </w:r>
          </w:p>
        </w:tc>
      </w:tr>
      <w:tr>
        <w:trPr>
          <w:trHeight w:val="24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Reserves</w:t>
            </w: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43"/>
        </w:trPr>
        <w:tc>
          <w:tcPr>
            <w:tcW w:w="6900" w:type="dxa"/>
            <w:vAlign w:val="bottom"/>
          </w:tcPr>
          <w:p>
            <w:pPr>
              <w:ind w:left="200"/>
              <w:spacing w:after="0"/>
              <w:rPr>
                <w:sz w:val="20"/>
                <w:szCs w:val="20"/>
                <w:color w:val="auto"/>
              </w:rPr>
            </w:pPr>
            <w:r>
              <w:rPr>
                <w:rFonts w:ascii="Arial" w:cs="Arial" w:eastAsia="Arial" w:hAnsi="Arial"/>
                <w:sz w:val="16"/>
                <w:szCs w:val="16"/>
                <w:color w:val="auto"/>
              </w:rPr>
              <w:t>Total inventories,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194.2</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136.6</w:t>
            </w: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Acquisition of Tonic Fitness Technology</w:t>
      </w:r>
    </w:p>
    <w:p>
      <w:pPr>
        <w:spacing w:after="0" w:line="268"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In October 2019, the Company completed its previously announced acquisition of Tonic Fitness Technology ("Tonic"), a manufacturing company located in Taiwan, for a purchase price of approximately $45.2 million, net of cash acquired, which was paid in cash. During the three months ended March 31, 2020, the purchase consideration was reduced by $0.2 million associated with the final working capital adjustment, resulting in a revised purchase price of $45.0 million. On the acquisition date, Tonic became a wholly-owned subsidiary of the Company. The Company acquired Tonic in order to have more control over its supply chain and to help the Company scale its production. The Company agreed to pay consideration if certain future production milestones are met over the next four years. This contingent consideration was recorded as an earn-out liability on the condensed consolidated balance sheets at its fair value of $6.8 million and is included within the purchase price. The maximum payout of this contingent consideration is $7.5 million.</w:t>
      </w:r>
    </w:p>
    <w:p>
      <w:pPr>
        <w:spacing w:after="0" w:line="208"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operating results of Tonic have been included in the Company's Condensed consolidated statements of operations and comprehensive loss since the acquisition date. Actual and pro forma revenue and results of operations for the acquisition have not been presented because they do not have a material impact to the consolidated revenue and results of operations, either individually or in the aggregate.</w:t>
      </w:r>
    </w:p>
    <w:p>
      <w:pPr>
        <w:spacing w:after="0" w:line="201"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recognized zero and $0.3 million of acquisition-related costs that were expensed as incurred during the three and nine months ended March 31, 2020, respectively. These costs are included in General and administrative expense in the condensed consolidated statements of operations and comprehensive loss.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Preliminary Purchase Price Allocation</w:t>
      </w:r>
    </w:p>
    <w:p>
      <w:pPr>
        <w:spacing w:after="0" w:line="237"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The acquisition was accounted for under the acquisition method. The following table summarizes the refined estimate of the fair values of assets acquired and liabilities assumed at the closing date: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5" w:name="page16"/>
    <w:bookmarkEnd w:id="15"/>
    <w:tbl>
      <w:tblPr>
        <w:tblLayout w:type="fixed"/>
        <w:tblInd w:w="34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 of October 16, 2019</w:t>
            </w:r>
          </w:p>
        </w:tc>
      </w:tr>
      <w:tr>
        <w:trPr>
          <w:trHeight w:val="230"/>
        </w:trPr>
        <w:tc>
          <w:tcPr>
            <w:tcW w:w="8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right"/>
              <w:ind w:right="699"/>
              <w:spacing w:after="0"/>
              <w:rPr>
                <w:sz w:val="20"/>
                <w:szCs w:val="20"/>
                <w:color w:val="auto"/>
              </w:rPr>
            </w:pPr>
            <w:r>
              <w:rPr>
                <w:rFonts w:ascii="Arial" w:cs="Arial" w:eastAsia="Arial" w:hAnsi="Arial"/>
                <w:sz w:val="16"/>
                <w:szCs w:val="16"/>
                <w:b w:val="1"/>
                <w:bCs w:val="1"/>
                <w:color w:val="auto"/>
              </w:rPr>
              <w:t>(in millions)</w:t>
            </w:r>
          </w:p>
        </w:tc>
      </w:tr>
      <w:tr>
        <w:trPr>
          <w:trHeight w:val="25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r>
      <w:tr>
        <w:trPr>
          <w:trHeight w:val="233"/>
        </w:trPr>
        <w:tc>
          <w:tcPr>
            <w:tcW w:w="80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0"/>
                <w:szCs w:val="20"/>
                <w:color w:val="auto"/>
              </w:rPr>
            </w:pPr>
          </w:p>
        </w:tc>
        <w:tc>
          <w:tcPr>
            <w:tcW w:w="2240" w:type="dxa"/>
            <w:vAlign w:val="bottom"/>
          </w:tcPr>
          <w:p>
            <w:pPr>
              <w:jc w:val="right"/>
              <w:ind w:right="59"/>
              <w:spacing w:after="0"/>
              <w:rPr>
                <w:sz w:val="20"/>
                <w:szCs w:val="20"/>
                <w:color w:val="auto"/>
              </w:rPr>
            </w:pPr>
            <w:r>
              <w:rPr>
                <w:rFonts w:ascii="Arial" w:cs="Arial" w:eastAsia="Arial" w:hAnsi="Arial"/>
                <w:sz w:val="16"/>
                <w:szCs w:val="16"/>
                <w:color w:val="auto"/>
              </w:rPr>
              <w:t>29.1</w:t>
            </w:r>
          </w:p>
        </w:tc>
      </w:tr>
      <w:tr>
        <w:trPr>
          <w:trHeight w:val="25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240" w:type="dxa"/>
            <w:vAlign w:val="bottom"/>
            <w:shd w:val="clear" w:color="auto" w:fill="CCEEFF"/>
          </w:tcPr>
          <w:p>
            <w:pPr>
              <w:spacing w:after="0"/>
              <w:rPr>
                <w:sz w:val="21"/>
                <w:szCs w:val="21"/>
                <w:color w:val="auto"/>
              </w:rPr>
            </w:pPr>
          </w:p>
        </w:tc>
        <w:tc>
          <w:tcPr>
            <w:tcW w:w="2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20.4</w:t>
            </w:r>
          </w:p>
        </w:tc>
      </w:tr>
      <w:tr>
        <w:trPr>
          <w:trHeight w:val="233"/>
        </w:trPr>
        <w:tc>
          <w:tcPr>
            <w:tcW w:w="80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2240" w:type="dxa"/>
            <w:vAlign w:val="bottom"/>
          </w:tcPr>
          <w:p>
            <w:pPr>
              <w:jc w:val="right"/>
              <w:ind w:right="59"/>
              <w:spacing w:after="0"/>
              <w:rPr>
                <w:sz w:val="20"/>
                <w:szCs w:val="20"/>
                <w:color w:val="auto"/>
              </w:rPr>
            </w:pPr>
            <w:r>
              <w:rPr>
                <w:rFonts w:ascii="Arial" w:cs="Arial" w:eastAsia="Arial" w:hAnsi="Arial"/>
                <w:sz w:val="16"/>
                <w:szCs w:val="16"/>
                <w:color w:val="auto"/>
              </w:rPr>
              <w:t>32.3</w:t>
            </w:r>
          </w:p>
        </w:tc>
      </w:tr>
      <w:tr>
        <w:trPr>
          <w:trHeight w:val="24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1"/>
                <w:szCs w:val="21"/>
                <w:color w:val="auto"/>
              </w:rPr>
            </w:pPr>
          </w:p>
        </w:tc>
        <w:tc>
          <w:tcPr>
            <w:tcW w:w="2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r>
      <w:tr>
        <w:trPr>
          <w:trHeight w:val="237"/>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95.7</w:t>
            </w: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3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8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43"/>
        </w:trPr>
        <w:tc>
          <w:tcPr>
            <w:tcW w:w="8060" w:type="dxa"/>
            <w:vAlign w:val="bottom"/>
          </w:tcPr>
          <w:p>
            <w:pPr>
              <w:ind w:left="200"/>
              <w:spacing w:after="0"/>
              <w:rPr>
                <w:sz w:val="20"/>
                <w:szCs w:val="20"/>
                <w:color w:val="auto"/>
              </w:rPr>
            </w:pPr>
            <w:r>
              <w:rPr>
                <w:rFonts w:ascii="Arial" w:cs="Arial" w:eastAsia="Arial" w:hAnsi="Arial"/>
                <w:sz w:val="16"/>
                <w:szCs w:val="16"/>
                <w:color w:val="auto"/>
              </w:rPr>
              <w:t>Net assets acquired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45.0</w:t>
            </w: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The preliminary purchase price allocation resulted in the recognition of $32.3 million of goodwill. Goodwill represents the future economic benefits expected to arise from other intangible assets acquired that do not qualify for separate recognition, including an experienced workforce and expected future synergies. The Company allocated the goodwill to its Connected Fitness reporting segment. None of the goodwill is expected to be deductible for tax purposes.</w:t>
      </w:r>
    </w:p>
    <w:p>
      <w:pPr>
        <w:spacing w:after="0" w:line="229"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expects to finalize its purchase price allocation after management has further analyzed and assessed a number of the factors used in establishing the fair values of assets acquired and liabilities assumed as of the acquisition date including, but not limited to, the working capital acquired. The final fair value determination could result in material adjustments to the values presented in the preliminary purchase price allocation.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Leases</w:t>
      </w:r>
    </w:p>
    <w:p>
      <w:pPr>
        <w:spacing w:after="0" w:line="241"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leases facilities under operating leases with various expiration dates through 2039. The Company leases space for its corporate headquarters and the operation of its production studio facilities, retail showrooms, microstores, distribution centers, warehouses, factories, and other office spaces.</w:t>
      </w:r>
    </w:p>
    <w:p>
      <w:pPr>
        <w:spacing w:after="0" w:line="201"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Right-of-use assets and lease liabilities are established on the condensed consolidated balance sheets for leases with an expected term greater than one year. As the rate implicit in the lease is not determinable, the Company uses its secured incremental borrowing rate to determine the present value of the lease payments.</w:t>
      </w:r>
    </w:p>
    <w:p>
      <w:pPr>
        <w:spacing w:after="0" w:line="201"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Leases with an initial term of 12 months or less are not recorded on the condensed consolidated balance sheets. The Company recognizes lease expense for these leases on a straight-line basis over the term of the lease. The Company has elected to not separate lease and non-lease components.</w:t>
      </w:r>
    </w:p>
    <w:p>
      <w:pPr>
        <w:spacing w:after="0" w:line="389"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Company's lease terms include options to extend or terminate the underlying lease when it is reasonably certain that the Company will exercise that option. The operating lease arrangements included in the measurement of lease liabilities do not reflect options to extend or terminate, as management does not consider the exercise of these options to be reasonably certain.</w:t>
      </w:r>
    </w:p>
    <w:p>
      <w:pPr>
        <w:spacing w:after="0" w:line="201"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Variable lease payments include, but are not limited to, percentage of sales, common area charges, taxes paid by the landlord that are charged to the Company, and changes to the consumer price index. Variable lease payments are expensed as incurred.</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2020, the total remaining lease payments included in the measurement of lease liabilities for operating leases were as follows: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8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Fiscal Year Ending June 30,</w:t>
            </w:r>
          </w:p>
        </w:tc>
      </w:tr>
      <w:tr>
        <w:trPr>
          <w:trHeight w:val="233"/>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jc w:val="right"/>
              <w:ind w:right="699"/>
              <w:spacing w:after="0"/>
              <w:rPr>
                <w:sz w:val="20"/>
                <w:szCs w:val="20"/>
                <w:color w:val="auto"/>
              </w:rPr>
            </w:pPr>
            <w:r>
              <w:rPr>
                <w:rFonts w:ascii="Arial" w:cs="Arial" w:eastAsia="Arial" w:hAnsi="Arial"/>
                <w:sz w:val="16"/>
                <w:szCs w:val="16"/>
                <w:b w:val="1"/>
                <w:bCs w:val="1"/>
                <w:color w:val="auto"/>
              </w:rPr>
              <w:t>(in millions)</w:t>
            </w:r>
          </w:p>
        </w:tc>
      </w:tr>
      <w:tr>
        <w:trPr>
          <w:trHeight w:val="25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remainder of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18.3</w:t>
            </w:r>
          </w:p>
        </w:tc>
      </w:tr>
      <w:tr>
        <w:trPr>
          <w:trHeight w:val="243"/>
        </w:trPr>
        <w:tc>
          <w:tcPr>
            <w:tcW w:w="8060" w:type="dxa"/>
            <w:vAlign w:val="bottom"/>
          </w:tcPr>
          <w:p>
            <w:pPr>
              <w:ind w:left="20"/>
              <w:spacing w:after="0"/>
              <w:rPr>
                <w:sz w:val="20"/>
                <w:szCs w:val="20"/>
                <w:color w:val="auto"/>
              </w:rPr>
            </w:pPr>
            <w:r>
              <w:rPr>
                <w:rFonts w:ascii="Arial" w:cs="Arial" w:eastAsia="Arial" w:hAnsi="Arial"/>
                <w:sz w:val="16"/>
                <w:szCs w:val="16"/>
                <w:color w:val="auto"/>
              </w:rPr>
              <w:t xml:space="preserve">2021 </w:t>
            </w:r>
            <w:r>
              <w:rPr>
                <w:rFonts w:ascii="Arial" w:cs="Arial" w:eastAsia="Arial" w:hAnsi="Arial"/>
                <w:sz w:val="21"/>
                <w:szCs w:val="21"/>
                <w:color w:val="auto"/>
                <w:vertAlign w:val="superscript"/>
              </w:rPr>
              <w:t>(1)</w:t>
            </w:r>
          </w:p>
        </w:tc>
        <w:tc>
          <w:tcPr>
            <w:tcW w:w="140" w:type="dxa"/>
            <w:vAlign w:val="bottom"/>
          </w:tcPr>
          <w:p>
            <w:pPr>
              <w:spacing w:after="0"/>
              <w:rPr>
                <w:sz w:val="21"/>
                <w:szCs w:val="21"/>
                <w:color w:val="auto"/>
              </w:rPr>
            </w:pPr>
          </w:p>
        </w:tc>
        <w:tc>
          <w:tcPr>
            <w:tcW w:w="2340" w:type="dxa"/>
            <w:vAlign w:val="bottom"/>
          </w:tcPr>
          <w:p>
            <w:pPr>
              <w:jc w:val="right"/>
              <w:ind w:right="59"/>
              <w:spacing w:after="0"/>
              <w:rPr>
                <w:sz w:val="20"/>
                <w:szCs w:val="20"/>
                <w:color w:val="auto"/>
              </w:rPr>
            </w:pPr>
            <w:r>
              <w:rPr>
                <w:rFonts w:ascii="Arial" w:cs="Arial" w:eastAsia="Arial" w:hAnsi="Arial"/>
                <w:sz w:val="16"/>
                <w:szCs w:val="16"/>
                <w:color w:val="auto"/>
              </w:rPr>
              <w:t>21.2</w:t>
            </w: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CEEFF"/>
          </w:tcPr>
          <w:p>
            <w:pPr>
              <w:spacing w:after="0"/>
              <w:rPr>
                <w:sz w:val="21"/>
                <w:szCs w:val="21"/>
                <w:color w:val="auto"/>
              </w:rPr>
            </w:pPr>
          </w:p>
        </w:tc>
        <w:tc>
          <w:tcPr>
            <w:tcW w:w="2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66.3</w:t>
            </w:r>
          </w:p>
        </w:tc>
      </w:tr>
      <w:tr>
        <w:trPr>
          <w:trHeight w:val="233"/>
        </w:trPr>
        <w:tc>
          <w:tcPr>
            <w:tcW w:w="8060" w:type="dxa"/>
            <w:vAlign w:val="bottom"/>
          </w:tcPr>
          <w:p>
            <w:pPr>
              <w:ind w:left="2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20"/>
                <w:szCs w:val="20"/>
                <w:color w:val="auto"/>
              </w:rPr>
            </w:pPr>
          </w:p>
        </w:tc>
        <w:tc>
          <w:tcPr>
            <w:tcW w:w="2340" w:type="dxa"/>
            <w:vAlign w:val="bottom"/>
          </w:tcPr>
          <w:p>
            <w:pPr>
              <w:jc w:val="right"/>
              <w:ind w:right="59"/>
              <w:spacing w:after="0"/>
              <w:rPr>
                <w:sz w:val="20"/>
                <w:szCs w:val="20"/>
                <w:color w:val="auto"/>
              </w:rPr>
            </w:pPr>
            <w:r>
              <w:rPr>
                <w:rFonts w:ascii="Arial" w:cs="Arial" w:eastAsia="Arial" w:hAnsi="Arial"/>
                <w:sz w:val="16"/>
                <w:szCs w:val="16"/>
                <w:color w:val="auto"/>
              </w:rPr>
              <w:t>66.2</w:t>
            </w:r>
          </w:p>
        </w:tc>
      </w:tr>
      <w:tr>
        <w:trPr>
          <w:trHeight w:val="25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CEEFF"/>
          </w:tcPr>
          <w:p>
            <w:pPr>
              <w:spacing w:after="0"/>
              <w:rPr>
                <w:sz w:val="21"/>
                <w:szCs w:val="21"/>
                <w:color w:val="auto"/>
              </w:rPr>
            </w:pPr>
          </w:p>
        </w:tc>
        <w:tc>
          <w:tcPr>
            <w:tcW w:w="2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63.0</w:t>
            </w:r>
          </w:p>
        </w:tc>
      </w:tr>
      <w:tr>
        <w:trPr>
          <w:trHeight w:val="23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573.7</w:t>
            </w:r>
          </w:p>
        </w:tc>
      </w:tr>
      <w:tr>
        <w:trPr>
          <w:trHeight w:val="261"/>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808.6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16" w:name="page17"/>
    <w:bookmarkEnd w:id="16"/>
    <w:p>
      <w:pPr>
        <w:ind w:left="340"/>
        <w:spacing w:after="0"/>
        <w:rPr>
          <w:sz w:val="20"/>
          <w:szCs w:val="20"/>
          <w:color w:val="auto"/>
        </w:rPr>
      </w:pPr>
      <w:r>
        <w:rPr>
          <w:rFonts w:ascii="Arial" w:cs="Arial" w:eastAsia="Arial" w:hAnsi="Arial"/>
          <w:sz w:val="13"/>
          <w:szCs w:val="13"/>
          <w:color w:val="auto"/>
        </w:rPr>
        <w:t>(1) Includes $37.8 million in tenant improvement receivable.</w:t>
      </w:r>
    </w:p>
    <w:p>
      <w:pPr>
        <w:spacing w:after="0" w:line="200" w:lineRule="exact"/>
        <w:rPr>
          <w:sz w:val="20"/>
          <w:szCs w:val="20"/>
          <w:color w:val="auto"/>
        </w:rPr>
      </w:pP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620" w:type="dxa"/>
            <w:vAlign w:val="bottom"/>
          </w:tcPr>
          <w:p>
            <w:pPr>
              <w:spacing w:after="0"/>
              <w:rPr>
                <w:sz w:val="20"/>
                <w:szCs w:val="20"/>
                <w:color w:val="auto"/>
              </w:rPr>
            </w:pPr>
            <w:r>
              <w:rPr>
                <w:rFonts w:ascii="Arial" w:cs="Arial" w:eastAsia="Arial" w:hAnsi="Arial"/>
                <w:sz w:val="16"/>
                <w:szCs w:val="16"/>
                <w:color w:val="auto"/>
              </w:rPr>
              <w:t>Supplemental information related to leases was as follows:</w:t>
            </w:r>
          </w:p>
        </w:tc>
        <w:tc>
          <w:tcPr>
            <w:tcW w:w="6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66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As of March 31, 2020</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Reconciliation of Lease Liabilities</w:t>
            </w:r>
          </w:p>
        </w:tc>
        <w:tc>
          <w:tcPr>
            <w:tcW w:w="640" w:type="dxa"/>
            <w:vAlign w:val="bottom"/>
          </w:tcPr>
          <w:p>
            <w:pPr>
              <w:spacing w:after="0"/>
              <w:rPr>
                <w:sz w:val="20"/>
                <w:szCs w:val="20"/>
                <w:color w:val="auto"/>
              </w:rPr>
            </w:pPr>
          </w:p>
        </w:tc>
        <w:tc>
          <w:tcPr>
            <w:tcW w:w="3020" w:type="dxa"/>
            <w:vAlign w:val="bottom"/>
          </w:tcPr>
          <w:p>
            <w:pPr>
              <w:jc w:val="right"/>
              <w:ind w:right="879"/>
              <w:spacing w:after="0"/>
              <w:rPr>
                <w:sz w:val="20"/>
                <w:szCs w:val="20"/>
                <w:color w:val="auto"/>
              </w:rPr>
            </w:pPr>
            <w:r>
              <w:rPr>
                <w:rFonts w:ascii="Arial" w:cs="Arial" w:eastAsia="Arial" w:hAnsi="Arial"/>
                <w:sz w:val="16"/>
                <w:szCs w:val="16"/>
                <w:b w:val="1"/>
                <w:bCs w:val="1"/>
                <w:color w:val="auto"/>
              </w:rPr>
              <w:t>(dollars in millions)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64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3"/>
        </w:trPr>
        <w:tc>
          <w:tcPr>
            <w:tcW w:w="66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640" w:type="dxa"/>
            <w:vAlign w:val="bottom"/>
          </w:tcPr>
          <w:p>
            <w:pPr>
              <w:spacing w:after="0"/>
              <w:rPr>
                <w:sz w:val="20"/>
                <w:szCs w:val="20"/>
                <w:color w:val="auto"/>
              </w:rPr>
            </w:pPr>
          </w:p>
        </w:tc>
        <w:tc>
          <w:tcPr>
            <w:tcW w:w="3020" w:type="dxa"/>
            <w:vAlign w:val="bottom"/>
          </w:tcPr>
          <w:p>
            <w:pPr>
              <w:jc w:val="right"/>
              <w:spacing w:after="0"/>
              <w:rPr>
                <w:sz w:val="20"/>
                <w:szCs w:val="20"/>
                <w:color w:val="auto"/>
              </w:rPr>
            </w:pPr>
            <w:r>
              <w:rPr>
                <w:rFonts w:ascii="Arial" w:cs="Arial" w:eastAsia="Arial" w:hAnsi="Arial"/>
                <w:sz w:val="16"/>
                <w:szCs w:val="16"/>
                <w:color w:val="auto"/>
              </w:rPr>
              <w:t>5.75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5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Undiscounted Lease Liability</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3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808.6</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6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w:t>
            </w: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Discounted Lease Liability</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522.0</w:t>
            </w:r>
          </w:p>
        </w:tc>
        <w:tc>
          <w:tcPr>
            <w:tcW w:w="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Current portion of lease liability</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20" w:type="dxa"/>
            <w:vAlign w:val="bottom"/>
            <w:vMerge w:val="continue"/>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3020" w:type="dxa"/>
            <w:vAlign w:val="bottom"/>
          </w:tcPr>
          <w:p>
            <w:pPr>
              <w:jc w:val="right"/>
              <w:spacing w:after="0"/>
              <w:rPr>
                <w:sz w:val="20"/>
                <w:szCs w:val="20"/>
                <w:color w:val="auto"/>
              </w:rPr>
            </w:pPr>
            <w:r>
              <w:rPr>
                <w:rFonts w:ascii="Arial" w:cs="Arial" w:eastAsia="Arial" w:hAnsi="Arial"/>
                <w:sz w:val="16"/>
                <w:szCs w:val="16"/>
                <w:color w:val="auto"/>
              </w:rPr>
              <w:t>24.3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lease liability</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3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497.7</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740" w:type="dxa"/>
            <w:vAlign w:val="bottom"/>
          </w:tcPr>
          <w:p>
            <w:pPr>
              <w:spacing w:after="0"/>
              <w:rPr>
                <w:sz w:val="20"/>
                <w:szCs w:val="20"/>
                <w:color w:val="auto"/>
              </w:rPr>
            </w:pPr>
            <w:r>
              <w:rPr>
                <w:rFonts w:ascii="Arial" w:cs="Arial" w:eastAsia="Arial" w:hAnsi="Arial"/>
                <w:sz w:val="16"/>
                <w:szCs w:val="16"/>
                <w:color w:val="auto"/>
              </w:rPr>
              <w:t>Supplemental cash flow and other information related to leases was as follows:</w:t>
            </w: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364"/>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Nine Months Ended March 31, 2020</w:t>
            </w: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Cash Paid For Amounts Included In Measurement of Liabilities</w:t>
            </w:r>
          </w:p>
        </w:tc>
        <w:tc>
          <w:tcPr>
            <w:tcW w:w="340" w:type="dxa"/>
            <w:vAlign w:val="bottom"/>
          </w:tcPr>
          <w:p>
            <w:pPr>
              <w:spacing w:after="0"/>
              <w:rPr>
                <w:sz w:val="20"/>
                <w:szCs w:val="20"/>
                <w:color w:val="auto"/>
              </w:rPr>
            </w:pPr>
          </w:p>
        </w:tc>
        <w:tc>
          <w:tcPr>
            <w:tcW w:w="3460" w:type="dxa"/>
            <w:vAlign w:val="bottom"/>
          </w:tcPr>
          <w:p>
            <w:pPr>
              <w:jc w:val="right"/>
              <w:ind w:right="1359"/>
              <w:spacing w:after="0"/>
              <w:rPr>
                <w:sz w:val="20"/>
                <w:szCs w:val="20"/>
                <w:color w:val="auto"/>
              </w:rPr>
            </w:pPr>
            <w:r>
              <w:rPr>
                <w:rFonts w:ascii="Arial" w:cs="Arial" w:eastAsia="Arial" w:hAnsi="Arial"/>
                <w:sz w:val="16"/>
                <w:szCs w:val="16"/>
                <w:b w:val="1"/>
                <w:bCs w:val="1"/>
                <w:color w:val="auto"/>
              </w:rPr>
              <w:t>(in millions)</w:t>
            </w: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from operating leases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30.2</w:t>
            </w:r>
          </w:p>
        </w:tc>
      </w:tr>
      <w:tr>
        <w:trPr>
          <w:trHeight w:val="257"/>
        </w:trPr>
        <w:tc>
          <w:tcPr>
            <w:tcW w:w="6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 (non-cash)</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321.2</w:t>
            </w:r>
          </w:p>
        </w:tc>
      </w:tr>
    </w:tbl>
    <w:p>
      <w:pPr>
        <w:spacing w:after="0" w:line="200" w:lineRule="exact"/>
        <w:rPr>
          <w:sz w:val="20"/>
          <w:szCs w:val="20"/>
          <w:color w:val="auto"/>
        </w:rPr>
      </w:pPr>
    </w:p>
    <w:p>
      <w:pPr>
        <w:spacing w:after="0" w:line="261"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Total operating lease expense was $23.5 million and $63.0 million for the three and nine months ended March 31, 2020, of which $3.6 million and $7.9 million was attributable to variable lease expense, respectively, and $0.1 million and $0.6 million was attributable to short-term lease expense, respectively. During the three and nine months ended March 31, 2019, rent expense was $10.4 million and $24.7 million, respectively.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Debt and Financing Arrangements</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Amended and Restated Credit Agreement</w:t>
      </w:r>
    </w:p>
    <w:p>
      <w:pPr>
        <w:spacing w:after="0" w:line="6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In June 2019, the Company entered into an amended and restated loan and security agreement (“Amended Credit Agreement”) with JPMorgan Chase Bank, N.A., as administrative agent, lead arranger and bookrunner and Bank of America, N.A., Barclays Bank PLC, Goldman Sachs Lending Partners LLC and Silicon Valley Bank, as joint syndication agents, which amended and restated the Company's 2018 secured revolving credit facility. The Amended Credit Agreement provides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235"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During the three and nine months ended March 31, 2020, the Company incurred total commitment fees of $0.2 million and $0.6 million, respectively, and zero and $0.2 million during the three and nine months ended March 31, 2019, respectively, which are included in interest expense in the condensed consolidated statements of operations and comprehensive loss.</w:t>
      </w:r>
    </w:p>
    <w:p>
      <w:pPr>
        <w:spacing w:after="0" w:line="228"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principal amount, if any, is payable in full in June 2024. As of March 31, 2020, the Company had not drawn on the credit facility and did not have outstanding borrowings under the Amended Credit Agreement.</w:t>
      </w:r>
    </w:p>
    <w:p>
      <w:pPr>
        <w:spacing w:after="0" w:line="195"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In connection with the execution of the Amended Credit Agreement, the Company incurred debt issuance costs of $0.9 million, which are capitalized and presented as Other assets on the Company's condensed consolidated balance sheets. These costs are being amortized to interest expense using the effective interest method over the term of the Amended Credit Agreement.</w:t>
      </w:r>
    </w:p>
    <w:p>
      <w:pPr>
        <w:spacing w:after="0" w:line="201"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its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March 31, 2020, the Company was in compliance with the covenants under the Amended Credit Agreement. At March 31, 2020, the Company was contingently liable for approximately $4.2 million in standby letters of credit as security for an operating lease obligation.</w:t>
      </w:r>
    </w:p>
    <w:p>
      <w:pPr>
        <w:sectPr>
          <w:pgSz w:w="11900" w:h="16838" w:orient="portrait"/>
          <w:cols w:equalWidth="0" w:num="1">
            <w:col w:w="11240"/>
          </w:cols>
          <w:pgMar w:left="320" w:top="6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10. Commitments and Contingencies</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Content Costs for Past Use Reserve</w:t>
      </w:r>
    </w:p>
    <w:p>
      <w:pPr>
        <w:spacing w:after="0" w:line="66"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To secure the rights to stream music on the Peloton platform, the Company must obtain licenses from, and pay royalties to, copyright owners of both sound recordings and musical compositions.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228"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Prior to the execution of go-forward music license agreements, the Company estimates and records expenses inclusive of estimated content costs for past use as well as normal and recurring music royalty expenses. During the three and nine months ended March 31, 2020, the Company recorded content costs for past use of zero and $1.0 million, respectively, and $11.3 million and $16.4 million during the three and nine months ended March 31, 2019, respectively. In addition, the Company recorded estimates for normal and recurring royalty expense of $0.9 million and $3.3 million during the three and nine months ended March 31, 2020, respectively, and $1.2 million and $2.1 million during the three and nine months ended March 31, 2019, respectively. The Company includes both of these components in its reserve. As of March 31, 2020, the Company recorded reserves of $11.6 million, included in Accrued expenses in the accompanying Condensed consolidated balance sheets.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6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On March 19, 2019, Downtown Music Publishing LLC, ole Media Management, L.P., Big Deal Music, LLC, CYPMP, LLC, Peer International Corporation, PSO Limited, Peermusic Ltd., Peermusic III, Ltd., Peertunes, Ltd., Songs of Peer Ltd., Reservoir Media Management, Inc., The Richmond Organization, Inc., Round Hill Music LLC, The Royalty Network, Inc., and Ultra International Music Publishing, LLC filed a lawsuit against the Company in the U.S. District Court for the Southern District of New York, captioned Downtown Music Publ’g LLC, et. al v. Peloton Interactive, Inc., alleging that the Company engaged in copyright infringement by using certain accused songs in streaming and recorded fitness classes without necessary licenses. The plaintiffs alleged that they are music publishers that own or control the copyrights in numerous musical works that were synchronized by the Company without the plaintiffs’ authorization. The complaint asserted a single claim for copyright infringement.</w:t>
      </w:r>
    </w:p>
    <w:p>
      <w:pPr>
        <w:spacing w:after="0" w:line="235"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On April 30, 2019, the Company answered the complaint and filed counterclaims against the original named plaintiffs and National Music Publishers’ Association, Inc., a trade association, alleging that they coordinated to collectively negotiate licenses in violation of the antitrust laws. The counterclaims also asserted that the trade association tortuously interfered with the Company's attempts to engage in direct negotiations with music publishers in violation of state law. The counterclaims sought injunctive relief, monetary damages (to be trebled under applicable statute), and attorneys’ fees and costs. An initial pretrial conference was held on May 9, 2019 and discovery commenced thereafter. An amended complaint filed on May 31, 2019 named additional plaintiffs Greensleeves Publishing Ltd., Me Gusta Music, LLC, Raleigh Music Publishing LLC, STB Music, Inc., and TuneCore, Inc. and identified additional musical works. The Company answered the amended complaint on June 14, 2019. On June 24, 2019, counter-defendants filed a motion to dismiss the counterclaims, to which the Company filed an opposition on August 8, 2019.</w:t>
      </w:r>
    </w:p>
    <w:p>
      <w:pPr>
        <w:spacing w:after="0" w:line="221" w:lineRule="exact"/>
        <w:rPr>
          <w:sz w:val="20"/>
          <w:szCs w:val="20"/>
          <w:color w:val="auto"/>
        </w:rPr>
      </w:pPr>
    </w:p>
    <w:p>
      <w:pPr>
        <w:jc w:val="both"/>
        <w:ind w:left="340"/>
        <w:spacing w:after="0" w:line="233" w:lineRule="auto"/>
        <w:rPr>
          <w:sz w:val="20"/>
          <w:szCs w:val="20"/>
          <w:color w:val="auto"/>
        </w:rPr>
      </w:pPr>
      <w:r>
        <w:rPr>
          <w:rFonts w:ascii="Arial" w:cs="Arial" w:eastAsia="Arial" w:hAnsi="Arial"/>
          <w:sz w:val="16"/>
          <w:szCs w:val="16"/>
          <w:color w:val="auto"/>
        </w:rPr>
        <w:t>On September 27, 2019, the district court granted plaintiffs leave to file a second amended complaint identifying additional musical works and affiliated entities, and requesting injunctive relief, more than $300 million in damages, and attorneys’ fees and costs. The Company answered the second amended complaint and also filed counterclaims on October 11, 2019. On October 25, 2019, counter-defendants filed a motion to dismiss the counterclaims, to which the Company filed an opposition on November 8, 2019. On January 29, 2020, the court granted plaintiffs’ motion to dismiss the Company’s counterclaims. The parties agreed to settle the litigation and executed a confidential settlement agreement on February 24, 2020.</w:t>
      </w:r>
    </w:p>
    <w:p>
      <w:pPr>
        <w:spacing w:after="0" w:line="227" w:lineRule="exact"/>
        <w:rPr>
          <w:sz w:val="20"/>
          <w:szCs w:val="20"/>
          <w:color w:val="auto"/>
        </w:rPr>
      </w:pPr>
    </w:p>
    <w:p>
      <w:pPr>
        <w:jc w:val="both"/>
        <w:ind w:left="340"/>
        <w:spacing w:after="0" w:line="237" w:lineRule="auto"/>
        <w:rPr>
          <w:sz w:val="20"/>
          <w:szCs w:val="20"/>
          <w:color w:val="auto"/>
        </w:rPr>
      </w:pPr>
      <w:r>
        <w:rPr>
          <w:rFonts w:ascii="Arial" w:cs="Arial" w:eastAsia="Arial" w:hAnsi="Arial"/>
          <w:sz w:val="16"/>
          <w:szCs w:val="16"/>
          <w:color w:val="auto"/>
        </w:rPr>
        <w:t>On January 30, 2020, the Company entered into a confidential settlement agreement with Flywheel Sports, Inc. (“Flywheel”) pursuant to which the Company and Flywheel agreed, among other things, to withdraw, and seek dismissal and termination of, a series of ongoing patent litigation matters between the parties.</w:t>
      </w:r>
    </w:p>
    <w:p>
      <w:pPr>
        <w:spacing w:after="0" w:line="224" w:lineRule="exact"/>
        <w:rPr>
          <w:sz w:val="20"/>
          <w:szCs w:val="20"/>
          <w:color w:val="auto"/>
        </w:rPr>
      </w:pPr>
    </w:p>
    <w:p>
      <w:pPr>
        <w:jc w:val="both"/>
        <w:ind w:left="340"/>
        <w:spacing w:after="0" w:line="237" w:lineRule="auto"/>
        <w:rPr>
          <w:sz w:val="20"/>
          <w:szCs w:val="20"/>
          <w:color w:val="auto"/>
        </w:rPr>
      </w:pPr>
      <w:r>
        <w:rPr>
          <w:rFonts w:ascii="Arial" w:cs="Arial" w:eastAsia="Arial" w:hAnsi="Arial"/>
          <w:sz w:val="16"/>
          <w:szCs w:val="16"/>
          <w:color w:val="auto"/>
        </w:rPr>
        <w:t>In addition to the above, from time to time, the Company is subject to litigation matters and claims which arise in the ordinary course of its business. The Company believes that the outcome of any existing litigation, either individually or in the aggregate, will not have a material impact on the results of operations, financial condition or cash flows of the Company.</w:t>
      </w:r>
    </w:p>
    <w:p>
      <w:pPr>
        <w:spacing w:after="0" w:line="224" w:lineRule="exact"/>
        <w:rPr>
          <w:sz w:val="20"/>
          <w:szCs w:val="20"/>
          <w:color w:val="auto"/>
        </w:rPr>
      </w:pPr>
    </w:p>
    <w:p>
      <w:pPr>
        <w:jc w:val="both"/>
        <w:ind w:left="340" w:right="20"/>
        <w:spacing w:after="0" w:line="242" w:lineRule="auto"/>
        <w:rPr>
          <w:sz w:val="20"/>
          <w:szCs w:val="20"/>
          <w:color w:val="auto"/>
        </w:rPr>
      </w:pPr>
      <w:r>
        <w:rPr>
          <w:rFonts w:ascii="Arial" w:cs="Arial" w:eastAsia="Arial" w:hAnsi="Arial"/>
          <w:sz w:val="16"/>
          <w:szCs w:val="16"/>
          <w:color w:val="auto"/>
        </w:rPr>
        <w:t>During the three and nine months ended March 31, 2020, the Company recognized $49.3 million and $59.0 million for litigation and settlement expenses, respectively, and $5.8 million and $9.7 million during the three and nine months ended March 31, 2019,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Stockholders' Equity (Deficit)</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Redeemable Convertible Preferred Stock</w:t>
      </w:r>
    </w:p>
    <w:p>
      <w:pPr>
        <w:spacing w:after="0" w:line="66"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In September 2019, upon the closing of the Company's IPO, all outstanding shares of redeemable convertible preferred stock were automatically converted into an aggregate of 210,640,629 shares of Class B common stock.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Preferred Stock</w:t>
      </w:r>
    </w:p>
    <w:p>
      <w:pPr>
        <w:spacing w:after="0" w:line="66"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Effective September 2019, the Company's Board of Directors ("Board of Directors") authorized the issuance of undesignated preferred stock, with a par value of $0.000025 per share. As of March 31, 2020, there were 50,000,000 shares of preferred stock authorized and zero shares of preferred stock outstanding.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6"/>
          <w:szCs w:val="16"/>
          <w:b w:val="1"/>
          <w:bCs w:val="1"/>
          <w:i w:val="1"/>
          <w:iCs w:val="1"/>
          <w:color w:val="auto"/>
        </w:rPr>
        <w:t>Common Stock</w:t>
      </w:r>
    </w:p>
    <w:p>
      <w:pPr>
        <w:spacing w:after="0" w:line="6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In August 2019, the Company implemented a dual class common stock structure by reclassifying all existing shares of common stock into Class B common stock and authorizing a new class of common stock, the Class A common stock. The Class A common stock is entitled to one vote per share and the Class B common stock is entitled to twenty votes per share. The Class A and Class B common stock have the same dividend and liquidation rights, and the Class B common stock converts to Class A at any time at the option of the holder, or automatically upon the date that is the earliest of (i) the date specified by a vote of the holders of 66 2/3% of the then outstanding shares of Class B common stock, (ii) 10 years from the closing date of the IPO, and (iii) the date that the total number of shares of Class B common stock outstanding cease to represent at least 1% of all outstanding shares of the Company's common stock. In addition, each share of Class B common stock will convert automatically into one share of Class A common stock upon any transfer, except for certain transfers described in the Company's restated certificate of incorporation. Upon the creation of the dual class common stock structure, all outstanding options and the warrant to purchase common stock became options and a warrant, respectively, to purchase an equivalent number of shares of Class B common stock.</w:t>
      </w:r>
    </w:p>
    <w:p>
      <w:pPr>
        <w:spacing w:after="0" w:line="232"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Board of Directors authorized the issuance of Class A common stock and Class B common stock, each with a par value of $0.000025 per share. As of March 31, 2020, there were 2,500,000,000 shares of Class A common stock and 2,500,000,000 shares of Class B common stock authorized and 175,029,321 shares of Class A common stock and 107,144,281 shares of Class B common stock outstanding.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Equity-Based Compensation</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2015 Stock Plan</w:t>
      </w:r>
    </w:p>
    <w:p>
      <w:pPr>
        <w:spacing w:after="0" w:line="66"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In April 2015, the Board of Directors approved the establishment of the 2015 Stock Plan (the “2015 Plan”) to provide stock award grants to employees, directors, and consultants of the Company. The Board of Directors, or at its sole discretion, a committee of the Board of Directors, is responsible for the administration of the 2015 Plan.</w:t>
      </w:r>
    </w:p>
    <w:p>
      <w:pPr>
        <w:spacing w:after="0" w:line="228"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2015 Plan requires that the per share exercise price of each stock option shall not be less than 100% of the fair market value of the common stock subject to the stock option on the grant date. Stock option grants shall not be exercisable after the expiration of ten years from the date of its grant or such shorter period as specified in a stock award agreement. For initial grants, vesting generally occurs over four years with the first 25% of the award vesting upon the 12-month anniversary of the vesting commencement date and the remaining 75% vesting monthly over the following 36 months. The 2015 Plan provides that the Board of Directors may, in its sole discretion, impose such limitations on transferability of stock options as the Board of Directors shall determine. In the absence of a determination by the Board of Directors to the contrary, stock options shall not be transferable except by will or by the laws of descent and distribution, and domestic relations orders unless specifically agreed to by the plan administrator.</w:t>
      </w:r>
    </w:p>
    <w:p>
      <w:pPr>
        <w:spacing w:after="0" w:line="208"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The 2015 Plan was terminated in connection with the adoption of the Company's 2019 Equity Incentive Plan (the "2019 Plan") in September 2019, and the Company will not grant any additional awards under the 2015 Plan. However, the 2015 Plan will continue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66"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In August 2019, the Board of Directors adopted the 2019 Plan, which was subsequently approved by the Company’s stockholders in September 2019. The Company initially reserved 49,809,576 shares of the Company’s Class A common stock to be issued under the 2019 Plan, which figure includes all shares reserved under the 2015 Plan not issued or subject to outstanding grants under the 2015 Plan as of the effective date of the 2019 Plan.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6"/>
                <w:szCs w:val="16"/>
                <w:color w:val="auto"/>
              </w:rPr>
            </w:pPr>
          </w:p>
        </w:tc>
        <w:tc>
          <w:tcPr>
            <w:tcW w:w="1460" w:type="dxa"/>
            <w:vAlign w:val="bottom"/>
            <w:gridSpan w:val="2"/>
            <w:vMerge w:val="restart"/>
          </w:tcPr>
          <w:p>
            <w:pPr>
              <w:jc w:val="right"/>
              <w:ind w:right="62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72"/>
        </w:trPr>
        <w:tc>
          <w:tcPr>
            <w:tcW w:w="340" w:type="dxa"/>
            <w:vAlign w:val="bottom"/>
          </w:tcPr>
          <w:p>
            <w:pPr>
              <w:spacing w:after="0"/>
              <w:rPr>
                <w:sz w:val="6"/>
                <w:szCs w:val="6"/>
                <w:color w:val="auto"/>
              </w:rPr>
            </w:pPr>
          </w:p>
        </w:tc>
        <w:tc>
          <w:tcPr>
            <w:tcW w:w="4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00"/>
              <w:spacing w:after="0" w:line="162" w:lineRule="exact"/>
              <w:rPr>
                <w:sz w:val="20"/>
                <w:szCs w:val="20"/>
                <w:color w:val="auto"/>
              </w:rPr>
            </w:pPr>
            <w:r>
              <w:rPr>
                <w:rFonts w:ascii="Arial" w:cs="Arial" w:eastAsia="Arial" w:hAnsi="Arial"/>
                <w:sz w:val="16"/>
                <w:szCs w:val="16"/>
                <w:b w:val="1"/>
                <w:bCs w:val="1"/>
                <w:color w:val="auto"/>
              </w:rPr>
              <w:t>Average</w:t>
            </w:r>
          </w:p>
        </w:tc>
        <w:tc>
          <w:tcPr>
            <w:tcW w:w="12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ind w:left="140"/>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45"/>
        </w:trPr>
        <w:tc>
          <w:tcPr>
            <w:tcW w:w="34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Exercise</w:t>
            </w: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620"/>
              <w:spacing w:after="0" w:line="162" w:lineRule="exact"/>
              <w:rPr>
                <w:sz w:val="20"/>
                <w:szCs w:val="20"/>
                <w:color w:val="auto"/>
              </w:rPr>
            </w:pPr>
            <w:r>
              <w:rPr>
                <w:rFonts w:ascii="Arial" w:cs="Arial" w:eastAsia="Arial" w:hAnsi="Arial"/>
                <w:sz w:val="16"/>
                <w:szCs w:val="16"/>
                <w:b w:val="1"/>
                <w:bCs w:val="1"/>
                <w:color w:val="auto"/>
              </w:rPr>
              <w:t>Value (in</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millions)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2019</w:t>
            </w:r>
          </w:p>
        </w:tc>
        <w:tc>
          <w:tcPr>
            <w:tcW w:w="2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64,602,124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972.0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4120" w:type="dxa"/>
            <w:vAlign w:val="bottom"/>
          </w:tcPr>
          <w:p>
            <w:pPr>
              <w:ind w:left="120"/>
              <w:spacing w:after="0"/>
              <w:rPr>
                <w:sz w:val="20"/>
                <w:szCs w:val="20"/>
                <w:color w:val="auto"/>
              </w:rPr>
            </w:pPr>
            <w:r>
              <w:rPr>
                <w:rFonts w:ascii="Arial" w:cs="Arial" w:eastAsia="Arial" w:hAnsi="Arial"/>
                <w:sz w:val="16"/>
                <w:szCs w:val="16"/>
                <w:color w:val="auto"/>
              </w:rPr>
              <w:t>Granted</w:t>
            </w:r>
          </w:p>
        </w:tc>
        <w:tc>
          <w:tcPr>
            <w:tcW w:w="2420" w:type="dxa"/>
            <w:vAlign w:val="bottom"/>
            <w:gridSpan w:val="2"/>
          </w:tcPr>
          <w:p>
            <w:pPr>
              <w:jc w:val="right"/>
              <w:ind w:right="59"/>
              <w:spacing w:after="0"/>
              <w:rPr>
                <w:sz w:val="20"/>
                <w:szCs w:val="20"/>
                <w:color w:val="auto"/>
              </w:rPr>
            </w:pPr>
            <w:r>
              <w:rPr>
                <w:rFonts w:ascii="Arial" w:cs="Arial" w:eastAsia="Arial" w:hAnsi="Arial"/>
                <w:sz w:val="16"/>
                <w:szCs w:val="16"/>
                <w:color w:val="auto"/>
              </w:rPr>
              <w:t>11,424,329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26.66</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24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(2,448,692)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Cancelled</w:t>
            </w:r>
          </w:p>
        </w:tc>
        <w:tc>
          <w:tcPr>
            <w:tcW w:w="1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(1,644,660)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10.48</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March 31, 2020</w:t>
            </w:r>
          </w:p>
        </w:tc>
        <w:tc>
          <w:tcPr>
            <w:tcW w:w="1220" w:type="dxa"/>
            <w:vAlign w:val="bottom"/>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71,933,101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1,204.0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rPr>
              <w:t>Vested and Exercisable— March 31, 2020</w:t>
            </w:r>
          </w:p>
        </w:tc>
        <w:tc>
          <w:tcPr>
            <w:tcW w:w="1220" w:type="dxa"/>
            <w:vAlign w:val="bottom"/>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28,494,699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649.3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8"/>
        </w:trPr>
        <w:tc>
          <w:tcPr>
            <w:tcW w:w="3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20" w:type="dxa"/>
            <w:vAlign w:val="bottom"/>
            <w:gridSpan w:val="2"/>
          </w:tcPr>
          <w:p>
            <w:pPr>
              <w:jc w:val="right"/>
              <w:ind w:right="107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4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9" w:name="page20"/>
    <w:bookmarkEnd w:id="19"/>
    <w:p>
      <w:pPr>
        <w:jc w:val="both"/>
        <w:ind w:left="8"/>
        <w:spacing w:after="0" w:line="251" w:lineRule="auto"/>
        <w:rPr>
          <w:sz w:val="20"/>
          <w:szCs w:val="20"/>
          <w:color w:val="auto"/>
        </w:rPr>
      </w:pPr>
      <w:r>
        <w:rPr>
          <w:rFonts w:ascii="Arial" w:cs="Arial" w:eastAsia="Arial" w:hAnsi="Arial"/>
          <w:sz w:val="16"/>
          <w:szCs w:val="16"/>
          <w:color w:val="auto"/>
        </w:rPr>
        <w:t>The aggregate intrinsic value of options outstanding, vested and exercisable, were calculated as the difference between the exercise price of the options and the fair value of the Company’s common stock as of March 31, 2020. Prior to the IPO, the fair value of the Company's common stock was determined by the Board of Directors. After the IPO, the fair value of the common stock is the closing stock price of the Company's Class A common stock as reported on the Nasdaq Global Select Market.</w:t>
      </w:r>
    </w:p>
    <w:p>
      <w:pPr>
        <w:spacing w:after="0" w:line="229" w:lineRule="exact"/>
        <w:rPr>
          <w:sz w:val="20"/>
          <w:szCs w:val="20"/>
          <w:color w:val="auto"/>
        </w:rPr>
      </w:pPr>
    </w:p>
    <w:p>
      <w:pPr>
        <w:jc w:val="both"/>
        <w:ind w:left="8"/>
        <w:spacing w:after="0" w:line="251" w:lineRule="auto"/>
        <w:rPr>
          <w:sz w:val="20"/>
          <w:szCs w:val="20"/>
          <w:color w:val="auto"/>
        </w:rPr>
      </w:pPr>
      <w:r>
        <w:rPr>
          <w:rFonts w:ascii="Arial" w:cs="Arial" w:eastAsia="Arial" w:hAnsi="Arial"/>
          <w:sz w:val="16"/>
          <w:szCs w:val="16"/>
          <w:color w:val="auto"/>
        </w:rPr>
        <w:t>As part of the 2015 Plan and 2019 Plan (the "Plans"), the Company issued options to certain key management that vest upon the achievement of certain performance milestones. During the three and nine months ended March 31, 2020, the Company recorded stock-based compensation expense related to the performance based options of $0.1 million and $4.0 million, respectively, and $0.5 million and $0.7 million for the three and nine months ended months ended March 31, 2019, respectively.</w:t>
      </w:r>
    </w:p>
    <w:p>
      <w:pPr>
        <w:spacing w:after="0" w:line="229" w:lineRule="exact"/>
        <w:rPr>
          <w:sz w:val="20"/>
          <w:szCs w:val="20"/>
          <w:color w:val="auto"/>
        </w:rPr>
      </w:pPr>
    </w:p>
    <w:p>
      <w:pPr>
        <w:jc w:val="both"/>
        <w:ind w:left="8"/>
        <w:spacing w:after="0" w:line="260" w:lineRule="auto"/>
        <w:rPr>
          <w:sz w:val="20"/>
          <w:szCs w:val="20"/>
          <w:color w:val="auto"/>
        </w:rPr>
      </w:pPr>
      <w:r>
        <w:rPr>
          <w:rFonts w:ascii="Arial" w:cs="Arial" w:eastAsia="Arial" w:hAnsi="Arial"/>
          <w:sz w:val="16"/>
          <w:szCs w:val="16"/>
          <w:color w:val="auto"/>
        </w:rPr>
        <w:t>For the nine months ended March 31, 2020 and 2019, the weighted-average grant date fair value per option was $12.03 and $6.05, respectively. The fair value of each option was estimated at the grant date using the Black-Scholes method with the following assumptions:</w:t>
      </w:r>
    </w:p>
    <w:p>
      <w:pPr>
        <w:sectPr>
          <w:pgSz w:w="11900" w:h="16838" w:orient="portrait"/>
          <w:cols w:equalWidth="0" w:num="1">
            <w:col w:w="10908"/>
          </w:cols>
          <w:pgMar w:left="652" w:top="6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8"/>
        <w:spacing w:after="0"/>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p>
      <w:pPr>
        <w:ind w:left="28"/>
        <w:spacing w:after="0"/>
        <w:rPr>
          <w:sz w:val="20"/>
          <w:szCs w:val="20"/>
          <w:color w:val="auto"/>
        </w:rPr>
      </w:pPr>
      <w:r>
        <w:rPr>
          <w:rFonts w:ascii="Arial" w:cs="Arial" w:eastAsia="Arial" w:hAnsi="Arial"/>
          <w:sz w:val="16"/>
          <w:szCs w:val="16"/>
          <w:color w:val="auto"/>
        </w:rPr>
        <w:t>Weighted average expected term (in years)</w:t>
      </w:r>
    </w:p>
    <w:p>
      <w:pPr>
        <w:spacing w:after="0" w:line="56" w:lineRule="exact"/>
        <w:rPr>
          <w:sz w:val="20"/>
          <w:szCs w:val="20"/>
          <w:color w:val="auto"/>
        </w:rPr>
      </w:pPr>
    </w:p>
    <w:p>
      <w:pPr>
        <w:ind w:left="28"/>
        <w:spacing w:after="0"/>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(2)</w:t>
      </w:r>
    </w:p>
    <w:p>
      <w:pPr>
        <w:spacing w:after="0" w:line="4" w:lineRule="exact"/>
        <w:rPr>
          <w:sz w:val="20"/>
          <w:szCs w:val="20"/>
          <w:color w:val="auto"/>
        </w:rPr>
      </w:pPr>
    </w:p>
    <w:p>
      <w:pPr>
        <w:ind w:left="28"/>
        <w:spacing w:after="0"/>
        <w:rPr>
          <w:sz w:val="20"/>
          <w:szCs w:val="20"/>
          <w:color w:val="auto"/>
        </w:rPr>
      </w:pPr>
      <w:r>
        <w:rPr>
          <w:rFonts w:ascii="Arial" w:cs="Arial" w:eastAsia="Arial" w:hAnsi="Arial"/>
          <w:sz w:val="16"/>
          <w:szCs w:val="16"/>
          <w:color w:val="auto"/>
        </w:rPr>
        <w:t>Expected dividend yield</w:t>
      </w:r>
    </w:p>
    <w:p>
      <w:pPr>
        <w:spacing w:after="0" w:line="151" w:lineRule="exact"/>
        <w:rPr>
          <w:sz w:val="20"/>
          <w:szCs w:val="20"/>
          <w:color w:val="auto"/>
        </w:rPr>
      </w:pPr>
    </w:p>
    <w:p>
      <w:pPr>
        <w:ind w:left="128"/>
        <w:spacing w:after="0"/>
        <w:rPr>
          <w:sz w:val="20"/>
          <w:szCs w:val="20"/>
          <w:color w:val="auto"/>
        </w:rPr>
      </w:pPr>
      <w:r>
        <w:rPr>
          <w:rFonts w:ascii="Arial" w:cs="Arial" w:eastAsia="Arial" w:hAnsi="Arial"/>
          <w:sz w:val="16"/>
          <w:szCs w:val="16"/>
          <w:color w:val="auto"/>
        </w:rPr>
        <w:t>____________________________</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Nine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31750</wp:posOffset>
            </wp:positionV>
            <wp:extent cx="26485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53" w:lineRule="exact"/>
        <w:rPr>
          <w:sz w:val="20"/>
          <w:szCs w:val="20"/>
          <w:color w:val="auto"/>
        </w:rPr>
      </w:pPr>
    </w:p>
    <w:p>
      <w:pPr>
        <w:ind w:left="60"/>
        <w:spacing w:after="0"/>
        <w:tabs>
          <w:tab w:leader="none" w:pos="216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-4551045</wp:posOffset>
            </wp:positionH>
            <wp:positionV relativeFrom="paragraph">
              <wp:posOffset>31750</wp:posOffset>
            </wp:positionV>
            <wp:extent cx="6703695"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03695" cy="162560"/>
                    </a:xfrm>
                    <a:prstGeom prst="rect">
                      <a:avLst/>
                    </a:prstGeom>
                    <a:noFill/>
                  </pic:spPr>
                </pic:pic>
              </a:graphicData>
            </a:graphic>
          </wp:anchor>
        </w:drawing>
      </w:r>
    </w:p>
    <w:p>
      <w:pPr>
        <w:spacing w:after="0" w:line="73" w:lineRule="exact"/>
        <w:rPr>
          <w:sz w:val="20"/>
          <w:szCs w:val="20"/>
          <w:color w:val="auto"/>
        </w:rPr>
      </w:pPr>
    </w:p>
    <w:p>
      <w:pPr>
        <w:ind w:left="60"/>
        <w:spacing w:after="0"/>
        <w:tabs>
          <w:tab w:leader="none" w:pos="21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5"/>
          <w:szCs w:val="15"/>
          <w:color w:val="auto"/>
        </w:rPr>
        <w:t>2.7%</w:t>
      </w:r>
    </w:p>
    <w:p>
      <w:pPr>
        <w:spacing w:after="0" w:line="59" w:lineRule="exact"/>
        <w:rPr>
          <w:sz w:val="20"/>
          <w:szCs w:val="20"/>
          <w:color w:val="auto"/>
        </w:rPr>
      </w:pPr>
    </w:p>
    <w:p>
      <w:pPr>
        <w:ind w:left="120"/>
        <w:spacing w:after="0"/>
        <w:tabs>
          <w:tab w:leader="none" w:pos="22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-4551045</wp:posOffset>
            </wp:positionH>
            <wp:positionV relativeFrom="paragraph">
              <wp:posOffset>19050</wp:posOffset>
            </wp:positionV>
            <wp:extent cx="670369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3695" cy="154305"/>
                    </a:xfrm>
                    <a:prstGeom prst="rect">
                      <a:avLst/>
                    </a:prstGeom>
                    <a:noFill/>
                  </pic:spPr>
                </pic:pic>
              </a:graphicData>
            </a:graphic>
          </wp:anchor>
        </w:drawing>
      </w:r>
    </w:p>
    <w:p>
      <w:pPr>
        <w:spacing w:after="0" w:line="39" w:lineRule="exact"/>
        <w:rPr>
          <w:sz w:val="20"/>
          <w:szCs w:val="20"/>
          <w:color w:val="auto"/>
        </w:rPr>
      </w:pPr>
    </w:p>
    <w:p>
      <w:pPr>
        <w:spacing w:after="0"/>
        <w:tabs>
          <w:tab w:leader="none" w:pos="2120" w:val="left"/>
        </w:tabs>
        <w:rPr>
          <w:sz w:val="20"/>
          <w:szCs w:val="20"/>
          <w:color w:val="auto"/>
        </w:rPr>
      </w:pPr>
      <w:r>
        <w:rPr>
          <w:rFonts w:ascii="Arial" w:cs="Arial" w:eastAsia="Arial" w:hAnsi="Arial"/>
          <w:sz w:val="16"/>
          <w:szCs w:val="16"/>
          <w:color w:val="auto"/>
        </w:rPr>
        <w:t>45.0%</w:t>
      </w:r>
      <w:r>
        <w:rPr>
          <w:sz w:val="20"/>
          <w:szCs w:val="20"/>
          <w:color w:val="auto"/>
        </w:rPr>
        <w:tab/>
      </w:r>
      <w:r>
        <w:rPr>
          <w:rFonts w:ascii="Arial" w:cs="Arial" w:eastAsia="Arial" w:hAnsi="Arial"/>
          <w:sz w:val="16"/>
          <w:szCs w:val="16"/>
          <w:color w:val="auto"/>
        </w:rPr>
        <w:t>45.0%</w:t>
      </w:r>
    </w:p>
    <w:p>
      <w:pPr>
        <w:spacing w:after="0" w:line="59" w:lineRule="exact"/>
        <w:rPr>
          <w:sz w:val="20"/>
          <w:szCs w:val="20"/>
          <w:color w:val="auto"/>
        </w:rPr>
      </w:pPr>
    </w:p>
    <w:p>
      <w:pPr>
        <w:ind w:left="160"/>
        <w:spacing w:after="0"/>
        <w:tabs>
          <w:tab w:leader="none" w:pos="2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322" w:lineRule="exact"/>
        <w:rPr>
          <w:sz w:val="20"/>
          <w:szCs w:val="20"/>
          <w:color w:val="auto"/>
        </w:rPr>
      </w:pPr>
    </w:p>
    <w:p>
      <w:pPr>
        <w:sectPr>
          <w:pgSz w:w="11900" w:h="16838" w:orient="portrait"/>
          <w:cols w:equalWidth="0" w:num="2">
            <w:col w:w="6448" w:space="720"/>
            <w:col w:w="3740"/>
          </w:cols>
          <w:pgMar w:left="652" w:top="627" w:right="339" w:bottom="1440" w:gutter="0" w:footer="0" w:header="0"/>
          <w:type w:val="continuous"/>
        </w:sectPr>
      </w:pPr>
    </w:p>
    <w:p>
      <w:pPr>
        <w:ind w:left="308" w:hanging="308"/>
        <w:spacing w:after="0"/>
        <w:tabs>
          <w:tab w:leader="none" w:pos="308" w:val="left"/>
        </w:tabs>
        <w:numPr>
          <w:ilvl w:val="0"/>
          <w:numId w:val="14"/>
        </w:numPr>
        <w:rPr>
          <w:rFonts w:ascii="Arial" w:cs="Arial" w:eastAsia="Arial" w:hAnsi="Arial"/>
          <w:sz w:val="13"/>
          <w:szCs w:val="13"/>
          <w:color w:val="auto"/>
        </w:rPr>
      </w:pPr>
      <w:r>
        <w:rPr>
          <w:rFonts w:ascii="Arial" w:cs="Arial" w:eastAsia="Arial" w:hAnsi="Arial"/>
          <w:sz w:val="13"/>
          <w:szCs w:val="13"/>
          <w:color w:val="auto"/>
        </w:rPr>
        <w:t>Based on U.S. Treasury seven-year constant maturity interest rate whose term is consistent with the expected term of the option.</w:t>
      </w:r>
    </w:p>
    <w:p>
      <w:pPr>
        <w:ind w:left="308" w:hanging="308"/>
        <w:spacing w:after="0"/>
        <w:tabs>
          <w:tab w:leader="none" w:pos="308"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Expected volatility is based on an analysis of comparable public company volatilities and adjusted for the Company’s stage of development.</w:t>
      </w:r>
    </w:p>
    <w:p>
      <w:pPr>
        <w:spacing w:after="0" w:line="250" w:lineRule="exact"/>
        <w:rPr>
          <w:sz w:val="20"/>
          <w:szCs w:val="20"/>
          <w:color w:val="auto"/>
        </w:rPr>
      </w:pPr>
    </w:p>
    <w:p>
      <w:pPr>
        <w:jc w:val="both"/>
        <w:ind w:left="8"/>
        <w:spacing w:after="0" w:line="260" w:lineRule="auto"/>
        <w:rPr>
          <w:sz w:val="20"/>
          <w:szCs w:val="20"/>
          <w:color w:val="auto"/>
        </w:rPr>
      </w:pPr>
      <w:r>
        <w:rPr>
          <w:rFonts w:ascii="Arial" w:cs="Arial" w:eastAsia="Arial" w:hAnsi="Arial"/>
          <w:sz w:val="16"/>
          <w:szCs w:val="16"/>
          <w:color w:val="auto"/>
        </w:rPr>
        <w:t>As of March 31, 2020, the Company had $294.8 million of unrecognized stock-based compensation expense that is expected to be recognized over a weighted-average period of 3.5 years.</w:t>
      </w:r>
    </w:p>
    <w:p>
      <w:pPr>
        <w:spacing w:after="0" w:line="200" w:lineRule="exact"/>
        <w:rPr>
          <w:sz w:val="20"/>
          <w:szCs w:val="20"/>
          <w:color w:val="auto"/>
        </w:rPr>
      </w:pPr>
    </w:p>
    <w:p>
      <w:pPr>
        <w:spacing w:after="0" w:line="286"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66" w:lineRule="exact"/>
        <w:rPr>
          <w:sz w:val="20"/>
          <w:szCs w:val="20"/>
          <w:color w:val="auto"/>
        </w:rPr>
      </w:pPr>
    </w:p>
    <w:p>
      <w:pPr>
        <w:jc w:val="both"/>
        <w:ind w:left="8"/>
        <w:spacing w:after="0" w:line="248"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A total of 5,600,000 shares of the Company's Class A common stock are available for issuance and sale to eligible employees under the ESPP.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w:t>
      </w:r>
    </w:p>
    <w:p>
      <w:pPr>
        <w:spacing w:after="0" w:line="234" w:lineRule="exact"/>
        <w:rPr>
          <w:sz w:val="20"/>
          <w:szCs w:val="20"/>
          <w:color w:val="auto"/>
        </w:rPr>
      </w:pPr>
    </w:p>
    <w:p>
      <w:pPr>
        <w:jc w:val="both"/>
        <w:ind w:left="8"/>
        <w:spacing w:after="0" w:line="248" w:lineRule="auto"/>
        <w:rPr>
          <w:sz w:val="20"/>
          <w:szCs w:val="20"/>
          <w:color w:val="auto"/>
        </w:rPr>
      </w:pPr>
      <w:r>
        <w:rPr>
          <w:rFonts w:ascii="Arial" w:cs="Arial" w:eastAsia="Arial" w:hAnsi="Arial"/>
          <w:sz w:val="16"/>
          <w:szCs w:val="16"/>
          <w:color w:val="auto"/>
        </w:rPr>
        <w:t>Unless otherwise determined by the Board of Directors, each offering period will consist of four six-month purchase periods, provided that the initial offering period commenced on the Effective Date and will end on August 31, 2021, and the initial purchase period will end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w:t>
      </w:r>
    </w:p>
    <w:p>
      <w:pPr>
        <w:spacing w:after="0" w:line="235" w:lineRule="exact"/>
        <w:rPr>
          <w:sz w:val="20"/>
          <w:szCs w:val="20"/>
          <w:color w:val="auto"/>
        </w:rPr>
      </w:pPr>
    </w:p>
    <w:p>
      <w:pPr>
        <w:jc w:val="both"/>
        <w:ind w:left="8"/>
        <w:spacing w:after="0" w:line="251"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 There was an ESPP reset in the three months ended March 31, 2020 that resulted in a total modification charge of $2.5 million, which is recognized over the new two-year offering period ending February 28, 2022.</w:t>
      </w:r>
    </w:p>
    <w:p>
      <w:pPr>
        <w:spacing w:after="0" w:line="229" w:lineRule="exact"/>
        <w:rPr>
          <w:sz w:val="20"/>
          <w:szCs w:val="20"/>
          <w:color w:val="auto"/>
        </w:rPr>
      </w:pPr>
    </w:p>
    <w:p>
      <w:pPr>
        <w:jc w:val="both"/>
        <w:ind w:left="8"/>
        <w:spacing w:after="0" w:line="248" w:lineRule="auto"/>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 ESPP offering periods included weighted average expected terms of 1.1 years, weighted average expected volatility of 54.8%, and weighted average risk-free rate of 1.6% for the three and nine months ended March 31, 2020. The expected term assumptions were based on each offering period's respective purchase date. Since the Company does not have a historical trading history of its stock, the expected volatility was derived from the average historical stock volatilities of several unrelated public companies that the Company considers to be comparable to its business over a period equivalent to the expected terms.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35" w:lineRule="exact"/>
        <w:rPr>
          <w:sz w:val="20"/>
          <w:szCs w:val="20"/>
          <w:color w:val="auto"/>
        </w:rPr>
      </w:pPr>
    </w:p>
    <w:p>
      <w:pPr>
        <w:jc w:val="both"/>
        <w:ind w:left="8"/>
        <w:spacing w:after="0" w:line="260" w:lineRule="auto"/>
        <w:rPr>
          <w:sz w:val="20"/>
          <w:szCs w:val="20"/>
          <w:color w:val="auto"/>
        </w:rPr>
      </w:pPr>
      <w:r>
        <w:rPr>
          <w:rFonts w:ascii="Arial" w:cs="Arial" w:eastAsia="Arial" w:hAnsi="Arial"/>
          <w:sz w:val="16"/>
          <w:szCs w:val="16"/>
          <w:color w:val="auto"/>
        </w:rPr>
        <w:t>During the three and nine months ended March 31, 2020, the Company recorded stock-based compensation expense associated with the ESPP of $1.1 million and $2.0 million, respectively.</w:t>
      </w:r>
    </w:p>
    <w:p>
      <w:pPr>
        <w:sectPr>
          <w:pgSz w:w="11900" w:h="16838" w:orient="portrait"/>
          <w:cols w:equalWidth="0" w:num="1">
            <w:col w:w="10908"/>
          </w:cols>
          <w:pgMar w:left="652" w:top="627" w:right="33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70485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27" w:right="339" w:bottom="1440" w:gutter="0" w:footer="0" w:header="0"/>
          <w:type w:val="continuous"/>
        </w:sectPr>
      </w:pPr>
    </w:p>
    <w:bookmarkStart w:id="20" w:name="page21"/>
    <w:bookmarkEnd w:id="20"/>
    <w:p>
      <w:pPr>
        <w:jc w:val="both"/>
        <w:ind w:left="340"/>
        <w:spacing w:after="0" w:line="253" w:lineRule="auto"/>
        <w:rPr>
          <w:sz w:val="20"/>
          <w:szCs w:val="20"/>
          <w:color w:val="auto"/>
        </w:rPr>
      </w:pPr>
      <w:r>
        <w:rPr>
          <w:rFonts w:ascii="Arial" w:cs="Arial" w:eastAsia="Arial" w:hAnsi="Arial"/>
          <w:sz w:val="16"/>
          <w:szCs w:val="16"/>
          <w:color w:val="auto"/>
        </w:rPr>
        <w:t>During the three months ended March 31, 2020, employees purchased approximately 162,639 shares of Class A common stock, under the ESPP, at a weighted-average price of $22.69. As of March 31, 2020, total unrecognized compensation cost related to the ESPP was $10.1 million, which will be amortized over a weighted-average remaining period of 1.9 years.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82"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 March 31,</w:t>
            </w:r>
          </w:p>
        </w:tc>
      </w:tr>
      <w:tr>
        <w:trPr>
          <w:trHeight w:val="237"/>
        </w:trPr>
        <w:tc>
          <w:tcPr>
            <w:tcW w:w="3440" w:type="dxa"/>
            <w:vAlign w:val="bottom"/>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33"/>
        </w:trPr>
        <w:tc>
          <w:tcPr>
            <w:tcW w:w="3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34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20"/>
                <w:szCs w:val="20"/>
                <w:color w:val="auto"/>
              </w:rPr>
            </w:pPr>
          </w:p>
        </w:tc>
        <w:tc>
          <w:tcPr>
            <w:tcW w:w="124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0.1</w:t>
            </w:r>
          </w:p>
        </w:tc>
      </w:tr>
      <w:tr>
        <w:trPr>
          <w:trHeight w:val="253"/>
        </w:trPr>
        <w:tc>
          <w:tcPr>
            <w:tcW w:w="3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r>
      <w:tr>
        <w:trPr>
          <w:trHeight w:val="237"/>
        </w:trPr>
        <w:tc>
          <w:tcPr>
            <w:tcW w:w="3440" w:type="dxa"/>
            <w:vAlign w:val="bottom"/>
          </w:tcPr>
          <w:p>
            <w:pPr>
              <w:ind w:left="100"/>
              <w:spacing w:after="0"/>
              <w:rPr>
                <w:sz w:val="20"/>
                <w:szCs w:val="20"/>
                <w:color w:val="auto"/>
              </w:rPr>
            </w:pPr>
            <w:r>
              <w:rPr>
                <w:rFonts w:ascii="Arial" w:cs="Arial" w:eastAsia="Arial" w:hAnsi="Arial"/>
                <w:sz w:val="16"/>
                <w:szCs w:val="16"/>
                <w:color w:val="auto"/>
              </w:rPr>
              <w:t>Other</w:t>
            </w:r>
          </w:p>
        </w:tc>
        <w:tc>
          <w:tcPr>
            <w:tcW w:w="1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34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cost of revenue</w:t>
            </w:r>
          </w:p>
        </w:tc>
        <w:tc>
          <w:tcPr>
            <w:tcW w:w="114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8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r>
      <w:tr>
        <w:trPr>
          <w:trHeight w:val="233"/>
        </w:trPr>
        <w:tc>
          <w:tcPr>
            <w:tcW w:w="34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7.2</w:t>
            </w:r>
          </w:p>
        </w:tc>
      </w:tr>
      <w:tr>
        <w:trPr>
          <w:trHeight w:val="25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61.0</w:t>
            </w:r>
          </w:p>
        </w:tc>
      </w:tr>
      <w:tr>
        <w:trPr>
          <w:trHeight w:val="237"/>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Research and development</w:t>
            </w: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0.6</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w:t>
            </w:r>
          </w:p>
        </w:tc>
      </w:tr>
      <w:tr>
        <w:trPr>
          <w:trHeight w:val="268"/>
        </w:trPr>
        <w:tc>
          <w:tcPr>
            <w:tcW w:w="3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stock-based compensation expense</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20.5</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76.0</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During the nine months ended March 31, 2019, the Company recorded a one-time stock-based compensation charge of $61.7 million, related to a tender offer completed by the Company in August 2018 to purchase outstanding shares of common stock and preferred stock.</w:t>
      </w:r>
    </w:p>
    <w:p>
      <w:pPr>
        <w:spacing w:after="0" w:line="222"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During the nine months ended March 31, 2020, the holder of a warrant to purchase 240,000 shares of the Company's Class B common stock net exercised the warrant into 238,253 shares of Class B common stock at an exercise price of $0.19 per share. As of March 31, 2020, there were no outstanding warrants.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w:t>
      </w:r>
    </w:p>
    <w:p>
      <w:pPr>
        <w:spacing w:after="0" w:line="241"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recorded a provision for (benefit from) income taxes of $(0.1) million and $(0.5) million for the three and nine months ended March 31, 2020, respectively, and $0.2 million for the three and nine months ended March 31, 2019, respectively. The Income tax benefit is driven by international income taxes.</w:t>
      </w:r>
    </w:p>
    <w:p>
      <w:pPr>
        <w:spacing w:after="0" w:line="228"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The Company regularly evaluates the realizability of its deferred tax assets and establishes a valuation allowance if it is more likely than not that some or all the deferred tax assets will not be realized. In making such a determination, the Company considers all available positive and negative evidence, including future reversals of existing taxable temporary differences, projected future taxable income, loss carryback and tax-planning strategies. Generally, more weight is given to objectively verifiable evidence, such as the cumulative loss in recent years, as a significant piece of negative evidence to overcome.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CARES Act</w:t>
      </w:r>
    </w:p>
    <w:p>
      <w:pPr>
        <w:spacing w:after="0" w:line="237"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The Coronavirus Aid, Relief, and Economic Security Act (the "CARES Act") was enacted on March 27, 2020 in the United States. The Company does not expect the CARES Act to have a material impact on its income tax provision.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Loss Per Share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computation of loss per share is as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1" w:name="page22"/>
    <w:bookmarkEnd w:id="21"/>
    <w:tbl>
      <w:tblPr>
        <w:tblLayout w:type="fixed"/>
        <w:tblInd w:w="34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gridSpan w:val="6"/>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9"/>
                <w:szCs w:val="19"/>
                <w:color w:val="auto"/>
              </w:rPr>
            </w:pPr>
          </w:p>
        </w:tc>
        <w:tc>
          <w:tcPr>
            <w:tcW w:w="31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140" w:type="dxa"/>
            <w:vAlign w:val="bottom"/>
            <w:gridSpan w:val="9"/>
          </w:tcPr>
          <w:p>
            <w:pPr>
              <w:jc w:val="right"/>
              <w:ind w:right="219"/>
              <w:spacing w:after="0"/>
              <w:rPr>
                <w:sz w:val="20"/>
                <w:szCs w:val="20"/>
                <w:color w:val="auto"/>
              </w:rPr>
            </w:pPr>
            <w:r>
              <w:rPr>
                <w:rFonts w:ascii="Arial" w:cs="Arial" w:eastAsia="Arial" w:hAnsi="Arial"/>
                <w:sz w:val="16"/>
                <w:szCs w:val="16"/>
                <w:b w:val="1"/>
                <w:bCs w:val="1"/>
                <w:color w:val="auto"/>
              </w:rPr>
              <w:t>(in millions, except share and per share amounts)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loss per share: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120" w:type="dxa"/>
            <w:vAlign w:val="bottom"/>
          </w:tcPr>
          <w:p>
            <w:pPr>
              <w:ind w:left="64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(55.6)</w:t>
            </w:r>
          </w:p>
        </w:tc>
        <w:tc>
          <w:tcPr>
            <w:tcW w:w="5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(38.6)</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(160.7)</w:t>
            </w:r>
          </w:p>
        </w:tc>
        <w:tc>
          <w:tcPr>
            <w:tcW w:w="8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28"/>
        </w:trPr>
        <w:tc>
          <w:tcPr>
            <w:tcW w:w="31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Less: Premium on repurchase of</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convertible preferred stock</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57"/>
        </w:trPr>
        <w:tc>
          <w:tcPr>
            <w:tcW w:w="3120" w:type="dxa"/>
            <w:vAlign w:val="bottom"/>
          </w:tcPr>
          <w:p>
            <w:pPr>
              <w:ind w:left="660"/>
              <w:spacing w:after="0" w:line="158" w:lineRule="exact"/>
              <w:rPr>
                <w:sz w:val="20"/>
                <w:szCs w:val="20"/>
                <w:color w:val="auto"/>
              </w:rPr>
            </w:pPr>
            <w:r>
              <w:rPr>
                <w:rFonts w:ascii="Arial" w:cs="Arial" w:eastAsia="Arial" w:hAnsi="Arial"/>
                <w:sz w:val="16"/>
                <w:szCs w:val="16"/>
                <w:color w:val="auto"/>
              </w:rPr>
              <w:t>Net loss attributable to</w:t>
            </w: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(55.6)</w:t>
            </w:r>
          </w:p>
        </w:tc>
        <w:tc>
          <w:tcPr>
            <w:tcW w:w="560" w:type="dxa"/>
            <w:vAlign w:val="bottom"/>
            <w:gridSpan w:val="3"/>
            <w:vMerge w:val="restart"/>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19"/>
              <w:spacing w:after="0"/>
              <w:rPr>
                <w:sz w:val="20"/>
                <w:szCs w:val="20"/>
                <w:color w:val="auto"/>
              </w:rPr>
            </w:pPr>
            <w:r>
              <w:rPr>
                <w:rFonts w:ascii="Arial" w:cs="Arial" w:eastAsia="Arial" w:hAnsi="Arial"/>
                <w:sz w:val="16"/>
                <w:szCs w:val="16"/>
                <w:color w:val="auto"/>
              </w:rPr>
              <w:t>(38.6)</w:t>
            </w:r>
          </w:p>
        </w:tc>
        <w:tc>
          <w:tcPr>
            <w:tcW w:w="8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color w:val="auto"/>
              </w:rPr>
              <w:t>(160.7)</w:t>
            </w:r>
          </w:p>
        </w:tc>
        <w:tc>
          <w:tcPr>
            <w:tcW w:w="8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174"/>
        </w:trPr>
        <w:tc>
          <w:tcPr>
            <w:tcW w:w="3120" w:type="dxa"/>
            <w:vAlign w:val="bottom"/>
          </w:tcPr>
          <w:p>
            <w:pPr>
              <w:ind w:left="660"/>
              <w:spacing w:after="0" w:line="174" w:lineRule="exact"/>
              <w:rPr>
                <w:sz w:val="20"/>
                <w:szCs w:val="20"/>
                <w:color w:val="auto"/>
              </w:rPr>
            </w:pPr>
            <w:r>
              <w:rPr>
                <w:rFonts w:ascii="Arial" w:cs="Arial" w:eastAsia="Arial" w:hAnsi="Arial"/>
                <w:sz w:val="16"/>
                <w:szCs w:val="16"/>
                <w:color w:val="auto"/>
              </w:rPr>
              <w:t>common stockholders</w:t>
            </w:r>
          </w:p>
        </w:tc>
        <w:tc>
          <w:tcPr>
            <w:tcW w:w="3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Shares used in computation:</w:t>
            </w: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120" w:type="dxa"/>
            <w:vAlign w:val="bottom"/>
          </w:tcPr>
          <w:p>
            <w:pPr>
              <w:ind w:left="660"/>
              <w:spacing w:after="0" w:line="178" w:lineRule="exact"/>
              <w:rPr>
                <w:sz w:val="20"/>
                <w:szCs w:val="20"/>
                <w:color w:val="auto"/>
              </w:rPr>
            </w:pPr>
            <w:r>
              <w:rPr>
                <w:rFonts w:ascii="Arial" w:cs="Arial" w:eastAsia="Arial" w:hAnsi="Arial"/>
                <w:sz w:val="16"/>
                <w:szCs w:val="16"/>
                <w:color w:val="auto"/>
              </w:rPr>
              <w:t>Weighted-average common</w:t>
            </w:r>
          </w:p>
        </w:tc>
        <w:tc>
          <w:tcPr>
            <w:tcW w:w="3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280,879,011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color w:val="auto"/>
              </w:rPr>
              <w:t>21,959,822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vMerge w:val="restart"/>
          </w:tcPr>
          <w:p>
            <w:pPr>
              <w:jc w:val="right"/>
              <w:ind w:right="59"/>
              <w:spacing w:after="0"/>
              <w:rPr>
                <w:sz w:val="20"/>
                <w:szCs w:val="20"/>
                <w:color w:val="auto"/>
              </w:rPr>
            </w:pPr>
            <w:r>
              <w:rPr>
                <w:rFonts w:ascii="Arial" w:cs="Arial" w:eastAsia="Arial" w:hAnsi="Arial"/>
                <w:sz w:val="16"/>
                <w:szCs w:val="16"/>
                <w:color w:val="auto"/>
              </w:rPr>
              <w:t>199,769,233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23,673,350</w:t>
            </w:r>
          </w:p>
        </w:tc>
        <w:tc>
          <w:tcPr>
            <w:tcW w:w="0" w:type="dxa"/>
            <w:vAlign w:val="bottom"/>
          </w:tcPr>
          <w:p>
            <w:pPr>
              <w:spacing w:after="0"/>
              <w:rPr>
                <w:sz w:val="1"/>
                <w:szCs w:val="1"/>
                <w:color w:val="auto"/>
              </w:rPr>
            </w:pPr>
          </w:p>
        </w:tc>
      </w:tr>
      <w:tr>
        <w:trPr>
          <w:trHeight w:val="174"/>
        </w:trPr>
        <w:tc>
          <w:tcPr>
            <w:tcW w:w="3120" w:type="dxa"/>
            <w:vAlign w:val="bottom"/>
          </w:tcPr>
          <w:p>
            <w:pPr>
              <w:ind w:left="660"/>
              <w:spacing w:after="0" w:line="174" w:lineRule="exact"/>
              <w:rPr>
                <w:sz w:val="20"/>
                <w:szCs w:val="20"/>
                <w:color w:val="auto"/>
              </w:rPr>
            </w:pPr>
            <w:r>
              <w:rPr>
                <w:rFonts w:ascii="Arial" w:cs="Arial" w:eastAsia="Arial" w:hAnsi="Arial"/>
                <w:sz w:val="16"/>
                <w:szCs w:val="16"/>
                <w:color w:val="auto"/>
              </w:rPr>
              <w:t>shares outstanding</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20" w:type="dxa"/>
            <w:vAlign w:val="bottom"/>
            <w:shd w:val="clear" w:color="auto" w:fill="CCEEFF"/>
          </w:tcPr>
          <w:p>
            <w:pPr>
              <w:ind w:left="660"/>
              <w:spacing w:after="0" w:line="145" w:lineRule="exact"/>
              <w:rPr>
                <w:sz w:val="20"/>
                <w:szCs w:val="20"/>
                <w:color w:val="auto"/>
              </w:rPr>
            </w:pPr>
            <w:r>
              <w:rPr>
                <w:rFonts w:ascii="Arial" w:cs="Arial" w:eastAsia="Arial" w:hAnsi="Arial"/>
                <w:sz w:val="16"/>
                <w:szCs w:val="16"/>
                <w:color w:val="auto"/>
              </w:rPr>
              <w:t>Basic and diluted loss per</w:t>
            </w: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56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820"/>
              <w:spacing w:after="0" w:line="174" w:lineRule="exact"/>
              <w:rPr>
                <w:sz w:val="20"/>
                <w:szCs w:val="20"/>
                <w:color w:val="auto"/>
              </w:rPr>
            </w:pPr>
            <w:r>
              <w:rPr>
                <w:rFonts w:ascii="Arial" w:cs="Arial" w:eastAsia="Arial" w:hAnsi="Arial"/>
                <w:sz w:val="16"/>
                <w:szCs w:val="16"/>
                <w:color w:val="auto"/>
              </w:rPr>
              <w:t>share</w:t>
            </w:r>
          </w:p>
        </w:tc>
        <w:tc>
          <w:tcPr>
            <w:tcW w:w="34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560" w:type="dxa"/>
            <w:vAlign w:val="bottom"/>
            <w:gridSpan w:val="3"/>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Basic and diluted loss per share are the same for each class of common stock because they are entitled to the same liquidation and dividend rights.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3640" w:type="dxa"/>
            <w:vAlign w:val="bottom"/>
            <w:gridSpan w:val="4"/>
          </w:tcPr>
          <w:p>
            <w:pPr>
              <w:ind w:left="580"/>
              <w:spacing w:after="0"/>
              <w:rPr>
                <w:sz w:val="20"/>
                <w:szCs w:val="20"/>
                <w:color w:val="auto"/>
              </w:rPr>
            </w:pPr>
            <w:r>
              <w:rPr>
                <w:rFonts w:ascii="Arial" w:cs="Arial" w:eastAsia="Arial" w:hAnsi="Arial"/>
                <w:sz w:val="16"/>
                <w:szCs w:val="16"/>
                <w:b w:val="1"/>
                <w:bCs w:val="1"/>
                <w:color w:val="auto"/>
              </w:rPr>
              <w:t>Three Months Ended March 31,</w:t>
            </w:r>
          </w:p>
        </w:tc>
        <w:tc>
          <w:tcPr>
            <w:tcW w:w="356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Nine Months Ended March 31,</w:t>
            </w:r>
          </w:p>
        </w:tc>
      </w:tr>
      <w:tr>
        <w:trPr>
          <w:trHeight w:val="237"/>
        </w:trPr>
        <w:tc>
          <w:tcPr>
            <w:tcW w:w="3020" w:type="dxa"/>
            <w:vAlign w:val="bottom"/>
            <w:tcBorders>
              <w:bottom w:val="single" w:sz="8" w:color="CCEEFF"/>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43"/>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Employee stock options</w:t>
            </w:r>
          </w:p>
        </w:tc>
        <w:tc>
          <w:tcPr>
            <w:tcW w:w="1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40,901,883</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25,363,471</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39,959,440</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18,608,306</w:t>
            </w:r>
          </w:p>
        </w:tc>
      </w:tr>
      <w:tr>
        <w:trPr>
          <w:trHeight w:val="233"/>
        </w:trPr>
        <w:tc>
          <w:tcPr>
            <w:tcW w:w="3020" w:type="dxa"/>
            <w:vAlign w:val="bottom"/>
          </w:tcPr>
          <w:p>
            <w:pPr>
              <w:ind w:left="120"/>
              <w:spacing w:after="0"/>
              <w:rPr>
                <w:sz w:val="20"/>
                <w:szCs w:val="20"/>
                <w:color w:val="auto"/>
              </w:rPr>
            </w:pPr>
            <w:r>
              <w:rPr>
                <w:rFonts w:ascii="Arial" w:cs="Arial" w:eastAsia="Arial" w:hAnsi="Arial"/>
                <w:sz w:val="16"/>
                <w:szCs w:val="16"/>
                <w:color w:val="auto"/>
              </w:rPr>
              <w:t>Warrants</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234,935</w:t>
            </w:r>
          </w:p>
        </w:tc>
        <w:tc>
          <w:tcPr>
            <w:tcW w:w="80" w:type="dxa"/>
            <w:vAlign w:val="bottom"/>
          </w:tcPr>
          <w:p>
            <w:pPr>
              <w:spacing w:after="0"/>
              <w:rPr>
                <w:sz w:val="20"/>
                <w:szCs w:val="20"/>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233,730</w:t>
            </w:r>
          </w:p>
        </w:tc>
      </w:tr>
      <w:tr>
        <w:trPr>
          <w:trHeight w:val="187"/>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Redeemable convertible preferred</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210,640,629</w:t>
            </w:r>
          </w:p>
        </w:tc>
        <w:tc>
          <w:tcPr>
            <w:tcW w:w="8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203,696,692</w:t>
            </w:r>
          </w:p>
        </w:tc>
      </w:tr>
      <w:tr>
        <w:trPr>
          <w:trHeight w:val="201"/>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Information</w:t>
      </w:r>
    </w:p>
    <w:p>
      <w:pPr>
        <w:spacing w:after="0" w:line="225"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for its financial statement disclosure. The Company has three reportable segments: Connected Fitness Products, Subscription and Other. Segment information is presented in the same manner that the Company’s Chief Operating Decision Maker (the “CODM”) reviews the operating results in assessing performance and allocating resources. The CODM reviews revenue and gross profit for each of the reportable segments. Gross profit is defined as revenue less cost of revenue incurred by the segment. 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229"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Connected Fitness Product segment derives revenue from sale of the Bike, Tread and related accessories, delivery and installation services, and extended warranty agreements. The Subscription segment derives revenue from monthly Subscription fees. The Other segment primarily consists of apparel sales. There are no internal revenue transactions between the Company’s segments.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tbl>
      <w:tblPr>
        <w:tblLayout w:type="fixed"/>
        <w:tblInd w:w="34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 March 31,</w:t>
            </w:r>
          </w:p>
        </w:tc>
      </w:tr>
      <w:tr>
        <w:trPr>
          <w:trHeight w:val="237"/>
        </w:trPr>
        <w:tc>
          <w:tcPr>
            <w:tcW w:w="31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33"/>
        </w:trPr>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0"/>
        </w:trPr>
        <w:tc>
          <w:tcPr>
            <w:tcW w:w="3160" w:type="dxa"/>
            <w:vAlign w:val="bottom"/>
          </w:tcPr>
          <w:p>
            <w:pPr>
              <w:ind w:left="660"/>
              <w:spacing w:after="0"/>
              <w:rPr>
                <w:sz w:val="20"/>
                <w:szCs w:val="20"/>
                <w:color w:val="auto"/>
              </w:rPr>
            </w:pPr>
            <w:r>
              <w:rPr>
                <w:rFonts w:ascii="Arial" w:cs="Arial" w:eastAsia="Arial" w:hAnsi="Arial"/>
                <w:sz w:val="16"/>
                <w:szCs w:val="16"/>
                <w:color w:val="auto"/>
              </w:rPr>
              <w:t>Revenue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420.2</w:t>
            </w:r>
          </w:p>
        </w:tc>
        <w:tc>
          <w:tcPr>
            <w:tcW w:w="100" w:type="dxa"/>
            <w:vAlign w:val="bottom"/>
          </w:tcPr>
          <w:p>
            <w:pPr>
              <w:spacing w:after="0"/>
              <w:rPr>
                <w:sz w:val="20"/>
                <w:szCs w:val="20"/>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w w:val="99"/>
              </w:rPr>
              <w:t>261.6</w:t>
            </w:r>
          </w:p>
        </w:tc>
        <w:tc>
          <w:tcPr>
            <w:tcW w:w="8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958.9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560.8</w:t>
            </w:r>
          </w:p>
        </w:tc>
      </w:tr>
      <w:tr>
        <w:trPr>
          <w:trHeight w:val="243"/>
        </w:trPr>
        <w:tc>
          <w:tcPr>
            <w:tcW w:w="31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Cost of revenue</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152.3</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546.5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321.1</w:t>
            </w:r>
          </w:p>
        </w:tc>
      </w:tr>
      <w:tr>
        <w:trPr>
          <w:trHeight w:val="240"/>
        </w:trPr>
        <w:tc>
          <w:tcPr>
            <w:tcW w:w="316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9"/>
              </w:rPr>
              <w:t>109.3</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412.5</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239.8</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31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Subscription:</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0"/>
        </w:trPr>
        <w:tc>
          <w:tcPr>
            <w:tcW w:w="3160" w:type="dxa"/>
            <w:vAlign w:val="bottom"/>
          </w:tcPr>
          <w:p>
            <w:pPr>
              <w:ind w:left="660"/>
              <w:spacing w:after="0"/>
              <w:rPr>
                <w:sz w:val="20"/>
                <w:szCs w:val="20"/>
                <w:color w:val="auto"/>
              </w:rPr>
            </w:pPr>
            <w:r>
              <w:rPr>
                <w:rFonts w:ascii="Arial" w:cs="Arial" w:eastAsia="Arial" w:hAnsi="Arial"/>
                <w:sz w:val="16"/>
                <w:szCs w:val="16"/>
                <w:color w:val="auto"/>
              </w:rPr>
              <w:t>Revenue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0"/>
                <w:szCs w:val="20"/>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242.5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120.1</w:t>
            </w:r>
          </w:p>
        </w:tc>
      </w:tr>
      <w:tr>
        <w:trPr>
          <w:trHeight w:val="243"/>
        </w:trPr>
        <w:tc>
          <w:tcPr>
            <w:tcW w:w="31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Cost of revenue</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38.0</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74.6</w:t>
            </w:r>
          </w:p>
        </w:tc>
      </w:tr>
      <w:tr>
        <w:trPr>
          <w:trHeight w:val="239"/>
        </w:trPr>
        <w:tc>
          <w:tcPr>
            <w:tcW w:w="316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45.5</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31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Other:</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0"/>
        </w:trPr>
        <w:tc>
          <w:tcPr>
            <w:tcW w:w="3160" w:type="dxa"/>
            <w:vAlign w:val="bottom"/>
          </w:tcPr>
          <w:p>
            <w:pPr>
              <w:ind w:left="660"/>
              <w:spacing w:after="0"/>
              <w:rPr>
                <w:sz w:val="20"/>
                <w:szCs w:val="20"/>
                <w:color w:val="auto"/>
              </w:rPr>
            </w:pPr>
            <w:r>
              <w:rPr>
                <w:rFonts w:ascii="Arial" w:cs="Arial" w:eastAsia="Arial" w:hAnsi="Arial"/>
                <w:sz w:val="16"/>
                <w:szCs w:val="16"/>
                <w:color w:val="auto"/>
              </w:rPr>
              <w:t>Revenue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10.7</w:t>
            </w:r>
          </w:p>
        </w:tc>
      </w:tr>
      <w:tr>
        <w:trPr>
          <w:trHeight w:val="243"/>
        </w:trPr>
        <w:tc>
          <w:tcPr>
            <w:tcW w:w="31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Cost of revenue</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12.5</w:t>
            </w:r>
          </w:p>
        </w:tc>
      </w:tr>
      <w:tr>
        <w:trPr>
          <w:trHeight w:val="239"/>
        </w:trPr>
        <w:tc>
          <w:tcPr>
            <w:tcW w:w="316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31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Consolidated:</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0"/>
        </w:trPr>
        <w:tc>
          <w:tcPr>
            <w:tcW w:w="3160" w:type="dxa"/>
            <w:vAlign w:val="bottom"/>
          </w:tcPr>
          <w:p>
            <w:pPr>
              <w:ind w:left="660"/>
              <w:spacing w:after="0"/>
              <w:rPr>
                <w:sz w:val="20"/>
                <w:szCs w:val="20"/>
                <w:color w:val="auto"/>
              </w:rPr>
            </w:pPr>
            <w:r>
              <w:rPr>
                <w:rFonts w:ascii="Arial" w:cs="Arial" w:eastAsia="Arial" w:hAnsi="Arial"/>
                <w:sz w:val="16"/>
                <w:szCs w:val="16"/>
                <w:color w:val="auto"/>
              </w:rPr>
              <w:t>Revenue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524.6</w:t>
            </w:r>
          </w:p>
        </w:tc>
        <w:tc>
          <w:tcPr>
            <w:tcW w:w="100" w:type="dxa"/>
            <w:vAlign w:val="bottom"/>
          </w:tcPr>
          <w:p>
            <w:pPr>
              <w:spacing w:after="0"/>
              <w:rPr>
                <w:sz w:val="20"/>
                <w:szCs w:val="20"/>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w w:val="99"/>
              </w:rPr>
              <w:t>316.7</w:t>
            </w:r>
          </w:p>
        </w:tc>
        <w:tc>
          <w:tcPr>
            <w:tcW w:w="8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1,218.8</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691.7</w:t>
            </w:r>
          </w:p>
        </w:tc>
      </w:tr>
      <w:tr>
        <w:trPr>
          <w:trHeight w:val="243"/>
        </w:trPr>
        <w:tc>
          <w:tcPr>
            <w:tcW w:w="31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Cost of revenue</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278.8</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196.1</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670.9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408.2</w:t>
            </w:r>
          </w:p>
        </w:tc>
      </w:tr>
      <w:tr>
        <w:trPr>
          <w:trHeight w:val="239"/>
        </w:trPr>
        <w:tc>
          <w:tcPr>
            <w:tcW w:w="316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9"/>
              </w:rPr>
              <w:t>120.6</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548.0</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283.5</w:t>
            </w:r>
          </w:p>
        </w:tc>
      </w:tr>
      <w:tr>
        <w:trPr>
          <w:trHeight w:val="21"/>
        </w:trPr>
        <w:tc>
          <w:tcPr>
            <w:tcW w:w="3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66" w:lineRule="exact"/>
        <w:rPr>
          <w:sz w:val="20"/>
          <w:szCs w:val="20"/>
          <w:color w:val="auto"/>
        </w:rPr>
      </w:pPr>
    </w:p>
    <w:p>
      <w:pPr>
        <w:ind w:left="340" w:right="300"/>
        <w:spacing w:after="0" w:line="260"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before tax is as follows:</w:t>
      </w:r>
    </w:p>
    <w:p>
      <w:pPr>
        <w:spacing w:after="0" w:line="121"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140" w:type="dxa"/>
            <w:vAlign w:val="bottom"/>
          </w:tcPr>
          <w:p>
            <w:pPr>
              <w:spacing w:after="0"/>
              <w:rPr>
                <w:sz w:val="19"/>
                <w:szCs w:val="19"/>
                <w:color w:val="auto"/>
              </w:rPr>
            </w:pPr>
          </w:p>
        </w:tc>
        <w:tc>
          <w:tcPr>
            <w:tcW w:w="358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9"/>
                <w:szCs w:val="19"/>
                <w:color w:val="auto"/>
              </w:rPr>
            </w:pPr>
          </w:p>
        </w:tc>
        <w:tc>
          <w:tcPr>
            <w:tcW w:w="30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 March 31,</w:t>
            </w:r>
          </w:p>
        </w:tc>
      </w:tr>
      <w:tr>
        <w:trPr>
          <w:trHeight w:val="236"/>
        </w:trPr>
        <w:tc>
          <w:tcPr>
            <w:tcW w:w="314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33"/>
        </w:trPr>
        <w:tc>
          <w:tcPr>
            <w:tcW w:w="3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548.0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283.5</w:t>
            </w:r>
          </w:p>
        </w:tc>
      </w:tr>
      <w:tr>
        <w:trPr>
          <w:trHeight w:val="240"/>
        </w:trPr>
        <w:tc>
          <w:tcPr>
            <w:tcW w:w="31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0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(246.1)</w:t>
            </w:r>
          </w:p>
        </w:tc>
      </w:tr>
      <w:tr>
        <w:trPr>
          <w:trHeight w:val="246"/>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w:t>
            </w:r>
          </w:p>
        </w:tc>
      </w:tr>
      <w:tr>
        <w:trPr>
          <w:trHeight w:val="240"/>
        </w:trPr>
        <w:tc>
          <w:tcPr>
            <w:tcW w:w="31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4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 net</w:t>
            </w:r>
          </w:p>
        </w:tc>
        <w:tc>
          <w:tcPr>
            <w:tcW w:w="10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r>
      <w:tr>
        <w:trPr>
          <w:trHeight w:val="240"/>
        </w:trPr>
        <w:tc>
          <w:tcPr>
            <w:tcW w:w="314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20"/>
                <w:szCs w:val="20"/>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w:t>
            </w:r>
          </w:p>
        </w:tc>
      </w:tr>
      <w:tr>
        <w:trPr>
          <w:trHeight w:val="20"/>
        </w:trPr>
        <w:tc>
          <w:tcPr>
            <w:tcW w:w="3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Subsequent Events</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Stock Unit Grants</w:t>
      </w:r>
    </w:p>
    <w:p>
      <w:pPr>
        <w:spacing w:after="0" w:line="66" w:lineRule="exact"/>
        <w:rPr>
          <w:sz w:val="20"/>
          <w:szCs w:val="20"/>
          <w:color w:val="auto"/>
        </w:rPr>
      </w:pPr>
    </w:p>
    <w:p>
      <w:pPr>
        <w:ind w:left="340"/>
        <w:spacing w:after="0" w:line="253" w:lineRule="auto"/>
        <w:rPr>
          <w:sz w:val="20"/>
          <w:szCs w:val="20"/>
          <w:color w:val="auto"/>
        </w:rPr>
      </w:pPr>
      <w:r>
        <w:rPr>
          <w:rFonts w:ascii="Arial" w:cs="Arial" w:eastAsia="Arial" w:hAnsi="Arial"/>
          <w:sz w:val="16"/>
          <w:szCs w:val="16"/>
          <w:color w:val="auto"/>
        </w:rPr>
        <w:t>Following March 31, 2020, the Company's Board of Directors granted a total of 695,249 restricted stock units for shares of the Company's Class A common stock at a weighted-average grant date fair value of $31.78 per share and 481,672 stock options to purchase shares of the Company's Class A common stock at a weighted-average exercise price of $30.33.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our final prospectus, or Prospectus, dated September 25, 2019 and filed with the U.S. Securities and Exchange Commission, or the SEC, pursuant to Rule 424(b) under the Securities Act of 1933, as amended, or the Securities Act, on September 26, 2019.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our Prospectus.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COVID-19</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unprecedented time, we are grateful for the extremely hard work of all of our employees, incredibly supportive Member community, and unwavering business partners. Our priorities during this time have been to ensure the safety and well-being of our employees, to continue to serve our Members, and to support our communities through initiatives including:</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Employee Assistance: </w:t>
      </w:r>
      <w:r>
        <w:rPr>
          <w:rFonts w:ascii="Arial" w:cs="Arial" w:eastAsia="Arial" w:hAnsi="Arial"/>
          <w:sz w:val="16"/>
          <w:szCs w:val="16"/>
          <w:color w:val="auto"/>
        </w:rPr>
        <w:t>We extended sick time for all of our employees, procured necessary technology and systems access for employees to work</w:t>
      </w:r>
      <w:r>
        <w:rPr>
          <w:rFonts w:ascii="Arial" w:cs="Arial" w:eastAsia="Arial" w:hAnsi="Arial"/>
          <w:sz w:val="16"/>
          <w:szCs w:val="16"/>
          <w:b w:val="1"/>
          <w:bCs w:val="1"/>
          <w:color w:val="auto"/>
        </w:rPr>
        <w:t xml:space="preserve"> </w:t>
      </w:r>
      <w:r>
        <w:rPr>
          <w:rFonts w:ascii="Arial" w:cs="Arial" w:eastAsia="Arial" w:hAnsi="Arial"/>
          <w:sz w:val="16"/>
          <w:szCs w:val="16"/>
          <w:color w:val="auto"/>
        </w:rPr>
        <w:t>remotely, established a family care reimbursement program, provided well-being reimbursements to cover the unique expenses associated with COVID-19, and instituted a “High Five” employee-funded and company-matching program that provides financial assistance to employees undergoing various hardships with over $100,000 raised so far. We also implemented hazard pay for our warehouse and delivery employees.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Peloton Digital 90-Day Trial: </w:t>
      </w:r>
      <w:r>
        <w:rPr>
          <w:rFonts w:ascii="Arial" w:cs="Arial" w:eastAsia="Arial" w:hAnsi="Arial"/>
          <w:sz w:val="16"/>
          <w:szCs w:val="16"/>
          <w:color w:val="auto"/>
        </w:rPr>
        <w:t>From March 16, 2020 through April 30, 2020, we extended our Digital subscription free trial period from 30 to 90 days in order</w:t>
      </w:r>
      <w:r>
        <w:rPr>
          <w:rFonts w:ascii="Arial" w:cs="Arial" w:eastAsia="Arial" w:hAnsi="Arial"/>
          <w:sz w:val="16"/>
          <w:szCs w:val="16"/>
          <w:b w:val="1"/>
          <w:bCs w:val="1"/>
          <w:color w:val="auto"/>
        </w:rPr>
        <w:t xml:space="preserve"> </w:t>
      </w:r>
      <w:r>
        <w:rPr>
          <w:rFonts w:ascii="Arial" w:cs="Arial" w:eastAsia="Arial" w:hAnsi="Arial"/>
          <w:sz w:val="16"/>
          <w:szCs w:val="16"/>
          <w:color w:val="auto"/>
        </w:rPr>
        <w:t>to help people maintain their physical and mental well-being through our fitness and wellness programming. Since the extension was announced, over one million people have signed up for our free trial and completed over 7 million workouts from March 16, 2020 to April 30, 2020.</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Providing Relief for our Global Connected Fitness Members: </w:t>
      </w:r>
      <w:r>
        <w:rPr>
          <w:rFonts w:ascii="Arial" w:cs="Arial" w:eastAsia="Arial" w:hAnsi="Arial"/>
          <w:sz w:val="16"/>
          <w:szCs w:val="16"/>
          <w:color w:val="auto"/>
        </w:rPr>
        <w:t>We know many of our Members and their families are fighting COVID-19, helping others</w:t>
      </w:r>
      <w:r>
        <w:rPr>
          <w:rFonts w:ascii="Arial" w:cs="Arial" w:eastAsia="Arial" w:hAnsi="Arial"/>
          <w:sz w:val="16"/>
          <w:szCs w:val="16"/>
          <w:b w:val="1"/>
          <w:bCs w:val="1"/>
          <w:color w:val="auto"/>
        </w:rPr>
        <w:t xml:space="preserve"> </w:t>
      </w:r>
      <w:r>
        <w:rPr>
          <w:rFonts w:ascii="Arial" w:cs="Arial" w:eastAsia="Arial" w:hAnsi="Arial"/>
          <w:sz w:val="16"/>
          <w:szCs w:val="16"/>
          <w:color w:val="auto"/>
        </w:rPr>
        <w:t>cope with the illness, or have been financially impacted by business closures and job loss. In response, we pledged $1.0 million in Connected Fitness Subscription waivers for those financially impacted by COVID-19 to help our Members stay healthy and connected during these challenging times.</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The Comeback for Healthcare Professionals: </w:t>
      </w:r>
      <w:r>
        <w:rPr>
          <w:rFonts w:ascii="Arial" w:cs="Arial" w:eastAsia="Arial" w:hAnsi="Arial"/>
          <w:sz w:val="16"/>
          <w:szCs w:val="16"/>
          <w:color w:val="auto"/>
        </w:rPr>
        <w:t>The Comeback is our donation program pursuant to which we donate 50 Bikes every month to individuals</w:t>
      </w:r>
      <w:r>
        <w:rPr>
          <w:rFonts w:ascii="Arial" w:cs="Arial" w:eastAsia="Arial" w:hAnsi="Arial"/>
          <w:sz w:val="16"/>
          <w:szCs w:val="16"/>
          <w:b w:val="1"/>
          <w:bCs w:val="1"/>
          <w:color w:val="auto"/>
        </w:rPr>
        <w:t xml:space="preserve"> </w:t>
      </w:r>
      <w:r>
        <w:rPr>
          <w:rFonts w:ascii="Arial" w:cs="Arial" w:eastAsia="Arial" w:hAnsi="Arial"/>
          <w:sz w:val="16"/>
          <w:szCs w:val="16"/>
          <w:color w:val="auto"/>
        </w:rPr>
        <w:t>and organizations on uphill journeys who can benefit from the support of the Bike and Peloton community. In April, we extended our existing Comeback program by donating 200 Bikes to hospitals and healthcare professionals.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Community Support</w:t>
      </w:r>
      <w:r>
        <w:rPr>
          <w:rFonts w:ascii="Arial" w:cs="Arial" w:eastAsia="Arial" w:hAnsi="Arial"/>
          <w:sz w:val="16"/>
          <w:szCs w:val="16"/>
          <w:color w:val="auto"/>
        </w:rPr>
        <w:t>: In early April we donated 95,000 KN95 masks to New York City hospitals and supported our local community through charity classes</w:t>
      </w:r>
      <w:r>
        <w:rPr>
          <w:rFonts w:ascii="Arial" w:cs="Arial" w:eastAsia="Arial" w:hAnsi="Arial"/>
          <w:sz w:val="16"/>
          <w:szCs w:val="16"/>
          <w:b w:val="1"/>
          <w:bCs w:val="1"/>
          <w:color w:val="auto"/>
        </w:rPr>
        <w:t xml:space="preserve"> </w:t>
      </w:r>
      <w:r>
        <w:rPr>
          <w:rFonts w:ascii="Arial" w:cs="Arial" w:eastAsia="Arial" w:hAnsi="Arial"/>
          <w:sz w:val="16"/>
          <w:szCs w:val="16"/>
          <w:color w:val="auto"/>
        </w:rPr>
        <w:t>benefiting The Food Bank For New York City, raising approximately $500,000 to provide meals to those in need.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Continuity</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Peloton was uniquely positioned as a leader in home connected fitness to be top-of-mind as many were faced with the possibility of working from home for several weeks or months. The significant sales and marketing investments we made over the past few years, along with our Member focus, have driven strong brand awareness and word-of-mouth referrals. While we expect sales growth to moderate over time, we believe that the current environment of social distancing and working from home could be permanently influencing fitness consumer behavior and driving more people to discover Peloton as the most engaging, entertaining, immersive, and motivating home platform for fitness and well-being.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Corporate offices - </w:t>
      </w:r>
      <w:r>
        <w:rPr>
          <w:rFonts w:ascii="Arial" w:cs="Arial" w:eastAsia="Arial" w:hAnsi="Arial"/>
          <w:sz w:val="16"/>
          <w:szCs w:val="16"/>
          <w:color w:val="auto"/>
        </w:rPr>
        <w:t>Employees in New York, London and Plano, Texas adapted quickly to a 100% work-from-home environment.</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 xml:space="preserve">Showrooms - </w:t>
      </w:r>
      <w:r>
        <w:rPr>
          <w:rFonts w:ascii="Arial" w:cs="Arial" w:eastAsia="Arial" w:hAnsi="Arial"/>
          <w:sz w:val="16"/>
          <w:szCs w:val="16"/>
          <w:color w:val="auto"/>
        </w:rPr>
        <w:t>While we closed our 97 global retail showrooms on March 16, our e-commerce and inside sales channels remain open to allow us to continue</w:t>
      </w:r>
      <w:r>
        <w:rPr>
          <w:rFonts w:ascii="Arial" w:cs="Arial" w:eastAsia="Arial" w:hAnsi="Arial"/>
          <w:sz w:val="16"/>
          <w:szCs w:val="16"/>
          <w:i w:val="1"/>
          <w:iCs w:val="1"/>
          <w:color w:val="auto"/>
        </w:rPr>
        <w:t xml:space="preserve"> </w:t>
      </w:r>
      <w:r>
        <w:rPr>
          <w:rFonts w:ascii="Arial" w:cs="Arial" w:eastAsia="Arial" w:hAnsi="Arial"/>
          <w:sz w:val="16"/>
          <w:szCs w:val="16"/>
          <w:color w:val="auto"/>
        </w:rPr>
        <w:t>to sell our Connected Fitness Products to people during a time when they may need it most. Though we expect our showrooms to remain closed for several more weeks, our sales specialists have been redeployed to other areas of our business to address resource needs due to increased demand.</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Field Operations and Delivery - </w:t>
      </w:r>
      <w:r>
        <w:rPr>
          <w:rFonts w:ascii="Arial" w:cs="Arial" w:eastAsia="Arial" w:hAnsi="Arial"/>
          <w:sz w:val="16"/>
          <w:szCs w:val="16"/>
          <w:color w:val="auto"/>
        </w:rPr>
        <w:t>We have been monitoring safety guidelines and precautionary measures recommended by health officials and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any necessary adjustments to our delivery and warehouse protocol</w:t>
      </w:r>
      <w:r>
        <w:rPr>
          <w:rFonts w:ascii="Arial" w:cs="Arial" w:eastAsia="Arial" w:hAnsi="Arial"/>
          <w:sz w:val="16"/>
          <w:szCs w:val="16"/>
          <w:color w:val="181A1D"/>
        </w:rPr>
        <w:t>s to ensure the safety of both our team, our Members, and our communities. Since</w:t>
      </w:r>
      <w:r>
        <w:rPr>
          <w:rFonts w:ascii="Arial" w:cs="Arial" w:eastAsia="Arial" w:hAnsi="Arial"/>
          <w:sz w:val="16"/>
          <w:szCs w:val="16"/>
          <w:color w:val="auto"/>
        </w:rPr>
        <w:t xml:space="preserve"> </w:t>
      </w:r>
      <w:r>
        <w:rPr>
          <w:rFonts w:ascii="Arial" w:cs="Arial" w:eastAsia="Arial" w:hAnsi="Arial"/>
          <w:sz w:val="16"/>
          <w:szCs w:val="16"/>
          <w:color w:val="181A1D"/>
        </w:rPr>
        <w:t>the outbreak of COVID-19, we have made the following changes to our delivery and warehouse procedures:</w:t>
      </w:r>
    </w:p>
    <w:p>
      <w:pPr>
        <w:spacing w:after="0" w:line="1" w:lineRule="exact"/>
        <w:rPr>
          <w:sz w:val="20"/>
          <w:szCs w:val="20"/>
          <w:color w:val="auto"/>
        </w:rPr>
      </w:pPr>
    </w:p>
    <w:p>
      <w:pPr>
        <w:ind w:left="1200" w:hanging="220"/>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Implemented “threshold” and curbside delivery,</w:t>
      </w:r>
    </w:p>
    <w:p>
      <w:pPr>
        <w:spacing w:after="0" w:line="5" w:lineRule="exact"/>
        <w:rPr>
          <w:rFonts w:ascii="Arial" w:cs="Arial" w:eastAsia="Arial" w:hAnsi="Arial"/>
          <w:sz w:val="16"/>
          <w:szCs w:val="16"/>
          <w:color w:val="auto"/>
        </w:rPr>
      </w:pPr>
    </w:p>
    <w:p>
      <w:pPr>
        <w:ind w:left="1200" w:hanging="220"/>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Started deep cleaning practices throughout our warehouses and delivery vehicles,</w:t>
      </w:r>
    </w:p>
    <w:p>
      <w:pPr>
        <w:spacing w:after="0" w:line="5" w:lineRule="exact"/>
        <w:rPr>
          <w:rFonts w:ascii="Arial" w:cs="Arial" w:eastAsia="Arial" w:hAnsi="Arial"/>
          <w:sz w:val="16"/>
          <w:szCs w:val="16"/>
          <w:color w:val="auto"/>
        </w:rPr>
      </w:pPr>
    </w:p>
    <w:p>
      <w:pPr>
        <w:ind w:left="1200" w:hanging="220"/>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Paused activities that require entering the home including Tread delivery, return pick-up, and in-home servicing until further notice, and</w:t>
      </w:r>
    </w:p>
    <w:p>
      <w:pPr>
        <w:spacing w:after="0" w:line="5" w:lineRule="exact"/>
        <w:rPr>
          <w:rFonts w:ascii="Arial" w:cs="Arial" w:eastAsia="Arial" w:hAnsi="Arial"/>
          <w:sz w:val="16"/>
          <w:szCs w:val="16"/>
          <w:color w:val="auto"/>
        </w:rPr>
      </w:pPr>
    </w:p>
    <w:p>
      <w:pPr>
        <w:ind w:left="1200" w:hanging="220"/>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181A1D"/>
        </w:rPr>
        <w:t>Insisted our third party providers follow similar practices.</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Content Production - </w:t>
      </w:r>
      <w:r>
        <w:rPr>
          <w:rFonts w:ascii="Arial" w:cs="Arial" w:eastAsia="Arial" w:hAnsi="Arial"/>
          <w:sz w:val="16"/>
          <w:szCs w:val="16"/>
          <w:color w:val="auto"/>
        </w:rPr>
        <w:t>With thousands of fitness programs still available to our Members, we decided to pause production of new classes in our studios in</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and London on April 7. We resumed live programming from instructors' homes on April 22, which we plan to continue until our studios are reopened.</w:t>
      </w:r>
    </w:p>
    <w:p>
      <w:pPr>
        <w:spacing w:after="0" w:line="39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181A1D"/>
        </w:rPr>
        <w:t xml:space="preserve">Member Support - </w:t>
      </w:r>
      <w:r>
        <w:rPr>
          <w:rFonts w:ascii="Arial" w:cs="Arial" w:eastAsia="Arial" w:hAnsi="Arial"/>
          <w:sz w:val="16"/>
          <w:szCs w:val="16"/>
          <w:color w:val="181A1D"/>
        </w:rPr>
        <w:t>We enabled our Member Support teams to work from home so that our Members worldwide can continue to access the support they need</w:t>
      </w:r>
      <w:r>
        <w:rPr>
          <w:rFonts w:ascii="Arial" w:cs="Arial" w:eastAsia="Arial" w:hAnsi="Arial"/>
          <w:sz w:val="16"/>
          <w:szCs w:val="16"/>
          <w:i w:val="1"/>
          <w:iCs w:val="1"/>
          <w:color w:val="181A1D"/>
        </w:rPr>
        <w:t xml:space="preserve"> </w:t>
      </w:r>
      <w:r>
        <w:rPr>
          <w:rFonts w:ascii="Arial" w:cs="Arial" w:eastAsia="Arial" w:hAnsi="Arial"/>
          <w:sz w:val="16"/>
          <w:szCs w:val="16"/>
          <w:color w:val="181A1D"/>
        </w:rPr>
        <w:t>to focus on health and well-being and stay connected to our community.</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Inventory - </w:t>
      </w:r>
      <w:r>
        <w:rPr>
          <w:rFonts w:ascii="Arial" w:cs="Arial" w:eastAsia="Arial" w:hAnsi="Arial"/>
          <w:sz w:val="16"/>
          <w:szCs w:val="16"/>
          <w:color w:val="auto"/>
        </w:rPr>
        <w:t>We entered the three months ended March 31, 2020 with inventory in all regions, however, the significant out performance of Bike sales in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regions has increased order-to-delivery windows. We are working closely with our manufacturing partners to accelerate supply to reduce our order-to-delivery times in the fourth quarter. In order to meet our continued strong demand in the fourth quarter, we have increased production of our Bike and have incurred additional shipping costs in order to expedite product shipments.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5" w:name="page26"/>
    <w:bookmarkEnd w:id="25"/>
    <w:p>
      <w:pPr>
        <w:jc w:val="both"/>
        <w:spacing w:after="0" w:line="253" w:lineRule="auto"/>
        <w:rPr>
          <w:sz w:val="20"/>
          <w:szCs w:val="20"/>
          <w:color w:val="auto"/>
        </w:rPr>
      </w:pPr>
      <w:r>
        <w:rPr>
          <w:rFonts w:ascii="Arial" w:cs="Arial" w:eastAsia="Arial" w:hAnsi="Arial"/>
          <w:sz w:val="16"/>
          <w:szCs w:val="16"/>
          <w:color w:val="auto"/>
        </w:rPr>
        <w:t>In addition, we expect Connected Fitness Product gross margin to be impacted due to additional costs associated with COVID-19 such as hazard pay for field operations employees, and keeping our warehouse and delivery personnel safe through additional deep cleaning and safety protocols. This may be partially offset by a mix shift to Bike deliveries. We are not expecting to resume Tread deliveries for the remainder of fiscal 2020.</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unable to accurately predict the full impact that COVID-19 will have on our revenues, profitability, and financial position in light of the uncertainty as to the severity and duration of the pandemic, actions that may be taken by government authorities, the impact to our customers and business partners, and other factors identified in Part II, Item 1A "Risk Factors" of this Form 10-Q. We will continue to evaluate the nature and extent of the impact of COVID-19 to our business, consolidated results of operations, and financial condition.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Overview</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Peloton is the largest interactive fitness platform in the world with a loyal community of over 2.6 million Members as of March 31, 2020.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Connected Fitness Subscription, or a paid Peloton Digital Subscription.</w:t>
      </w:r>
    </w:p>
    <w:p>
      <w:pPr>
        <w:spacing w:after="0" w:line="200" w:lineRule="exact"/>
        <w:rPr>
          <w:sz w:val="20"/>
          <w:szCs w:val="20"/>
          <w:color w:val="auto"/>
        </w:rPr>
      </w:pP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Connected Fitness Product offerings currently include the Peloton Bike, launched in 2014, and the Peloton Tread, launched in 2018. Our revenue is primarily generated from the sale of our Connected Fitness Products and associated recurring subscription revenue. We have experienced significant growth in sales of our Connected Fitness Products, which, when combined with our low Average Net Monthly Connected Fitness Churn has led to significant growth in Connected Fitness Subscribers. From the three months ended March 31, 2019 to the three months ended March 31, 2020, total revenue grew 66%, and our Connected Fitness Subscriber base grew 94%.</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allows us to generate attractive value from our Connected Fitness Subscribers. When we acquire new Connected Fitness Subscribers, we are able to offset our customer acquisition costs with the gross profit earned on our Connected Fitness Products. This allows for rapid payback of our sales and marketing investments and results in a robust unit economic model.</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050505"/>
        </w:rPr>
        <w:t>F</w:t>
      </w:r>
      <w:r>
        <w:rPr>
          <w:rFonts w:ascii="Arial" w:cs="Arial" w:eastAsia="Arial" w:hAnsi="Arial"/>
          <w:sz w:val="16"/>
          <w:szCs w:val="16"/>
          <w:color w:val="000000"/>
        </w:rPr>
        <w:t>or the three months ended March 31, 2020 and 2019:</w:t>
      </w:r>
    </w:p>
    <w:p>
      <w:pPr>
        <w:spacing w:after="0" w:line="226"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generated total revenue of $524.6 million and $316.7 million, respectively, representing 66% year-over-year growth;</w:t>
      </w:r>
    </w:p>
    <w:p>
      <w:pPr>
        <w:ind w:left="640" w:hanging="308"/>
        <w:spacing w:after="0" w:line="228"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had 886,100 and 457,100 Connected Fitness Subscribers, respectively, representing 94% year-over-year growth;</w:t>
      </w:r>
    </w:p>
    <w:p>
      <w:pPr>
        <w:ind w:left="640" w:hanging="308"/>
        <w:spacing w:after="0" w:line="228"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Average Net Monthly Connected Fitness Churn was 0.46% and 0.68%, respectively;</w:t>
      </w:r>
    </w:p>
    <w:p>
      <w:pPr>
        <w:ind w:left="640" w:hanging="308"/>
        <w:spacing w:after="0" w:line="228"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incurred net losses of $(55.6) million and $(38.6) million, respectively; and</w:t>
      </w: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Adjusted EBITDA was $23.5 million and $(19.7) million, respectively.</w:t>
      </w:r>
    </w:p>
    <w:p>
      <w:pPr>
        <w:spacing w:after="0" w:line="235" w:lineRule="exact"/>
        <w:rPr>
          <w:sz w:val="20"/>
          <w:szCs w:val="20"/>
          <w:color w:val="auto"/>
        </w:rPr>
      </w:pPr>
    </w:p>
    <w:p>
      <w:pPr>
        <w:ind w:right="60"/>
        <w:spacing w:after="0" w:line="228" w:lineRule="auto"/>
        <w:rPr>
          <w:sz w:val="20"/>
          <w:szCs w:val="20"/>
          <w:color w:val="auto"/>
        </w:rPr>
      </w:pPr>
      <w:r>
        <w:rPr>
          <w:rFonts w:ascii="Arial" w:cs="Arial" w:eastAsia="Arial" w:hAnsi="Arial"/>
          <w:sz w:val="16"/>
          <w:szCs w:val="16"/>
          <w:color w:val="050505"/>
        </w:rPr>
        <w:t>For a definition of Connected Fitness Subscribers, Average Net Monthly Connected Fitness Churn, Subscription Contribution Margin, and Adjusted EBITDA, see the section titled “Key Operational and Business Metrics” in Part I, Item 2 of this Quarterly Report on Form 10-Q.</w:t>
      </w:r>
    </w:p>
    <w:p>
      <w:pPr>
        <w:spacing w:after="0" w:line="1"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050505"/>
        </w:rPr>
        <w:t>See the section titled “Non-GAAP Financial Measures” in Part I, Item 2 of this Quarterly Report on Form 10-Q for information regarding our use of Adjusted EBITDA and a reconciliation of net loss to Adjusted EBITDA.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56"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6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250"/>
        </w:trPr>
        <w:tc>
          <w:tcPr>
            <w:tcW w:w="66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256"/>
        </w:trPr>
        <w:tc>
          <w:tcPr>
            <w:tcW w:w="6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Connected Fitness Subscribers</w:t>
            </w: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886,100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457,100</w:t>
            </w:r>
          </w:p>
        </w:tc>
      </w:tr>
      <w:tr>
        <w:trPr>
          <w:trHeight w:val="233"/>
        </w:trPr>
        <w:tc>
          <w:tcPr>
            <w:tcW w:w="6660" w:type="dxa"/>
            <w:vAlign w:val="bottom"/>
          </w:tcPr>
          <w:p>
            <w:pPr>
              <w:ind w:left="20"/>
              <w:spacing w:after="0"/>
              <w:rPr>
                <w:sz w:val="20"/>
                <w:szCs w:val="20"/>
                <w:color w:val="auto"/>
              </w:rPr>
            </w:pPr>
            <w:r>
              <w:rPr>
                <w:rFonts w:ascii="Arial" w:cs="Arial" w:eastAsia="Arial" w:hAnsi="Arial"/>
                <w:sz w:val="16"/>
                <w:szCs w:val="16"/>
                <w:color w:val="auto"/>
              </w:rPr>
              <w:t>Average Net Monthly Connected Fitness Churn</w:t>
            </w:r>
          </w:p>
        </w:tc>
        <w:tc>
          <w:tcPr>
            <w:tcW w:w="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0.46 %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0.68 %</w:t>
            </w:r>
          </w:p>
        </w:tc>
      </w:tr>
      <w:tr>
        <w:trPr>
          <w:trHeight w:val="25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Workouts (in millions)</w:t>
            </w: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18.0</w:t>
            </w:r>
          </w:p>
        </w:tc>
      </w:tr>
      <w:tr>
        <w:trPr>
          <w:trHeight w:val="233"/>
        </w:trPr>
        <w:tc>
          <w:tcPr>
            <w:tcW w:w="6660" w:type="dxa"/>
            <w:vAlign w:val="bottom"/>
          </w:tcPr>
          <w:p>
            <w:pPr>
              <w:ind w:left="20"/>
              <w:spacing w:after="0"/>
              <w:rPr>
                <w:sz w:val="20"/>
                <w:szCs w:val="20"/>
                <w:color w:val="auto"/>
              </w:rPr>
            </w:pPr>
            <w:r>
              <w:rPr>
                <w:rFonts w:ascii="Arial" w:cs="Arial" w:eastAsia="Arial" w:hAnsi="Arial"/>
                <w:sz w:val="16"/>
                <w:szCs w:val="16"/>
                <w:color w:val="auto"/>
              </w:rPr>
              <w:t>Average Monthly Workouts per Connected Fitness Subscriber</w:t>
            </w:r>
          </w:p>
        </w:tc>
        <w:tc>
          <w:tcPr>
            <w:tcW w:w="3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13.9</w:t>
            </w:r>
          </w:p>
        </w:tc>
      </w:tr>
      <w:tr>
        <w:trPr>
          <w:trHeight w:val="25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w:t>
            </w:r>
          </w:p>
        </w:tc>
      </w:tr>
      <w:tr>
        <w:trPr>
          <w:trHeight w:val="243"/>
        </w:trPr>
        <w:tc>
          <w:tcPr>
            <w:tcW w:w="6660" w:type="dxa"/>
            <w:vAlign w:val="bottom"/>
          </w:tcPr>
          <w:p>
            <w:pPr>
              <w:ind w:left="20"/>
              <w:spacing w:after="0"/>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16.7</w:t>
            </w: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25.6 %</w:t>
            </w:r>
          </w:p>
        </w:tc>
      </w:tr>
      <w:tr>
        <w:trPr>
          <w:trHeight w:val="243"/>
        </w:trPr>
        <w:tc>
          <w:tcPr>
            <w:tcW w:w="6660" w:type="dxa"/>
            <w:vAlign w:val="bottom"/>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63.6 %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32.7 %</w:t>
            </w: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(38.6)</w:t>
            </w:r>
          </w:p>
        </w:tc>
      </w:tr>
      <w:tr>
        <w:trPr>
          <w:trHeight w:val="243"/>
        </w:trPr>
        <w:tc>
          <w:tcPr>
            <w:tcW w:w="6660" w:type="dxa"/>
            <w:vAlign w:val="bottom"/>
          </w:tcPr>
          <w:p>
            <w:pPr>
              <w:ind w:left="20"/>
              <w:spacing w:after="0"/>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(2)</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(19.7)</w:t>
            </w: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ind w:left="500" w:right="580" w:hanging="6"/>
        <w:spacing w:after="0" w:line="230" w:lineRule="auto"/>
        <w:tabs>
          <w:tab w:leader="none" w:pos="689" w:val="left"/>
        </w:tabs>
        <w:numPr>
          <w:ilvl w:val="0"/>
          <w:numId w:val="17"/>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 in Part I, Item 2 of this Quarterly Report on Form 10-Q for a reconciliation of Subscription Gross Profit to Subscription Contribution and an explanation for why we consider Subscription Contribution to be a helpful metric for investors.</w:t>
      </w:r>
    </w:p>
    <w:p>
      <w:pPr>
        <w:spacing w:after="0" w:line="226" w:lineRule="exact"/>
        <w:rPr>
          <w:rFonts w:ascii="Arial" w:cs="Arial" w:eastAsia="Arial" w:hAnsi="Arial"/>
          <w:sz w:val="13"/>
          <w:szCs w:val="13"/>
          <w:color w:val="auto"/>
        </w:rPr>
      </w:pPr>
    </w:p>
    <w:p>
      <w:pPr>
        <w:ind w:left="500" w:right="160" w:hanging="6"/>
        <w:spacing w:after="0" w:line="230" w:lineRule="auto"/>
        <w:tabs>
          <w:tab w:leader="none" w:pos="689" w:val="left"/>
        </w:tabs>
        <w:numPr>
          <w:ilvl w:val="0"/>
          <w:numId w:val="17"/>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 in Part I, Item 2 of this Quarterly Report on Form 10-Q for a reconciliation of net loss to Adjusted EBITDA and an explanation for why we consider Adjusted EBITDA to be a helpful metric for investors.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Connected Fitness Subscribers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ability to expand the number of Connected Fitness Subscribers is an indicator of our market penetration and growth. A Connected Fitness Subscriber can represent a person, household, or commercial property, such as a hotel or residential building.</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 Connected Fitness Subscription is either a paid Connected Fitness Subscriber (a Connected Fitness Subscription with a successful credit card billing or with prepaid subscription credits or waivers) or paused Connected Fitness Subscriber (a Connected Fitness Subscription where the Subscriber has requested to “Pause” for up to 3 months). We do not include canceled or unpaid Connected Fitness Subscriptions in the Connected Fitness Subscriber count.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Connected Fitness Churn</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use Average Net Monthly Connected Fitness Churn to measure the retention of our Connected Fitness Subscribers. We define Average Net Monthly Connected Fitness Churn as Connected Fitness Subscriber cancellations, net of reactivations, in the quarter, divided by the average number of beginning Connected Fitness Subscribers in each month, divided by three months. This metric does not include data related to our Digital Subscribers who pay a monthly fee for access to our content library on their own devices.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Workouts and Average Monthly Workouts per Connected Fitness Subscriber</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review Total Workouts and Average Monthly Workouts per Connected Fitness Subscriber to measure engagement, which is the leading indicator of retention for our Connected Fitness Subscribers. We define Total Workouts as all workouts completed during a given period. We define a Workout as a Connected Fitness Subscriber either completing at least 50% of an instructor-led or scenic ride or run or ten or more minutes of “Just Ride” or “Just Run” mode. We define Average Monthly Workouts per Connected Fitness Subscriber as the Total Workouts completed in the quarter divided by the average number of Connected Fitness Subscribers in each month, divided by three months.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The continued growth of our Connected Fitness Subscriber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Subscriber base.</w:t>
      </w:r>
    </w:p>
    <w:p>
      <w:pPr>
        <w:spacing w:after="0" w:line="21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depreciation and amortization expense, and stock-based compensation expense. Subscription Contribution Margin is calculated by dividing Subscription Contribution by subscription revenue. See the section titled “—Non-GAAP Financial Measures—Subscription Contribution and Subscription Contribution Margin” in Part I, Item 2 of this Quarterly Report on Form 10-Q for information regarding our use of Subscription Contribution and Subscription Contribution Margin and a reconciliation of Subscription Contribution to subscription gross profit.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and Adjusted EBITDA Margin are key performance measures that our management uses to assess our operating performance and the operating leverage in our business. Because Adjusted EBITDA and Adjusted EBITDA Margin facilitate internal comparisons of our historical operating performance on a more consistent basis, we use these measures for business planning purposes. 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leverage in our operating expenses.</w:t>
      </w:r>
    </w:p>
    <w:p>
      <w:pPr>
        <w:spacing w:after="0" w:line="21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050505"/>
        </w:rPr>
        <w:t>We calculate Adjusted EBITDA as net loss adjusted to exclude: interest income, net; other income, net; provision for income taxes; depreciation and amortization expense; stock-based compensation expense; costs related to acquisitions; certain litigation expenses, consisting of legal settlements and related fees for specific proceedings that arise outside of the ordinary course of our business; the ground lease expense related to build-to-suit lease obligations under ASC 840, and incremental costs associated with COVID-19. Adjusted EBITDA Margin is calculated by dividing Adjusted EBITDA by total revenue. See the section titled “</w:t>
      </w:r>
      <w:r>
        <w:rPr>
          <w:rFonts w:ascii="Arial" w:cs="Arial" w:eastAsia="Arial" w:hAnsi="Arial"/>
          <w:sz w:val="16"/>
          <w:szCs w:val="16"/>
          <w:color w:val="000000"/>
        </w:rPr>
        <w:t>—Non-GAAP Financial Measures</w:t>
      </w:r>
      <w:r>
        <w:rPr>
          <w:rFonts w:ascii="Arial" w:cs="Arial" w:eastAsia="Arial" w:hAnsi="Arial"/>
          <w:sz w:val="16"/>
          <w:szCs w:val="16"/>
          <w:color w:val="050505"/>
        </w:rPr>
        <w:t>—Adjusted EBITDA and Adjusted EBITDA Margin” in Part I, Item 2 of this Quarterly Report on Form 10-Q for information regarding our use of Adjusted EBITDA and a reconciliation of Adjusted EBITDA to net loss.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5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050505"/>
        </w:rPr>
        <w:t>We calculate Adjusted EBITDA as net loss adjusted to exclude: other (income), net; provision for income taxes; depreciation and amortization expense; stock-based compensation expense; transaction costs; certain litigation expenses, consisting of legal settlements and related fees for specific proceedings that arise outside of the ordinary course of our business; the ground lease expense related to build-to-suit lease obligations under ASC 840, and incremental costs associated with COVID-19. Adjusted EBITDA Margin is calculated by dividing Adjusted EBITDA by total revenue.</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ectPr>
          <w:pgSz w:w="11900" w:h="16838" w:orient="portrait"/>
          <w:cols w:equalWidth="0" w:num="1">
            <w:col w:w="11240"/>
          </w:cols>
          <w:pgMar w:left="320" w:top="486" w:right="339" w:bottom="1440"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type w:val="continuous"/>
        </w:sectPr>
      </w:pPr>
    </w:p>
    <w:bookmarkStart w:id="28" w:name="page29"/>
    <w:bookmarkEnd w:id="28"/>
    <w:p>
      <w:pPr>
        <w:jc w:val="both"/>
        <w:ind w:left="660" w:hanging="328"/>
        <w:spacing w:after="0" w:line="24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EBITDA and Adjusted EBITDA Margin are widely used by investors and securities analysts to measure a company’s operating performance without regard to items such as stock-based compensation expense, depreciation and amortization expense, other (income), net, and provision for income taxes that can vary substantially from company to company depending upon their financing, capital structures, and the method by which assets were acquired;</w:t>
      </w:r>
    </w:p>
    <w:p>
      <w:pPr>
        <w:spacing w:after="0" w:line="1"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222" w:lineRule="exact"/>
        <w:rPr>
          <w:sz w:val="20"/>
          <w:szCs w:val="20"/>
          <w:color w:val="auto"/>
        </w:rPr>
      </w:pPr>
    </w:p>
    <w:p>
      <w:pPr>
        <w:jc w:val="both"/>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jc w:val="both"/>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certain litigation expenses, consisting of legal settlements and related fees for specific proceedings, that arise outside of the ordinary course of our business;</w:t>
      </w:r>
    </w:p>
    <w:p>
      <w:pPr>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the non-cash ground lease expense related to our new corporate headquarters lease whereby we are considered, for accounting purposes only, the owner of the construction project under ASC 840;</w:t>
      </w: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transaction costs related to acquisitions; and</w:t>
      </w:r>
    </w:p>
    <w:p>
      <w:pPr>
        <w:spacing w:after="0" w:line="5"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For this quarter we have updated our Adjusted EBITDA and Adjusted EBITDA Margin financial measures to exclude incremental costs associated with COVID-19, which consist of hazard pay for field operations employees and costs associated with deep cleaning of facilities, because these costs arise outside of the ordinary course of our business and we believe that excluding the impact of these COVID-19 costs reflects information valuable to investors given the outsized impact of the pandemic, which is not expected to have similar ongoing impact to our future results given the unprecedented nature of COVID-19.</w:t>
      </w:r>
    </w:p>
    <w:p>
      <w:pPr>
        <w:spacing w:after="0" w:line="200" w:lineRule="exact"/>
        <w:rPr>
          <w:sz w:val="20"/>
          <w:szCs w:val="20"/>
          <w:color w:val="auto"/>
        </w:rPr>
      </w:pP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gridSpan w:val="3"/>
          </w:tcPr>
          <w:p>
            <w:pPr>
              <w:jc w:val="right"/>
              <w:ind w:right="959"/>
              <w:spacing w:after="0"/>
              <w:rPr>
                <w:sz w:val="20"/>
                <w:szCs w:val="20"/>
                <w:color w:val="auto"/>
              </w:rPr>
            </w:pPr>
            <w:r>
              <w:rPr>
                <w:rFonts w:ascii="Arial" w:cs="Arial" w:eastAsia="Arial" w:hAnsi="Arial"/>
                <w:sz w:val="16"/>
                <w:szCs w:val="16"/>
                <w:b w:val="1"/>
                <w:bCs w:val="1"/>
                <w:i w:val="1"/>
                <w:iCs w:val="1"/>
                <w:color w:val="auto"/>
              </w:rPr>
              <w:t>Adjusted EBITDA and Adjusted EBITDA Margin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6"/>
        </w:trPr>
        <w:tc>
          <w:tcPr>
            <w:tcW w:w="3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640" w:type="dxa"/>
            <w:vAlign w:val="bottom"/>
            <w:gridSpan w:val="6"/>
          </w:tcPr>
          <w:p>
            <w:pPr>
              <w:ind w:left="58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22"/>
                <w:szCs w:val="22"/>
                <w:color w:val="auto"/>
              </w:rPr>
            </w:pPr>
          </w:p>
        </w:tc>
        <w:tc>
          <w:tcPr>
            <w:tcW w:w="32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 March 31,</w:t>
            </w:r>
          </w:p>
        </w:tc>
      </w:tr>
      <w:tr>
        <w:trPr>
          <w:trHeight w:val="224"/>
        </w:trPr>
        <w:tc>
          <w:tcPr>
            <w:tcW w:w="3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33"/>
        </w:trPr>
        <w:tc>
          <w:tcPr>
            <w:tcW w:w="3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0"/>
        </w:trPr>
        <w:tc>
          <w:tcPr>
            <w:tcW w:w="3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20" w:type="dxa"/>
            <w:vAlign w:val="bottom"/>
            <w:gridSpan w:val="5"/>
          </w:tcPr>
          <w:p>
            <w:pPr>
              <w:ind w:left="620"/>
              <w:spacing w:after="0"/>
              <w:rPr>
                <w:sz w:val="20"/>
                <w:szCs w:val="20"/>
                <w:color w:val="auto"/>
              </w:rPr>
            </w:pPr>
            <w:r>
              <w:rPr>
                <w:rFonts w:ascii="Arial" w:cs="Arial" w:eastAsia="Arial" w:hAnsi="Arial"/>
                <w:sz w:val="16"/>
                <w:szCs w:val="16"/>
                <w:b w:val="1"/>
                <w:bCs w:val="1"/>
                <w:color w:val="auto"/>
              </w:rPr>
              <w:t>(dollars in millions)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340" w:type="dxa"/>
            <w:vAlign w:val="bottom"/>
          </w:tcPr>
          <w:p>
            <w:pPr>
              <w:spacing w:after="0"/>
              <w:rPr>
                <w:sz w:val="21"/>
                <w:szCs w:val="21"/>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loss </w:t>
            </w:r>
            <w:r>
              <w:rPr>
                <w:rFonts w:ascii="Arial" w:cs="Arial" w:eastAsia="Arial" w:hAnsi="Arial"/>
                <w:sz w:val="21"/>
                <w:szCs w:val="21"/>
                <w:color w:val="auto"/>
                <w:vertAlign w:val="superscript"/>
              </w:rPr>
              <w:t>(1)</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(160.7)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(148.2)</w:t>
            </w:r>
          </w:p>
        </w:tc>
      </w:tr>
      <w:tr>
        <w:trPr>
          <w:trHeight w:val="233"/>
        </w:trPr>
        <w:tc>
          <w:tcPr>
            <w:tcW w:w="34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340" w:type="dxa"/>
            <w:vAlign w:val="bottom"/>
          </w:tcPr>
          <w:p>
            <w:pPr>
              <w:spacing w:after="0"/>
              <w:rPr>
                <w:sz w:val="21"/>
                <w:szCs w:val="21"/>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w:t>
            </w:r>
          </w:p>
        </w:tc>
      </w:tr>
      <w:tr>
        <w:trPr>
          <w:trHeight w:val="233"/>
        </w:trPr>
        <w:tc>
          <w:tcPr>
            <w:tcW w:w="34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108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0.2</w:t>
            </w:r>
          </w:p>
        </w:tc>
      </w:tr>
      <w:tr>
        <w:trPr>
          <w:trHeight w:val="253"/>
        </w:trPr>
        <w:tc>
          <w:tcPr>
            <w:tcW w:w="340" w:type="dxa"/>
            <w:vAlign w:val="bottom"/>
          </w:tcPr>
          <w:p>
            <w:pPr>
              <w:spacing w:after="0"/>
              <w:rPr>
                <w:sz w:val="21"/>
                <w:szCs w:val="21"/>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15.0</w:t>
            </w:r>
          </w:p>
        </w:tc>
      </w:tr>
      <w:tr>
        <w:trPr>
          <w:trHeight w:val="233"/>
        </w:trPr>
        <w:tc>
          <w:tcPr>
            <w:tcW w:w="34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56.3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76.0</w:t>
            </w:r>
          </w:p>
        </w:tc>
      </w:tr>
      <w:tr>
        <w:trPr>
          <w:trHeight w:val="253"/>
        </w:trPr>
        <w:tc>
          <w:tcPr>
            <w:tcW w:w="340" w:type="dxa"/>
            <w:vAlign w:val="bottom"/>
          </w:tcPr>
          <w:p>
            <w:pPr>
              <w:spacing w:after="0"/>
              <w:rPr>
                <w:sz w:val="21"/>
                <w:szCs w:val="21"/>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and settlement expenses</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9.7</w:t>
            </w:r>
          </w:p>
        </w:tc>
      </w:tr>
      <w:tr>
        <w:trPr>
          <w:trHeight w:val="243"/>
        </w:trPr>
        <w:tc>
          <w:tcPr>
            <w:tcW w:w="340" w:type="dxa"/>
            <w:vAlign w:val="bottom"/>
          </w:tcPr>
          <w:p>
            <w:pPr>
              <w:spacing w:after="0"/>
              <w:rPr>
                <w:sz w:val="21"/>
                <w:szCs w:val="21"/>
                <w:color w:val="auto"/>
              </w:rPr>
            </w:pPr>
          </w:p>
        </w:tc>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adjustment items </w:t>
            </w:r>
            <w:r>
              <w:rPr>
                <w:rFonts w:ascii="Arial" w:cs="Arial" w:eastAsia="Arial" w:hAnsi="Arial"/>
                <w:sz w:val="21"/>
                <w:szCs w:val="21"/>
                <w:color w:val="auto"/>
                <w:vertAlign w:val="superscript"/>
              </w:rPr>
              <w:t>(2)</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w:t>
            </w:r>
          </w:p>
        </w:tc>
      </w:tr>
      <w:tr>
        <w:trPr>
          <w:trHeight w:val="261"/>
        </w:trPr>
        <w:tc>
          <w:tcPr>
            <w:tcW w:w="340" w:type="dxa"/>
            <w:vAlign w:val="bottom"/>
          </w:tcPr>
          <w:p>
            <w:pPr>
              <w:spacing w:after="0"/>
              <w:rPr>
                <w:sz w:val="22"/>
                <w:szCs w:val="22"/>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(47.7)</w:t>
            </w:r>
          </w:p>
        </w:tc>
      </w:tr>
      <w:tr>
        <w:trPr>
          <w:trHeight w:val="20"/>
        </w:trPr>
        <w:tc>
          <w:tcPr>
            <w:tcW w:w="34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0"/>
        </w:trPr>
        <w:tc>
          <w:tcPr>
            <w:tcW w:w="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______________________</w:t>
      </w:r>
    </w:p>
    <w:p>
      <w:pPr>
        <w:ind w:left="500"/>
        <w:spacing w:after="0"/>
        <w:rPr>
          <w:sz w:val="20"/>
          <w:szCs w:val="20"/>
          <w:color w:val="auto"/>
        </w:rPr>
      </w:pPr>
      <w:r>
        <w:rPr>
          <w:rFonts w:ascii="Arial" w:cs="Arial" w:eastAsia="Arial" w:hAnsi="Arial"/>
          <w:sz w:val="13"/>
          <w:szCs w:val="13"/>
          <w:color w:val="auto"/>
        </w:rPr>
        <w:t>(1) Included in net loss are content costs for past use as follows:</w:t>
      </w:r>
    </w:p>
    <w:p>
      <w:pPr>
        <w:sectPr>
          <w:pgSz w:w="11900" w:h="16838" w:orient="portrait"/>
          <w:cols w:equalWidth="0" w:num="1">
            <w:col w:w="11240"/>
          </w:cols>
          <w:pgMar w:left="320" w:top="708"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type w:val="continuous"/>
        </w:sectPr>
      </w:pPr>
    </w:p>
    <w:bookmarkStart w:id="29" w:name="page30"/>
    <w:bookmarkEnd w:id="29"/>
    <w:tbl>
      <w:tblPr>
        <w:tblLayout w:type="fixed"/>
        <w:tblInd w:w="34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gridSpan w:val="3"/>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9"/>
                <w:szCs w:val="19"/>
                <w:color w:val="auto"/>
              </w:rPr>
            </w:pPr>
          </w:p>
        </w:tc>
        <w:tc>
          <w:tcPr>
            <w:tcW w:w="298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Nine Months Ended March 31,</w:t>
            </w:r>
          </w:p>
        </w:tc>
      </w:tr>
      <w:tr>
        <w:trPr>
          <w:trHeight w:val="237"/>
        </w:trPr>
        <w:tc>
          <w:tcPr>
            <w:tcW w:w="33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86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2020</w:t>
            </w: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33"/>
        </w:trPr>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Content costs for past use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w:t>
            </w: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______________________</w:t>
      </w:r>
    </w:p>
    <w:p>
      <w:pPr>
        <w:jc w:val="both"/>
        <w:ind w:left="500" w:hanging="6"/>
        <w:spacing w:after="0" w:line="239" w:lineRule="auto"/>
        <w:tabs>
          <w:tab w:leader="none" w:pos="691" w:val="left"/>
        </w:tabs>
        <w:numPr>
          <w:ilvl w:val="0"/>
          <w:numId w:val="20"/>
        </w:numPr>
        <w:rPr>
          <w:rFonts w:ascii="Arial" w:cs="Arial" w:eastAsia="Arial" w:hAnsi="Arial"/>
          <w:sz w:val="13"/>
          <w:szCs w:val="13"/>
          <w:color w:val="auto"/>
        </w:rPr>
      </w:pPr>
      <w:r>
        <w:rPr>
          <w:rFonts w:ascii="Arial" w:cs="Arial" w:eastAsia="Arial" w:hAnsi="Arial"/>
          <w:sz w:val="13"/>
          <w:szCs w:val="13"/>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Adjusted EBITDA are content costs for past use. These costs had no basis point impact on Adjusted EBITDA Margin for the three months ended March 31, 2020 and a negative basis point impact on Adjusted EBITDA Margin of 8 for the nine months ended March 31, 2020 and 357 and 238 for the three and nine months ended March 31, 2019, respectively.</w:t>
      </w:r>
    </w:p>
    <w:p>
      <w:pPr>
        <w:spacing w:after="0" w:line="200" w:lineRule="exact"/>
        <w:rPr>
          <w:rFonts w:ascii="Arial" w:cs="Arial" w:eastAsia="Arial" w:hAnsi="Arial"/>
          <w:sz w:val="13"/>
          <w:szCs w:val="13"/>
          <w:color w:val="auto"/>
        </w:rPr>
      </w:pPr>
    </w:p>
    <w:p>
      <w:pPr>
        <w:spacing w:after="0" w:line="284" w:lineRule="exact"/>
        <w:rPr>
          <w:rFonts w:ascii="Arial" w:cs="Arial" w:eastAsia="Arial" w:hAnsi="Arial"/>
          <w:sz w:val="13"/>
          <w:szCs w:val="13"/>
          <w:color w:val="auto"/>
        </w:rPr>
      </w:pPr>
    </w:p>
    <w:p>
      <w:pPr>
        <w:ind w:left="500" w:hanging="6"/>
        <w:spacing w:after="0" w:line="242" w:lineRule="auto"/>
        <w:tabs>
          <w:tab w:leader="none" w:pos="705"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incremental costs associated with COVID-19 of $0.9 million for the three and nine months ended March 31, 2020 and the ground lease expense related to build-to-suit lease obligations under ASC 840 of $2.6 million and $4.4 million for the three and nine months ended March 31, 2019.</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use of Subscription Contribution and Subscription Contribution Margin have limitations as analytical tools, and you should not consider these in isolation or as substitutes for analysis of our financial results as reported under GAAP. Some of these limitations are as follows:</w:t>
      </w:r>
    </w:p>
    <w:p>
      <w:pPr>
        <w:spacing w:after="0" w:line="222" w:lineRule="exact"/>
        <w:rPr>
          <w:sz w:val="20"/>
          <w:szCs w:val="20"/>
          <w:color w:val="auto"/>
        </w:rPr>
      </w:pPr>
    </w:p>
    <w:p>
      <w:pPr>
        <w:jc w:val="both"/>
        <w:ind w:left="660" w:hanging="328"/>
        <w:spacing w:after="0" w:line="24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25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3640" w:type="dxa"/>
            <w:vAlign w:val="bottom"/>
            <w:gridSpan w:val="6"/>
          </w:tcPr>
          <w:p>
            <w:pPr>
              <w:ind w:left="56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8"/>
                <w:szCs w:val="18"/>
                <w:color w:val="auto"/>
              </w:rPr>
            </w:pPr>
          </w:p>
        </w:tc>
        <w:tc>
          <w:tcPr>
            <w:tcW w:w="32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47"/>
        </w:trPr>
        <w:tc>
          <w:tcPr>
            <w:tcW w:w="32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5"/>
          </w:tcPr>
          <w:p>
            <w:pPr>
              <w:ind w:left="660"/>
              <w:spacing w:after="0"/>
              <w:rPr>
                <w:sz w:val="20"/>
                <w:szCs w:val="20"/>
                <w:color w:val="auto"/>
              </w:rPr>
            </w:pPr>
            <w:r>
              <w:rPr>
                <w:rFonts w:ascii="Arial" w:cs="Arial" w:eastAsia="Arial" w:hAnsi="Arial"/>
                <w:sz w:val="16"/>
                <w:szCs w:val="16"/>
                <w:b w:val="1"/>
                <w:bCs w:val="1"/>
                <w:color w:val="auto"/>
              </w:rPr>
              <w:t>(dollars in millions)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242.5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Less: Cost of Subscription </w:t>
            </w:r>
            <w:r>
              <w:rPr>
                <w:rFonts w:ascii="Arial" w:cs="Arial" w:eastAsia="Arial" w:hAnsi="Arial"/>
                <w:sz w:val="21"/>
                <w:szCs w:val="21"/>
                <w:color w:val="auto"/>
                <w:vertAlign w:val="superscript"/>
              </w:rPr>
              <w:t>(1)</w:t>
            </w:r>
          </w:p>
        </w:tc>
        <w:tc>
          <w:tcPr>
            <w:tcW w:w="1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103.3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6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57.8 %</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57.4 %</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37.9 %</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0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1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63.7 %</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6"/>
                <w:szCs w:val="16"/>
                <w:color w:val="auto"/>
              </w:rPr>
              <w:t>____________________</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20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3"/>
          <w:szCs w:val="13"/>
          <w:color w:val="auto"/>
        </w:rPr>
        <w:t>(1) Included in cost of subscription are content costs for past use as follows:</w:t>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30" w:name="page31"/>
    <w:bookmarkEnd w:id="30"/>
    <w:tbl>
      <w:tblPr>
        <w:tblLayout w:type="fixed"/>
        <w:tblInd w:w="34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gridSpan w:val="3"/>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9"/>
                <w:szCs w:val="19"/>
                <w:color w:val="auto"/>
              </w:rPr>
            </w:pPr>
          </w:p>
        </w:tc>
        <w:tc>
          <w:tcPr>
            <w:tcW w:w="298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Nine Months Ended March 31,</w:t>
            </w:r>
          </w:p>
        </w:tc>
      </w:tr>
      <w:tr>
        <w:trPr>
          <w:trHeight w:val="237"/>
        </w:trPr>
        <w:tc>
          <w:tcPr>
            <w:tcW w:w="33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86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2020</w:t>
            </w: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33"/>
        </w:trPr>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Content costs for past use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w:t>
            </w: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w:t>
      </w:r>
    </w:p>
    <w:p>
      <w:pPr>
        <w:jc w:val="both"/>
        <w:ind w:left="500" w:hanging="6"/>
        <w:spacing w:after="0" w:line="222" w:lineRule="auto"/>
        <w:tabs>
          <w:tab w:leader="none" w:pos="691" w:val="left"/>
        </w:tabs>
        <w:numPr>
          <w:ilvl w:val="0"/>
          <w:numId w:val="22"/>
        </w:numPr>
        <w:rPr>
          <w:rFonts w:ascii="Arial" w:cs="Arial" w:eastAsia="Arial" w:hAnsi="Arial"/>
          <w:sz w:val="13"/>
          <w:szCs w:val="13"/>
          <w:color w:val="auto"/>
        </w:rPr>
      </w:pPr>
      <w:r>
        <w:rPr>
          <w:rFonts w:ascii="Arial" w:cs="Arial" w:eastAsia="Arial" w:hAnsi="Arial"/>
          <w:sz w:val="13"/>
          <w:szCs w:val="13"/>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Subscription Contribution and Subscription Contribution Margin are content costs for past use. These costs had a no basis point impact on Subscription Contribution Margin for the three months ended March 31, 2020 and a negative basis point impact on Subscription Contribution Margin of 42 for the nine months ended March 31, 2020 and 2,216 and 1,368 for the three and nine months ended March 31, 2019, respectively.</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30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operate and manage our business in three reportable segments: Connected Fitness Products, Subscription, and Other. We identify our reportable segments based on the information used by management to monitor performance and make operating decisions. See Note 15 of the notes to our condensed consolidated financial statements included in Part I, Item 1 of this Quarterly Report on Form 10-Q for additional information regarding our reportable segments.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Connected Fitness Product revenue consists of sales of our Bike and Tread and related accessories, delivery and installation services, and extended warranty agreements. Connected Fitness Product revenue is recognized at the time of delivery and is recorded net of returns and discounts and third-party financing program fees.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consists of revenue generated from our monthly $39.00 Connected Fitness Subscription and $12.99 Digital Subscription.</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Historically, we offered a prepaid subscription option where Members earned one free month or three free months of subscription with the upfront purchase of a 12-month subscription or 24-month subscription, respectively. We also offered Connected Fitness Subscribers the ability to purchase a 12-, 24-, or 39-month prepaid subscription with the purchase of a Connected Fitness Product as part of our financing program, which provides 0% APR financing to qualified customers over a term of up to 39 months. The associated financing fees are paid to our third-party partner at the outset of the arrangement and are recorded as a reduction to subscription revenue over the contract term. We terminated both offerings by July 2018 at which point all subsequent future subscriptions became month-to-month. As of March 31, 2020, 95% of our Connected Fitness Subscribers were paying month-to-month subscriptions. We will continue to see an impact to subscription revenue until November 2021 as the revenue under legacy prepaid subscriptions is earned ratably over the remaining service period, which extends up to 39 months from the initial date of subscription activation.</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a Connected Fitness Subscriber owns both a Bike and a Tread in the same household, the price of the Subscription remains $39.00 monthly. As of March 31, 2020, approximately 3% of our Connected Fitness Subscribers owned both a Bike and a Tread.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Other revenue primarily consists of Peloton branded apparel.</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Connected Fitness Product cost of revenue consists of Bike and Tread product costs, including manufacturing costs, duties and other applicable importing costs, shipping and handling costs, packaging, warranty replacement costs, fulfillment costs, warehousing costs, and certain allocated costs related to management, facilities, and personnel-related expenses associated with supply chain logistics. As we launch new Connected Fitness Products, such as the Tread, and continue to grow our presence in new regions where we have not yet achieved economies of scale, we expect to incur higher cost of revenue (as a percentage of sales) for our Connected Fitness Products.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as well as variable costs, including music royalty fees, content costs for past use, third-party platform streaming costs, and payment processing fees for our monthly subscription billings. While our fixed costs currently represent the majority of these costs, music royalty fees are our largest subscription variable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Other cost of revenue consists primarily of apparel costs, as well as related warehousing and fulfillment costs.</w:t>
      </w:r>
    </w:p>
    <w:p>
      <w:pPr>
        <w:sectPr>
          <w:pgSz w:w="11900" w:h="16838" w:orient="portrait"/>
          <w:cols w:equalWidth="0" w:num="1">
            <w:col w:w="11240"/>
          </w:cols>
          <w:pgMar w:left="320" w:top="499"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and expenses related to Peloton Digital, our digital app.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and insurance, as well as litigation settlement costs.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expect to incur additional general and administrative expenses as a result of operating as a public company, including expenses related to compliance and reporting obligations of public companies, 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Subscriber base.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and software platform expenses. We capitalize certain qualified costs incurred in connection with the development of internal-use software which may also cause research and development expenses to vary from period to period. We expect our research and 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income, net consists of interest (expense) income, realized gains (losses) on investments amortization of debt issuance costs, and impacts from foreign exchange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for Income Taxes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provision for income taxes consists primarily of income taxes related to foreign and state jurisdictions in which we conduct business. We maintain a full valuation allowance on our federal and state deferred tax assets as we have concluded that it is more likely than not that the deferred assets will not be utilized.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6"/>
          <w:szCs w:val="16"/>
          <w:b w:val="1"/>
          <w:bCs w:val="1"/>
          <w:color w:val="auto"/>
        </w:rPr>
        <w:t>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condensed consolidated results of operations in dollars and as a percentage of total revenue for the periods presented.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period-to-period comparisons of our historical results are not necessarily indicative of the results that may be expected in the future.</w:t>
      </w:r>
    </w:p>
    <w:p>
      <w:pPr>
        <w:spacing w:after="0" w:line="282"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 March 31,</w:t>
            </w:r>
          </w:p>
        </w:tc>
      </w:tr>
      <w:tr>
        <w:trPr>
          <w:trHeight w:val="250"/>
        </w:trPr>
        <w:tc>
          <w:tcPr>
            <w:tcW w:w="332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47"/>
        </w:trPr>
        <w:tc>
          <w:tcPr>
            <w:tcW w:w="3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3320" w:type="dxa"/>
            <w:vAlign w:val="bottom"/>
          </w:tcPr>
          <w:p>
            <w:pPr>
              <w:ind w:left="20"/>
              <w:spacing w:after="0"/>
              <w:rPr>
                <w:sz w:val="20"/>
                <w:szCs w:val="20"/>
                <w:color w:val="auto"/>
              </w:rPr>
            </w:pPr>
            <w:r>
              <w:rPr>
                <w:rFonts w:ascii="Arial" w:cs="Arial" w:eastAsia="Arial" w:hAnsi="Arial"/>
                <w:sz w:val="16"/>
                <w:szCs w:val="16"/>
                <w:color w:val="auto"/>
              </w:rPr>
              <w:t>Revenue</w:t>
            </w: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3"/>
        </w:trPr>
        <w:tc>
          <w:tcPr>
            <w:tcW w:w="3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Connected Fitness Products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420.2</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261.6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958.9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560.8</w:t>
            </w:r>
          </w:p>
        </w:tc>
      </w:tr>
      <w:tr>
        <w:trPr>
          <w:trHeight w:val="233"/>
        </w:trPr>
        <w:tc>
          <w:tcPr>
            <w:tcW w:w="3320" w:type="dxa"/>
            <w:vAlign w:val="bottom"/>
          </w:tcPr>
          <w:p>
            <w:pPr>
              <w:ind w:left="100"/>
              <w:spacing w:after="0"/>
              <w:rPr>
                <w:sz w:val="20"/>
                <w:szCs w:val="20"/>
                <w:color w:val="auto"/>
              </w:rPr>
            </w:pPr>
            <w:r>
              <w:rPr>
                <w:rFonts w:ascii="Arial" w:cs="Arial" w:eastAsia="Arial" w:hAnsi="Arial"/>
                <w:sz w:val="16"/>
                <w:szCs w:val="16"/>
                <w:color w:val="auto"/>
              </w:rPr>
              <w:t>Subscription</w:t>
            </w:r>
          </w:p>
        </w:tc>
        <w:tc>
          <w:tcPr>
            <w:tcW w:w="108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98.2</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242.5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120.1</w:t>
            </w:r>
          </w:p>
        </w:tc>
      </w:tr>
      <w:tr>
        <w:trPr>
          <w:trHeight w:val="246"/>
        </w:trPr>
        <w:tc>
          <w:tcPr>
            <w:tcW w:w="3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r>
      <w:tr>
        <w:trPr>
          <w:trHeight w:val="233"/>
        </w:trPr>
        <w:tc>
          <w:tcPr>
            <w:tcW w:w="3320" w:type="dxa"/>
            <w:vAlign w:val="bottom"/>
          </w:tcPr>
          <w:p>
            <w:pPr>
              <w:ind w:left="200"/>
              <w:spacing w:after="0"/>
              <w:rPr>
                <w:sz w:val="20"/>
                <w:szCs w:val="20"/>
                <w:color w:val="auto"/>
              </w:rPr>
            </w:pPr>
            <w:r>
              <w:rPr>
                <w:rFonts w:ascii="Arial" w:cs="Arial" w:eastAsia="Arial" w:hAnsi="Arial"/>
                <w:sz w:val="16"/>
                <w:szCs w:val="16"/>
                <w:color w:val="auto"/>
              </w:rPr>
              <w:t>Total revenue</w:t>
            </w:r>
          </w:p>
        </w:tc>
        <w:tc>
          <w:tcPr>
            <w:tcW w:w="108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524.6</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316.7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1,218.8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691.7</w:t>
            </w:r>
          </w:p>
        </w:tc>
      </w:tr>
      <w:tr>
        <w:trPr>
          <w:trHeight w:val="28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3"/>
        </w:trPr>
        <w:tc>
          <w:tcPr>
            <w:tcW w:w="332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108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230.0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152.3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321.1</w:t>
            </w:r>
          </w:p>
        </w:tc>
      </w:tr>
      <w:tr>
        <w:trPr>
          <w:trHeight w:val="253"/>
        </w:trPr>
        <w:tc>
          <w:tcPr>
            <w:tcW w:w="3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Subscription(3)</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41.4</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74.6</w:t>
            </w:r>
          </w:p>
        </w:tc>
      </w:tr>
      <w:tr>
        <w:trPr>
          <w:trHeight w:val="237"/>
        </w:trPr>
        <w:tc>
          <w:tcPr>
            <w:tcW w:w="33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w:t>
            </w: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w:t>
            </w:r>
          </w:p>
        </w:tc>
      </w:tr>
      <w:tr>
        <w:trPr>
          <w:trHeight w:val="237"/>
        </w:trPr>
        <w:tc>
          <w:tcPr>
            <w:tcW w:w="3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cost of revenue</w:t>
            </w:r>
          </w:p>
        </w:tc>
        <w:tc>
          <w:tcPr>
            <w:tcW w:w="10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278.8</w:t>
            </w:r>
          </w:p>
        </w:tc>
        <w:tc>
          <w:tcPr>
            <w:tcW w:w="8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196.1</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670.9</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408.2</w:t>
            </w: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8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245.8</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120.6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548.0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283.5</w:t>
            </w:r>
          </w:p>
        </w:tc>
      </w:tr>
      <w:tr>
        <w:trPr>
          <w:trHeight w:val="28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3320" w:type="dxa"/>
            <w:vAlign w:val="bottom"/>
          </w:tcPr>
          <w:p>
            <w:pPr>
              <w:ind w:left="14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1080" w:type="dxa"/>
            <w:vAlign w:val="bottom"/>
          </w:tcPr>
          <w:p>
            <w:pPr>
              <w:spacing w:after="0"/>
              <w:rPr>
                <w:sz w:val="21"/>
                <w:szCs w:val="21"/>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154.8</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101.1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392.8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246.1</w:t>
            </w:r>
          </w:p>
        </w:tc>
      </w:tr>
      <w:tr>
        <w:trPr>
          <w:trHeight w:val="243"/>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265.4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152.4</w:t>
            </w:r>
          </w:p>
        </w:tc>
      </w:tr>
      <w:tr>
        <w:trPr>
          <w:trHeight w:val="24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22.5</w:t>
            </w: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37.8</w:t>
            </w:r>
          </w:p>
        </w:tc>
      </w:tr>
      <w:tr>
        <w:trPr>
          <w:trHeight w:val="230"/>
        </w:trPr>
        <w:tc>
          <w:tcPr>
            <w:tcW w:w="3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operating expenses</w:t>
            </w:r>
          </w:p>
        </w:tc>
        <w:tc>
          <w:tcPr>
            <w:tcW w:w="10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304.2</w:t>
            </w:r>
          </w:p>
        </w:tc>
        <w:tc>
          <w:tcPr>
            <w:tcW w:w="8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162.0</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718.8</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436.4</w:t>
            </w: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0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(152.9)</w:t>
            </w:r>
          </w:p>
        </w:tc>
      </w:tr>
      <w:tr>
        <w:trPr>
          <w:trHeight w:val="24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0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r>
      <w:tr>
        <w:trPr>
          <w:trHeight w:val="23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before provision for income tax</w:t>
            </w: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(148.0)</w:t>
            </w:r>
          </w:p>
        </w:tc>
      </w:tr>
      <w:tr>
        <w:trPr>
          <w:trHeight w:val="23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0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r>
      <w:tr>
        <w:trPr>
          <w:trHeight w:val="243"/>
        </w:trPr>
        <w:tc>
          <w:tcPr>
            <w:tcW w:w="3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(148.2)</w:t>
            </w:r>
          </w:p>
        </w:tc>
      </w:tr>
      <w:tr>
        <w:trPr>
          <w:trHeight w:val="20"/>
        </w:trPr>
        <w:tc>
          <w:tcPr>
            <w:tcW w:w="3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w:t>
      </w:r>
    </w:p>
    <w:p>
      <w:pPr>
        <w:ind w:left="500"/>
        <w:spacing w:after="0"/>
        <w:rPr>
          <w:sz w:val="20"/>
          <w:szCs w:val="20"/>
          <w:color w:val="auto"/>
        </w:rPr>
      </w:pPr>
      <w:r>
        <w:rPr>
          <w:rFonts w:ascii="Arial" w:cs="Arial" w:eastAsia="Arial" w:hAnsi="Arial"/>
          <w:sz w:val="13"/>
          <w:szCs w:val="13"/>
          <w:color w:val="auto"/>
        </w:rPr>
        <w:t>(1) Includes stock-based compensation expense as follows:</w:t>
      </w:r>
    </w:p>
    <w:p>
      <w:pPr>
        <w:spacing w:after="0" w:line="41"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March 31,</w:t>
            </w:r>
          </w:p>
        </w:tc>
      </w:tr>
      <w:tr>
        <w:trPr>
          <w:trHeight w:val="250"/>
        </w:trPr>
        <w:tc>
          <w:tcPr>
            <w:tcW w:w="3320" w:type="dxa"/>
            <w:vAlign w:val="bottom"/>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47"/>
        </w:trPr>
        <w:tc>
          <w:tcPr>
            <w:tcW w:w="3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3"/>
        </w:trPr>
        <w:tc>
          <w:tcPr>
            <w:tcW w:w="33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0.1</w:t>
            </w:r>
          </w:p>
        </w:tc>
      </w:tr>
      <w:tr>
        <w:trPr>
          <w:trHeight w:val="253"/>
        </w:trPr>
        <w:tc>
          <w:tcPr>
            <w:tcW w:w="3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r>
      <w:tr>
        <w:trPr>
          <w:trHeight w:val="237"/>
        </w:trPr>
        <w:tc>
          <w:tcPr>
            <w:tcW w:w="3320" w:type="dxa"/>
            <w:vAlign w:val="bottom"/>
          </w:tcPr>
          <w:p>
            <w:pPr>
              <w:ind w:left="100"/>
              <w:spacing w:after="0"/>
              <w:rPr>
                <w:sz w:val="20"/>
                <w:szCs w:val="20"/>
                <w:color w:val="auto"/>
              </w:rPr>
            </w:pPr>
            <w:r>
              <w:rPr>
                <w:rFonts w:ascii="Arial" w:cs="Arial" w:eastAsia="Arial" w:hAnsi="Arial"/>
                <w:sz w:val="16"/>
                <w:szCs w:val="16"/>
                <w:color w:val="auto"/>
              </w:rPr>
              <w:t>Other</w:t>
            </w:r>
          </w:p>
        </w:tc>
        <w:tc>
          <w:tcPr>
            <w:tcW w:w="11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33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cost of revenue</w:t>
            </w:r>
          </w:p>
        </w:tc>
        <w:tc>
          <w:tcPr>
            <w:tcW w:w="114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7.2</w:t>
            </w: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61.0</w:t>
            </w:r>
          </w:p>
        </w:tc>
      </w:tr>
      <w:tr>
        <w:trPr>
          <w:trHeight w:val="23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Research and development</w:t>
            </w: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0.6</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w:t>
            </w:r>
          </w:p>
        </w:tc>
      </w:tr>
      <w:tr>
        <w:trPr>
          <w:trHeight w:val="263"/>
        </w:trPr>
        <w:tc>
          <w:tcPr>
            <w:tcW w:w="446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Total stock-based compensation expense $</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w:t>
      </w:r>
    </w:p>
    <w:p>
      <w:pPr>
        <w:ind w:left="500"/>
        <w:spacing w:after="0"/>
        <w:rPr>
          <w:sz w:val="20"/>
          <w:szCs w:val="20"/>
          <w:color w:val="auto"/>
        </w:rPr>
      </w:pPr>
      <w:r>
        <w:rPr>
          <w:rFonts w:ascii="Arial" w:cs="Arial" w:eastAsia="Arial" w:hAnsi="Arial"/>
          <w:sz w:val="13"/>
          <w:szCs w:val="13"/>
          <w:color w:val="auto"/>
        </w:rPr>
        <w:t>(2) Includes depreciation and amortization expense as follows: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tbl>
      <w:tblPr>
        <w:tblLayout w:type="fixed"/>
        <w:tblInd w:w="34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47"/>
        </w:trPr>
        <w:tc>
          <w:tcPr>
            <w:tcW w:w="3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2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53"/>
        </w:trPr>
        <w:tc>
          <w:tcPr>
            <w:tcW w:w="3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3320" w:type="dxa"/>
            <w:vAlign w:val="bottom"/>
          </w:tcPr>
          <w:p>
            <w:pPr>
              <w:ind w:left="100"/>
              <w:spacing w:after="0"/>
              <w:rPr>
                <w:sz w:val="20"/>
                <w:szCs w:val="20"/>
                <w:color w:val="auto"/>
              </w:rPr>
            </w:pPr>
            <w:r>
              <w:rPr>
                <w:rFonts w:ascii="Arial" w:cs="Arial" w:eastAsia="Arial" w:hAnsi="Arial"/>
                <w:sz w:val="16"/>
                <w:szCs w:val="16"/>
                <w:color w:val="auto"/>
              </w:rPr>
              <w:t>Other</w:t>
            </w:r>
          </w:p>
        </w:tc>
        <w:tc>
          <w:tcPr>
            <w:tcW w:w="11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3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cost of revenue</w:t>
            </w:r>
          </w:p>
        </w:tc>
        <w:tc>
          <w:tcPr>
            <w:tcW w:w="114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13.9</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4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3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depreciation and amortization</w:t>
            </w:r>
          </w:p>
        </w:tc>
        <w:tc>
          <w:tcPr>
            <w:tcW w:w="1140" w:type="dxa"/>
            <w:vAlign w:val="bottom"/>
            <w:tcBorders>
              <w:top w:val="single" w:sz="8" w:color="auto"/>
            </w:tcBorders>
            <w:vMerge w:val="restart"/>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11.0</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vMerge w:val="restart"/>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5.8</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vMerge w:val="restart"/>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28.2</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expense</w:t>
            </w: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w:t>
      </w:r>
    </w:p>
    <w:p>
      <w:pPr>
        <w:ind w:left="500"/>
        <w:spacing w:after="0"/>
        <w:rPr>
          <w:sz w:val="20"/>
          <w:szCs w:val="20"/>
          <w:color w:val="auto"/>
        </w:rPr>
      </w:pPr>
      <w:r>
        <w:rPr>
          <w:rFonts w:ascii="Arial" w:cs="Arial" w:eastAsia="Arial" w:hAnsi="Arial"/>
          <w:sz w:val="13"/>
          <w:szCs w:val="13"/>
          <w:color w:val="auto"/>
        </w:rPr>
        <w:t>(3) Included in subscription cost of revenue are content costs for past use as follows:</w:t>
      </w: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gridSpan w:val="3"/>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9"/>
                <w:szCs w:val="19"/>
                <w:color w:val="auto"/>
              </w:rPr>
            </w:pPr>
          </w:p>
        </w:tc>
        <w:tc>
          <w:tcPr>
            <w:tcW w:w="298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Nine Months Ended March 31,</w:t>
            </w:r>
          </w:p>
        </w:tc>
      </w:tr>
      <w:tr>
        <w:trPr>
          <w:trHeight w:val="237"/>
        </w:trPr>
        <w:tc>
          <w:tcPr>
            <w:tcW w:w="33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86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2020</w:t>
            </w: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33"/>
        </w:trPr>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Content costs for past use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w:t>
            </w:r>
          </w:p>
        </w:tc>
      </w:tr>
    </w:tbl>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the Three and Nine Months Ended March 31, 2020 and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c>
          <w:tcPr>
            <w:tcW w:w="1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3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0" w:type="dxa"/>
            <w:vAlign w:val="bottom"/>
            <w:gridSpan w:val="4"/>
            <w:shd w:val="clear" w:color="auto" w:fill="CCEEFF"/>
          </w:tcPr>
          <w:p>
            <w:pPr>
              <w:ind w:left="500"/>
              <w:spacing w:after="0"/>
              <w:rPr>
                <w:sz w:val="20"/>
                <w:szCs w:val="20"/>
                <w:color w:val="auto"/>
              </w:rPr>
            </w:pPr>
            <w:r>
              <w:rPr>
                <w:rFonts w:ascii="Arial" w:cs="Arial" w:eastAsia="Arial" w:hAnsi="Arial"/>
                <w:sz w:val="16"/>
                <w:szCs w:val="16"/>
                <w:b w:val="1"/>
                <w:bCs w:val="1"/>
                <w:color w:val="auto"/>
              </w:rPr>
              <w:t>(dollars in millions)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420.2</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261.6</w:t>
            </w:r>
          </w:p>
        </w:tc>
        <w:tc>
          <w:tcPr>
            <w:tcW w:w="1260" w:type="dxa"/>
            <w:vAlign w:val="bottom"/>
          </w:tcPr>
          <w:p>
            <w:pPr>
              <w:jc w:val="center"/>
              <w:spacing w:after="0"/>
              <w:rPr>
                <w:sz w:val="20"/>
                <w:szCs w:val="20"/>
                <w:color w:val="auto"/>
              </w:rPr>
            </w:pPr>
            <w:r>
              <w:rPr>
                <w:rFonts w:ascii="Arial" w:cs="Arial" w:eastAsia="Arial" w:hAnsi="Arial"/>
                <w:sz w:val="16"/>
                <w:szCs w:val="16"/>
                <w:color w:val="auto"/>
              </w:rPr>
              <w:t>60.6%</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958.9</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560.8</w:t>
            </w:r>
          </w:p>
        </w:tc>
        <w:tc>
          <w:tcPr>
            <w:tcW w:w="1180" w:type="dxa"/>
            <w:vAlign w:val="bottom"/>
          </w:tcPr>
          <w:p>
            <w:pPr>
              <w:jc w:val="center"/>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2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92.3%</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120.1</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3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w:t>
            </w:r>
          </w:p>
        </w:tc>
        <w:tc>
          <w:tcPr>
            <w:tcW w:w="12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53.2%</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10.7</w:t>
            </w: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68"/>
        </w:trPr>
        <w:tc>
          <w:tcPr>
            <w:tcW w:w="340" w:type="dxa"/>
            <w:vAlign w:val="bottom"/>
          </w:tcPr>
          <w:p>
            <w:pPr>
              <w:spacing w:after="0"/>
              <w:rPr>
                <w:sz w:val="22"/>
                <w:szCs w:val="22"/>
                <w:color w:val="auto"/>
              </w:rPr>
            </w:pPr>
          </w:p>
        </w:tc>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524.6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316.7</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65.6%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1,218.8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691.7</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Percentage of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40" w:type="dxa"/>
            <w:vAlign w:val="bottom"/>
          </w:tcPr>
          <w:p>
            <w:pPr>
              <w:spacing w:after="0"/>
              <w:rPr>
                <w:sz w:val="20"/>
                <w:szCs w:val="20"/>
                <w:color w:val="auto"/>
              </w:rPr>
            </w:pPr>
          </w:p>
        </w:tc>
        <w:tc>
          <w:tcPr>
            <w:tcW w:w="2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340" w:type="dxa"/>
            <w:vAlign w:val="bottom"/>
          </w:tcPr>
          <w:p>
            <w:pPr>
              <w:spacing w:after="0"/>
              <w:rPr>
                <w:sz w:val="24"/>
                <w:szCs w:val="24"/>
                <w:color w:val="auto"/>
              </w:rPr>
            </w:pPr>
          </w:p>
        </w:tc>
        <w:tc>
          <w:tcPr>
            <w:tcW w:w="2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Connected Fitness Products</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80.1 %</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82.6 %</w:t>
            </w: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78.7 %</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81.1 %</w:t>
            </w: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40" w:type="dxa"/>
            <w:vAlign w:val="bottom"/>
          </w:tcPr>
          <w:p>
            <w:pPr>
              <w:spacing w:after="0"/>
              <w:rPr>
                <w:sz w:val="22"/>
                <w:szCs w:val="22"/>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Subscription</w:t>
            </w:r>
          </w:p>
        </w:tc>
        <w:tc>
          <w:tcPr>
            <w:tcW w:w="180" w:type="dxa"/>
            <w:vAlign w:val="bottom"/>
          </w:tcPr>
          <w:p>
            <w:pPr>
              <w:spacing w:after="0"/>
              <w:rPr>
                <w:sz w:val="22"/>
                <w:szCs w:val="22"/>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16.1</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17.4</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40" w:type="dxa"/>
            <w:vAlign w:val="bottom"/>
          </w:tcPr>
          <w:p>
            <w:pPr>
              <w:spacing w:after="0"/>
              <w:rPr>
                <w:sz w:val="23"/>
                <w:szCs w:val="23"/>
                <w:color w:val="auto"/>
              </w:rPr>
            </w:pPr>
          </w:p>
        </w:tc>
        <w:tc>
          <w:tcPr>
            <w:tcW w:w="2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360" w:type="dxa"/>
            <w:vAlign w:val="bottom"/>
          </w:tcPr>
          <w:p>
            <w:pPr>
              <w:ind w:left="3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March 31, 2020 and 2019</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Products revenue for the three months ended March 31, 2020 increased $158.6 million, or 60.6%, compared to the three months ended March 31, 2019. This increase was primarily attributable to the significant growth in the number of Connected Fitness Products delivered during the period, which was the result of investments made in brand and product awareness, and a strong increase in demand in the last few weeks of the quarter driven by stay at home orders issued by governments around the world in response to the COVID-19 pandemic.</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Subscription revenue for the three months ended March 31, 2020 increased $47.1 million, or 92.3%, compared to the three months ended March 31, 2019. This increase was primarily attributable to the year-over-year growth in our Connected Fitness Subscribers from 457,100 to 886,100. The growth of our Connected Fitness Subscribers was primarily driven by the increased number of Connected Fitness Products delivered during the period and our low Average Net Monthly Connected Fitness Churn of 0.46% for the three months ended March 31, 2020. We believe engagement is a leading indicator of retention. Our Member engagement continued to grow with 17.7 Average Monthly Workouts per Connected Fitness Subscriber during the three months ended March 31, 2020 versus 13.9 Average Monthly Workouts per Connected Fitness Subscriber in</w:t>
      </w:r>
    </w:p>
    <w:p>
      <w:pPr>
        <w:sectPr>
          <w:pgSz w:w="11900" w:h="16838" w:orient="portrait"/>
          <w:cols w:equalWidth="0" w:num="1">
            <w:col w:w="11240"/>
          </w:cols>
          <w:pgMar w:left="320" w:top="499" w:right="33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34" w:name="page35"/>
    <w:bookmarkEnd w:id="34"/>
    <w:p>
      <w:pPr>
        <w:jc w:val="both"/>
        <w:spacing w:after="0" w:line="260" w:lineRule="auto"/>
        <w:rPr>
          <w:sz w:val="20"/>
          <w:szCs w:val="20"/>
          <w:color w:val="auto"/>
        </w:rPr>
      </w:pPr>
      <w:r>
        <w:rPr>
          <w:rFonts w:ascii="Arial" w:cs="Arial" w:eastAsia="Arial" w:hAnsi="Arial"/>
          <w:sz w:val="16"/>
          <w:szCs w:val="16"/>
          <w:color w:val="auto"/>
        </w:rPr>
        <w:t>the same period last year. Our Connected Fitness Subscribers worked out with us 44.2 million times in the three months ended March 31, 2020, up from 18.0 million workouts in the same period last year, representing 145.5% year-over-year growth.</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for the three months ended March 31, 2020 increased $2.1 million, or 53.2%, compared to the three months ended March 31, 2019. The increase was attributable to the growth of our branded apparel sales, driven by our growing Member base and expanded retail showroom footprint year over year.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 March 31, 2020 and 2019</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Products revenue for the nine months ended March 31, 2020 increased $398.1 million, or 71.0%, compared to the nine months ended March 31, 2019. This increase was primarily attributable to the significant growth in number of Connected Fitness Products delivered during the period, which was the result of our growing brand and product awareness, as well as strong conversion from our Home Trial program, and, to a lesser extent, as a result of the launch of Tread and our entry into our first international markets, both of which occurred late in the first quarter of fiscal 2019.</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for the nine months ended March 31, 2020 increased $122.4 million, or 101.9%, compared to the nine months ended March 31, 2019.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This increase was primarily attributable to the year-over-year growth in our Connected Fitness Subscribers from 457,100 to 886,100. The growth of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Connected Fitness Subscribers was primarily driven by the increased number of Connected Fitness Products delivered during the period and our low</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Average Net Monthly Connected Fitness Churn of 0.67% for the nine months ended March 31, 2020.</w:t>
      </w:r>
    </w:p>
    <w:p>
      <w:pPr>
        <w:spacing w:after="0" w:line="24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Other revenue for the nine months ended March 31, 2020 increased $6.7 million, or 62.2%, compared to the nine months ended March 31, 2019. The increase was attributable to the growth of our branded apparel sales, driven by our growing Member base and expanded retail showroom footprint year over year.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p>
      <w:pPr>
        <w:spacing w:after="0" w:line="302"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500" w:type="dxa"/>
            <w:vAlign w:val="bottom"/>
            <w:gridSpan w:val="3"/>
            <w:shd w:val="clear" w:color="auto" w:fill="CCEEFF"/>
          </w:tcPr>
          <w:p>
            <w:pPr>
              <w:jc w:val="center"/>
              <w:ind w:left="779"/>
              <w:spacing w:after="0"/>
              <w:rPr>
                <w:sz w:val="20"/>
                <w:szCs w:val="20"/>
                <w:color w:val="auto"/>
              </w:rPr>
            </w:pPr>
            <w:r>
              <w:rPr>
                <w:rFonts w:ascii="Arial" w:cs="Arial" w:eastAsia="Arial" w:hAnsi="Arial"/>
                <w:sz w:val="16"/>
                <w:szCs w:val="16"/>
                <w:b w:val="1"/>
                <w:bCs w:val="1"/>
                <w:color w:val="auto"/>
              </w:rPr>
              <w:t>(dollars in millions)</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34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152.3</w:t>
            </w:r>
          </w:p>
        </w:tc>
        <w:tc>
          <w:tcPr>
            <w:tcW w:w="1160" w:type="dxa"/>
            <w:vAlign w:val="bottom"/>
          </w:tcPr>
          <w:p>
            <w:pPr>
              <w:jc w:val="center"/>
              <w:spacing w:after="0"/>
              <w:rPr>
                <w:sz w:val="20"/>
                <w:szCs w:val="20"/>
                <w:color w:val="auto"/>
              </w:rPr>
            </w:pPr>
            <w:r>
              <w:rPr>
                <w:rFonts w:ascii="Arial" w:cs="Arial" w:eastAsia="Arial" w:hAnsi="Arial"/>
                <w:sz w:val="16"/>
                <w:szCs w:val="16"/>
                <w:color w:val="auto"/>
              </w:rPr>
              <w:t>51.0%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321.1</w:t>
            </w:r>
          </w:p>
        </w:tc>
        <w:tc>
          <w:tcPr>
            <w:tcW w:w="1160" w:type="dxa"/>
            <w:vAlign w:val="bottom"/>
          </w:tcPr>
          <w:p>
            <w:pPr>
              <w:jc w:val="center"/>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53"/>
        </w:trPr>
        <w:tc>
          <w:tcPr>
            <w:tcW w:w="2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38.0</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9.0%</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74.6</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36"/>
        </w:trPr>
        <w:tc>
          <w:tcPr>
            <w:tcW w:w="23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5.8</w:t>
            </w: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29.1%</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12.5</w:t>
            </w: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68"/>
        </w:trPr>
        <w:tc>
          <w:tcPr>
            <w:tcW w:w="2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cost of revenue</w:t>
            </w: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196.1</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42.2%</w:t>
            </w: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670.9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408.2</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3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Connected Fitness Products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109.3</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74.1%</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239.8</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33"/>
        </w:trPr>
        <w:tc>
          <w:tcPr>
            <w:tcW w:w="2340" w:type="dxa"/>
            <w:vAlign w:val="bottom"/>
          </w:tcPr>
          <w:p>
            <w:pPr>
              <w:ind w:left="100"/>
              <w:spacing w:after="0"/>
              <w:rPr>
                <w:sz w:val="20"/>
                <w:szCs w:val="20"/>
                <w:color w:val="auto"/>
              </w:rPr>
            </w:pPr>
            <w:r>
              <w:rPr>
                <w:rFonts w:ascii="Arial" w:cs="Arial" w:eastAsia="Arial" w:hAnsi="Arial"/>
                <w:sz w:val="16"/>
                <w:szCs w:val="16"/>
                <w:color w:val="auto"/>
              </w:rPr>
              <w:t>Subscription</w:t>
            </w:r>
          </w:p>
        </w:tc>
        <w:tc>
          <w:tcPr>
            <w:tcW w:w="180" w:type="dxa"/>
            <w:vAlign w:val="bottom"/>
          </w:tcPr>
          <w:p>
            <w:pPr>
              <w:spacing w:after="0"/>
              <w:rPr>
                <w:sz w:val="20"/>
                <w:szCs w:val="20"/>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13.1</w:t>
            </w:r>
          </w:p>
        </w:tc>
        <w:tc>
          <w:tcPr>
            <w:tcW w:w="1160" w:type="dxa"/>
            <w:vAlign w:val="bottom"/>
          </w:tcPr>
          <w:p>
            <w:pPr>
              <w:jc w:val="center"/>
              <w:spacing w:after="0"/>
              <w:rPr>
                <w:sz w:val="20"/>
                <w:szCs w:val="20"/>
                <w:color w:val="auto"/>
              </w:rPr>
            </w:pPr>
            <w:r>
              <w:rPr>
                <w:rFonts w:ascii="Arial" w:cs="Arial" w:eastAsia="Arial" w:hAnsi="Arial"/>
                <w:sz w:val="16"/>
                <w:szCs w:val="16"/>
                <w:color w:val="auto"/>
              </w:rPr>
              <w:t>334.4%</w:t>
            </w:r>
          </w:p>
        </w:tc>
        <w:tc>
          <w:tcPr>
            <w:tcW w:w="24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45.5</w:t>
            </w:r>
          </w:p>
        </w:tc>
        <w:tc>
          <w:tcPr>
            <w:tcW w:w="1160" w:type="dxa"/>
            <w:vAlign w:val="bottom"/>
          </w:tcPr>
          <w:p>
            <w:pPr>
              <w:jc w:val="center"/>
              <w:spacing w:after="0"/>
              <w:rPr>
                <w:sz w:val="20"/>
                <w:szCs w:val="20"/>
                <w:color w:val="auto"/>
              </w:rPr>
            </w:pPr>
            <w:r>
              <w:rPr>
                <w:rFonts w:ascii="Arial" w:cs="Arial" w:eastAsia="Arial" w:hAnsi="Arial"/>
                <w:sz w:val="16"/>
                <w:szCs w:val="16"/>
                <w:color w:val="auto"/>
              </w:rPr>
              <w:t>206.0%</w:t>
            </w:r>
          </w:p>
        </w:tc>
        <w:tc>
          <w:tcPr>
            <w:tcW w:w="0" w:type="dxa"/>
            <w:vAlign w:val="bottom"/>
          </w:tcPr>
          <w:p>
            <w:pPr>
              <w:spacing w:after="0"/>
              <w:rPr>
                <w:sz w:val="1"/>
                <w:szCs w:val="1"/>
                <w:color w:val="auto"/>
              </w:rPr>
            </w:pPr>
          </w:p>
        </w:tc>
      </w:tr>
      <w:tr>
        <w:trPr>
          <w:trHeight w:val="246"/>
        </w:trPr>
        <w:tc>
          <w:tcPr>
            <w:tcW w:w="2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25.2%</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43"/>
        </w:trPr>
        <w:tc>
          <w:tcPr>
            <w:tcW w:w="2340" w:type="dxa"/>
            <w:vAlign w:val="bottom"/>
          </w:tcPr>
          <w:p>
            <w:pPr>
              <w:ind w:left="200"/>
              <w:spacing w:after="0"/>
              <w:rPr>
                <w:sz w:val="20"/>
                <w:szCs w:val="20"/>
                <w:color w:val="auto"/>
              </w:rPr>
            </w:pPr>
            <w:r>
              <w:rPr>
                <w:rFonts w:ascii="Arial" w:cs="Arial" w:eastAsia="Arial" w:hAnsi="Arial"/>
                <w:sz w:val="16"/>
                <w:szCs w:val="16"/>
                <w:color w:val="auto"/>
              </w:rPr>
              <w:t>Total 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120.6</w:t>
            </w:r>
          </w:p>
        </w:tc>
        <w:tc>
          <w:tcPr>
            <w:tcW w:w="1160" w:type="dxa"/>
            <w:vAlign w:val="bottom"/>
          </w:tcPr>
          <w:p>
            <w:pPr>
              <w:jc w:val="center"/>
              <w:spacing w:after="0"/>
              <w:rPr>
                <w:sz w:val="20"/>
                <w:szCs w:val="20"/>
                <w:color w:val="auto"/>
              </w:rPr>
            </w:pPr>
            <w:r>
              <w:rPr>
                <w:rFonts w:ascii="Arial" w:cs="Arial" w:eastAsia="Arial" w:hAnsi="Arial"/>
                <w:sz w:val="16"/>
                <w:szCs w:val="16"/>
                <w:color w:val="auto"/>
              </w:rPr>
              <w:t>103.8%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548.0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283.5</w:t>
            </w:r>
          </w:p>
        </w:tc>
        <w:tc>
          <w:tcPr>
            <w:tcW w:w="1160" w:type="dxa"/>
            <w:vAlign w:val="bottom"/>
          </w:tcPr>
          <w:p>
            <w:pPr>
              <w:jc w:val="center"/>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34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45.3 %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41.8 %</w:t>
            </w: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43.0 %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42.8 %</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57.8 %</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25.6 %</w:t>
            </w:r>
          </w:p>
        </w:tc>
        <w:tc>
          <w:tcPr>
            <w:tcW w:w="1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57.4 %</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37.9 %</w:t>
            </w: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40" w:type="dxa"/>
            <w:vAlign w:val="bottom"/>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(44.3)%</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_______________________________</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*NM - not meaningful</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March 31, 2020 and 2019</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Connected Fitness Products cost of revenue for the three months ended March 31, 2020 increased $77.6 million, or 51.0%, compared to the three months ended March 31, 2019. This increase was primarily driven by costs associated with the growth in the number of Connected Fitness Products delivered during the period.</w:t>
      </w:r>
    </w:p>
    <w:p>
      <w:pPr>
        <w:spacing w:after="0" w:line="22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Connected Fitness Product gross margin increased for the three months ended March 31, 2020 compared to the three months ended March 31, 2019 primarily driven by a mix shift to Bike deliveries and continued improvements in our product costs, partially offset by costs associated with hazard pay for our warehouse and delivery personnel as a result of COVID-19.</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Subscription cost of revenue for the three months ended March 31, 2020 increased $3.4 million, or 9.0%, compared to three months ended March 31, 2019. This increase was primarily driven by an increase of $8.9 million in music royalty and streaming delivery fees driven by increased usage of our platform, an increase of $1.7 million in content production costs, an increase of $1.3 million in personnel-related expenses excluding stock-based compensation expense, an increase of $1.2 million in depreciation and amortization expense, and an increase of $1.2 million in payment processing fees for our monthly subscription billing. The increase was offset by a decrease of $11.3 million in content costs for past use.</w:t>
      </w:r>
    </w:p>
    <w:p>
      <w:pPr>
        <w:sectPr>
          <w:pgSz w:w="11900" w:h="16838" w:orient="portrait"/>
          <w:cols w:equalWidth="0" w:num="1">
            <w:col w:w="11240"/>
          </w:cols>
          <w:pgMar w:left="320" w:top="465" w:right="3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35" w:name="page36"/>
    <w:bookmarkEnd w:id="35"/>
    <w:p>
      <w:pPr>
        <w:jc w:val="both"/>
        <w:spacing w:after="0" w:line="257" w:lineRule="auto"/>
        <w:rPr>
          <w:sz w:val="20"/>
          <w:szCs w:val="20"/>
          <w:color w:val="auto"/>
        </w:rPr>
      </w:pPr>
      <w:r>
        <w:rPr>
          <w:rFonts w:ascii="Arial" w:cs="Arial" w:eastAsia="Arial" w:hAnsi="Arial"/>
          <w:sz w:val="16"/>
          <w:szCs w:val="16"/>
          <w:color w:val="auto"/>
        </w:rPr>
        <w:t>Subscription gross margin increased by 3,224 basis points from the three months ended March 31, 2019 to the three months ended March 31, 2020 primarily driven by an $11.3 million benefit from lower content costs for past use year-over-year and fixed cost leverage with more Connected Fitness Subscribers.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Other cost of revenue for the three months ended March 31, 2020 increased $1.7 million, or 29.1%, compared to the three months ended March 31, 2019.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This increase was primarily attributable to the growth of our branded apparel sales during the period.</w:t>
      </w:r>
    </w:p>
    <w:p>
      <w:pPr>
        <w:spacing w:after="0" w:line="24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Other gross margin decreased during the three months ended March 31, 2020 compared to the three months ended March 31, 2019 due to an increase in our inventory obsolescence reserve and the impact of sales discounts offered in our referral program.</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 March 31, 2020 and 2019</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Connected Fitness Product cost of revenue for the nine months ended March 31, 2020 increased $225.4 million, or 70.2%, compared to the nine months ended March 31, 2019. The increase was primarily driven by costs associated with the growth in the number of Connected Fitness Products delivered during the period.</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Connected Fitness Product gross margin increased slightly for the nine months ended March 31, 2020 compared to the nine months ended March 31, 2019 due to a mix shift to Bike deliveries, partially offset by costs associated with hazard pay for our warehouses and delivery personnel as a result of COVID-19.</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Subscription cost of revenue for the nine months ended March 31, 2020 increased $28.7 million, or 38.5%, compared to the nine months ended March 31, 2019. This increase was primarily driven by an increase of $23.3 million in music royalty and streaming delivery fees driven by increased usage of our platform, an increase of $7.1 million in personnel-related expenses excluding stock-based compensation expense, an increase of $4.3 million in depreciation and amortization expense, an increase of $3.3 million in payment processing fees for our monthly subscription billing, an increase of $3.1 million in content production costs, and an increase of $1.5 million associated with lease commencements for our two production studios in New York City and London. The increase was partially offset by a decrease of $15.4 million in content costs for past use.</w:t>
      </w:r>
    </w:p>
    <w:p>
      <w:pPr>
        <w:spacing w:after="0" w:line="2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Subscription gross margin increased by 1,952 basis points in the nine months ended March 31, 2020 compared to the nine months ended March 31, 2019 primarily driven by a $15.4 million benefit from lower content costs for past use year-over-year.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92"/>
        </w:trPr>
        <w:tc>
          <w:tcPr>
            <w:tcW w:w="2700" w:type="dxa"/>
            <w:vAlign w:val="bottom"/>
            <w:gridSpan w:val="2"/>
          </w:tcPr>
          <w:p>
            <w:pPr>
              <w:spacing w:after="0"/>
              <w:rPr>
                <w:sz w:val="20"/>
                <w:szCs w:val="20"/>
                <w:color w:val="auto"/>
              </w:rPr>
            </w:pPr>
            <w:r>
              <w:rPr>
                <w:rFonts w:ascii="Arial" w:cs="Arial" w:eastAsia="Arial" w:hAnsi="Arial"/>
                <w:sz w:val="16"/>
                <w:szCs w:val="16"/>
                <w:i w:val="1"/>
                <w:iCs w:val="1"/>
                <w:color w:val="auto"/>
              </w:rPr>
              <w:t>Sales and Marketing</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Borders>
              <w:bottom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c>
          <w:tcPr>
            <w:tcW w:w="1180" w:type="dxa"/>
            <w:vAlign w:val="bottom"/>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47"/>
        </w:trPr>
        <w:tc>
          <w:tcPr>
            <w:tcW w:w="3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3"/>
        </w:trPr>
        <w:tc>
          <w:tcPr>
            <w:tcW w:w="340" w:type="dxa"/>
            <w:vAlign w:val="bottom"/>
          </w:tcPr>
          <w:p>
            <w:pPr>
              <w:spacing w:after="0"/>
              <w:rPr>
                <w:sz w:val="21"/>
                <w:szCs w:val="21"/>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154.8</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360" w:type="dxa"/>
            <w:vAlign w:val="bottom"/>
            <w:gridSpan w:val="2"/>
            <w:shd w:val="clear" w:color="auto" w:fill="CCEEFF"/>
          </w:tcPr>
          <w:p>
            <w:pPr>
              <w:jc w:val="center"/>
              <w:ind w:left="99"/>
              <w:spacing w:after="0"/>
              <w:rPr>
                <w:sz w:val="20"/>
                <w:szCs w:val="20"/>
                <w:color w:val="auto"/>
              </w:rPr>
            </w:pPr>
            <w:r>
              <w:rPr>
                <w:rFonts w:ascii="Arial" w:cs="Arial" w:eastAsia="Arial" w:hAnsi="Arial"/>
                <w:sz w:val="16"/>
                <w:szCs w:val="16"/>
                <w:color w:val="auto"/>
              </w:rPr>
              <w:t>53.1%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392.8</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246.1</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59.6%</w:t>
            </w:r>
          </w:p>
        </w:tc>
      </w:tr>
      <w:tr>
        <w:trPr>
          <w:trHeight w:val="202"/>
        </w:trPr>
        <w:tc>
          <w:tcPr>
            <w:tcW w:w="34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1"/>
        </w:trPr>
        <w:tc>
          <w:tcPr>
            <w:tcW w:w="34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29.5 %</w:t>
            </w: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31.9 %</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32.2 %</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35.6 %</w:t>
            </w:r>
          </w:p>
        </w:tc>
        <w:tc>
          <w:tcPr>
            <w:tcW w:w="1180" w:type="dxa"/>
            <w:vAlign w:val="bottom"/>
          </w:tcPr>
          <w:p>
            <w:pPr>
              <w:spacing w:after="0"/>
              <w:rPr>
                <w:sz w:val="18"/>
                <w:szCs w:val="18"/>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March 31, 2020 and 2019</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Sales and marketing expense for the three months ended March 31, 2020 increased $53.7 million, or 53.1%, compared to the three months ended March 31, 2019. The increase was due primarily to increased spending on advertising and marketing programs of $33.0 million, an increase in personnel-related expenses of $10.2 million, excluding stock-based compensation expense, due to increased headcount, an increase in payment processing fees of $3.5 million, and an increase in expenses related to our showrooms of $2.2 million.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 March 31, 2020 and 2019</w:t>
      </w:r>
    </w:p>
    <w:p>
      <w:pPr>
        <w:spacing w:after="0" w:line="2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Sales and marketing expense for the nine months ended March 31, 2020 increased $146.7 million, or 59.6%, compared to the nine months ended March 31, 2019. The increase was due primarily to increased spending on advertising and marketing programs of $104.4 million, an increase in personnel-related expenses of $24.2 million, excluding stock-based compensation expense, due to increased headcount, an increase in expenses related to our showrooms of $6.1 million, an increase in payment processing fees of $6.1 million, and an increase in depreciation and amortization expense of $3.9 million. This increase was partially offset by a decrease in stock-based compensation expense of $1.2 million driven by a $6.3 million charge in the nine months ended March 31, 2019 related to a tender offer completed in October 2018 to purchase outstanding shares of common stock and preferred stock held by employees (the "2018 Tender Offer").</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00" w:type="dxa"/>
            <w:vAlign w:val="bottom"/>
            <w:gridSpan w:val="2"/>
          </w:tcPr>
          <w:p>
            <w:pPr>
              <w:spacing w:after="0"/>
              <w:rPr>
                <w:sz w:val="20"/>
                <w:szCs w:val="20"/>
                <w:color w:val="auto"/>
              </w:rPr>
            </w:pPr>
            <w:r>
              <w:rPr>
                <w:rFonts w:ascii="Arial" w:cs="Arial" w:eastAsia="Arial" w:hAnsi="Arial"/>
                <w:sz w:val="16"/>
                <w:szCs w:val="16"/>
                <w:i w:val="1"/>
                <w:iCs w:val="1"/>
                <w:color w:val="auto"/>
              </w:rPr>
              <w:t>General and Administrative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6"/>
        </w:trPr>
        <w:tc>
          <w:tcPr>
            <w:tcW w:w="3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Borders>
              <w:bottom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c>
          <w:tcPr>
            <w:tcW w:w="1180" w:type="dxa"/>
            <w:vAlign w:val="bottom"/>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47"/>
        </w:trPr>
        <w:tc>
          <w:tcPr>
            <w:tcW w:w="3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3"/>
        </w:trPr>
        <w:tc>
          <w:tcPr>
            <w:tcW w:w="340" w:type="dxa"/>
            <w:vAlign w:val="bottom"/>
          </w:tcPr>
          <w:p>
            <w:pPr>
              <w:spacing w:after="0"/>
              <w:rPr>
                <w:sz w:val="21"/>
                <w:szCs w:val="21"/>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126.9</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47.0</w:t>
            </w:r>
          </w:p>
        </w:tc>
        <w:tc>
          <w:tcPr>
            <w:tcW w:w="1360" w:type="dxa"/>
            <w:vAlign w:val="bottom"/>
            <w:gridSpan w:val="2"/>
            <w:shd w:val="clear" w:color="auto" w:fill="CCEEFF"/>
          </w:tcPr>
          <w:p>
            <w:pPr>
              <w:jc w:val="center"/>
              <w:ind w:left="99"/>
              <w:spacing w:after="0"/>
              <w:rPr>
                <w:sz w:val="20"/>
                <w:szCs w:val="20"/>
                <w:color w:val="auto"/>
              </w:rPr>
            </w:pPr>
            <w:r>
              <w:rPr>
                <w:rFonts w:ascii="Arial" w:cs="Arial" w:eastAsia="Arial" w:hAnsi="Arial"/>
                <w:sz w:val="16"/>
                <w:szCs w:val="16"/>
                <w:color w:val="auto"/>
                <w:w w:val="99"/>
              </w:rPr>
              <w:t>169.8%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265.4</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152.4</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74.1%</w:t>
            </w:r>
          </w:p>
        </w:tc>
      </w:tr>
      <w:tr>
        <w:trPr>
          <w:trHeight w:val="202"/>
        </w:trPr>
        <w:tc>
          <w:tcPr>
            <w:tcW w:w="34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1"/>
        </w:trPr>
        <w:tc>
          <w:tcPr>
            <w:tcW w:w="34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24.2 %</w:t>
            </w:r>
          </w:p>
        </w:tc>
        <w:tc>
          <w:tcPr>
            <w:tcW w:w="360" w:type="dxa"/>
            <w:vAlign w:val="bottom"/>
          </w:tcPr>
          <w:p>
            <w:pPr>
              <w:spacing w:after="0"/>
              <w:rPr>
                <w:sz w:val="18"/>
                <w:szCs w:val="18"/>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14.9 %</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21.8 %</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22.0 %</w:t>
            </w:r>
          </w:p>
        </w:tc>
        <w:tc>
          <w:tcPr>
            <w:tcW w:w="11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465" w:right="339" w:bottom="1440" w:gutter="0" w:footer="0" w:header="0"/>
        </w:sectPr>
      </w:pP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i w:val="1"/>
          <w:iCs w:val="1"/>
          <w:color w:val="auto"/>
        </w:rPr>
        <w:t>Three Months Ended March 31, 2020 and 2019</w:t>
      </w:r>
    </w:p>
    <w:p>
      <w:pPr>
        <w:spacing w:after="0" w:line="2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General and administrative expense for the three months ended March 31, 2020 increased $79.9 million, or 169.8%, compared to the three months ended March 31, 2019. The increase was primarily due to an increase in legal expenses of $44.9 million, due to fees and one-time settlement amounts related to the settlement of litigation matters with each of Flywheel Sports, Inc. and Downtown Music Publishing LLC, an increase in personnel-related expenses of $10.0 million, excluding stock-based compensation expense, due to increased headcount, an increase in stock-based compensation expense of $7.5 million, an increase in facilities costs from additional leased spaces of $6.8 million, and an increase in professional services fees of $5.1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 March 31, 2020 and 2019</w:t>
      </w:r>
    </w:p>
    <w:p>
      <w:pPr>
        <w:spacing w:after="0" w:line="2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General and administrative expense for the nine months ended March 31, 2020 increased $113.0 million, or 74.1%, compared to the nine months ended March 31, 2019. This increase was primarily due to an increase in professional fees, comprised of legal, accounting, and consulting fees of $66.5 million driven by fees and one-time settlement amounts related to the settlement of litigation matters with each of Flywheel Sports, Inc. and Downtown Music Publishing LLC, an increase in personnel-related expenses of $32.6 million, excluding stock-based compensation expense, due to increased headcount, an increase in facilities costs from additional leased spaces of $20.1 million, an increase associated with business operations and public company costs of $8.1 million, an increase in depreciation and amortization expense of $3.5 million, and additional costs due to system implementations of $2.9 million. This increase was partially offset by a decrease in stock-based compensation expense of $22.9 million driven by a $50.6 million charge in the nine months ended March 31, 2019 related to the 2018 Tender Offer.</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00" w:type="dxa"/>
            <w:vAlign w:val="bottom"/>
            <w:gridSpan w:val="2"/>
          </w:tcPr>
          <w:p>
            <w:pPr>
              <w:spacing w:after="0"/>
              <w:rPr>
                <w:sz w:val="20"/>
                <w:szCs w:val="20"/>
                <w:color w:val="auto"/>
              </w:rPr>
            </w:pPr>
            <w:r>
              <w:rPr>
                <w:rFonts w:ascii="Arial" w:cs="Arial" w:eastAsia="Arial" w:hAnsi="Arial"/>
                <w:sz w:val="16"/>
                <w:szCs w:val="16"/>
                <w:i w:val="1"/>
                <w:iCs w:val="1"/>
                <w:color w:val="auto"/>
              </w:rPr>
              <w:t>Research and Development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6"/>
        </w:trPr>
        <w:tc>
          <w:tcPr>
            <w:tcW w:w="3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Borders>
              <w:bottom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6"/>
                <w:szCs w:val="16"/>
                <w:b w:val="1"/>
                <w:bCs w:val="1"/>
                <w:color w:val="auto"/>
              </w:rPr>
              <w:t>Nine Months Ended March 31,</w:t>
            </w:r>
          </w:p>
        </w:tc>
        <w:tc>
          <w:tcPr>
            <w:tcW w:w="1180" w:type="dxa"/>
            <w:vAlign w:val="bottom"/>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2019</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47"/>
        </w:trPr>
        <w:tc>
          <w:tcPr>
            <w:tcW w:w="3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6"/>
        </w:trPr>
        <w:tc>
          <w:tcPr>
            <w:tcW w:w="340" w:type="dxa"/>
            <w:vAlign w:val="bottom"/>
          </w:tcPr>
          <w:p>
            <w:pPr>
              <w:spacing w:after="0"/>
              <w:rPr>
                <w:sz w:val="23"/>
                <w:szCs w:val="23"/>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22.5</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360" w:type="dxa"/>
            <w:vAlign w:val="bottom"/>
            <w:gridSpan w:val="2"/>
            <w:shd w:val="clear" w:color="auto" w:fill="CCEEFF"/>
          </w:tcPr>
          <w:p>
            <w:pPr>
              <w:jc w:val="center"/>
              <w:ind w:left="99"/>
              <w:spacing w:after="0"/>
              <w:rPr>
                <w:sz w:val="20"/>
                <w:szCs w:val="20"/>
                <w:color w:val="auto"/>
              </w:rPr>
            </w:pPr>
            <w:r>
              <w:rPr>
                <w:rFonts w:ascii="Arial" w:cs="Arial" w:eastAsia="Arial" w:hAnsi="Arial"/>
                <w:sz w:val="16"/>
                <w:szCs w:val="16"/>
                <w:color w:val="auto"/>
              </w:rPr>
              <w:t>62.4%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60.6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37.8</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60.2%</w:t>
            </w:r>
          </w:p>
        </w:tc>
      </w:tr>
      <w:tr>
        <w:trPr>
          <w:trHeight w:val="202"/>
        </w:trPr>
        <w:tc>
          <w:tcPr>
            <w:tcW w:w="34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1"/>
        </w:trPr>
        <w:tc>
          <w:tcPr>
            <w:tcW w:w="34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4.3 %</w:t>
            </w: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5.0 %</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5.5 %</w:t>
            </w:r>
          </w:p>
        </w:tc>
        <w:tc>
          <w:tcPr>
            <w:tcW w:w="1180" w:type="dxa"/>
            <w:vAlign w:val="bottom"/>
          </w:tcPr>
          <w:p>
            <w:pPr>
              <w:spacing w:after="0"/>
              <w:rPr>
                <w:sz w:val="18"/>
                <w:szCs w:val="18"/>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March 31, 2020 and 2019</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Research and development expense for the three months ended March 31, 2020 increased $8.6 million, or 62.4%, compared to the three months ended March 31, 2019. This increase was due primarily to an increase in personnel-related expenses, which, excluding stock-based compensation expense, increased $4.4 million, due to increased headcount, an increase of $2.1 million in stock-based compensation expense, an increase of $0.8 million in software expense, and an increase in facilities costs from additional leased space of $0.5 million.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 March 31, 2020 and 2019</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Research and development expense for the nine months ended March 31, 2020 increased $22.8 million, or 60.2%, compared to the nine months ended March 31, 2019. This increase was due primarily to an increase in personnel-related expenses, which, excluding stock-based compensation expense, increased $14.8 million, due to increased headcount, an increase of $2.4 million in product development and research costs associated with development of new software features and products, an increase in stock-based compensation expense of $2.1 million, and an increase of $1.7 million in software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Other Income, Net and Provision for Income Taxes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6"/>
        </w:trPr>
        <w:tc>
          <w:tcPr>
            <w:tcW w:w="3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c>
          <w:tcPr>
            <w:tcW w:w="1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Nine Months Ended March 31,</w:t>
            </w:r>
          </w:p>
        </w:tc>
        <w:tc>
          <w:tcPr>
            <w:tcW w:w="1200" w:type="dxa"/>
            <w:vAlign w:val="bottom"/>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247"/>
        </w:trPr>
        <w:tc>
          <w:tcPr>
            <w:tcW w:w="3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80" w:type="dxa"/>
            <w:vAlign w:val="bottom"/>
            <w:gridSpan w:val="3"/>
          </w:tcPr>
          <w:p>
            <w:pPr>
              <w:jc w:val="center"/>
              <w:ind w:left="799"/>
              <w:spacing w:after="0"/>
              <w:rPr>
                <w:sz w:val="20"/>
                <w:szCs w:val="20"/>
                <w:color w:val="auto"/>
              </w:rPr>
            </w:pPr>
            <w:r>
              <w:rPr>
                <w:rFonts w:ascii="Arial" w:cs="Arial" w:eastAsia="Arial" w:hAnsi="Arial"/>
                <w:sz w:val="16"/>
                <w:szCs w:val="16"/>
                <w:b w:val="1"/>
                <w:bCs w:val="1"/>
                <w:color w:val="auto"/>
              </w:rPr>
              <w:t>(dollars in millions)</w:t>
            </w: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3"/>
        </w:trPr>
        <w:tc>
          <w:tcPr>
            <w:tcW w:w="340" w:type="dxa"/>
            <w:vAlign w:val="bottom"/>
          </w:tcPr>
          <w:p>
            <w:pPr>
              <w:spacing w:after="0"/>
              <w:rPr>
                <w:sz w:val="21"/>
                <w:szCs w:val="21"/>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37"/>
        </w:trPr>
        <w:tc>
          <w:tcPr>
            <w:tcW w:w="34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120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120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311"/>
        </w:trPr>
        <w:tc>
          <w:tcPr>
            <w:tcW w:w="2780" w:type="dxa"/>
            <w:vAlign w:val="bottom"/>
            <w:gridSpan w:val="2"/>
          </w:tcPr>
          <w:p>
            <w:pPr>
              <w:spacing w:after="0"/>
              <w:rPr>
                <w:sz w:val="20"/>
                <w:szCs w:val="20"/>
                <w:color w:val="auto"/>
              </w:rPr>
            </w:pPr>
            <w:r>
              <w:rPr>
                <w:rFonts w:ascii="Arial" w:cs="Arial" w:eastAsia="Arial" w:hAnsi="Arial"/>
                <w:sz w:val="16"/>
                <w:szCs w:val="16"/>
                <w:color w:val="auto"/>
              </w:rPr>
              <w:t>___________________________</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278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March 31, 2020 and 2019</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income, net, was $2.7 million for the three months ended March 31, 2020 compared to $3.0 million for the three months ended March 31, 2019. The decrease in other income, net, was primarily due to unrealized losses on our marketable securities of $3.1 million, partially offset by an increase of $2.5 million in interest earned on cash, cash equivalents, and short-term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 March 31, 2020 and 2019</w:t>
      </w:r>
    </w:p>
    <w:p>
      <w:pPr>
        <w:sectPr>
          <w:pgSz w:w="11900" w:h="16838" w:orient="portrait"/>
          <w:cols w:equalWidth="0" w:num="1">
            <w:col w:w="11240"/>
          </w:cols>
          <w:pgMar w:left="320" w:top="104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7" w:name="page38"/>
    <w:bookmarkEnd w:id="37"/>
    <w:p>
      <w:pPr>
        <w:jc w:val="both"/>
        <w:spacing w:after="0" w:line="253" w:lineRule="auto"/>
        <w:rPr>
          <w:sz w:val="20"/>
          <w:szCs w:val="20"/>
          <w:color w:val="auto"/>
        </w:rPr>
      </w:pPr>
      <w:r>
        <w:rPr>
          <w:rFonts w:ascii="Arial" w:cs="Arial" w:eastAsia="Arial" w:hAnsi="Arial"/>
          <w:sz w:val="16"/>
          <w:szCs w:val="16"/>
          <w:color w:val="auto"/>
        </w:rPr>
        <w:t>Other income, net, was $9.6 million for the nine months ended March 31, 2020 compared to $4.9 million for the nine months ended March 31, 2019. The increase in other income, net, was primarily due to an increase of $7.8 million in interest earned on cash, cash equivalents, and short-term investments, partially offset by $3.1 million in unrealized losses on our marketable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operations have been financed primarily through cash flow from operating activities and net proceeds from the sales of our stock. As of March 31, 2020, we had cash and cash equivalents of approximately $509.0 million and marketable securities of $923.7 million. In September 2019, we completed our IPO and a concurrent private placement, in which we issued and sold an aggregate of 43,448,275 shares of our Class A common stock. The price per share to the public in the IPO and in the concurrent private placement was $29.00. We received aggregate net proceeds of $1.2 billion from the IPO and the concurrent private placement, net of the underwriting discounts and before deducting offering costs of approximately $6.3 million.</w:t>
      </w:r>
    </w:p>
    <w:p>
      <w:pPr>
        <w:spacing w:after="0" w:line="200" w:lineRule="exact"/>
        <w:rPr>
          <w:sz w:val="20"/>
          <w:szCs w:val="20"/>
          <w:color w:val="auto"/>
        </w:rPr>
      </w:pP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March 31, 2020, our marketable securities portfolio primarily consists of U.S. government notes, investment grade corporate securities and AAA asset-backed securities. Given market volatility since March 2020 we have taken actions to protect against principal risk such as moving cash from prime to government money market funds, closely monitoring credit default spreads, downgraded and other securities that may bear increased risk, and selling certain securities that may no longer align with our investment strategy.</w:t>
      </w:r>
    </w:p>
    <w:p>
      <w:pPr>
        <w:spacing w:after="0" w:line="200" w:lineRule="exact"/>
        <w:rPr>
          <w:sz w:val="20"/>
          <w:szCs w:val="20"/>
          <w:color w:val="auto"/>
        </w:rPr>
      </w:pP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our existing cash and cash equivalent balances, cash flow from operations, marketable securities portfolio, and amounts available for borrowing under our Amended Credit Agreement will be sufficient to meet our working capital and capital expenditure needs for at least the next 12 months. Our future capital requirements may vary materially from those currently planned and will depend on many factors, including our rate of revenue growth, the timing and amount of spending on research and development, growth in sales and marketing activities, the timing of new Connected Fitness Product introductions, market acceptance of our Connected Fitness Products, timing and investments needed for international expansion, and overall economic conditions. Further, we may use cash to satisfy exercise payments and/or tax withholdings in connection with the settlement of equity awards.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Credit Agreement</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June 2019, we entered into the Amended Credit Agreement with JPMorgan Chase Bank, N.A., as administrative agent, lead arranger and bookrunner and Bank of America, N.A., Barclays Bank PLC, Goldman Sachs Lending Partners LLC, and Silicon Valley Bank, as joint syndication agents, which amended and restated the loan and security agreement we previously entered into in November 2017. The Amended Credit Agreement provides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March 31, 2020, we had not drawn on the credit facility and did not have outstanding borrowings under the Amended Credit Agreement. As of March 31, 2020, we had outstanding letters of credit totaling $4.2 million issued primarily to cover security deposits for an operating lease obligation.</w:t>
      </w:r>
    </w:p>
    <w:p>
      <w:pPr>
        <w:spacing w:after="0" w:line="200" w:lineRule="exact"/>
        <w:rPr>
          <w:sz w:val="20"/>
          <w:szCs w:val="20"/>
          <w:color w:val="auto"/>
        </w:rPr>
      </w:pPr>
    </w:p>
    <w:p>
      <w:pPr>
        <w:spacing w:after="0" w:line="31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the option to repay our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Cash Flows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6"/>
        </w:trPr>
        <w:tc>
          <w:tcPr>
            <w:tcW w:w="340" w:type="dxa"/>
            <w:vAlign w:val="bottom"/>
          </w:tcPr>
          <w:p>
            <w:pPr>
              <w:spacing w:after="0"/>
              <w:rPr>
                <w:sz w:val="22"/>
                <w:szCs w:val="22"/>
                <w:color w:val="auto"/>
              </w:rPr>
            </w:pPr>
          </w:p>
        </w:tc>
        <w:tc>
          <w:tcPr>
            <w:tcW w:w="70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6"/>
                <w:szCs w:val="16"/>
                <w:b w:val="1"/>
                <w:bCs w:val="1"/>
                <w:color w:val="auto"/>
              </w:rPr>
              <w:t>Nine Months Ended March 31,</w:t>
            </w:r>
          </w:p>
        </w:tc>
      </w:tr>
      <w:tr>
        <w:trPr>
          <w:trHeight w:val="250"/>
        </w:trPr>
        <w:tc>
          <w:tcPr>
            <w:tcW w:w="34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47"/>
        </w:trPr>
        <w:tc>
          <w:tcPr>
            <w:tcW w:w="34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0" w:type="dxa"/>
            <w:vAlign w:val="bottom"/>
            <w:gridSpan w:val="2"/>
          </w:tcPr>
          <w:p>
            <w:pPr>
              <w:jc w:val="center"/>
              <w:ind w:left="739"/>
              <w:spacing w:after="0"/>
              <w:rPr>
                <w:sz w:val="20"/>
                <w:szCs w:val="20"/>
                <w:color w:val="auto"/>
              </w:rPr>
            </w:pPr>
            <w:r>
              <w:rPr>
                <w:rFonts w:ascii="Arial" w:cs="Arial" w:eastAsia="Arial" w:hAnsi="Arial"/>
                <w:sz w:val="16"/>
                <w:szCs w:val="16"/>
                <w:b w:val="1"/>
                <w:bCs w:val="1"/>
                <w:color w:val="auto"/>
              </w:rPr>
              <w:t>(in millions)</w:t>
            </w:r>
          </w:p>
        </w:tc>
        <w:tc>
          <w:tcPr>
            <w:tcW w:w="1160" w:type="dxa"/>
            <w:vAlign w:val="bottom"/>
          </w:tcPr>
          <w:p>
            <w:pPr>
              <w:spacing w:after="0"/>
              <w:rPr>
                <w:sz w:val="21"/>
                <w:szCs w:val="21"/>
                <w:color w:val="auto"/>
              </w:rPr>
            </w:pPr>
          </w:p>
        </w:tc>
      </w:tr>
      <w:tr>
        <w:trPr>
          <w:trHeight w:val="253"/>
        </w:trPr>
        <w:tc>
          <w:tcPr>
            <w:tcW w:w="340" w:type="dxa"/>
            <w:vAlign w:val="bottom"/>
          </w:tcPr>
          <w:p>
            <w:pPr>
              <w:spacing w:after="0"/>
              <w:rPr>
                <w:sz w:val="21"/>
                <w:szCs w:val="21"/>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provided by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49.1</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r>
      <w:tr>
        <w:trPr>
          <w:trHeight w:val="233"/>
        </w:trPr>
        <w:tc>
          <w:tcPr>
            <w:tcW w:w="340" w:type="dxa"/>
            <w:vAlign w:val="bottom"/>
          </w:tcPr>
          <w:p>
            <w:pPr>
              <w:spacing w:after="0"/>
              <w:rPr>
                <w:sz w:val="20"/>
                <w:szCs w:val="20"/>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Net cash flows used in investing activities</w:t>
            </w:r>
          </w:p>
        </w:tc>
        <w:tc>
          <w:tcPr>
            <w:tcW w:w="3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(905.9)</w:t>
            </w:r>
          </w:p>
        </w:tc>
        <w:tc>
          <w:tcPr>
            <w:tcW w:w="6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(252.6)</w:t>
            </w:r>
          </w:p>
        </w:tc>
      </w:tr>
      <w:tr>
        <w:trPr>
          <w:trHeight w:val="253"/>
        </w:trPr>
        <w:tc>
          <w:tcPr>
            <w:tcW w:w="340" w:type="dxa"/>
            <w:vAlign w:val="bottom"/>
          </w:tcPr>
          <w:p>
            <w:pPr>
              <w:spacing w:after="0"/>
              <w:rPr>
                <w:sz w:val="21"/>
                <w:szCs w:val="21"/>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financing activities</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1,209.3</w:t>
            </w: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411.8</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provided by operating activities of $49.1 million for the nine months ended March 31, 2020 was primarily due to an increase in non-cash adjustments of $122.2 million, and an increase in net change in operating assets and liabilities of $87.6 million, partially offset by net loss of $160.7 million. The increase in net operating assets and liabilities was primarily due to a $124.0 million increase in customer deposits and deferred revenue driven by elevated sales volumes towards the end of the quarter and longer delivery windows, and a $64.0 million increase in</w:t>
      </w:r>
    </w:p>
    <w:p>
      <w:pPr>
        <w:sectPr>
          <w:pgSz w:w="11900" w:h="16838" w:orient="portrait"/>
          <w:cols w:equalWidth="0" w:num="1">
            <w:col w:w="11240"/>
          </w:cols>
          <w:pgMar w:left="320" w:top="465"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38" w:name="page39"/>
    <w:bookmarkEnd w:id="38"/>
    <w:p>
      <w:pPr>
        <w:jc w:val="both"/>
        <w:spacing w:after="0" w:line="253" w:lineRule="auto"/>
        <w:rPr>
          <w:sz w:val="20"/>
          <w:szCs w:val="20"/>
          <w:color w:val="auto"/>
        </w:rPr>
      </w:pPr>
      <w:r>
        <w:rPr>
          <w:rFonts w:ascii="Arial" w:cs="Arial" w:eastAsia="Arial" w:hAnsi="Arial"/>
          <w:sz w:val="16"/>
          <w:szCs w:val="16"/>
          <w:color w:val="auto"/>
        </w:rPr>
        <w:t>accounts payable and accrued expenses related to increased expenditures to support general business growth, as well as the timing of payments, partially offset by a $46.2 million increase in inventory levels as we ramped up supply to meet the current increased demand. Non-cash adjustments primarily consisted of stock-based compensation expense, right-of use-asset operating lease expense, and depreciation and amortization expense.</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Net cash used in operating activities of $75.6 million for the nine months ended March 31, 2019 was primarily due to a net loss of $148.2 million and a decrease in net change in operating assets and liabilities of $18.7 million, partially offset by non-cash adjustments of $91.3 million. The decrease in net operating assets and liabilities was primarily due to an $86.5 million increase in inventories due to increased inventory levels and a $14.9 million increase in prepaid expenses and other current assets driven by general growth; partially offset by an $80.7 million increase in accounts payable and accrued expenses related to growth of expenditures to support general business growth. Non-cash adjustments primarily consisted of stock-based compensation expense of $76.0 million of which $61.7 million related to the 2018 Tender Offer.</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Cash used in investing activities for the nine months ended March 31, 2020 of $905.9 million was primarily related to purchases of marketable securities of $1,199.6 million, $110.1 million used for capital expenditures primarily related to the continued build out of our new Peloton studios in New York and London, our New York City headquarters, and new showrooms, and $45.6 million relating to the acquisition of Tonic, net of cash acquired, partially offset by maturities of marketable securities of $331.5 million and sales of marketable securities of $118.0 million.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Cash used in investing activities for the nine months ended March 31, 2019 of $252.6 million was primarily related to the purchase of marketable securities of $204.0 million and capital expenditures of $47.9 million.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provided by financing activities of $1.2 billion for the nine months ended March 31, 2020 was primarily related to proceeds from our IPO and concurrent private placement, net of the underwriting discount and before deducting offering costs of $6.3 million.</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financing activities of $411.8 million for the nine months ended March 31, 2019 was primarily related to net proceeds from issuance of Series F redeemable convertible preferred stock of $408.8 million, net of issuance costs and repurchases of common stock and preferred stock, as well as $3.0 million in proceeds from exercises of stock options.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Contractual Obligations</w:t>
      </w:r>
    </w:p>
    <w:p>
      <w:pPr>
        <w:spacing w:after="0" w:line="13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There were no material changes in our contractual obligations and commitments during the three months ended March 31, 2020 from the contractual obligations and commitments disclosed in the Prospectus. See Note 10 of the notes to our condensed consolidated financial statements included in Part I, Item 1 of this Quarterly Report on Form 10-Q for additional information regarding contractual obligations and commitments.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Off-Balance Sheet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off-balance sheet arrangements as of March 31, 2020.</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9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Note 2 of the notes to our condensed consolidated financial statements in the section titled “—Summary of Significant Accounting Policies” in Part I, Item 1 of this Quarterly Report on Form 10-Q and in the Prospectus.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Except as described in Note 2 of the notes to our condensed consolidated financial statements, there have been no material changes to our critical accounting policies and estimates as compared to the critical accounting policies and estimates disclosed in the Prospectus.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5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See Note 2 of the notes to our condensed consolidated financial statements in the section titled “—Recently Issued Accounting Pronouncements” in Part I, Item 1 of this Quarterly Report on Form 10-Q for a discussion about new accounting pronouncements adopted and not yet adopted as of the date of this report.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ectPr>
          <w:pgSz w:w="11900" w:h="16838" w:orient="portrait"/>
          <w:cols w:equalWidth="0" w:num="1">
            <w:col w:w="11240"/>
          </w:cols>
          <w:pgMar w:left="320" w:top="573"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type w:val="continuous"/>
        </w:sectPr>
      </w:pPr>
    </w:p>
    <w:bookmarkStart w:id="39" w:name="page40"/>
    <w:bookmarkEnd w:id="39"/>
    <w:p>
      <w:pPr>
        <w:jc w:val="both"/>
        <w:spacing w:after="0" w:line="251" w:lineRule="auto"/>
        <w:rPr>
          <w:sz w:val="20"/>
          <w:szCs w:val="20"/>
          <w:color w:val="auto"/>
        </w:rPr>
      </w:pPr>
      <w:r>
        <w:rPr>
          <w:rFonts w:ascii="Arial" w:cs="Arial" w:eastAsia="Arial" w:hAnsi="Arial"/>
          <w:sz w:val="16"/>
          <w:szCs w:val="16"/>
          <w:color w:val="auto"/>
        </w:rPr>
        <w:t>We had cash and cash equivalents and marketable securities of approximately $1.4 billion as of March 31, 2020.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condensed consolidated financial statements.</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Amended Credit Agreement. We monitor our cost of borrowing under our facility, taking into account our funding requirements, and our expectations for short-term rates in the future. A hypothetical 10% change in the interest rate on our Amended Credit Agreement for all periods presented would not have a material impact on our condensed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 For example, we recently purchased Tonic, a contract manufacturer, and our operating expenses incurred in manufacturing our products in Tonic's facilities in Taiwan are denominated in foreign currencies and not in U.S. dollars.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We use derivative instruments, such as foreign currency forward and option contracts, to hedge certain exposures to fluctuations in foreign currency exchange rates. Our exposure to foreign currency exchange rates has historically been partially hedged as our foreign currency denominated inflows have covered our foreign currency denominated expenses.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March 31, 2020.</w:t>
      </w:r>
    </w:p>
    <w:p>
      <w:pPr>
        <w:spacing w:after="0" w:line="215"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company’s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not effective as of March 31, 2020 due to the material weaknesses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Previously Reported Material Weakness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disclosed in the section titled "Risk Factors" in Part II, Item 1A of this Quarterly Report on Form 10-Q, we previously identified material weaknesses in our internal control over financial reporting related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Accordingly, we have determined that these control deficiencies constituted material weaknesses in our internal control over financial reporting. A material weakness is a deficiency or combination of deficiencies in our internal control over financial reporting such that there is a reasonable possibility that a material misstatement of our consolidated financial statements would not be prevented or detected on a timely basis. These deficiencies could result in additional misstatements to our consolidated financial statements that would be material and would not be prevented or detected on a timely basis.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Remediation Plans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40" w:name="page41"/>
    <w:bookmarkEnd w:id="40"/>
    <w:p>
      <w:pPr>
        <w:jc w:val="both"/>
        <w:spacing w:after="0" w:line="235" w:lineRule="auto"/>
        <w:rPr>
          <w:sz w:val="20"/>
          <w:szCs w:val="20"/>
          <w:color w:val="auto"/>
        </w:rPr>
      </w:pPr>
      <w:r>
        <w:rPr>
          <w:rFonts w:ascii="Arial" w:cs="Arial" w:eastAsia="Arial" w:hAnsi="Arial"/>
          <w:sz w:val="16"/>
          <w:szCs w:val="16"/>
          <w:color w:val="auto"/>
        </w:rPr>
        <w:t xml:space="preserve">We have commenced measures to remediate the identified material weaknesses. </w:t>
      </w:r>
      <w:r>
        <w:rPr>
          <w:rFonts w:ascii="Arial" w:cs="Arial" w:eastAsia="Arial" w:hAnsi="Arial"/>
          <w:sz w:val="16"/>
          <w:szCs w:val="16"/>
          <w:color w:val="050505"/>
        </w:rPr>
        <w:t>These measures include adding personnel as well as implementing new</w:t>
      </w:r>
      <w:r>
        <w:rPr>
          <w:rFonts w:ascii="Arial" w:cs="Arial" w:eastAsia="Arial" w:hAnsi="Arial"/>
          <w:sz w:val="16"/>
          <w:szCs w:val="16"/>
          <w:color w:val="auto"/>
        </w:rPr>
        <w:t xml:space="preserve"> </w:t>
      </w:r>
      <w:r>
        <w:rPr>
          <w:rFonts w:ascii="Arial" w:cs="Arial" w:eastAsia="Arial" w:hAnsi="Arial"/>
          <w:sz w:val="16"/>
          <w:szCs w:val="16"/>
          <w:color w:val="050505"/>
        </w:rPr>
        <w:t>financial systems and processes. We intend to continue to take steps to remediate the material weaknesses described above and further evolving our accounting processes. We will not be able to fully remediate these material weaknesses until these steps have been completed and have been operating effectively for a sufficient period of time.</w:t>
      </w:r>
    </w:p>
    <w:p>
      <w:pPr>
        <w:spacing w:after="0" w:line="224"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While we believe that these efforts will improve our internal control over financial reporting, the implementation of our remediation is ongoing and will require validation and testing of the design and operating effectiveness of internal controls over a sustained period of financial reporting cycles.</w:t>
      </w:r>
    </w:p>
    <w:p>
      <w:pPr>
        <w:spacing w:after="0" w:line="22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believe we are making progress toward achieving the effectiveness of our internal controls and disclosure controls.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 We may also conclude that additional measures may be required to remediate the material weaknesses in our internal control over financial reporting, which may necessitate.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taking actions to remediate the material weaknesses relating to our internal control over financial reporting, as described above. Except as otherwise described herein, there was no change in our internal control over financial reporting that occurred during the period covered by this Quarterly Report on Form 10-Q that has materially affected, or is reasonably likely to materially affect, our internal control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55"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For a discussion of legal proceedings, see Note 10 of the notes to our condensed consolidated financial statements in the section titled “—Legal Proceedings” in Part I, Item 1 of this Quarterly Report on Form 10-Q.</w:t>
      </w:r>
    </w:p>
    <w:p>
      <w:pPr>
        <w:spacing w:after="0" w:line="22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Further, we are and, from time to time, we may become, involved in legal proceedings or be subject to claims arising in the ordinary course of our business. We are not presently a party to any other legal proceedings that in the opinion of our management, if determined adversely to us, would individually or taken together have a material adverse effect on our business, operating results, financial condition, or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5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in this Quarterly Report on Form 10-Q and the Prospectus, including the section titled “Management’s Discussion and Analysis of Financial Condition and Results of Operations” and our condensed consolidated financial statements and the accompanying notes and the information contained in our other public filings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incurred operating losses in the past, expect to incur operating losses in the future, and may not achieve or maintain profitability in the future.</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incurred operating losses each year since our inception in 2012, including net losses of $(71.1) million, $(47.9) million, and $(195.6) million for fiscal 2017, 2018, and 2019, respectively, and had a net loss of $(55.6) million and $(160.7) million in the three and nine months ended March 31, 2020 and expect to continue to incur net losses for the foreseeable future. We expect our operating expenses to increase in the future as we continue our sales and marketing efforts, continue to invest in research and development, expand our operating and retail infrastructure, add content and software features to our platform, expand into new geographies, develop new Connected Fitness Products, and in connection with legal, accounting, and other expenses related to operating as a public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the impacts to our business from the COVID-19 pandemic, or if we cannot</w:t>
      </w:r>
    </w:p>
    <w:p>
      <w:pPr>
        <w:sectPr>
          <w:pgSz w:w="11900" w:h="16838" w:orient="portrait"/>
          <w:cols w:equalWidth="0" w:num="1">
            <w:col w:w="11240"/>
          </w:cols>
          <w:pgMar w:left="320" w:top="452" w:right="339"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type w:val="continuous"/>
        </w:sectPr>
      </w:pPr>
    </w:p>
    <w:bookmarkStart w:id="41" w:name="page42"/>
    <w:bookmarkEnd w:id="41"/>
    <w:p>
      <w:pPr>
        <w:jc w:val="both"/>
        <w:spacing w:after="0" w:line="260" w:lineRule="auto"/>
        <w:rPr>
          <w:sz w:val="20"/>
          <w:szCs w:val="20"/>
          <w:color w:val="auto"/>
        </w:rPr>
      </w:pPr>
      <w:r>
        <w:rPr>
          <w:rFonts w:ascii="Arial" w:cs="Arial" w:eastAsia="Arial" w:hAnsi="Arial"/>
          <w:sz w:val="16"/>
          <w:szCs w:val="16"/>
          <w:color w:val="auto"/>
        </w:rPr>
        <w:t>capitalize on growth opportunities. If our revenue does not grow at a greater rate than our operating expenses, we will not be able to achieve and maintain profitability.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and retain Subscribers, which could have an adverse effect on our business and rate of growth.</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229" w:lineRule="exact"/>
        <w:rPr>
          <w:sz w:val="20"/>
          <w:szCs w:val="20"/>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failure to introduce new features, products, or services that Members find engaging or our introduction of new products or services, or changes to existing products and services that are not favorably received;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harm to our brand and reputation;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pricing and perceived value of our offerings;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inability to deliver quality products, content, and services;</w:t>
      </w:r>
    </w:p>
    <w:p>
      <w:pPr>
        <w:spacing w:after="0" w:line="45" w:lineRule="exact"/>
        <w:rPr>
          <w:rFonts w:ascii="Arial" w:cs="Arial" w:eastAsia="Arial" w:hAnsi="Arial"/>
          <w:sz w:val="16"/>
          <w:szCs w:val="16"/>
          <w:color w:val="auto"/>
        </w:rPr>
      </w:pPr>
    </w:p>
    <w:p>
      <w:pPr>
        <w:jc w:val="both"/>
        <w:ind w:left="660" w:hanging="328"/>
        <w:spacing w:after="0" w:line="234"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unsatisfactory experiences with the delivery, installation, or servicing of our Connected Fitness Products, including due to prolonged delivery timelines and limitations on or the suspension of the in-home installation, return, and warranty servicing processes as a result of the current COVID-19 pandemic;</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Members engaging with competitive products and services;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technical or other problems preventing Members from accessing our content and services in a rapid and reliable manner or otherwise affecting the Member experience;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decline in the public’s interest in indoor cycling or running, or other fitness disciplines that we invest most heavily in;</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deteriorating general economic conditions or a change in consumer spending preferences or buying trends, whether as a result of the COVID-19 pandemic or otherwise; and</w:t>
      </w:r>
    </w:p>
    <w:p>
      <w:pPr>
        <w:spacing w:after="0" w:line="19"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interruptions in our ability to sell or deliver our Connected Fitness Products or to create content and services for our Members as a result of the COVID-19 pandemic.</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further expansion into international markets such as Canada, the United Kingdom, and Germany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189"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 Moreover, while we have experienced a significant increase in our Subscriber base since the outbreak of COVID-19, it remains uncertain how the COVID-19 pandemic will impact consumer demand for our products and services and consumer preferences generally. In additional, we have experienced and may continue to experience delays in the development and introduction of new or enhanced products and services due to the effects of the current COVID-19 pandemic.</w:t>
      </w:r>
    </w:p>
    <w:p>
      <w:pPr>
        <w:spacing w:after="0" w:line="231"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Moreover, we must successfully manage introductions of new or enhanced products and services, which could adversely impact the sales of our existing products and services. For instance, consumers may choose to forgo purchasing existing products or services in advance of new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and logistics providers. We may also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gross margins and operating results.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w:t>
      </w:r>
    </w:p>
    <w:p>
      <w:pPr>
        <w:sectPr>
          <w:pgSz w:w="11900" w:h="16838" w:orient="portrait"/>
          <w:cols w:equalWidth="0" w:num="1">
            <w:col w:w="11240"/>
          </w:cols>
          <w:pgMar w:left="320" w:top="465" w:right="33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42" w:name="page43"/>
    <w:bookmarkEnd w:id="42"/>
    <w:p>
      <w:pPr>
        <w:jc w:val="both"/>
        <w:spacing w:after="0" w:line="251" w:lineRule="auto"/>
        <w:rPr>
          <w:sz w:val="20"/>
          <w:szCs w:val="20"/>
          <w:color w:val="auto"/>
        </w:rPr>
      </w:pPr>
      <w:r>
        <w:rPr>
          <w:rFonts w:ascii="Arial" w:cs="Arial" w:eastAsia="Arial" w:hAnsi="Arial"/>
          <w:sz w:val="16"/>
          <w:szCs w:val="16"/>
          <w:color w:val="auto"/>
        </w:rPr>
        <w:t>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The outbreak of the COVID-19 coronavirus pandemic, or COVID-19, could have an adverse effect on our business, results of operations, and financial condition.</w:t>
      </w:r>
    </w:p>
    <w:p>
      <w:pPr>
        <w:spacing w:after="0" w:line="203"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COVID-19 has caused significant volatility in financial markets and has caused what is likely to be an extended global recession. Public health problems resulting from COVID-19 and precautionary measures instituted by governments and businesses to mitigate its spread, including travel restrictions and quarantines, could contribute to a general slowdown in the global economy, adversely impact our Members, third-party suppliers, contract manufacturers, logistics providers and other business partners, and disrupt our operations. Changes in our operations in response to COVID-19 or employee illnesses resulting from the pandemic has resulted in inefficiencies or delays, including in sales, delivery, and product development efforts, and additional costs related to business continuity initiatives, that cannot be fully mitigated through succession and business continuity planning, employees working remotely or teleconferencing technologies.</w:t>
      </w:r>
    </w:p>
    <w:p>
      <w:pPr>
        <w:spacing w:after="0" w:line="227"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223" w:lineRule="exact"/>
        <w:rPr>
          <w:sz w:val="20"/>
          <w:szCs w:val="20"/>
          <w:color w:val="auto"/>
        </w:rPr>
      </w:pPr>
    </w:p>
    <w:p>
      <w:pPr>
        <w:ind w:left="660" w:hanging="328"/>
        <w:spacing w:after="0" w:line="228"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inability to manage our business effectively due to key employees becoming ill, working from home inefficiently, and being unable to travel to our facilities;</w:t>
      </w:r>
    </w:p>
    <w:p>
      <w:pPr>
        <w:spacing w:after="0" w:line="1" w:lineRule="exact"/>
        <w:rPr>
          <w:rFonts w:ascii="Arial" w:cs="Arial" w:eastAsia="Arial" w:hAnsi="Arial"/>
          <w:sz w:val="16"/>
          <w:szCs w:val="16"/>
          <w:color w:val="auto"/>
        </w:rPr>
      </w:pPr>
    </w:p>
    <w:p>
      <w:pPr>
        <w:jc w:val="both"/>
        <w:ind w:left="660" w:hanging="328"/>
        <w:spacing w:after="0" w:line="228"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and our third-party suppliers', contract manufacturers', logistics providers', and other business partners' inability to operate worksites, including manufacturing facilities, shipping and fulfillment centers, and our retail showrooms and production studios, due to employee illness or reluctance to appear at work, or “stay-at-home” regulations;</w:t>
      </w:r>
    </w:p>
    <w:p>
      <w:pPr>
        <w:spacing w:after="0" w:line="2" w:lineRule="exact"/>
        <w:rPr>
          <w:rFonts w:ascii="Arial" w:cs="Arial" w:eastAsia="Arial" w:hAnsi="Arial"/>
          <w:sz w:val="16"/>
          <w:szCs w:val="16"/>
          <w:color w:val="auto"/>
        </w:rPr>
      </w:pPr>
    </w:p>
    <w:p>
      <w:pPr>
        <w:ind w:left="660" w:hanging="328"/>
        <w:spacing w:after="0" w:line="228"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inability to provide our Members with high-quality Member support due to changes to the delivery experience and our inability to provide in-home servicing of Connected Fitness Products due to safety risks and local government regulations related to COVID-19;</w:t>
      </w:r>
    </w:p>
    <w:p>
      <w:pPr>
        <w:spacing w:after="0" w:line="1" w:lineRule="exact"/>
        <w:rPr>
          <w:rFonts w:ascii="Arial" w:cs="Arial" w:eastAsia="Arial" w:hAnsi="Arial"/>
          <w:sz w:val="16"/>
          <w:szCs w:val="16"/>
          <w:color w:val="auto"/>
        </w:rPr>
      </w:pPr>
    </w:p>
    <w:p>
      <w:pPr>
        <w:ind w:left="660" w:hanging="328"/>
        <w:spacing w:after="0" w:line="228"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temporary suspension in sales of our Tread due to the Tread installation process requiring our delivery teams to enter the residences of our Members;</w:t>
      </w:r>
    </w:p>
    <w:p>
      <w:pPr>
        <w:spacing w:after="0" w:line="1" w:lineRule="exact"/>
        <w:rPr>
          <w:rFonts w:ascii="Arial" w:cs="Arial" w:eastAsia="Arial" w:hAnsi="Arial"/>
          <w:sz w:val="16"/>
          <w:szCs w:val="16"/>
          <w:color w:val="auto"/>
        </w:rPr>
      </w:pPr>
    </w:p>
    <w:p>
      <w:pPr>
        <w:ind w:left="660" w:right="20" w:hanging="328"/>
        <w:spacing w:after="0" w:line="228"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prolonged delivery timelines and the implementation of curbside and “threshold” delivery, which requires our Members to self-install and set up their Bikes, due to work restrictions related to COVID-19;</w:t>
      </w:r>
    </w:p>
    <w:p>
      <w:pPr>
        <w:spacing w:after="0" w:line="1"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return rates due to a decrease in consumer discretionary spending;</w:t>
      </w:r>
    </w:p>
    <w:p>
      <w:pPr>
        <w:jc w:val="both"/>
        <w:ind w:left="660" w:hanging="328"/>
        <w:spacing w:after="0" w:line="228"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inventory shortages caused by a combination of increased demand for our Connected Fitness Products and longer lead-times in the manufacturing of our Connected Fitness Products, due to work restrictions related to COVID-19, import/export conditions such as port congestion, and local government orders;</w:t>
      </w:r>
    </w:p>
    <w:p>
      <w:pPr>
        <w:spacing w:after="0" w:line="2" w:lineRule="exact"/>
        <w:rPr>
          <w:rFonts w:ascii="Arial" w:cs="Arial" w:eastAsia="Arial" w:hAnsi="Arial"/>
          <w:sz w:val="16"/>
          <w:szCs w:val="16"/>
          <w:color w:val="auto"/>
        </w:rPr>
      </w:pPr>
    </w:p>
    <w:p>
      <w:pPr>
        <w:ind w:left="660" w:hanging="328"/>
        <w:spacing w:after="0" w:line="228"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interruptions in our ability to offer live studio classes and produce new content, for example, in April 2020, we decided to pause live production at both our New York and London studios to reduce the risk of exposure to our employees and their families;</w:t>
      </w:r>
    </w:p>
    <w:p>
      <w:pPr>
        <w:spacing w:after="0" w:line="1" w:lineRule="exact"/>
        <w:rPr>
          <w:rFonts w:ascii="Arial" w:cs="Arial" w:eastAsia="Arial" w:hAnsi="Arial"/>
          <w:sz w:val="16"/>
          <w:szCs w:val="16"/>
          <w:color w:val="auto"/>
        </w:rPr>
      </w:pPr>
    </w:p>
    <w:p>
      <w:pPr>
        <w:ind w:left="660" w:hanging="328"/>
        <w:spacing w:after="0" w:line="228"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interruptions in manufacturing (including the sourcing of key components) and shipment of our products; for example, in certain instances, we have temporarily closed certain of our field operations warehouses for short periods of time for deep cleanings following confirmed cases of COVID-19;</w:t>
      </w:r>
    </w:p>
    <w:p>
      <w:pPr>
        <w:spacing w:after="0" w:line="1" w:lineRule="exact"/>
        <w:rPr>
          <w:rFonts w:ascii="Arial" w:cs="Arial" w:eastAsia="Arial" w:hAnsi="Arial"/>
          <w:sz w:val="16"/>
          <w:szCs w:val="16"/>
          <w:color w:val="auto"/>
        </w:rPr>
      </w:pPr>
    </w:p>
    <w:p>
      <w:pPr>
        <w:ind w:left="660" w:hanging="328"/>
        <w:spacing w:after="0" w:line="228"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disruptions of the operations of our third-party suppliers, which could impact our ability to purchase components at efficient prices and in sufficient amounts;</w:t>
      </w:r>
    </w:p>
    <w:p>
      <w:pPr>
        <w:spacing w:after="0" w:line="1"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reduced demand for our Connected Fitness Products and services, including due to any prolonged economic downturn that may occur;</w:t>
      </w:r>
    </w:p>
    <w:p>
      <w:pPr>
        <w:ind w:left="640" w:hanging="308"/>
        <w:spacing w:after="0" w:line="228"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inability to raise additional capital or the dilution of our common stock if we raise capital by issuing equity securities;</w:t>
      </w:r>
    </w:p>
    <w:p>
      <w:pPr>
        <w:ind w:left="640" w:hanging="308"/>
        <w:spacing w:after="0" w:line="228"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volatility in the market price of our Class A common stock; and</w:t>
      </w: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incurrence of significant increases to employee health care and benefits costs.</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extent of the impact of COVID-19 on our business and financial results will depend largely on future developments, including the duration of the spread of the outbreak, the impact on capital and financial markets, and the related impact on the financial circumstances of our Members, all of which are highly uncertain and cannot be predicted. This situation is changing rapidly, and additional impacts may arise that we are not aware of currently.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market and we may be unable to compete successfully against existing and future competitors.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ectPr>
          <w:pgSz w:w="11900" w:h="16838" w:orient="portrait"/>
          <w:cols w:equalWidth="0" w:num="1">
            <w:col w:w="11240"/>
          </w:cols>
          <w:pgMar w:left="320" w:top="465"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43" w:name="page44"/>
    <w:bookmarkEnd w:id="43"/>
    <w:p>
      <w:pPr>
        <w:jc w:val="both"/>
        <w:spacing w:after="0" w:line="248" w:lineRule="auto"/>
        <w:rPr>
          <w:sz w:val="20"/>
          <w:szCs w:val="20"/>
          <w:color w:val="auto"/>
        </w:rPr>
      </w:pPr>
      <w:r>
        <w:rPr>
          <w:rFonts w:ascii="Arial" w:cs="Arial" w:eastAsia="Arial" w:hAnsi="Arial"/>
          <w:sz w:val="16"/>
          <w:szCs w:val="16"/>
          <w:color w:val="auto"/>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derive a significant majority of our revenue from sales of our Bike. A decline in sales of our Bike would negatively affect our future revenue and operating results.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Connected Fitness Products are sold in highly competitive markets with limited barriers to entry. Introduction by competitors of comparable products at lower price points, a maturing product lifecycle, a decline in consumer spending, or other factors could result in a decline in our revenue derived from our Connected Fitness Products, which may have an adverse effect on our business, 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contract manufacturers, and logistics partners for our Connected Fitness Products. A loss of any of these partners could negatively affect our business.</w:t>
      </w:r>
    </w:p>
    <w:p>
      <w:pPr>
        <w:spacing w:after="0" w:line="189"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We manufacture certain components of our Connected Fitness Products in-house, and we also rely on a limited number of contract manufacturers and suppliers to manufacture and transport our Connected Fitness Products. If our internal manufacturing abilities are compromised in any way, we would be reliant on a limited number of contract manufacturers for all of our manufacturing needs. Our reliance on a limited number of contract manufacturers for each of our Connected Fitness Products increases our risks, since we do not currently have alternative or replacement contract manufacturers beyond these key parties. In the event of interruption from any of our contract manufacturers, our own manufacturing capabilities, or suppliers, we may not be able to increase capacity from other sources or develop alternate or secondary sources without incurring material additional costs and substantial delays. Furthermore, both our own and our contract manufacturers’ primary facilities are located in Taiwan. Thus, our business could be adversely affected if one or more of our suppliers is impacted by a natural disaster, an epidemic such as the current COVID-19 outbreak, or other interruption at a particular location. In particular, the current COVID-19 outbreak has caused, and will likely continue to cause, interruptions in the development, manufacturing (including the sourcing of key components), and shipment of our Connected Fitness Products, which could adversely impact our revenue, gross margins, and operating results.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experience a significant increase in demand for our Connected Fitness Products that cannot be satisfied adequately through our existing supply channels, or if we need to replace an existing supplier or partner, we may be unable to supplement or replace them on terms that are acceptable to us, which may undermine our ability to deliver our products to Members in a timely manner. For example, if we require additional manufacturing support,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contract manufacturers, or logistics partners could have an adverse effect on our business, financial condition and operating results.</w:t>
      </w: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limited control over our suppliers, contract manufacturers, and logistics partners, which subjects us to the following risks, many of which have materialized due to the COVID-19 pandemic:</w:t>
      </w:r>
    </w:p>
    <w:p>
      <w:pPr>
        <w:spacing w:after="0" w:line="222"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inability to satisfy demand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reduced control over delivery timing and product reliability;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reduced ability to monitor the manufacturing process and components used in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limited ability to develop comprehensive manufacturing specifications that take into account any materials shortages or substitutions;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variance in the manufacturing capability of our third-party manufacturers;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price increases;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failure of a significant supplier, manufacturer, or logistics partner to perform its obligations to us for technical, market, or other reasons;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variance in the quality of last mile services provided by our third-party logistics partners;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difficulties in establishing additional supplier, manufacturer, or logistics partner relationships if we experience difficulties with our existing suppliers, manufacturers, or logistics partners;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shortages of materials or components;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misappropriation of our intellectual property;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local economic conditions in the jurisdictions where our suppliers, manufacturers, and logistics partners are located;</w:t>
      </w:r>
    </w:p>
    <w:p>
      <w:pPr>
        <w:sectPr>
          <w:pgSz w:w="11900" w:h="16838" w:orient="portrait"/>
          <w:cols w:equalWidth="0" w:num="1">
            <w:col w:w="11240"/>
          </w:cols>
          <w:pgMar w:left="320" w:top="465"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44" w:name="page45"/>
    <w:bookmarkEnd w:id="44"/>
    <w:p>
      <w:pPr>
        <w:ind w:left="660" w:right="2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insufficient warranties and indemnities on components supplied to our manufacturers or performance by our partners.</w:t>
      </w:r>
    </w:p>
    <w:p>
      <w:pPr>
        <w:spacing w:after="0" w:line="3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also rely on our logistics partners, including last mile warehouse and delivery partners, to complete a substantial percentage of our deliveries to customers, with the rest of the deliveries handled by our own last mile team. The current COVID-19 outbreak has required us to rely more heavily on our last mile delivery partners in certain markets where we have had to temporarily quarantine our in-house delivery teams due to employee illness or where our in-house delivery teams' capacity is otherwise constrained.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occurrence of any of these risks, especially during seasons of peak demand, could cause us to experience a significant disruption in our ability to produce and deliver our products to our customers.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Rights holders also may attempt to 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 which (a) issue blanket licenses with copyright users for the public performance of compositions in their repertory, (b) collect royalties under those licenses, and (c) 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200" w:lineRule="exact"/>
        <w:rPr>
          <w:sz w:val="20"/>
          <w:szCs w:val="20"/>
          <w:color w:val="auto"/>
        </w:rPr>
      </w:pP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These challenges, and others concerning the licensing of music on our platform, may subject us to significant liability for copyright infringement, breach of contract, or other claims. For additional information, see Note 10 of the notes to our condensed consolidated financial statements in the section titled “— Legal Proceedings” in Part I, Item 1 of this Quarterly Report on Form 10-Q.</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maintain the value and reputation of the Peloton brand.</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Such negative publicity also could have an adverse effect on the size, engagement and loyalty of our Member base and result in decreased revenue, which could have an adverse effect on our business, financial condition, and operating results.</w:t>
      </w:r>
    </w:p>
    <w:p>
      <w:pPr>
        <w:sectPr>
          <w:pgSz w:w="11900" w:h="16838" w:orient="portrait"/>
          <w:cols w:equalWidth="0" w:num="1">
            <w:col w:w="11240"/>
          </w:cols>
          <w:pgMar w:left="320" w:top="465"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45" w:name="page46"/>
    <w:bookmarkEnd w:id="45"/>
    <w:p>
      <w:pPr>
        <w:jc w:val="both"/>
        <w:spacing w:after="0" w:line="286" w:lineRule="auto"/>
        <w:rPr>
          <w:sz w:val="20"/>
          <w:szCs w:val="20"/>
          <w:color w:val="auto"/>
        </w:rPr>
      </w:pPr>
      <w:r>
        <w:rPr>
          <w:rFonts w:ascii="Arial" w:cs="Arial" w:eastAsia="Arial" w:hAnsi="Arial"/>
          <w:sz w:val="16"/>
          <w:szCs w:val="16"/>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89"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We have expanded our operations rapidly and have limited operating experience at our current size. For example, between June 30, 2017 and March 31, 2020, our employee headcount increased from 443 to 3,249, and we expect headcount growth 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assemble, deliver, and service our Connected Fitness Products, exposes us to risk and disruption at many points that are critical to successfully operating our business and may make it more difficult for us to scale our business. For example, as a result of the current COVID-19 pandemic we may not be able to manage our business effectively and, in particular, we may experience difficulties in meeting consumer demand for our Connected Fitness Products and services, due to our employees becoming ill, being unable to travel to our facilities, and constraints within our supply chain.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Moreover, certain occurrences outside of our control may result in the closure of our retail showrooms. For example, as a result of the ongoing COVID-19 pandemic, we temporarily closed all of our retail showrooms, and we are unable to predict whether consumer shopping behaviors will change when we reopen.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the information provided to us or obtained by such third parties does not comprehensively or accurately identify the ownership of musical compositions, or if we are unable to determine which musical compositions correspond to specific sound recordings,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Given the high level of content concentration in the music industry, the market power of a few licensors, and the lack of transparent ownership information for compositions, we may be unable to license a large amount of music or the music of certain popular artists, and our business, financial condition, and operating results could be materially harmed.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Our license agreements are complex and impose numerous obligations on us, including obligations to, among other things:</w:t>
      </w:r>
    </w:p>
    <w:p>
      <w:pPr>
        <w:spacing w:after="0" w:line="248" w:lineRule="exact"/>
        <w:rPr>
          <w:sz w:val="20"/>
          <w:szCs w:val="20"/>
          <w:color w:val="auto"/>
        </w:rPr>
      </w:pPr>
    </w:p>
    <w:p>
      <w:pPr>
        <w:ind w:left="660" w:right="2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calculate and make payments based on complex royalty structures, which requires tracking usage of content in our service that may have inaccurate or incomplete metadata necessary for such calculation;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periodic reports on the exploitation of the content in specified formats;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 that we will obtain all necessary publishing licenses and consents and pay all associated fees, royalties, and other amounts due for the licensing of musical compositions;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comply with certain marketing and advertising restrictions;</w:t>
      </w:r>
    </w:p>
    <w:p>
      <w:pPr>
        <w:sectPr>
          <w:pgSz w:w="11900" w:h="16838" w:orient="portrait"/>
          <w:cols w:equalWidth="0" w:num="1">
            <w:col w:w="11240"/>
          </w:cols>
          <w:pgMar w:left="320" w:top="445"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46" w:name="page47"/>
    <w:bookmarkEnd w:id="46"/>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grant the licensor the right to audit our compliance with the terms of such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comply with certain security and technical specifications.</w:t>
      </w: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 that our estimates underperform relative to our expectations, and our content costs do not exceed such minimum guarantees and advance payments, our margins may be adversely affected.</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from an accident, safety incident, or workforce disruption.</w:t>
      </w:r>
    </w:p>
    <w:p>
      <w:pPr>
        <w:spacing w:after="0" w:line="255"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Our internal manufacturing processes and related activities, as well as our in-house warehousing and last-mile logistics activities, could expose us to significant personal injury claims that could subject us to substantial liability. The COVID-19 pandemic increases our exposure to these risks; for example, various local government orders have been implemented in areas where we operate that require us to secure personal protective equipment, such as face masks and gloves, for our delivery teams, and to implement new methods of monitoring employee health, such as temperature checks. As these government orders have come down, a global shortage of personal protective equipment has resulted, and we have experienced delays and increased costs in obtaining these materials for our teams. Our inability to timely adapt to changing norms and requirements around maintaining a safe workplace during the COVID-19 pandemic could cause employee illness, accidents, or team discontent if it is perceived that we are failing to protect the health and safety of our employees. While we maintain liability insurance in amounts and of the type generally consistent with industry practice, the amount of such coverage may not be adequate to cover fully all claims, and we may be forced to bear substantial losses from an accident or safety incident resulting from our manufacturing, warehousing, or last-mile activities.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such as the employees in our manufacturing facility, could also mount a corporate campaign, resulting in negative publicity or other actions that require attention by our management team and our employees. Negative publicity, work stoppages, or strikes by unions could have an adverse effect on our business, prospects, financial condition, and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affected by seasonality.</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For example, we generated approximately 64%, 63%, and 63% of our full fiscal year total revenue during the second and third quarters of fiscal 2017, 2018, and 2019, respectively. Accordingly, adverse events that occur during these months could have a disproportionate effect on our operating results for the entire fiscal year. Moreover, as a result of higher sales during the period from November through February, our working capital needs are greater during the second and third quarters of the fiscal year. As a result of quarterly fluctuations caused by these and other factors, comparisons of our operating results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services, including the costs associated with such introductions.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These decisions may not be consistent with the short-term expectations of our stockholders and may not produce the long-term benefits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sectPr>
      </w:pPr>
    </w:p>
    <w:bookmarkStart w:id="47" w:name="page48"/>
    <w:bookmarkEnd w:id="47"/>
    <w:p>
      <w:pPr>
        <w:jc w:val="both"/>
        <w:spacing w:after="0" w:line="250" w:lineRule="auto"/>
        <w:rPr>
          <w:sz w:val="20"/>
          <w:szCs w:val="20"/>
          <w:color w:val="auto"/>
        </w:rPr>
      </w:pPr>
      <w:r>
        <w:rPr>
          <w:rFonts w:ascii="Arial" w:cs="Arial" w:eastAsia="Arial" w:hAnsi="Arial"/>
          <w:sz w:val="16"/>
          <w:szCs w:val="16"/>
          <w:color w:val="auto"/>
        </w:rPr>
        <w:t>that we expect, in which case our membership growth and Member engagement, and our business, financial condition, and operating results could be harmed.</w:t>
      </w:r>
    </w:p>
    <w:p>
      <w:pPr>
        <w:spacing w:after="0" w:line="200" w:lineRule="exact"/>
        <w:rPr>
          <w:sz w:val="20"/>
          <w:szCs w:val="20"/>
          <w:color w:val="auto"/>
        </w:rPr>
      </w:pP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products and services may be affected from time to time by design and manufacturing defects that could adversely affect our business and result in harm to our reputation.</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such defects could make our products and services unsafe, create a risk of environmental or property damage and personal injury, and subject us to the hazards and uncertainties of product liability claims and related litigation. In addition, from time to time we may experience outages, service slowdowns, or errors that affect our fitness and wellness programming. As a result, our services may not perform as anticipated and may not meet customer expectations. There can be no assurance that we will be able to detect and fix all issues and defects in the hardware, software, and services we offer. Failure to do so could result in widespread technical and performance issues affecting our products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200" w:lineRule="exact"/>
        <w:rPr>
          <w:sz w:val="20"/>
          <w:szCs w:val="20"/>
          <w:color w:val="auto"/>
        </w:rPr>
      </w:pP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200" w:lineRule="exact"/>
        <w:rPr>
          <w:sz w:val="20"/>
          <w:szCs w:val="20"/>
          <w:color w:val="auto"/>
        </w:rPr>
      </w:pP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Members use their Connected Fitness Products, subscriptions, and fitness accessories, such as our heart rate monitor, to track and record certain metrics related to their workouts. Examples of metrics tracked on our platform includes heart rate, calories burned, distance traveled, and, in the case of the Bike, cadence, resistance, and output, and, in the case of the Tread, pace, speed, and elevation. Taken together, these metrics assist our Members in tracking their fitness journey and understanding the effectiveness of their Peloton workouts. We anticipate introducing new metrics and features in the future. If the software used in our Connected Fitness Products or on our platform malfunctions and fails to accurately track, display, or record Member workouts and metrics, we could face claims alleging that our products and services do not operate as advertised. Such reports and claims could result in negative publicity, product liability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we may become the subject of negative publicity, litigation, regulatory proceedings, and warranty claims, and our brand, operating results, and business could be harmed.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high-quality Member support, our business and reputation will suffer.</w:t>
      </w:r>
    </w:p>
    <w:p>
      <w:pPr>
        <w:spacing w:after="0" w:line="2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Due to the COVID-19 pandemic, our ability to provide high-quality Member support has been significantly impacted. For example, due to COVID-19, we are unable to provide in-home servicing of our Connected Fitness Products, we have temporarily suspended the sale, delivery, and installation of the Tread, and delivery procedures for the Bike have been limited as we are unable to provide in-home delivery and set up services. In addition, the closure of our offices has forced our Member support staff to work from home, which may result in work-productivity issues or a decrease in efficiencies, particularly during times of high call volume as we have seen when delivery lead times get longer.The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and other operating metrics may fluctuate from quarter to quarter, which makes these metrics difficult to predict.</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230"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continued market acceptance of, and the growth of the connected fitness and wellness market;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maintain and attract new Subscribers;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development and improvement of the quality of the Peloton experience, including, enhancing existing and creating new Connected Fitness Products, services, technology, features, and content;</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continued development and upgrading of our proprietary technology platform;</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and success of new product, service, feature, and content introductions by us or our competitors or any other change in the competitive landscape of our market;</w:t>
      </w:r>
    </w:p>
    <w:p>
      <w:pPr>
        <w:sectPr>
          <w:pgSz w:w="11900" w:h="16838" w:orient="portrait"/>
          <w:cols w:equalWidth="0" w:num="1">
            <w:col w:w="11240"/>
          </w:cols>
          <w:pgMar w:left="320" w:top="465" w:right="339"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48" w:name="page49"/>
    <w:bookmarkEnd w:id="48"/>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delays or disruptions in our supply chain;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errors in our forecasting of the demand for our products and services, which could lead to lower revenue or increased costs,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in marketing, sales, and other operating expenses that we may incur to grow and expand our operations and to remain competitive;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ability to maintain and open new showrooms;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continued maintenance and expansion of last mile delivery and maintenance services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successful expansion into international markets, including Canada, the United Kingdom, and Germany;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seasonal fluctuations in subscriptions and usage of Connected Fitness Products by our Members, each of which may change as our products and services evolve or as our business grows;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diversification and growth of our revenue sources;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maintain gross margins and operating margins;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constraints on the availability of consumer financing or increased down payment requirements to finance purchases of our Connected Fitness Products;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system failures or breaches of security or privacy;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adverse litigation judgments, settlements, or other litigation-related costs, including content costs for past use;</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including with respect to privacy, consumer product safety, and advertising, or enforcement by government regulators, including fines, orders, or consent decrees;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our effective tax 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business or macroeconomic conditions, including the impact of the current COVID-19 outbreak, lower consumer confidence, recessionary conditions, increased unemployment rates, or stagnant or declining wages.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Any one of the factors above or the cumulative effect of some of the factors above may result in significant fluctuations in our operating results.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205"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All of the fitness and wellness content offered on our platform is produced in one of our four production studios, three of which are located in New York City. Due to our reliance on a limited number of studios in a concentrated location, any incident involving our studios, or affecting New York City at-large, could render our studios inaccessible or unusable and could inhibit our ability to produce and deliver new fitness and wellness content for our Members. For example, in April 2020, we decided to pause live production at both our New York and London studios to reduce the risk of exposure to our employees and their families to COVID-19.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plan to expand into international markets, which will expose us to significant risks.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228" w:lineRule="exact"/>
        <w:rPr>
          <w:sz w:val="20"/>
          <w:szCs w:val="20"/>
          <w:color w:val="auto"/>
        </w:rPr>
      </w:pPr>
    </w:p>
    <w:p>
      <w:pPr>
        <w:ind w:left="660" w:right="2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need to vary pricing and margins to effectively compete in international markets;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need to adapt and localize products for specific countries, including obtaining rights to third-party intellectual property, including music, used in each country;</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increased competition from local providers of similar products and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to protect and enforce intellectual property rights abroad;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need to offer content and customer support in various languages;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difficulties in understanding and complying with local laws, regulations, and customs in other jurisdictions;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sectPr>
      </w:pPr>
    </w:p>
    <w:bookmarkStart w:id="49" w:name="page50"/>
    <w:bookmarkEnd w:id="49"/>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compliance with anti-bribery laws, such as the U.S. Foreign Corrupt Practices Act, or FCPA, and the U.K. Bribery Act 2010, or U.K. Bribery Act, by us, our employees, and our business partners;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varying levels of internet technology adoption and infrastructure, and increased or varying network and hosting service provider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 and local content rules, as well as tax consequences;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fluctuations in currency exchange rates and the requirements of currency control regulations, which might restrict or prohibit conversion of other currencies into U.S. dollars;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political or social unrest or economic instability in a specific country or region in which we operate, including, for example, the effects of “Brexit,” which could have an adverse impact on our operations in that location.</w:t>
      </w:r>
    </w:p>
    <w:p>
      <w:pPr>
        <w:spacing w:after="0" w:line="26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 addition to expanding our operations into international markets through the sale of our Connected Fitness Products and the production of our platform content, we have, and may in the future, expand our international operations through acquisitions of, or investments in, foreign entities, which may result in additional operational costs and risks. For example, as a result of our recent acquisition of Tonic, one of our manufacturing partners and a Taiwanese entity, we own and are responsible for managing a manufacturing plant in Taiwan. This acquisition requires us to, among other things, fulfill Tonic’s obligations under existing service contracts that are unrelated to our current business, address the difficulties of managing a new workforce in a foreign country with different labor laws, customs, and language barriers, and successfully maintain relationships with Tonic’s current suppliers and contract partners.</w:t>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have an adverse effect on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Increases in component costs, long lead times, supply shortages, and supply changes could disrupt our supply chain and have an adverse effect on our business, financial condition, and operating results.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w:t>
      </w:r>
    </w:p>
    <w:p>
      <w:pPr>
        <w:spacing w:after="0" w:line="200" w:lineRule="exact"/>
        <w:rPr>
          <w:sz w:val="20"/>
          <w:szCs w:val="20"/>
          <w:color w:val="auto"/>
        </w:rPr>
      </w:pP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may be impacted by events outside of our control and limit our ability to procure timely delivery of supplies or finished goods and services. Importing and exporting has involved more risk, since the beginning of 2018, as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issues could be further exacerbated by the progression of the COVID-19 outbreak. We could see increased congestion and/or new import/export restrictions implemented at ports that we rely on for our business. In many cases, we have had to secure alternative transportation, such as air freight, or use alternative routes, at increased costs to run our supply chain. These tariffs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sectPr>
      </w:pPr>
    </w:p>
    <w:bookmarkStart w:id="50" w:name="page51"/>
    <w:bookmarkEnd w:id="50"/>
    <w:p>
      <w:pPr>
        <w:jc w:val="both"/>
        <w:spacing w:after="0" w:line="251" w:lineRule="auto"/>
        <w:rPr>
          <w:sz w:val="20"/>
          <w:szCs w:val="20"/>
          <w:color w:val="auto"/>
        </w:rPr>
      </w:pPr>
      <w:r>
        <w:rPr>
          <w:rFonts w:ascii="Arial" w:cs="Arial" w:eastAsia="Arial" w:hAnsi="Arial"/>
          <w:sz w:val="16"/>
          <w:szCs w:val="16"/>
          <w:color w:val="auto"/>
        </w:rPr>
        <w:t>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Online sales of our Connected Fitness Products through www.onepeloton.com represented over 50% of our units sold in the U.S. for fiscal 2019. As a result of the COVID-19 pandemic, a majority of our unit sales have moved to our online channel as we have temporarily closed our retail showrooms.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200" w:lineRule="exact"/>
        <w:rPr>
          <w:sz w:val="20"/>
          <w:szCs w:val="20"/>
          <w:color w:val="auto"/>
        </w:rPr>
      </w:pP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2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operating results could be adversely affected if we are unable to accurately forecast consumer demand for our products and services and adequately manage our inventory.</w:t>
      </w:r>
    </w:p>
    <w:p>
      <w:pPr>
        <w:spacing w:after="0" w:line="189"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such as those caused by the current COVID-19 outbreak. This risk will be exacerbated by the fact that we may not carry a significant amount of inventory and may not be able to satisfy short-term demand increases. For example, we have experienced an unexpected increase in demand for our Connected Fitness Products as a result of government shelter-in-place orders in response to the COVID-19 pandemic, which has resulted in inventory shortages and delayed delivery timelines. If we fail to accurately forecast consumer demand, we may experience excess inventory levels or a shortage of products available for sale.</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sustain pricing levels for our Connected Fitness Products and subscriptions, our business could be adversely affected.</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we are unable to sustain pricing levels for our Bike, Tread, and subscription services, whether due to competitive pressure or otherwise, our gross margins could be significantly reduced. Further, our decisions around the development of new products and services are grounded in assumptions about eventual pricing levels. If there is price compression in the market after these decisions are made, it could have a negative effect on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could decline due to changes in credit markets and decisions made by credit providers.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highly skilled personnel and senior management.</w:t>
      </w:r>
    </w:p>
    <w:p>
      <w:pPr>
        <w:sectPr>
          <w:pgSz w:w="11900" w:h="16838" w:orient="portrait"/>
          <w:cols w:equalWidth="0" w:num="1">
            <w:col w:w="11240"/>
          </w:cols>
          <w:pgMar w:left="320" w:top="465" w:right="339"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51" w:name="page52"/>
    <w:bookmarkEnd w:id="51"/>
    <w:p>
      <w:pPr>
        <w:jc w:val="both"/>
        <w:spacing w:after="0" w:line="232" w:lineRule="auto"/>
        <w:rPr>
          <w:sz w:val="20"/>
          <w:szCs w:val="20"/>
          <w:color w:val="auto"/>
        </w:rPr>
      </w:pPr>
      <w:r>
        <w:rPr>
          <w:rFonts w:ascii="Arial" w:cs="Arial" w:eastAsia="Arial" w:hAnsi="Arial"/>
          <w:sz w:val="16"/>
          <w:szCs w:val="16"/>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 efficiently execute our business. If members of our senior management team become ill due to the current COVID-19 pandemic, we may not be able to manage our business effectively and, as a result, our business and operating results could be harmed.</w:t>
      </w:r>
    </w:p>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cannot maintain our “One Peloton” culture as we grow, we could lose the innovation, teamwork, and passion that we believe contribute to our success and our business may be harmed.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The widespread stay-at-home orders resulting from the COVID-19 pandemic have required us to make substantial changes to the way that the vast majority of our employee population does their work, and we have faced new and unforeseen challenges arising from the management of remote, geographically dispersed teams. Our response to the changing work environment has included a number of employee-focused benefits initiatives, such as child care and work from home technology reimbursements, which are aimed at increasing productivity and employee morale and which have increased our costs. Any failure to preserve our culture could negatively affect our future success, including our ability to retain and recruit personnel and to effectively focus on and pursue our corporate objectives.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with which to evaluate and predict the profitability of our subscription model. Additionally, we may introduce new revenue models in the future.</w:t>
      </w:r>
    </w:p>
    <w:p>
      <w:pPr>
        <w:spacing w:after="0" w:line="18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majority of our Subscribers are on month-to-month subscription terms and may cancel their subscriptions at any time. We have limited historical data with respect to rates of Subscriber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 Moreover, while we have experienced a significant increase in our Subscriber base since the outbreak of COVID-19, it remains uncertain how the COVID-19 pandemic will impact Subscriber renewal rates in long-term.</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intellectual property rights are valuable, and any inability to protect them could reduce the value of our products, services, and brand.</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Effective protection of patents, trademarks, and domain names is expensive and difficult to maintain, both in terms of application and registration costs as well as the costs of defending and enforcing those rights. As we have grown, we have sought to obtain and protect our</w:t>
      </w:r>
    </w:p>
    <w:p>
      <w:pPr>
        <w:sectPr>
          <w:pgSz w:w="11900" w:h="16838" w:orient="portrait"/>
          <w:cols w:equalWidth="0" w:num="1">
            <w:col w:w="11240"/>
          </w:cols>
          <w:pgMar w:left="320" w:top="452" w:right="33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type w:val="continuous"/>
        </w:sectPr>
      </w:pPr>
    </w:p>
    <w:bookmarkStart w:id="52" w:name="page53"/>
    <w:bookmarkEnd w:id="52"/>
    <w:p>
      <w:pPr>
        <w:jc w:val="both"/>
        <w:spacing w:after="0" w:line="248" w:lineRule="auto"/>
        <w:rPr>
          <w:sz w:val="20"/>
          <w:szCs w:val="20"/>
          <w:color w:val="auto"/>
        </w:rPr>
      </w:pPr>
      <w:r>
        <w:rPr>
          <w:rFonts w:ascii="Arial" w:cs="Arial" w:eastAsia="Arial" w:hAnsi="Arial"/>
          <w:sz w:val="16"/>
          <w:szCs w:val="16"/>
          <w:color w:val="auto"/>
        </w:rPr>
        <w:t>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order to protect our brand and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been, and in the future may be, sued by third parties for alleged infringement of their proprietary rights.</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The level of service provided by these providers, or regular or prolonged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208"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i w:val="1"/>
          <w:iCs w:val="1"/>
          <w:color w:val="auto"/>
        </w:rPr>
        <w:t>We face risks, such as unforeseen costs and potential liability in connection with content we produce, license, and distribute through our platform.</w:t>
      </w:r>
    </w:p>
    <w:p>
      <w:pPr>
        <w:spacing w:after="0" w:line="200" w:lineRule="exact"/>
        <w:rPr>
          <w:sz w:val="20"/>
          <w:szCs w:val="20"/>
          <w:color w:val="auto"/>
        </w:rPr>
      </w:pPr>
    </w:p>
    <w:p>
      <w:pPr>
        <w:spacing w:after="0" w:line="23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w:t>
      </w:r>
    </w:p>
    <w:p>
      <w:pPr>
        <w:sectPr>
          <w:pgSz w:w="11900" w:h="16838" w:orient="portrait"/>
          <w:cols w:equalWidth="0" w:num="1">
            <w:col w:w="11240"/>
          </w:cols>
          <w:pgMar w:left="320" w:top="465" w:right="33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53" w:name="page54"/>
    <w:bookmarkEnd w:id="53"/>
    <w:p>
      <w:pPr>
        <w:jc w:val="both"/>
        <w:ind w:right="20"/>
        <w:spacing w:after="0" w:line="260" w:lineRule="auto"/>
        <w:rPr>
          <w:sz w:val="20"/>
          <w:szCs w:val="20"/>
          <w:color w:val="auto"/>
        </w:rPr>
      </w:pPr>
      <w:r>
        <w:rPr>
          <w:rFonts w:ascii="Arial" w:cs="Arial" w:eastAsia="Arial" w:hAnsi="Arial"/>
          <w:sz w:val="16"/>
          <w:szCs w:val="16"/>
          <w:color w:val="auto"/>
        </w:rPr>
        <w:t>discontinue or alter our production of certain types of content if we believe such content might not be well received by our Members or could be damaging to our brand and business.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Member engagement on mobile devices depends upon effective operation with mobile operating systems, networks, and standards that we do not control.</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significant and growing portion of our Members access our platform through Peloton Digital and there is no guarantee that popular mobile devices will continue to support Peloton Digital or that mobile device users will use Peloton Digital rather than competing products. We are dependent on the interoperability of Peloton Digital with popular mobile operating systems that we do not control, such as Android and iOS, and any changes in such systems that degrade the functionality of our digital offering or give preferential treatment to competitors could adversely affect our platform’s usage on mobile devices. Additionally, in order to deliver high-quality mobile content, it is important that our digital offering is designed effectively and works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 In the event that it is more difficult for our Members to access and use our platform on their mobile devices or Members find our mobile offerings do not effectively meet their needs, our competitors develop products and services that are perceived to operate more effectively on mobile devices, or if our Members choose not to access or use our platform on their mobile devices or use mobile products that do not offer access to our platform, our Member growth and Member engagement could be adversely impacted.</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w:t>
      </w:r>
    </w:p>
    <w:p>
      <w:pPr>
        <w:sectPr>
          <w:pgSz w:w="11900" w:h="16838" w:orient="portrait"/>
          <w:cols w:equalWidth="0" w:num="1">
            <w:col w:w="11240"/>
          </w:cols>
          <w:pgMar w:left="320" w:top="465" w:right="339"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54" w:name="page55"/>
    <w:bookmarkEnd w:id="54"/>
    <w:p>
      <w:pPr>
        <w:jc w:val="both"/>
        <w:spacing w:after="0" w:line="260" w:lineRule="auto"/>
        <w:rPr>
          <w:sz w:val="20"/>
          <w:szCs w:val="20"/>
          <w:color w:val="auto"/>
        </w:rPr>
      </w:pPr>
      <w:r>
        <w:rPr>
          <w:rFonts w:ascii="Arial" w:cs="Arial" w:eastAsia="Arial" w:hAnsi="Arial"/>
          <w:sz w:val="16"/>
          <w:szCs w:val="16"/>
          <w:color w:val="auto"/>
        </w:rPr>
        <w:t>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risks could adversely affect our business and disrupt our operations.</w:t>
      </w:r>
    </w:p>
    <w:p>
      <w:pPr>
        <w:spacing w:after="0" w:line="255"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Additionally, due to the current COVID-19 pandemic, there is an increased risk that we may experience cybersecurity related incidents as a result of our employees, service providers, and third parties working remotely on less secure systems during government mandated shelter-in-place orders.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189"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We generally provide a minimum 12-month limited warranty on all of our Connected Fitness Products. In addition, we permit returns of our Bike by first-time purchasers for a full refund within 30 days of delivery. The occurrence of any material defects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Due to the current COVID-19 pandemic, we have and may continue to experience higher product returns as consumer discretionary spending decreases, and due to safety risks we are unable to pick up those Connected Fitness Products and thus cannot currently process these requested returns. Moreover, in light of changes we have made to our delivery procedures in connection with the current COVID-19 outbreak, it is possible that warranty claims may increase above historical rates, and we may be unable to satisfactorily resolve warranty claims while the COVID-19 pandemic prevents us from performing in-home service appointments. For example, because we are currently unable to resolve warranty claims through in-home service appointments, in some cases we have sent the Member a replacement Bike frame and have requested that they hold the impaired Bike frame until a later date when we can safely retrieve it. In addition, we could incur significant costs to correct any defects, warranty claims, or other problems, including costs related to product recalls.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w:t>
      </w:r>
    </w:p>
    <w:p>
      <w:pPr>
        <w:spacing w:after="0" w:line="24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Subscribers may be subject to sales and other taxes, and we may be subject to liabilities on past sales for taxes, surcharges, and fees.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continue to analyze our exposure for taxes and liabilities and have accrued $5.7 million and $4.1 million for fiscal 2018 and 2019, respectively, for loss contingencies resulting from potential taxes and liabilities.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ectPr>
          <w:pgSz w:w="11900" w:h="16838" w:orient="portrait"/>
          <w:cols w:equalWidth="0" w:num="1">
            <w:col w:w="11240"/>
          </w:cols>
          <w:pgMar w:left="320" w:top="465" w:right="339"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55" w:name="page56"/>
    <w:bookmarkEnd w:id="55"/>
    <w:p>
      <w:pPr>
        <w:jc w:val="both"/>
        <w:spacing w:after="0"/>
        <w:rPr>
          <w:sz w:val="20"/>
          <w:szCs w:val="20"/>
          <w:color w:val="auto"/>
        </w:rPr>
      </w:pPr>
      <w:r>
        <w:rPr>
          <w:rFonts w:ascii="Arial" w:cs="Arial" w:eastAsia="Arial" w:hAnsi="Arial"/>
          <w:sz w:val="16"/>
          <w:szCs w:val="16"/>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and particularly the intellectual property infringement matters that we are currently facing or could face,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make content unavailable, or require us to stop offering certain features, all of which could negatively affect our membership and revenue growth. See Note 10 of the notes to our condensed consolidated financial statements in the section titled “—Legal Proceedings” in Part I, Item 1 of this Quarterly Report on Form 10-Q.</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how we market our products and services could adversely affect our marketing expenses and subscription levels.</w:t>
      </w:r>
    </w:p>
    <w:p>
      <w:pPr>
        <w:spacing w:after="0" w:line="25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cost effectively use these marketing tools,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An economic downturn or economic uncertainty may adversely affect consumer discretionary spending and demand for our products and services.</w:t>
      </w:r>
    </w:p>
    <w:p>
      <w:pPr>
        <w:spacing w:after="0" w:line="189"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particular, we believe that the current COVID-19 outbreak and its resulting global macroeconomic impact may adversely affect consumer discretionary spending and, though demand for our Connected Fitness Products and services has remained high due to government shelter-in-place orders, may result in decreased demand for our Connected Fitness Products in the long-term.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entered into the Amended Credit Agreement with JPMorgan Chase Bank, N.A., Bank of America, N.A., Barclays Bank PLC, Goldman Sachs Lending Partners LLC, and Silicon Valley Bank in June 2019, which amended and restated the loan and security agreement that we previously entered into in November 2017, providing for a $250.0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the section titled "Management's Discussion and Analysis of Financial Condition and Results of Operations—Liquidity and Capital Resources—Amended and Restated Credit Agreement” in Part I, Item 2 of this Quarterly Report on Form 10-Q for additional information.</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engage in merger and acquisition activities, which could require significant management attention, disrupt our business, dilute stockholder value, and adversely affect our operating results.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part of our business strategy, we have made or may in the future make investments in other companies, products, or technologies. For example, in June 2018, we acquired Neurotic Media to develop a proprietary music platform that our instructors use to curate class playlists, and</w:t>
      </w:r>
    </w:p>
    <w:p>
      <w:pPr>
        <w:sectPr>
          <w:pgSz w:w="11900" w:h="16838" w:orient="portrait"/>
          <w:cols w:equalWidth="0" w:num="1">
            <w:col w:w="11240"/>
          </w:cols>
          <w:pgMar w:left="320" w:top="452" w:right="33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type w:val="continuous"/>
        </w:sectPr>
      </w:pPr>
    </w:p>
    <w:bookmarkStart w:id="56" w:name="page57"/>
    <w:bookmarkEnd w:id="56"/>
    <w:p>
      <w:pPr>
        <w:jc w:val="both"/>
        <w:spacing w:after="0" w:line="248" w:lineRule="auto"/>
        <w:rPr>
          <w:sz w:val="20"/>
          <w:szCs w:val="20"/>
          <w:color w:val="auto"/>
        </w:rPr>
      </w:pPr>
      <w:r>
        <w:rPr>
          <w:rFonts w:ascii="Arial" w:cs="Arial" w:eastAsia="Arial" w:hAnsi="Arial"/>
          <w:sz w:val="16"/>
          <w:szCs w:val="16"/>
          <w:color w:val="auto"/>
        </w:rPr>
        <w:t>in October 2019, we acquired Tonic, one of our manufacturing partners. 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Moreover,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200" w:lineRule="exact"/>
        <w:rPr>
          <w:sz w:val="20"/>
          <w:szCs w:val="20"/>
          <w:color w:val="auto"/>
        </w:rPr>
      </w:pP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pay for any such acquisitions, we would have to use cash, incur debt, or issue equity securities, each of which may affect our financial condition or the value of our capital stock and could result in dilution to our stockholders. If we incur more debt 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expect that our existing cash and cash equivalents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payment processing risk</w:t>
      </w:r>
      <w:r>
        <w:rPr>
          <w:rFonts w:ascii="Arial" w:cs="Arial" w:eastAsia="Arial" w:hAnsi="Arial"/>
          <w:sz w:val="16"/>
          <w:szCs w:val="16"/>
          <w:color w:val="auto"/>
        </w:rPr>
        <w:t>.</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to offset future taxable income may be subject to certain limitations.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June 30, 2019, we had U.S. federal net operating loss carryforwards, or NOLs, and state NOLs of approximately $112.6 million and $95.8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utilize its NOLs to offset future taxable income. We have undergone two ownership changes on November 30, 2015 and April 18, 2017 and our NOLs arising before those dates are subject to one or more Section 382 limitations which may materially limit the use of such NOLs to offset our future taxable income. In addition, our IPO, as well as future changes in our stock ownership, the causes of which may be outside of our control, could result in an additional ownership change under Section 382 of the Code.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On March 27, 2020, the Coronavirus Aid, Relief, and Economic Security, or CARES Act, was signed into law. The CARES Act changes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It is uncertain if and to what extent various states will conform to the Tax Act, as modified by the CARES Act. For these reasons, we may not be able to realize a tax benefit from the use of our NOLs, whether or not we attain profitability.</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exposure to foreign currency exchange rate fluctuations.</w:t>
      </w:r>
    </w:p>
    <w:p>
      <w:pPr>
        <w:sectPr>
          <w:pgSz w:w="11900" w:h="16838" w:orient="portrait"/>
          <w:cols w:equalWidth="0" w:num="1">
            <w:col w:w="11240"/>
          </w:cols>
          <w:pgMar w:left="320" w:top="46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57" w:name="page58"/>
    <w:bookmarkEnd w:id="57"/>
    <w:p>
      <w:pPr>
        <w:jc w:val="both"/>
        <w:spacing w:after="0" w:line="248" w:lineRule="auto"/>
        <w:rPr>
          <w:sz w:val="20"/>
          <w:szCs w:val="20"/>
          <w:color w:val="auto"/>
        </w:rPr>
      </w:pPr>
      <w:r>
        <w:rPr>
          <w:rFonts w:ascii="Arial" w:cs="Arial" w:eastAsia="Arial" w:hAnsi="Arial"/>
          <w:sz w:val="16"/>
          <w:szCs w:val="16"/>
          <w:color w:val="auto"/>
        </w:rPr>
        <w:t>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21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are subject to governmental export and import controls and economic sanction laws that could subject us to liability and impair our ability to compete in international markets.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due to changes in such laws and rules, we may have to modify our international structure in the future, which will incur costs, may increase our</w:t>
      </w:r>
    </w:p>
    <w:p>
      <w:pPr>
        <w:sectPr>
          <w:pgSz w:w="11900" w:h="16838" w:orient="portrait"/>
          <w:cols w:equalWidth="0" w:num="1">
            <w:col w:w="11240"/>
          </w:cols>
          <w:pgMar w:left="320" w:top="465" w:right="33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58" w:name="page59"/>
    <w:bookmarkEnd w:id="58"/>
    <w:p>
      <w:pPr>
        <w:jc w:val="both"/>
        <w:spacing w:after="0" w:line="260" w:lineRule="auto"/>
        <w:rPr>
          <w:sz w:val="20"/>
          <w:szCs w:val="20"/>
          <w:color w:val="auto"/>
        </w:rPr>
      </w:pPr>
      <w:r>
        <w:rPr>
          <w:rFonts w:ascii="Arial" w:cs="Arial" w:eastAsia="Arial" w:hAnsi="Arial"/>
          <w:sz w:val="16"/>
          <w:szCs w:val="16"/>
          <w:color w:val="auto"/>
        </w:rPr>
        <w:t>worldwide effective tax rate, and may adversely affect our financial position and operating results. In addition, significant judgment is required in evaluating our tax positions and determining our provision for income taxes.</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subject to the reporting requirements of the Securities Exchange Act of 1934, as amended, or the Exchange Act, the Sarbanes-Oxley Act of 2002, or the Sarbanes-Oxley Act, the rules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In the course of preparing our financial statements for fiscal 2018, we identified material weaknesses in our internal control over financial reporting. If, in the future,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new rules and regulations applicable to public companies, and stockholder litigation brought against recently public companies, have made it more expensive for us to obtain and maintain director and officer liability insurance, and we may be required to incur substantially higher costs to obtain and maintain the same or similar coverage. These factors could also make it more difficult for us to attract and retain qualified members on our board of directors, or our Board of Directors, and qualified executive officers.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such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course of preparing our financial statements for fiscal 2018, we identified material weaknesses in our internal control over financial reporting. The material weaknesses identified had not been remediated as of March 31, 2020.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address our material weaknesses, we have added personnel as well as implemented new financial systems and processes. We intend to continue to take steps to remediate the material weaknesses described above through hiring additional qualified accounting and financial reporting personnel, and further evolving our accounting processes. We will not be able to fully remediate these material weaknesses until these steps have been completed and have been operating effectively for a sufficient period of time.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Furthermore,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w:t>
      </w:r>
    </w:p>
    <w:p>
      <w:pPr>
        <w:sectPr>
          <w:pgSz w:w="11900" w:h="16838" w:orient="portrait"/>
          <w:cols w:equalWidth="0" w:num="1">
            <w:col w:w="11240"/>
          </w:cols>
          <w:pgMar w:left="320" w:top="465" w:right="33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59" w:name="page60"/>
    <w:bookmarkEnd w:id="59"/>
    <w:p>
      <w:pPr>
        <w:jc w:val="both"/>
        <w:spacing w:after="0" w:line="260" w:lineRule="auto"/>
        <w:rPr>
          <w:sz w:val="20"/>
          <w:szCs w:val="20"/>
          <w:color w:val="auto"/>
        </w:rPr>
      </w:pPr>
      <w:r>
        <w:rPr>
          <w:rFonts w:ascii="Arial" w:cs="Arial" w:eastAsia="Arial" w:hAnsi="Arial"/>
          <w:sz w:val="16"/>
          <w:szCs w:val="16"/>
          <w:color w:val="auto"/>
        </w:rPr>
        <w:t>improvement could harm our operating results or cause us to fail to meet our reporting obligations and may result in a restatement of our financial statements for prior periods.</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 Item 2 of this Quarterly Report on Form 10-Q.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negatively impacted by changes in GAAP.</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For example, in February 2016, the FASB issued ASU No. 2016-02, or Topic 842, Leases, which requires recognition of lease assets and lease liabilities on the balance sheet by lessees for leases classified as operating leases with a term of more than 12 months. We adopted this ASU and related amendments as of July 1, 2019 under the modified retrospective approach, whereby all prior periods continue to be reported under previous lease accounting guidance. The most significant change related to the recognition of new right-of-use assets and lease liabilities on our balance sheet for real estate operating leases, as well as the de-recognition of the build-to-suit asset and liability. See Note 2 and Note 8 of the notes to our condensed consolidated financial statements for additional information.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our success in implementing our business strategy, which is subject to many risks and uncertainties.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team has limited experience managing a public company.</w:t>
      </w: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200" w:lineRule="exact"/>
        <w:rPr>
          <w:sz w:val="20"/>
          <w:szCs w:val="20"/>
          <w:color w:val="auto"/>
        </w:rPr>
      </w:pPr>
    </w:p>
    <w:p>
      <w:pPr>
        <w:spacing w:after="0" w:line="20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business is subject to the risk of earthquakes, fire, power outages, floods, public health crises, including the current COVID-19 pandemic, and other catastrophic events, and to interruption by man-made problems such as terrorism.</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business is vulnerable to damage or interruption from earthquakes, fires, floods, power losses, telecommunications failures, terrorist attacks, acts of war, human errors, break-ins, public health crises, including the COVID-19 pandemic, and similar events. The third-party systems and operations and contract manufacturers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Another example is the effect of the COVID-19 pandemic on major construction projects, including our New York headquarters and London studio projects, both of which have been delayed due to local government orders. Acts of terrorism, which may be targeted at metropolitan areas that have higher population density than rural areas, could also cause disruptions</w:t>
      </w:r>
    </w:p>
    <w:p>
      <w:pPr>
        <w:sectPr>
          <w:pgSz w:w="11900" w:h="16838" w:orient="portrait"/>
          <w:cols w:equalWidth="0" w:num="1">
            <w:col w:w="11240"/>
          </w:cols>
          <w:pgMar w:left="320" w:top="465" w:right="33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60" w:name="page61"/>
    <w:bookmarkEnd w:id="60"/>
    <w:p>
      <w:pPr>
        <w:jc w:val="both"/>
        <w:spacing w:after="0" w:line="250" w:lineRule="auto"/>
        <w:rPr>
          <w:sz w:val="20"/>
          <w:szCs w:val="20"/>
          <w:color w:val="auto"/>
        </w:rPr>
      </w:pPr>
      <w:r>
        <w:rPr>
          <w:rFonts w:ascii="Arial" w:cs="Arial" w:eastAsia="Arial" w:hAnsi="Arial"/>
          <w:sz w:val="16"/>
          <w:szCs w:val="16"/>
          <w:color w:val="auto"/>
        </w:rPr>
        <w:t>in our or our suppliers’ and contract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Class A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stock price of our Class A common stock has been, and will likely continue to be, volatile and you could lose all or part of your investment.</w:t>
      </w:r>
    </w:p>
    <w:p>
      <w:pPr>
        <w:spacing w:after="0" w:line="25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market price of our Class A common stock has been, and will likely continue to be, volatile. Since shares of our Class A common stock were sold in our IPO in September 2019 at a price of $29.00 per share, our stock price has ranged from 17.70 to $38.08 through April 30, 2020. In addition, the trading prices of securities of technology companies in general have been highly volatile. Moreover, while the market price of the common stock of many technology companies have fallen significantly since the outbreak of the COVID-19 pandemic, the trading price of our Class A common has increased. There are no assurances that the trading price of our Class A common stock will continue at this level for any period of time and the extent to which, and for how long, the COVID-19 pandemic may impact the market price of our Class A common stock is unclear. Moreover, the trading price of our Class A common stock could experience a significant decrease once the scope and impact of COVID-19 is better understood.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the factors discussed in this Quarterly Report on Form 10-Q, the market price of our Class A common stock may fluctuate significantly in response to numerous factors, many of which are beyond our control, including:</w:t>
      </w:r>
    </w:p>
    <w:p>
      <w:pPr>
        <w:spacing w:after="0" w:line="222"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COVID-19 outbreak and any associates economic downturn;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overall performance of the equity markets and the performance of technology companies in particular;</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variations in our operating results, cash flows, and other financial metrics and non-financial metrics, and how those results compare to analyst expectations;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recruitment or departure of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economy as a whole and market conditions in our industry;</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negative publicity related to problems in our manufacturing or the real or perceived quality of our products, as well as the failure to timely launch new products or services that gain market acceptance;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services, features and content, significant technical innovations, acquisitions, strategic partnerships, joint ventures, or capital commitments;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lawsuits threatened or filed against us, litigation involving our industry,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developments or disputes concerning our or other parties’ products, services, or intellectual property rights;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expiration of contractual lock-up or market standoff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Sales of a substantial amount of our Class A common stock in the public markets, or the perception that such sales might occur, could cause the price of our Class A common stock to decline.</w:t>
      </w:r>
    </w:p>
    <w:p>
      <w:pPr>
        <w:sectPr>
          <w:pgSz w:w="11900" w:h="16838" w:orient="portrait"/>
          <w:cols w:equalWidth="0" w:num="1">
            <w:col w:w="11240"/>
          </w:cols>
          <w:pgMar w:left="320" w:top="465" w:right="339"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61" w:name="page62"/>
    <w:bookmarkEnd w:id="61"/>
    <w:p>
      <w:pPr>
        <w:jc w:val="both"/>
        <w:spacing w:after="0" w:line="251" w:lineRule="auto"/>
        <w:rPr>
          <w:sz w:val="20"/>
          <w:szCs w:val="20"/>
          <w:color w:val="auto"/>
        </w:rPr>
      </w:pPr>
      <w:r>
        <w:rPr>
          <w:rFonts w:ascii="Arial" w:cs="Arial" w:eastAsia="Arial" w:hAnsi="Arial"/>
          <w:sz w:val="16"/>
          <w:szCs w:val="16"/>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There are a total of 282,173,602 shares of our Class A common stock and Class B common stock outstanding as of March 31, 2020. All shares of our Class A common stock and Class B common stock are freely tradable, except for any shares purchased by our “affiliates” as defined in Rule 144 under the Securities Act.</w:t>
      </w:r>
    </w:p>
    <w:p>
      <w:pPr>
        <w:spacing w:after="0" w:line="22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as of March 31, 2020, we had options outstanding that, if fully exercised, would result in the issuance of 61,429,873 shares of Class B common stock and 10,503,228 shares of Class A common stock. Subject to the satisfaction of applicable vesting requirements, the shares issued upon exercise of outstanding stock options will be available for immediate resale in the open market.</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Class B common stock has 20 votes per share and our Class A common stock has one vote per share. As of March 31, 2020,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substantial majority of the combined voting power of our common stock and therefore are able to control all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dual class structure of our common stock may adversely affect the trading market for our Class A common stock.</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an “emerging growth company” and intend to take advantage of the reduced disclosure requirements applicable to emerging growth companies which may make our Class A common stock less attractive to investors.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of (1) the last day of the fiscal year in which we have total annual gross revenue of $1.07 billion or more; (2) the last day of the fiscal year following the fifth anniversary of the date of the completion of the IPO; (3) the date on which we have issued more than $1.0 billion in nonconvertible debt during the previous three years; and (4) the date on which we are deemed to be a “large accelerated filer” under the rules of the SEC. For so long as we remain an emerging growth company, we are permitted to, and intend to, rely on exemptions from certain disclosure requirements that are applicable to other public companies that are not “emerging growth companies,” including:</w:t>
      </w:r>
    </w:p>
    <w:p>
      <w:pPr>
        <w:spacing w:after="0" w:line="232"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shareholder approval of any golden parachute payments not previously approved.</w:t>
      </w:r>
    </w:p>
    <w:p>
      <w:pPr>
        <w:spacing w:after="0" w:line="2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currently intend to take advantage of the available exemptions described above. We have taken advantage of reduced reporting burdens in our periodic reports. We cannot predict if investors will find our Class A common stock less attractive if we rely on these exemptions. Furthermore, under the JOBS Act, emerging growth companies can also delay adopting new or revised accounting standards until such time as</w:t>
      </w:r>
    </w:p>
    <w:p>
      <w:pPr>
        <w:sectPr>
          <w:pgSz w:w="11900" w:h="16838" w:orient="portrait"/>
          <w:cols w:equalWidth="0" w:num="1">
            <w:col w:w="11240"/>
          </w:cols>
          <w:pgMar w:left="320" w:top="465" w:right="33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62" w:name="page63"/>
    <w:bookmarkEnd w:id="62"/>
    <w:p>
      <w:pPr>
        <w:jc w:val="both"/>
        <w:spacing w:after="0" w:line="251" w:lineRule="auto"/>
        <w:rPr>
          <w:sz w:val="20"/>
          <w:szCs w:val="20"/>
          <w:color w:val="auto"/>
        </w:rPr>
      </w:pPr>
      <w:r>
        <w:rPr>
          <w:rFonts w:ascii="Arial" w:cs="Arial" w:eastAsia="Arial" w:hAnsi="Arial"/>
          <w:sz w:val="16"/>
          <w:szCs w:val="16"/>
          <w:color w:val="auto"/>
        </w:rPr>
        <w:t>those standards apply to private companies. We have irrevocably elected not to avail ourselves of this accommodation allowing for delayed adoption of new or revised accounting standards and, therefore, we will be subject to the same new or revised accounting standards as other public companies that are not emerging growth companies. If some investors find our Class A common stock less attractive as a result of these decisions, there may be a less active trading market for our Class A common stock and the price of our Class A common stock may be more volatile.</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trading market for our Class A common stock depends in part on the research and reports that securities or industry analysts publish about us or our business, our market, and our competitors. We do not have any control over these analysts.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1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Provisions in our restated certificate of incorporation and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amended and restated bylaws include provisions that:</w:t>
      </w:r>
    </w:p>
    <w:p>
      <w:pPr>
        <w:spacing w:after="0" w:line="230"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 that our Board of Directors is classified into three classes of directors with staggered three-year terms;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 that only the chairman of our Board of Directors, our chief executive officer, or a majority of our Board of Directors will be authorized to call a special meeting of stockholders;</w:t>
      </w: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w:t>
      </w:r>
    </w:p>
    <w:p>
      <w:pPr>
        <w:spacing w:after="0" w:line="5"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Moreover,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restated certificate of incorporation and amended and restated bylaws contain exclusive forum provisions for certain claims, which may limit our stockholders' ability to obtain a favorable judicial forum for disputes with us or our directors, officers, or employees.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21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Moreover, Section 22 of the Securities Act creates concurrent jurisdiction for federal and state courts over all claims brought to enforce any duty or liability created by the Securities Act or the rules and regulations thereunder. In April 2020, </w:t>
      </w:r>
      <w:r>
        <w:rPr>
          <w:rFonts w:ascii="Arial" w:cs="Arial" w:eastAsia="Arial" w:hAnsi="Arial"/>
          <w:sz w:val="16"/>
          <w:szCs w:val="16"/>
          <w:color w:val="212529"/>
        </w:rPr>
        <w:t>we amended and restated our restated bylaws to provide that the federal</w:t>
      </w:r>
      <w:r>
        <w:rPr>
          <w:rFonts w:ascii="Arial" w:cs="Arial" w:eastAsia="Arial" w:hAnsi="Arial"/>
          <w:sz w:val="16"/>
          <w:szCs w:val="16"/>
          <w:color w:val="auto"/>
        </w:rPr>
        <w:t xml:space="preserve"> </w:t>
      </w:r>
      <w:r>
        <w:rPr>
          <w:rFonts w:ascii="Arial" w:cs="Arial" w:eastAsia="Arial" w:hAnsi="Arial"/>
          <w:sz w:val="16"/>
          <w:szCs w:val="16"/>
          <w:color w:val="212529"/>
        </w:rPr>
        <w:t>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w:t>
      </w:r>
    </w:p>
    <w:p>
      <w:pPr>
        <w:sectPr>
          <w:pgSz w:w="11900" w:h="16838" w:orient="portrait"/>
          <w:cols w:equalWidth="0" w:num="1">
            <w:col w:w="11240"/>
          </w:cols>
          <w:pgMar w:left="320" w:top="465" w:right="339"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63" w:name="page64"/>
    <w:bookmarkEnd w:id="63"/>
    <w:p>
      <w:pPr>
        <w:jc w:val="both"/>
        <w:spacing w:after="0" w:line="237" w:lineRule="auto"/>
        <w:rPr>
          <w:sz w:val="20"/>
          <w:szCs w:val="20"/>
          <w:color w:val="auto"/>
        </w:rPr>
      </w:pPr>
      <w:r>
        <w:rPr>
          <w:rFonts w:ascii="Arial" w:cs="Arial" w:eastAsia="Arial" w:hAnsi="Arial"/>
          <w:sz w:val="16"/>
          <w:szCs w:val="16"/>
          <w:color w:val="212529"/>
        </w:rPr>
        <w:t xml:space="preserve">Delaware law. While there can be no assurance that federal or state courts will follow the holding of the Delaware Supreme Court or determine that the Federal Forum Provision should be enforced in a particular case, application of </w:t>
      </w:r>
      <w:r>
        <w:rPr>
          <w:rFonts w:ascii="Arial" w:cs="Arial" w:eastAsia="Arial" w:hAnsi="Arial"/>
          <w:sz w:val="16"/>
          <w:szCs w:val="16"/>
          <w:color w:val="000000"/>
        </w:rPr>
        <w:t>the Federal Forum Provision means that suits brought by our stockholders to</w:t>
      </w:r>
      <w:r>
        <w:rPr>
          <w:rFonts w:ascii="Arial" w:cs="Arial" w:eastAsia="Arial" w:hAnsi="Arial"/>
          <w:sz w:val="16"/>
          <w:szCs w:val="16"/>
          <w:color w:val="212529"/>
        </w:rPr>
        <w:t xml:space="preserve"> </w:t>
      </w:r>
      <w:r>
        <w:rPr>
          <w:rFonts w:ascii="Arial" w:cs="Arial" w:eastAsia="Arial" w:hAnsi="Arial"/>
          <w:sz w:val="16"/>
          <w:szCs w:val="16"/>
          <w:color w:val="000000"/>
        </w:rPr>
        <w:t>enforce any duty or liability created by the Securities Act must be brought in federal court and cannot be brought in state court.</w:t>
      </w:r>
    </w:p>
    <w:p>
      <w:pPr>
        <w:spacing w:after="0" w:line="22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23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212529"/>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w:t>
      </w:r>
      <w:r>
        <w:rPr>
          <w:rFonts w:ascii="Arial" w:cs="Arial" w:eastAsia="Arial" w:hAnsi="Arial"/>
          <w:sz w:val="16"/>
          <w:szCs w:val="16"/>
          <w:color w:val="000000"/>
        </w:rPr>
        <w:t>. Alternatively, if a court were to find the choice of forum provision contained in our restated certificate of incorporation and/or amended and</w:t>
      </w:r>
      <w:r>
        <w:rPr>
          <w:rFonts w:ascii="Arial" w:cs="Arial" w:eastAsia="Arial" w:hAnsi="Arial"/>
          <w:sz w:val="16"/>
          <w:szCs w:val="16"/>
          <w:color w:val="212529"/>
        </w:rPr>
        <w:t xml:space="preserve"> </w:t>
      </w:r>
      <w:r>
        <w:rPr>
          <w:rFonts w:ascii="Arial" w:cs="Arial" w:eastAsia="Arial" w:hAnsi="Arial"/>
          <w:sz w:val="16"/>
          <w:szCs w:val="16"/>
          <w:color w:val="000000"/>
        </w:rPr>
        <w:t>restated bylaws to be inapplicable or unenforceable in an action, we may incur additional costs associated with resolving such action in other jurisdictions, which could harm our business, financial condition, and operating results.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Unregistered Sales of Equity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Proceeds</w:t>
      </w:r>
    </w:p>
    <w:p>
      <w:pPr>
        <w:spacing w:after="0" w:line="25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On September 25, 2019, our Registration Statement on Form S-1, as amended (Reg. No. 333-233482), was declared effective in connection with the IPO of our Class A common stock.</w:t>
      </w:r>
    </w:p>
    <w:p>
      <w:pPr>
        <w:spacing w:after="0" w:line="223" w:lineRule="exact"/>
        <w:rPr>
          <w:sz w:val="20"/>
          <w:szCs w:val="20"/>
          <w:color w:val="auto"/>
        </w:rPr>
      </w:pPr>
    </w:p>
    <w:p>
      <w:pPr>
        <w:ind w:right="1080"/>
        <w:spacing w:after="0" w:line="242" w:lineRule="auto"/>
        <w:rPr>
          <w:sz w:val="20"/>
          <w:szCs w:val="20"/>
          <w:color w:val="auto"/>
        </w:rPr>
      </w:pPr>
      <w:r>
        <w:rPr>
          <w:rFonts w:ascii="Arial" w:cs="Arial" w:eastAsia="Arial" w:hAnsi="Arial"/>
          <w:sz w:val="16"/>
          <w:szCs w:val="16"/>
          <w:color w:val="auto"/>
        </w:rPr>
        <w:t>There has been no material change in the planned use of proceeds from our IPO as described in the Prospectus relating to that offering dated September 25, 2019.</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Item 6. Exhibits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 w:type="dxa"/>
            <w:vAlign w:val="bottom"/>
            <w:tcBorders>
              <w:bottom w:val="single" w:sz="8" w:color="FEFEFE"/>
            </w:tcBorders>
            <w:shd w:val="clear" w:color="auto" w:fill="FEFEFE"/>
          </w:tcPr>
          <w:p>
            <w:pPr>
              <w:spacing w:after="0"/>
              <w:rPr>
                <w:sz w:val="20"/>
                <w:szCs w:val="20"/>
                <w:color w:val="auto"/>
              </w:rPr>
            </w:pPr>
          </w:p>
        </w:tc>
        <w:tc>
          <w:tcPr>
            <w:tcW w:w="200" w:type="dxa"/>
            <w:vAlign w:val="bottom"/>
            <w:tcBorders>
              <w:bottom w:val="single" w:sz="8" w:color="FEFEFE"/>
            </w:tcBorders>
            <w:shd w:val="clear" w:color="auto" w:fill="FEFEFE"/>
          </w:tcPr>
          <w:p>
            <w:pPr>
              <w:spacing w:after="0"/>
              <w:rPr>
                <w:sz w:val="20"/>
                <w:szCs w:val="20"/>
                <w:color w:val="auto"/>
              </w:rPr>
            </w:pPr>
          </w:p>
        </w:tc>
        <w:tc>
          <w:tcPr>
            <w:tcW w:w="2340" w:type="dxa"/>
            <w:vAlign w:val="bottom"/>
            <w:tcBorders>
              <w:bottom w:val="single" w:sz="8" w:color="FEFEFE"/>
            </w:tcBorders>
            <w:shd w:val="clear" w:color="auto" w:fill="FEFEFE"/>
          </w:tcPr>
          <w:p>
            <w:pPr>
              <w:spacing w:after="0"/>
              <w:rPr>
                <w:sz w:val="20"/>
                <w:szCs w:val="20"/>
                <w:color w:val="auto"/>
              </w:rPr>
            </w:pPr>
          </w:p>
        </w:tc>
        <w:tc>
          <w:tcPr>
            <w:tcW w:w="1660" w:type="dxa"/>
            <w:vAlign w:val="bottom"/>
            <w:tcBorders>
              <w:bottom w:val="single" w:sz="8" w:color="FEFEFE"/>
            </w:tcBorders>
            <w:shd w:val="clear" w:color="auto" w:fill="FEFEFE"/>
          </w:tcPr>
          <w:p>
            <w:pPr>
              <w:spacing w:after="0"/>
              <w:rPr>
                <w:sz w:val="20"/>
                <w:szCs w:val="20"/>
                <w:color w:val="auto"/>
              </w:rPr>
            </w:pPr>
          </w:p>
        </w:tc>
        <w:tc>
          <w:tcPr>
            <w:tcW w:w="60" w:type="dxa"/>
            <w:vAlign w:val="bottom"/>
            <w:tcBorders>
              <w:bottom w:val="single" w:sz="8" w:color="FEFEFE"/>
            </w:tcBorders>
            <w:shd w:val="clear" w:color="auto" w:fill="FEFEFE"/>
          </w:tcPr>
          <w:p>
            <w:pPr>
              <w:spacing w:after="0"/>
              <w:rPr>
                <w:sz w:val="20"/>
                <w:szCs w:val="20"/>
                <w:color w:val="auto"/>
              </w:rPr>
            </w:pPr>
          </w:p>
        </w:tc>
        <w:tc>
          <w:tcPr>
            <w:tcW w:w="180" w:type="dxa"/>
            <w:vAlign w:val="bottom"/>
            <w:tcBorders>
              <w:bottom w:val="single" w:sz="8" w:color="FEFEFE"/>
            </w:tcBorders>
            <w:shd w:val="clear" w:color="auto" w:fill="FEFEFE"/>
          </w:tcPr>
          <w:p>
            <w:pPr>
              <w:spacing w:after="0"/>
              <w:rPr>
                <w:sz w:val="20"/>
                <w:szCs w:val="20"/>
                <w:color w:val="auto"/>
              </w:rPr>
            </w:pPr>
          </w:p>
        </w:tc>
        <w:tc>
          <w:tcPr>
            <w:tcW w:w="60" w:type="dxa"/>
            <w:vAlign w:val="bottom"/>
            <w:tcBorders>
              <w:bottom w:val="single" w:sz="8" w:color="FEFEFE"/>
            </w:tcBorders>
            <w:shd w:val="clear" w:color="auto" w:fill="FEFEFE"/>
          </w:tcPr>
          <w:p>
            <w:pPr>
              <w:spacing w:after="0"/>
              <w:rPr>
                <w:sz w:val="20"/>
                <w:szCs w:val="20"/>
                <w:color w:val="auto"/>
              </w:rPr>
            </w:pPr>
          </w:p>
        </w:tc>
        <w:tc>
          <w:tcPr>
            <w:tcW w:w="20" w:type="dxa"/>
            <w:vAlign w:val="bottom"/>
            <w:tcBorders>
              <w:bottom w:val="single" w:sz="8" w:color="FEFEFE"/>
            </w:tcBorders>
            <w:shd w:val="clear" w:color="auto" w:fill="FEFEFE"/>
          </w:tcPr>
          <w:p>
            <w:pPr>
              <w:spacing w:after="0"/>
              <w:rPr>
                <w:sz w:val="20"/>
                <w:szCs w:val="20"/>
                <w:color w:val="auto"/>
              </w:rPr>
            </w:pPr>
          </w:p>
        </w:tc>
        <w:tc>
          <w:tcPr>
            <w:tcW w:w="120" w:type="dxa"/>
            <w:vAlign w:val="bottom"/>
            <w:tcBorders>
              <w:bottom w:val="single" w:sz="8" w:color="FEFEFE"/>
            </w:tcBorders>
            <w:shd w:val="clear" w:color="auto" w:fill="FEFEFE"/>
          </w:tcPr>
          <w:p>
            <w:pPr>
              <w:spacing w:after="0"/>
              <w:rPr>
                <w:sz w:val="20"/>
                <w:szCs w:val="20"/>
                <w:color w:val="auto"/>
              </w:rPr>
            </w:pPr>
          </w:p>
        </w:tc>
        <w:tc>
          <w:tcPr>
            <w:tcW w:w="60" w:type="dxa"/>
            <w:vAlign w:val="bottom"/>
            <w:tcBorders>
              <w:bottom w:val="single" w:sz="8" w:color="FEFEFE"/>
            </w:tcBorders>
            <w:shd w:val="clear" w:color="auto" w:fill="FEFEFE"/>
          </w:tcPr>
          <w:p>
            <w:pPr>
              <w:spacing w:after="0"/>
              <w:rPr>
                <w:sz w:val="20"/>
                <w:szCs w:val="20"/>
                <w:color w:val="auto"/>
              </w:rPr>
            </w:pPr>
          </w:p>
        </w:tc>
        <w:tc>
          <w:tcPr>
            <w:tcW w:w="800" w:type="dxa"/>
            <w:vAlign w:val="bottom"/>
            <w:tcBorders>
              <w:bottom w:val="single" w:sz="8" w:color="auto"/>
            </w:tcBorders>
            <w:shd w:val="clear" w:color="auto" w:fill="FEFEFE"/>
          </w:tcPr>
          <w:p>
            <w:pPr>
              <w:spacing w:after="0"/>
              <w:rPr>
                <w:sz w:val="20"/>
                <w:szCs w:val="20"/>
                <w:color w:val="auto"/>
              </w:rPr>
            </w:pPr>
          </w:p>
        </w:tc>
        <w:tc>
          <w:tcPr>
            <w:tcW w:w="2360" w:type="dxa"/>
            <w:vAlign w:val="bottom"/>
            <w:tcBorders>
              <w:bottom w:val="single" w:sz="8" w:color="auto"/>
            </w:tcBorders>
            <w:gridSpan w:val="2"/>
            <w:shd w:val="clear" w:color="auto" w:fill="FEFEFE"/>
          </w:tcPr>
          <w:p>
            <w:pPr>
              <w:ind w:left="180"/>
              <w:spacing w:after="0"/>
              <w:rPr>
                <w:sz w:val="20"/>
                <w:szCs w:val="20"/>
                <w:color w:val="auto"/>
              </w:rPr>
            </w:pPr>
            <w:r>
              <w:rPr>
                <w:rFonts w:ascii="Arial" w:cs="Arial" w:eastAsia="Arial" w:hAnsi="Arial"/>
                <w:sz w:val="16"/>
                <w:szCs w:val="16"/>
                <w:b w:val="1"/>
                <w:bCs w:val="1"/>
                <w:color w:val="auto"/>
              </w:rPr>
              <w:t>Incorporated by Reference</w:t>
            </w:r>
          </w:p>
        </w:tc>
        <w:tc>
          <w:tcPr>
            <w:tcW w:w="860" w:type="dxa"/>
            <w:vAlign w:val="bottom"/>
            <w:tcBorders>
              <w:bottom w:val="single" w:sz="8" w:color="auto"/>
            </w:tcBorders>
            <w:shd w:val="clear" w:color="auto" w:fill="FEFEFE"/>
          </w:tcPr>
          <w:p>
            <w:pPr>
              <w:spacing w:after="0"/>
              <w:rPr>
                <w:sz w:val="20"/>
                <w:szCs w:val="20"/>
                <w:color w:val="auto"/>
              </w:rPr>
            </w:pPr>
          </w:p>
        </w:tc>
      </w:tr>
      <w:tr>
        <w:trPr>
          <w:trHeight w:val="184"/>
        </w:trPr>
        <w:tc>
          <w:tcPr>
            <w:tcW w:w="860" w:type="dxa"/>
            <w:vAlign w:val="bottom"/>
            <w:shd w:val="clear" w:color="auto" w:fill="FEFEFE"/>
          </w:tcPr>
          <w:p>
            <w:pPr>
              <w:jc w:val="right"/>
              <w:ind w:right="79"/>
              <w:spacing w:after="0"/>
              <w:rPr>
                <w:sz w:val="20"/>
                <w:szCs w:val="20"/>
                <w:color w:val="auto"/>
              </w:rPr>
            </w:pPr>
            <w:r>
              <w:rPr>
                <w:rFonts w:ascii="Arial" w:cs="Arial" w:eastAsia="Arial" w:hAnsi="Arial"/>
                <w:sz w:val="16"/>
                <w:szCs w:val="16"/>
                <w:b w:val="1"/>
                <w:bCs w:val="1"/>
                <w:color w:val="auto"/>
              </w:rPr>
              <w:t>Exhibit</w:t>
            </w:r>
          </w:p>
        </w:tc>
        <w:tc>
          <w:tcPr>
            <w:tcW w:w="200" w:type="dxa"/>
            <w:vAlign w:val="bottom"/>
            <w:shd w:val="clear" w:color="auto" w:fill="FEFEFE"/>
          </w:tcPr>
          <w:p>
            <w:pPr>
              <w:spacing w:after="0"/>
              <w:rPr>
                <w:sz w:val="16"/>
                <w:szCs w:val="16"/>
                <w:color w:val="auto"/>
              </w:rPr>
            </w:pPr>
          </w:p>
        </w:tc>
        <w:tc>
          <w:tcPr>
            <w:tcW w:w="4500" w:type="dxa"/>
            <w:vAlign w:val="bottom"/>
            <w:gridSpan w:val="8"/>
            <w:shd w:val="clear" w:color="auto" w:fill="FEFEFE"/>
          </w:tcPr>
          <w:p>
            <w:pPr>
              <w:ind w:left="1780"/>
              <w:spacing w:after="0"/>
              <w:rPr>
                <w:sz w:val="20"/>
                <w:szCs w:val="20"/>
                <w:color w:val="auto"/>
              </w:rPr>
            </w:pPr>
            <w:r>
              <w:rPr>
                <w:rFonts w:ascii="Arial" w:cs="Arial" w:eastAsia="Arial" w:hAnsi="Arial"/>
                <w:sz w:val="16"/>
                <w:szCs w:val="16"/>
                <w:b w:val="1"/>
                <w:bCs w:val="1"/>
                <w:color w:val="auto"/>
              </w:rPr>
              <w:t>Description</w:t>
            </w:r>
          </w:p>
        </w:tc>
        <w:tc>
          <w:tcPr>
            <w:tcW w:w="800" w:type="dxa"/>
            <w:vAlign w:val="bottom"/>
            <w:shd w:val="clear" w:color="auto" w:fill="FEFEFE"/>
          </w:tcPr>
          <w:p>
            <w:pPr>
              <w:ind w:left="200"/>
              <w:spacing w:after="0"/>
              <w:rPr>
                <w:sz w:val="20"/>
                <w:szCs w:val="20"/>
                <w:color w:val="auto"/>
              </w:rPr>
            </w:pPr>
            <w:r>
              <w:rPr>
                <w:rFonts w:ascii="Arial" w:cs="Arial" w:eastAsia="Arial" w:hAnsi="Arial"/>
                <w:sz w:val="16"/>
                <w:szCs w:val="16"/>
                <w:b w:val="1"/>
                <w:bCs w:val="1"/>
                <w:color w:val="auto"/>
              </w:rPr>
              <w:t>Form</w:t>
            </w:r>
          </w:p>
        </w:tc>
        <w:tc>
          <w:tcPr>
            <w:tcW w:w="1080" w:type="dxa"/>
            <w:vAlign w:val="bottom"/>
            <w:shd w:val="clear" w:color="auto" w:fill="FEFEFE"/>
          </w:tcPr>
          <w:p>
            <w:pPr>
              <w:ind w:left="240"/>
              <w:spacing w:after="0"/>
              <w:rPr>
                <w:sz w:val="20"/>
                <w:szCs w:val="20"/>
                <w:color w:val="auto"/>
              </w:rPr>
            </w:pPr>
            <w:r>
              <w:rPr>
                <w:rFonts w:ascii="Arial" w:cs="Arial" w:eastAsia="Arial" w:hAnsi="Arial"/>
                <w:sz w:val="16"/>
                <w:szCs w:val="16"/>
                <w:b w:val="1"/>
                <w:bCs w:val="1"/>
                <w:color w:val="auto"/>
              </w:rPr>
              <w:t>File No.</w:t>
            </w:r>
          </w:p>
        </w:tc>
        <w:tc>
          <w:tcPr>
            <w:tcW w:w="1280" w:type="dxa"/>
            <w:vAlign w:val="bottom"/>
            <w:shd w:val="clear" w:color="auto" w:fill="FEFEFE"/>
          </w:tcPr>
          <w:p>
            <w:pPr>
              <w:ind w:left="380"/>
              <w:spacing w:after="0"/>
              <w:rPr>
                <w:sz w:val="20"/>
                <w:szCs w:val="20"/>
                <w:color w:val="auto"/>
              </w:rPr>
            </w:pPr>
            <w:r>
              <w:rPr>
                <w:rFonts w:ascii="Arial" w:cs="Arial" w:eastAsia="Arial" w:hAnsi="Arial"/>
                <w:sz w:val="16"/>
                <w:szCs w:val="16"/>
                <w:b w:val="1"/>
                <w:bCs w:val="1"/>
                <w:color w:val="auto"/>
              </w:rPr>
              <w:t>Exhibit</w:t>
            </w:r>
          </w:p>
        </w:tc>
        <w:tc>
          <w:tcPr>
            <w:tcW w:w="860" w:type="dxa"/>
            <w:vAlign w:val="bottom"/>
            <w:shd w:val="clear" w:color="auto" w:fill="FEFEFE"/>
          </w:tcPr>
          <w:p>
            <w:pPr>
              <w:ind w:left="20"/>
              <w:spacing w:after="0"/>
              <w:rPr>
                <w:sz w:val="20"/>
                <w:szCs w:val="20"/>
                <w:color w:val="auto"/>
              </w:rPr>
            </w:pPr>
            <w:r>
              <w:rPr>
                <w:rFonts w:ascii="Arial" w:cs="Arial" w:eastAsia="Arial" w:hAnsi="Arial"/>
                <w:sz w:val="16"/>
                <w:szCs w:val="16"/>
                <w:b w:val="1"/>
                <w:bCs w:val="1"/>
                <w:color w:val="auto"/>
              </w:rPr>
              <w:t>Filing Date</w:t>
            </w:r>
          </w:p>
        </w:tc>
      </w:tr>
      <w:tr>
        <w:trPr>
          <w:trHeight w:val="215"/>
        </w:trPr>
        <w:tc>
          <w:tcPr>
            <w:tcW w:w="860" w:type="dxa"/>
            <w:vAlign w:val="bottom"/>
            <w:shd w:val="clear" w:color="auto" w:fill="FEFEFE"/>
          </w:tcPr>
          <w:p>
            <w:pPr>
              <w:jc w:val="right"/>
              <w:ind w:right="39"/>
              <w:spacing w:after="0"/>
              <w:rPr>
                <w:sz w:val="20"/>
                <w:szCs w:val="20"/>
                <w:color w:val="auto"/>
              </w:rPr>
            </w:pPr>
            <w:r>
              <w:rPr>
                <w:rFonts w:ascii="Arial" w:cs="Arial" w:eastAsia="Arial" w:hAnsi="Arial"/>
                <w:sz w:val="16"/>
                <w:szCs w:val="16"/>
                <w:b w:val="1"/>
                <w:bCs w:val="1"/>
                <w:color w:val="auto"/>
              </w:rPr>
              <w:t>Number</w:t>
            </w:r>
          </w:p>
        </w:tc>
        <w:tc>
          <w:tcPr>
            <w:tcW w:w="200" w:type="dxa"/>
            <w:vAlign w:val="bottom"/>
            <w:shd w:val="clear" w:color="auto" w:fill="FEFEFE"/>
          </w:tcPr>
          <w:p>
            <w:pPr>
              <w:spacing w:after="0"/>
              <w:rPr>
                <w:sz w:val="18"/>
                <w:szCs w:val="18"/>
                <w:color w:val="auto"/>
              </w:rPr>
            </w:pPr>
          </w:p>
        </w:tc>
        <w:tc>
          <w:tcPr>
            <w:tcW w:w="2340" w:type="dxa"/>
            <w:vAlign w:val="bottom"/>
            <w:shd w:val="clear" w:color="auto" w:fill="FEFEFE"/>
          </w:tcPr>
          <w:p>
            <w:pPr>
              <w:spacing w:after="0"/>
              <w:rPr>
                <w:sz w:val="18"/>
                <w:szCs w:val="18"/>
                <w:color w:val="auto"/>
              </w:rPr>
            </w:pPr>
          </w:p>
        </w:tc>
        <w:tc>
          <w:tcPr>
            <w:tcW w:w="166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18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800" w:type="dxa"/>
            <w:vAlign w:val="bottom"/>
            <w:shd w:val="clear" w:color="auto" w:fill="FEFEFE"/>
          </w:tcPr>
          <w:p>
            <w:pPr>
              <w:spacing w:after="0"/>
              <w:rPr>
                <w:sz w:val="18"/>
                <w:szCs w:val="18"/>
                <w:color w:val="auto"/>
              </w:rPr>
            </w:pPr>
          </w:p>
        </w:tc>
        <w:tc>
          <w:tcPr>
            <w:tcW w:w="1080" w:type="dxa"/>
            <w:vAlign w:val="bottom"/>
            <w:shd w:val="clear" w:color="auto" w:fill="FEFEFE"/>
          </w:tcPr>
          <w:p>
            <w:pPr>
              <w:spacing w:after="0"/>
              <w:rPr>
                <w:sz w:val="18"/>
                <w:szCs w:val="18"/>
                <w:color w:val="auto"/>
              </w:rPr>
            </w:pPr>
          </w:p>
        </w:tc>
        <w:tc>
          <w:tcPr>
            <w:tcW w:w="1280" w:type="dxa"/>
            <w:vAlign w:val="bottom"/>
            <w:shd w:val="clear" w:color="auto" w:fill="FEFEFE"/>
          </w:tcPr>
          <w:p>
            <w:pPr>
              <w:spacing w:after="0"/>
              <w:rPr>
                <w:sz w:val="18"/>
                <w:szCs w:val="18"/>
                <w:color w:val="auto"/>
              </w:rPr>
            </w:pPr>
          </w:p>
        </w:tc>
        <w:tc>
          <w:tcPr>
            <w:tcW w:w="860" w:type="dxa"/>
            <w:vAlign w:val="bottom"/>
            <w:shd w:val="clear" w:color="auto" w:fill="FEFEFE"/>
          </w:tcPr>
          <w:p>
            <w:pPr>
              <w:spacing w:after="0"/>
              <w:rPr>
                <w:sz w:val="18"/>
                <w:szCs w:val="18"/>
                <w:color w:val="auto"/>
              </w:rPr>
            </w:pPr>
          </w:p>
        </w:tc>
      </w:tr>
      <w:tr>
        <w:trPr>
          <w:trHeight w:val="195"/>
        </w:trPr>
        <w:tc>
          <w:tcPr>
            <w:tcW w:w="86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31.1</w:t>
            </w:r>
          </w:p>
        </w:tc>
        <w:tc>
          <w:tcPr>
            <w:tcW w:w="200" w:type="dxa"/>
            <w:vAlign w:val="bottom"/>
            <w:tcBorders>
              <w:bottom w:val="single" w:sz="8" w:color="FEFEFE"/>
            </w:tcBorders>
            <w:shd w:val="clear" w:color="auto" w:fill="FEFEFE"/>
          </w:tcPr>
          <w:p>
            <w:pPr>
              <w:spacing w:after="0"/>
              <w:rPr>
                <w:sz w:val="16"/>
                <w:szCs w:val="16"/>
                <w:color w:val="auto"/>
              </w:rPr>
            </w:pPr>
          </w:p>
        </w:tc>
        <w:tc>
          <w:tcPr>
            <w:tcW w:w="4300" w:type="dxa"/>
            <w:vAlign w:val="bottom"/>
            <w:tcBorders>
              <w:bottom w:val="single" w:sz="8" w:color="0000FF"/>
            </w:tcBorders>
            <w:gridSpan w:val="5"/>
            <w:shd w:val="clear" w:color="auto" w:fill="FEFEFE"/>
          </w:tcPr>
          <w:p>
            <w:pPr>
              <w:spacing w:after="0" w:line="175" w:lineRule="exact"/>
              <w:rPr>
                <w:rFonts w:ascii="Arial" w:cs="Arial" w:eastAsia="Arial" w:hAnsi="Arial"/>
                <w:sz w:val="16"/>
                <w:szCs w:val="16"/>
                <w:color w:val="0000FF"/>
              </w:rPr>
            </w:pPr>
            <w:hyperlink w:anchor="page67">
              <w:r>
                <w:rPr>
                  <w:rFonts w:ascii="Arial" w:cs="Arial" w:eastAsia="Arial" w:hAnsi="Arial"/>
                  <w:sz w:val="16"/>
                  <w:szCs w:val="16"/>
                  <w:color w:val="0000FF"/>
                </w:rPr>
                <w:t>Certification of Principal Executive Officer Pursuant to Rules</w:t>
              </w:r>
            </w:hyperlink>
          </w:p>
        </w:tc>
        <w:tc>
          <w:tcPr>
            <w:tcW w:w="20" w:type="dxa"/>
            <w:vAlign w:val="bottom"/>
            <w:tcBorders>
              <w:bottom w:val="single" w:sz="8" w:color="FEFEFE"/>
            </w:tcBorders>
            <w:shd w:val="clear" w:color="auto" w:fill="FEFEFE"/>
          </w:tcPr>
          <w:p>
            <w:pPr>
              <w:spacing w:after="0"/>
              <w:rPr>
                <w:sz w:val="16"/>
                <w:szCs w:val="16"/>
                <w:color w:val="auto"/>
              </w:rPr>
            </w:pPr>
          </w:p>
        </w:tc>
        <w:tc>
          <w:tcPr>
            <w:tcW w:w="120" w:type="dxa"/>
            <w:vAlign w:val="bottom"/>
            <w:tcBorders>
              <w:bottom w:val="single" w:sz="8" w:color="FEFEFE"/>
            </w:tcBorders>
            <w:shd w:val="clear" w:color="auto" w:fill="FEFEFE"/>
          </w:tcPr>
          <w:p>
            <w:pPr>
              <w:spacing w:after="0"/>
              <w:rPr>
                <w:sz w:val="16"/>
                <w:szCs w:val="16"/>
                <w:color w:val="auto"/>
              </w:rPr>
            </w:pPr>
          </w:p>
        </w:tc>
        <w:tc>
          <w:tcPr>
            <w:tcW w:w="60" w:type="dxa"/>
            <w:vAlign w:val="bottom"/>
            <w:tcBorders>
              <w:bottom w:val="single" w:sz="8" w:color="FEFEFE"/>
            </w:tcBorders>
            <w:shd w:val="clear" w:color="auto" w:fill="FEFEFE"/>
          </w:tcPr>
          <w:p>
            <w:pPr>
              <w:spacing w:after="0"/>
              <w:rPr>
                <w:sz w:val="16"/>
                <w:szCs w:val="16"/>
                <w:color w:val="auto"/>
              </w:rPr>
            </w:pPr>
          </w:p>
        </w:tc>
        <w:tc>
          <w:tcPr>
            <w:tcW w:w="800" w:type="dxa"/>
            <w:vAlign w:val="bottom"/>
            <w:tcBorders>
              <w:bottom w:val="single" w:sz="8" w:color="FEFEFE"/>
            </w:tcBorders>
            <w:shd w:val="clear" w:color="auto" w:fill="FEFEFE"/>
          </w:tcPr>
          <w:p>
            <w:pPr>
              <w:spacing w:after="0"/>
              <w:rPr>
                <w:sz w:val="16"/>
                <w:szCs w:val="16"/>
                <w:color w:val="auto"/>
              </w:rPr>
            </w:pPr>
          </w:p>
        </w:tc>
        <w:tc>
          <w:tcPr>
            <w:tcW w:w="1080" w:type="dxa"/>
            <w:vAlign w:val="bottom"/>
            <w:tcBorders>
              <w:bottom w:val="single" w:sz="8" w:color="FEFEFE"/>
            </w:tcBorders>
            <w:shd w:val="clear" w:color="auto" w:fill="FEFEFE"/>
          </w:tcPr>
          <w:p>
            <w:pPr>
              <w:spacing w:after="0"/>
              <w:rPr>
                <w:sz w:val="16"/>
                <w:szCs w:val="16"/>
                <w:color w:val="auto"/>
              </w:rPr>
            </w:pPr>
          </w:p>
        </w:tc>
        <w:tc>
          <w:tcPr>
            <w:tcW w:w="1280" w:type="dxa"/>
            <w:vAlign w:val="bottom"/>
            <w:tcBorders>
              <w:bottom w:val="single" w:sz="8" w:color="FEFEFE"/>
            </w:tcBorders>
            <w:shd w:val="clear" w:color="auto" w:fill="FEFEFE"/>
          </w:tcPr>
          <w:p>
            <w:pPr>
              <w:spacing w:after="0"/>
              <w:rPr>
                <w:sz w:val="16"/>
                <w:szCs w:val="16"/>
                <w:color w:val="auto"/>
              </w:rPr>
            </w:pPr>
          </w:p>
        </w:tc>
        <w:tc>
          <w:tcPr>
            <w:tcW w:w="860" w:type="dxa"/>
            <w:vAlign w:val="bottom"/>
            <w:tcBorders>
              <w:bottom w:val="single" w:sz="8" w:color="FEFEFE"/>
            </w:tcBorders>
            <w:shd w:val="clear" w:color="auto" w:fill="FEFEFE"/>
          </w:tcPr>
          <w:p>
            <w:pPr>
              <w:spacing w:after="0"/>
              <w:rPr>
                <w:sz w:val="16"/>
                <w:szCs w:val="16"/>
                <w:color w:val="auto"/>
              </w:rPr>
            </w:pPr>
          </w:p>
        </w:tc>
      </w:tr>
      <w:tr>
        <w:trPr>
          <w:trHeight w:val="156"/>
        </w:trPr>
        <w:tc>
          <w:tcPr>
            <w:tcW w:w="86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4500" w:type="dxa"/>
            <w:vAlign w:val="bottom"/>
            <w:gridSpan w:val="8"/>
            <w:shd w:val="clear" w:color="auto" w:fill="FEFEFE"/>
          </w:tcPr>
          <w:p>
            <w:pPr>
              <w:spacing w:after="0" w:line="155" w:lineRule="exact"/>
              <w:rPr>
                <w:rFonts w:ascii="Arial" w:cs="Arial" w:eastAsia="Arial" w:hAnsi="Arial"/>
                <w:sz w:val="16"/>
                <w:szCs w:val="16"/>
                <w:color w:val="0000FF"/>
              </w:rPr>
            </w:pPr>
            <w:hyperlink w:anchor="page67">
              <w:r>
                <w:rPr>
                  <w:rFonts w:ascii="Arial" w:cs="Arial" w:eastAsia="Arial" w:hAnsi="Arial"/>
                  <w:sz w:val="16"/>
                  <w:szCs w:val="16"/>
                  <w:color w:val="0000FF"/>
                </w:rPr>
                <w:t>13a-14(a) and 15d-14(a) under the Exchange Act, as Adopted</w:t>
              </w:r>
            </w:hyperlink>
          </w:p>
        </w:tc>
        <w:tc>
          <w:tcPr>
            <w:tcW w:w="800" w:type="dxa"/>
            <w:vAlign w:val="bottom"/>
            <w:shd w:val="clear" w:color="auto" w:fill="FEFEFE"/>
          </w:tcPr>
          <w:p>
            <w:pPr>
              <w:spacing w:after="0"/>
              <w:rPr>
                <w:sz w:val="13"/>
                <w:szCs w:val="13"/>
                <w:color w:val="auto"/>
              </w:rPr>
            </w:pPr>
          </w:p>
        </w:tc>
        <w:tc>
          <w:tcPr>
            <w:tcW w:w="1080" w:type="dxa"/>
            <w:vAlign w:val="bottom"/>
            <w:shd w:val="clear" w:color="auto" w:fill="FEFEFE"/>
          </w:tcPr>
          <w:p>
            <w:pPr>
              <w:spacing w:after="0"/>
              <w:rPr>
                <w:sz w:val="13"/>
                <w:szCs w:val="13"/>
                <w:color w:val="auto"/>
              </w:rPr>
            </w:pPr>
          </w:p>
        </w:tc>
        <w:tc>
          <w:tcPr>
            <w:tcW w:w="1280" w:type="dxa"/>
            <w:vAlign w:val="bottom"/>
            <w:shd w:val="clear" w:color="auto" w:fill="FEFEFE"/>
          </w:tcPr>
          <w:p>
            <w:pPr>
              <w:spacing w:after="0"/>
              <w:rPr>
                <w:sz w:val="13"/>
                <w:szCs w:val="13"/>
                <w:color w:val="auto"/>
              </w:rPr>
            </w:pPr>
          </w:p>
        </w:tc>
        <w:tc>
          <w:tcPr>
            <w:tcW w:w="860" w:type="dxa"/>
            <w:vAlign w:val="bottom"/>
            <w:shd w:val="clear" w:color="auto" w:fill="FEFEFE"/>
          </w:tcPr>
          <w:p>
            <w:pPr>
              <w:spacing w:after="0"/>
              <w:rPr>
                <w:sz w:val="13"/>
                <w:szCs w:val="13"/>
                <w:color w:val="auto"/>
              </w:rPr>
            </w:pPr>
          </w:p>
        </w:tc>
      </w:tr>
      <w:tr>
        <w:trPr>
          <w:trHeight w:val="190"/>
        </w:trPr>
        <w:tc>
          <w:tcPr>
            <w:tcW w:w="860" w:type="dxa"/>
            <w:vAlign w:val="bottom"/>
            <w:tcBorders>
              <w:top w:val="single" w:sz="8" w:color="FEFEFE"/>
            </w:tcBorders>
            <w:shd w:val="clear" w:color="auto" w:fill="FEFEFE"/>
          </w:tcPr>
          <w:p>
            <w:pPr>
              <w:spacing w:after="0"/>
              <w:rPr>
                <w:sz w:val="16"/>
                <w:szCs w:val="16"/>
                <w:color w:val="auto"/>
              </w:rPr>
            </w:pPr>
          </w:p>
        </w:tc>
        <w:tc>
          <w:tcPr>
            <w:tcW w:w="200" w:type="dxa"/>
            <w:vAlign w:val="bottom"/>
            <w:tcBorders>
              <w:top w:val="single" w:sz="8" w:color="FEFEFE"/>
            </w:tcBorders>
            <w:shd w:val="clear" w:color="auto" w:fill="FEFEFE"/>
          </w:tcPr>
          <w:p>
            <w:pPr>
              <w:spacing w:after="0"/>
              <w:rPr>
                <w:sz w:val="16"/>
                <w:szCs w:val="16"/>
                <w:color w:val="auto"/>
              </w:rPr>
            </w:pPr>
          </w:p>
        </w:tc>
        <w:tc>
          <w:tcPr>
            <w:tcW w:w="4440" w:type="dxa"/>
            <w:vAlign w:val="bottom"/>
            <w:tcBorders>
              <w:top w:val="single" w:sz="8" w:color="0000FF"/>
            </w:tcBorders>
            <w:gridSpan w:val="7"/>
            <w:shd w:val="clear" w:color="auto" w:fill="FEFEFE"/>
          </w:tcPr>
          <w:p>
            <w:pPr>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Pursuant to Section 302 of the Sarbanes-Oxley Act of 2002.</w:t>
              </w:r>
            </w:hyperlink>
          </w:p>
        </w:tc>
        <w:tc>
          <w:tcPr>
            <w:tcW w:w="60" w:type="dxa"/>
            <w:vAlign w:val="bottom"/>
            <w:tcBorders>
              <w:top w:val="single" w:sz="8" w:color="FEFEFE"/>
            </w:tcBorders>
            <w:shd w:val="clear" w:color="auto" w:fill="FEFEFE"/>
          </w:tcPr>
          <w:p>
            <w:pPr>
              <w:spacing w:after="0"/>
              <w:rPr>
                <w:sz w:val="16"/>
                <w:szCs w:val="16"/>
                <w:color w:val="auto"/>
              </w:rPr>
            </w:pPr>
          </w:p>
        </w:tc>
        <w:tc>
          <w:tcPr>
            <w:tcW w:w="800" w:type="dxa"/>
            <w:vAlign w:val="bottom"/>
            <w:tcBorders>
              <w:top w:val="single" w:sz="8" w:color="FEFEFE"/>
            </w:tcBorders>
            <w:shd w:val="clear" w:color="auto" w:fill="FEFEFE"/>
          </w:tcPr>
          <w:p>
            <w:pPr>
              <w:spacing w:after="0"/>
              <w:rPr>
                <w:sz w:val="16"/>
                <w:szCs w:val="16"/>
                <w:color w:val="auto"/>
              </w:rPr>
            </w:pPr>
          </w:p>
        </w:tc>
        <w:tc>
          <w:tcPr>
            <w:tcW w:w="1080" w:type="dxa"/>
            <w:vAlign w:val="bottom"/>
            <w:tcBorders>
              <w:top w:val="single" w:sz="8" w:color="FEFEFE"/>
            </w:tcBorders>
            <w:shd w:val="clear" w:color="auto" w:fill="FEFEFE"/>
          </w:tcPr>
          <w:p>
            <w:pPr>
              <w:spacing w:after="0"/>
              <w:rPr>
                <w:sz w:val="16"/>
                <w:szCs w:val="16"/>
                <w:color w:val="auto"/>
              </w:rPr>
            </w:pPr>
          </w:p>
        </w:tc>
        <w:tc>
          <w:tcPr>
            <w:tcW w:w="1280" w:type="dxa"/>
            <w:vAlign w:val="bottom"/>
            <w:tcBorders>
              <w:top w:val="single" w:sz="8" w:color="FEFEFE"/>
            </w:tcBorders>
            <w:shd w:val="clear" w:color="auto" w:fill="FEFEFE"/>
          </w:tcPr>
          <w:p>
            <w:pPr>
              <w:spacing w:after="0"/>
              <w:rPr>
                <w:sz w:val="16"/>
                <w:szCs w:val="16"/>
                <w:color w:val="auto"/>
              </w:rPr>
            </w:pPr>
          </w:p>
        </w:tc>
        <w:tc>
          <w:tcPr>
            <w:tcW w:w="860" w:type="dxa"/>
            <w:vAlign w:val="bottom"/>
            <w:tcBorders>
              <w:top w:val="single" w:sz="8" w:color="FEFEFE"/>
            </w:tcBorders>
            <w:shd w:val="clear" w:color="auto" w:fill="FEFEFE"/>
          </w:tcPr>
          <w:p>
            <w:pPr>
              <w:spacing w:after="0"/>
              <w:rPr>
                <w:sz w:val="16"/>
                <w:szCs w:val="16"/>
                <w:color w:val="auto"/>
              </w:rPr>
            </w:pPr>
          </w:p>
        </w:tc>
      </w:tr>
      <w:tr>
        <w:trPr>
          <w:trHeight w:val="195"/>
        </w:trPr>
        <w:tc>
          <w:tcPr>
            <w:tcW w:w="86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31.2</w:t>
            </w:r>
          </w:p>
        </w:tc>
        <w:tc>
          <w:tcPr>
            <w:tcW w:w="200" w:type="dxa"/>
            <w:vAlign w:val="bottom"/>
            <w:tcBorders>
              <w:bottom w:val="single" w:sz="8" w:color="FEFEFE"/>
            </w:tcBorders>
            <w:shd w:val="clear" w:color="auto" w:fill="FEFEFE"/>
          </w:tcPr>
          <w:p>
            <w:pPr>
              <w:spacing w:after="0"/>
              <w:rPr>
                <w:sz w:val="16"/>
                <w:szCs w:val="16"/>
                <w:color w:val="auto"/>
              </w:rPr>
            </w:pPr>
          </w:p>
        </w:tc>
        <w:tc>
          <w:tcPr>
            <w:tcW w:w="4240" w:type="dxa"/>
            <w:vAlign w:val="bottom"/>
            <w:tcBorders>
              <w:bottom w:val="single" w:sz="8" w:color="0000FF"/>
            </w:tcBorders>
            <w:gridSpan w:val="4"/>
            <w:shd w:val="clear" w:color="auto" w:fill="FEFEFE"/>
          </w:tcPr>
          <w:p>
            <w:pPr>
              <w:spacing w:after="0" w:line="175" w:lineRule="exact"/>
              <w:rPr>
                <w:rFonts w:ascii="Arial" w:cs="Arial" w:eastAsia="Arial" w:hAnsi="Arial"/>
                <w:sz w:val="16"/>
                <w:szCs w:val="16"/>
                <w:color w:val="0000FF"/>
              </w:rPr>
            </w:pPr>
            <w:hyperlink w:anchor="page68">
              <w:r>
                <w:rPr>
                  <w:rFonts w:ascii="Arial" w:cs="Arial" w:eastAsia="Arial" w:hAnsi="Arial"/>
                  <w:sz w:val="16"/>
                  <w:szCs w:val="16"/>
                  <w:color w:val="0000FF"/>
                </w:rPr>
                <w:t>Certification of Principal Financial Officer Pursuant to Rules</w:t>
              </w:r>
            </w:hyperlink>
          </w:p>
        </w:tc>
        <w:tc>
          <w:tcPr>
            <w:tcW w:w="80" w:type="dxa"/>
            <w:vAlign w:val="bottom"/>
            <w:tcBorders>
              <w:bottom w:val="single" w:sz="8" w:color="FEFEFE"/>
            </w:tcBorders>
            <w:gridSpan w:val="2"/>
            <w:shd w:val="clear" w:color="auto" w:fill="FEFEFE"/>
          </w:tcPr>
          <w:p>
            <w:pPr>
              <w:spacing w:after="0"/>
              <w:rPr>
                <w:sz w:val="16"/>
                <w:szCs w:val="16"/>
                <w:color w:val="auto"/>
              </w:rPr>
            </w:pPr>
          </w:p>
        </w:tc>
        <w:tc>
          <w:tcPr>
            <w:tcW w:w="180" w:type="dxa"/>
            <w:vAlign w:val="bottom"/>
            <w:tcBorders>
              <w:bottom w:val="single" w:sz="8" w:color="FEFEFE"/>
            </w:tcBorders>
            <w:gridSpan w:val="2"/>
            <w:shd w:val="clear" w:color="auto" w:fill="FEFEFE"/>
          </w:tcPr>
          <w:p>
            <w:pPr>
              <w:spacing w:after="0"/>
              <w:rPr>
                <w:sz w:val="16"/>
                <w:szCs w:val="16"/>
                <w:color w:val="auto"/>
              </w:rPr>
            </w:pPr>
          </w:p>
        </w:tc>
        <w:tc>
          <w:tcPr>
            <w:tcW w:w="800" w:type="dxa"/>
            <w:vAlign w:val="bottom"/>
            <w:tcBorders>
              <w:bottom w:val="single" w:sz="8" w:color="FEFEFE"/>
            </w:tcBorders>
            <w:shd w:val="clear" w:color="auto" w:fill="FEFEFE"/>
          </w:tcPr>
          <w:p>
            <w:pPr>
              <w:spacing w:after="0"/>
              <w:rPr>
                <w:sz w:val="16"/>
                <w:szCs w:val="16"/>
                <w:color w:val="auto"/>
              </w:rPr>
            </w:pPr>
          </w:p>
        </w:tc>
        <w:tc>
          <w:tcPr>
            <w:tcW w:w="1080" w:type="dxa"/>
            <w:vAlign w:val="bottom"/>
            <w:tcBorders>
              <w:bottom w:val="single" w:sz="8" w:color="FEFEFE"/>
            </w:tcBorders>
            <w:shd w:val="clear" w:color="auto" w:fill="FEFEFE"/>
          </w:tcPr>
          <w:p>
            <w:pPr>
              <w:spacing w:after="0"/>
              <w:rPr>
                <w:sz w:val="16"/>
                <w:szCs w:val="16"/>
                <w:color w:val="auto"/>
              </w:rPr>
            </w:pPr>
          </w:p>
        </w:tc>
        <w:tc>
          <w:tcPr>
            <w:tcW w:w="1280" w:type="dxa"/>
            <w:vAlign w:val="bottom"/>
            <w:tcBorders>
              <w:bottom w:val="single" w:sz="8" w:color="FEFEFE"/>
            </w:tcBorders>
            <w:shd w:val="clear" w:color="auto" w:fill="FEFEFE"/>
          </w:tcPr>
          <w:p>
            <w:pPr>
              <w:spacing w:after="0"/>
              <w:rPr>
                <w:sz w:val="16"/>
                <w:szCs w:val="16"/>
                <w:color w:val="auto"/>
              </w:rPr>
            </w:pPr>
          </w:p>
        </w:tc>
        <w:tc>
          <w:tcPr>
            <w:tcW w:w="860" w:type="dxa"/>
            <w:vAlign w:val="bottom"/>
            <w:tcBorders>
              <w:bottom w:val="single" w:sz="8" w:color="FEFEFE"/>
            </w:tcBorders>
            <w:shd w:val="clear" w:color="auto" w:fill="FEFEFE"/>
          </w:tcPr>
          <w:p>
            <w:pPr>
              <w:spacing w:after="0"/>
              <w:rPr>
                <w:sz w:val="16"/>
                <w:szCs w:val="16"/>
                <w:color w:val="auto"/>
              </w:rPr>
            </w:pPr>
          </w:p>
        </w:tc>
      </w:tr>
      <w:tr>
        <w:trPr>
          <w:trHeight w:val="156"/>
        </w:trPr>
        <w:tc>
          <w:tcPr>
            <w:tcW w:w="86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4500" w:type="dxa"/>
            <w:vAlign w:val="bottom"/>
            <w:gridSpan w:val="8"/>
            <w:shd w:val="clear" w:color="auto" w:fill="FEFEFE"/>
          </w:tcPr>
          <w:p>
            <w:pPr>
              <w:spacing w:after="0" w:line="155" w:lineRule="exact"/>
              <w:rPr>
                <w:rFonts w:ascii="Arial" w:cs="Arial" w:eastAsia="Arial" w:hAnsi="Arial"/>
                <w:sz w:val="16"/>
                <w:szCs w:val="16"/>
                <w:color w:val="0000FF"/>
              </w:rPr>
            </w:pPr>
            <w:hyperlink w:anchor="page68">
              <w:r>
                <w:rPr>
                  <w:rFonts w:ascii="Arial" w:cs="Arial" w:eastAsia="Arial" w:hAnsi="Arial"/>
                  <w:sz w:val="16"/>
                  <w:szCs w:val="16"/>
                  <w:color w:val="0000FF"/>
                </w:rPr>
                <w:t>13a-14(a) and 15d-14(a) under the Exchange Act, as Adopted</w:t>
              </w:r>
            </w:hyperlink>
          </w:p>
        </w:tc>
        <w:tc>
          <w:tcPr>
            <w:tcW w:w="800" w:type="dxa"/>
            <w:vAlign w:val="bottom"/>
            <w:shd w:val="clear" w:color="auto" w:fill="FEFEFE"/>
          </w:tcPr>
          <w:p>
            <w:pPr>
              <w:spacing w:after="0"/>
              <w:rPr>
                <w:sz w:val="13"/>
                <w:szCs w:val="13"/>
                <w:color w:val="auto"/>
              </w:rPr>
            </w:pPr>
          </w:p>
        </w:tc>
        <w:tc>
          <w:tcPr>
            <w:tcW w:w="1080" w:type="dxa"/>
            <w:vAlign w:val="bottom"/>
            <w:shd w:val="clear" w:color="auto" w:fill="FEFEFE"/>
          </w:tcPr>
          <w:p>
            <w:pPr>
              <w:spacing w:after="0"/>
              <w:rPr>
                <w:sz w:val="13"/>
                <w:szCs w:val="13"/>
                <w:color w:val="auto"/>
              </w:rPr>
            </w:pPr>
          </w:p>
        </w:tc>
        <w:tc>
          <w:tcPr>
            <w:tcW w:w="1280" w:type="dxa"/>
            <w:vAlign w:val="bottom"/>
            <w:shd w:val="clear" w:color="auto" w:fill="FEFEFE"/>
          </w:tcPr>
          <w:p>
            <w:pPr>
              <w:spacing w:after="0"/>
              <w:rPr>
                <w:sz w:val="13"/>
                <w:szCs w:val="13"/>
                <w:color w:val="auto"/>
              </w:rPr>
            </w:pPr>
          </w:p>
        </w:tc>
        <w:tc>
          <w:tcPr>
            <w:tcW w:w="860" w:type="dxa"/>
            <w:vAlign w:val="bottom"/>
            <w:shd w:val="clear" w:color="auto" w:fill="FEFEFE"/>
          </w:tcPr>
          <w:p>
            <w:pPr>
              <w:spacing w:after="0"/>
              <w:rPr>
                <w:sz w:val="13"/>
                <w:szCs w:val="13"/>
                <w:color w:val="auto"/>
              </w:rPr>
            </w:pPr>
          </w:p>
        </w:tc>
      </w:tr>
      <w:tr>
        <w:trPr>
          <w:trHeight w:val="190"/>
        </w:trPr>
        <w:tc>
          <w:tcPr>
            <w:tcW w:w="860" w:type="dxa"/>
            <w:vAlign w:val="bottom"/>
            <w:tcBorders>
              <w:top w:val="single" w:sz="8" w:color="FEFEFE"/>
            </w:tcBorders>
            <w:shd w:val="clear" w:color="auto" w:fill="FEFEFE"/>
          </w:tcPr>
          <w:p>
            <w:pPr>
              <w:spacing w:after="0"/>
              <w:rPr>
                <w:sz w:val="16"/>
                <w:szCs w:val="16"/>
                <w:color w:val="auto"/>
              </w:rPr>
            </w:pPr>
          </w:p>
        </w:tc>
        <w:tc>
          <w:tcPr>
            <w:tcW w:w="200" w:type="dxa"/>
            <w:vAlign w:val="bottom"/>
            <w:tcBorders>
              <w:top w:val="single" w:sz="8" w:color="FEFEFE"/>
            </w:tcBorders>
            <w:shd w:val="clear" w:color="auto" w:fill="FEFEFE"/>
          </w:tcPr>
          <w:p>
            <w:pPr>
              <w:spacing w:after="0"/>
              <w:rPr>
                <w:sz w:val="16"/>
                <w:szCs w:val="16"/>
                <w:color w:val="auto"/>
              </w:rPr>
            </w:pPr>
          </w:p>
        </w:tc>
        <w:tc>
          <w:tcPr>
            <w:tcW w:w="4440" w:type="dxa"/>
            <w:vAlign w:val="bottom"/>
            <w:tcBorders>
              <w:top w:val="single" w:sz="8" w:color="0000FF"/>
            </w:tcBorders>
            <w:gridSpan w:val="7"/>
            <w:shd w:val="clear" w:color="auto" w:fill="FEFEFE"/>
          </w:tcPr>
          <w:p>
            <w:pPr>
              <w:spacing w:after="0"/>
              <w:rPr>
                <w:rFonts w:ascii="Arial" w:cs="Arial" w:eastAsia="Arial" w:hAnsi="Arial"/>
                <w:sz w:val="16"/>
                <w:szCs w:val="16"/>
                <w:u w:val="single" w:color="auto"/>
                <w:color w:val="0000FF"/>
              </w:rPr>
            </w:pPr>
            <w:hyperlink w:anchor="page68">
              <w:r>
                <w:rPr>
                  <w:rFonts w:ascii="Arial" w:cs="Arial" w:eastAsia="Arial" w:hAnsi="Arial"/>
                  <w:sz w:val="16"/>
                  <w:szCs w:val="16"/>
                  <w:u w:val="single" w:color="auto"/>
                  <w:color w:val="0000FF"/>
                </w:rPr>
                <w:t>Pursuant to Section 302 of the Sarbanes-Oxley Act of 2002.</w:t>
              </w:r>
            </w:hyperlink>
          </w:p>
        </w:tc>
        <w:tc>
          <w:tcPr>
            <w:tcW w:w="60" w:type="dxa"/>
            <w:vAlign w:val="bottom"/>
            <w:tcBorders>
              <w:top w:val="single" w:sz="8" w:color="FEFEFE"/>
            </w:tcBorders>
            <w:shd w:val="clear" w:color="auto" w:fill="FEFEFE"/>
          </w:tcPr>
          <w:p>
            <w:pPr>
              <w:spacing w:after="0"/>
              <w:rPr>
                <w:sz w:val="16"/>
                <w:szCs w:val="16"/>
                <w:color w:val="auto"/>
              </w:rPr>
            </w:pPr>
          </w:p>
        </w:tc>
        <w:tc>
          <w:tcPr>
            <w:tcW w:w="800" w:type="dxa"/>
            <w:vAlign w:val="bottom"/>
            <w:tcBorders>
              <w:top w:val="single" w:sz="8" w:color="FEFEFE"/>
            </w:tcBorders>
            <w:shd w:val="clear" w:color="auto" w:fill="FEFEFE"/>
          </w:tcPr>
          <w:p>
            <w:pPr>
              <w:spacing w:after="0"/>
              <w:rPr>
                <w:sz w:val="16"/>
                <w:szCs w:val="16"/>
                <w:color w:val="auto"/>
              </w:rPr>
            </w:pPr>
          </w:p>
        </w:tc>
        <w:tc>
          <w:tcPr>
            <w:tcW w:w="1080" w:type="dxa"/>
            <w:vAlign w:val="bottom"/>
            <w:tcBorders>
              <w:top w:val="single" w:sz="8" w:color="FEFEFE"/>
            </w:tcBorders>
            <w:shd w:val="clear" w:color="auto" w:fill="FEFEFE"/>
          </w:tcPr>
          <w:p>
            <w:pPr>
              <w:spacing w:after="0"/>
              <w:rPr>
                <w:sz w:val="16"/>
                <w:szCs w:val="16"/>
                <w:color w:val="auto"/>
              </w:rPr>
            </w:pPr>
          </w:p>
        </w:tc>
        <w:tc>
          <w:tcPr>
            <w:tcW w:w="1280" w:type="dxa"/>
            <w:vAlign w:val="bottom"/>
            <w:tcBorders>
              <w:top w:val="single" w:sz="8" w:color="FEFEFE"/>
            </w:tcBorders>
            <w:shd w:val="clear" w:color="auto" w:fill="FEFEFE"/>
          </w:tcPr>
          <w:p>
            <w:pPr>
              <w:spacing w:after="0"/>
              <w:rPr>
                <w:sz w:val="16"/>
                <w:szCs w:val="16"/>
                <w:color w:val="auto"/>
              </w:rPr>
            </w:pPr>
          </w:p>
        </w:tc>
        <w:tc>
          <w:tcPr>
            <w:tcW w:w="860" w:type="dxa"/>
            <w:vAlign w:val="bottom"/>
            <w:tcBorders>
              <w:top w:val="single" w:sz="8" w:color="FEFEFE"/>
            </w:tcBorders>
            <w:shd w:val="clear" w:color="auto" w:fill="FEFEFE"/>
          </w:tcPr>
          <w:p>
            <w:pPr>
              <w:spacing w:after="0"/>
              <w:rPr>
                <w:sz w:val="16"/>
                <w:szCs w:val="16"/>
                <w:color w:val="auto"/>
              </w:rPr>
            </w:pPr>
          </w:p>
        </w:tc>
      </w:tr>
      <w:tr>
        <w:trPr>
          <w:trHeight w:val="195"/>
        </w:trPr>
        <w:tc>
          <w:tcPr>
            <w:tcW w:w="860" w:type="dxa"/>
            <w:vAlign w:val="bottom"/>
            <w:tcBorders>
              <w:bottom w:val="single" w:sz="8" w:color="FEFEFE"/>
            </w:tcBorders>
            <w:shd w:val="clear" w:color="auto" w:fill="FEFEFE"/>
          </w:tcPr>
          <w:p>
            <w:pPr>
              <w:jc w:val="right"/>
              <w:spacing w:after="0" w:line="175" w:lineRule="exact"/>
              <w:rPr>
                <w:sz w:val="20"/>
                <w:szCs w:val="20"/>
                <w:color w:val="auto"/>
              </w:rPr>
            </w:pPr>
            <w:r>
              <w:rPr>
                <w:rFonts w:ascii="Arial" w:cs="Arial" w:eastAsia="Arial" w:hAnsi="Arial"/>
                <w:sz w:val="16"/>
                <w:szCs w:val="16"/>
                <w:color w:val="auto"/>
              </w:rPr>
              <w:t>32.1*</w:t>
            </w:r>
          </w:p>
        </w:tc>
        <w:tc>
          <w:tcPr>
            <w:tcW w:w="200" w:type="dxa"/>
            <w:vAlign w:val="bottom"/>
            <w:tcBorders>
              <w:bottom w:val="single" w:sz="8" w:color="FEFEFE"/>
            </w:tcBorders>
            <w:shd w:val="clear" w:color="auto" w:fill="FEFEFE"/>
          </w:tcPr>
          <w:p>
            <w:pPr>
              <w:spacing w:after="0"/>
              <w:rPr>
                <w:sz w:val="16"/>
                <w:szCs w:val="16"/>
                <w:color w:val="auto"/>
              </w:rPr>
            </w:pPr>
          </w:p>
        </w:tc>
        <w:tc>
          <w:tcPr>
            <w:tcW w:w="4060" w:type="dxa"/>
            <w:vAlign w:val="bottom"/>
            <w:tcBorders>
              <w:bottom w:val="single" w:sz="8" w:color="0000FF"/>
            </w:tcBorders>
            <w:gridSpan w:val="3"/>
            <w:shd w:val="clear" w:color="auto" w:fill="FEFEFE"/>
          </w:tcPr>
          <w:p>
            <w:pPr>
              <w:spacing w:after="0" w:line="175" w:lineRule="exact"/>
              <w:rPr>
                <w:rFonts w:ascii="Arial" w:cs="Arial" w:eastAsia="Arial" w:hAnsi="Arial"/>
                <w:sz w:val="16"/>
                <w:szCs w:val="16"/>
                <w:color w:val="0000FF"/>
              </w:rPr>
            </w:pPr>
            <w:hyperlink w:anchor="page69">
              <w:r>
                <w:rPr>
                  <w:rFonts w:ascii="Arial" w:cs="Arial" w:eastAsia="Arial" w:hAnsi="Arial"/>
                  <w:sz w:val="16"/>
                  <w:szCs w:val="16"/>
                  <w:color w:val="0000FF"/>
                </w:rPr>
                <w:t>Certification of Principal Executive Officer Pursuant to 18</w:t>
              </w:r>
            </w:hyperlink>
          </w:p>
        </w:tc>
        <w:tc>
          <w:tcPr>
            <w:tcW w:w="440" w:type="dxa"/>
            <w:vAlign w:val="bottom"/>
            <w:tcBorders>
              <w:bottom w:val="single" w:sz="8" w:color="FEFEFE"/>
            </w:tcBorders>
            <w:gridSpan w:val="5"/>
            <w:shd w:val="clear" w:color="auto" w:fill="FEFEFE"/>
          </w:tcPr>
          <w:p>
            <w:pPr>
              <w:spacing w:after="0"/>
              <w:rPr>
                <w:sz w:val="16"/>
                <w:szCs w:val="16"/>
                <w:color w:val="auto"/>
              </w:rPr>
            </w:pPr>
          </w:p>
        </w:tc>
        <w:tc>
          <w:tcPr>
            <w:tcW w:w="800" w:type="dxa"/>
            <w:vAlign w:val="bottom"/>
            <w:tcBorders>
              <w:bottom w:val="single" w:sz="8" w:color="FEFEFE"/>
            </w:tcBorders>
            <w:shd w:val="clear" w:color="auto" w:fill="FEFEFE"/>
          </w:tcPr>
          <w:p>
            <w:pPr>
              <w:spacing w:after="0"/>
              <w:rPr>
                <w:sz w:val="16"/>
                <w:szCs w:val="16"/>
                <w:color w:val="auto"/>
              </w:rPr>
            </w:pPr>
          </w:p>
        </w:tc>
        <w:tc>
          <w:tcPr>
            <w:tcW w:w="1080" w:type="dxa"/>
            <w:vAlign w:val="bottom"/>
            <w:tcBorders>
              <w:bottom w:val="single" w:sz="8" w:color="FEFEFE"/>
            </w:tcBorders>
            <w:shd w:val="clear" w:color="auto" w:fill="FEFEFE"/>
          </w:tcPr>
          <w:p>
            <w:pPr>
              <w:spacing w:after="0"/>
              <w:rPr>
                <w:sz w:val="16"/>
                <w:szCs w:val="16"/>
                <w:color w:val="auto"/>
              </w:rPr>
            </w:pPr>
          </w:p>
        </w:tc>
        <w:tc>
          <w:tcPr>
            <w:tcW w:w="1280" w:type="dxa"/>
            <w:vAlign w:val="bottom"/>
            <w:tcBorders>
              <w:bottom w:val="single" w:sz="8" w:color="FEFEFE"/>
            </w:tcBorders>
            <w:shd w:val="clear" w:color="auto" w:fill="FEFEFE"/>
          </w:tcPr>
          <w:p>
            <w:pPr>
              <w:spacing w:after="0"/>
              <w:rPr>
                <w:sz w:val="16"/>
                <w:szCs w:val="16"/>
                <w:color w:val="auto"/>
              </w:rPr>
            </w:pPr>
          </w:p>
        </w:tc>
        <w:tc>
          <w:tcPr>
            <w:tcW w:w="860" w:type="dxa"/>
            <w:vAlign w:val="bottom"/>
            <w:tcBorders>
              <w:bottom w:val="single" w:sz="8" w:color="FEFEFE"/>
            </w:tcBorders>
            <w:shd w:val="clear" w:color="auto" w:fill="FEFEFE"/>
          </w:tcPr>
          <w:p>
            <w:pPr>
              <w:spacing w:after="0"/>
              <w:rPr>
                <w:sz w:val="16"/>
                <w:szCs w:val="16"/>
                <w:color w:val="auto"/>
              </w:rPr>
            </w:pPr>
          </w:p>
        </w:tc>
      </w:tr>
      <w:tr>
        <w:trPr>
          <w:trHeight w:val="156"/>
        </w:trPr>
        <w:tc>
          <w:tcPr>
            <w:tcW w:w="86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4500" w:type="dxa"/>
            <w:vAlign w:val="bottom"/>
            <w:gridSpan w:val="8"/>
            <w:shd w:val="clear" w:color="auto" w:fill="FEFEFE"/>
          </w:tcPr>
          <w:p>
            <w:pPr>
              <w:spacing w:after="0" w:line="155" w:lineRule="exact"/>
              <w:rPr>
                <w:rFonts w:ascii="Arial" w:cs="Arial" w:eastAsia="Arial" w:hAnsi="Arial"/>
                <w:sz w:val="16"/>
                <w:szCs w:val="16"/>
                <w:color w:val="0000FF"/>
              </w:rPr>
            </w:pPr>
            <w:hyperlink w:anchor="page69">
              <w:r>
                <w:rPr>
                  <w:rFonts w:ascii="Arial" w:cs="Arial" w:eastAsia="Arial" w:hAnsi="Arial"/>
                  <w:sz w:val="16"/>
                  <w:szCs w:val="16"/>
                  <w:color w:val="0000FF"/>
                </w:rPr>
                <w:t>U.S.C. Section 1350, as Adopted Pursuant to Section 906 of</w:t>
              </w:r>
            </w:hyperlink>
          </w:p>
        </w:tc>
        <w:tc>
          <w:tcPr>
            <w:tcW w:w="800" w:type="dxa"/>
            <w:vAlign w:val="bottom"/>
            <w:shd w:val="clear" w:color="auto" w:fill="FEFEFE"/>
          </w:tcPr>
          <w:p>
            <w:pPr>
              <w:spacing w:after="0"/>
              <w:rPr>
                <w:sz w:val="13"/>
                <w:szCs w:val="13"/>
                <w:color w:val="auto"/>
              </w:rPr>
            </w:pPr>
          </w:p>
        </w:tc>
        <w:tc>
          <w:tcPr>
            <w:tcW w:w="1080" w:type="dxa"/>
            <w:vAlign w:val="bottom"/>
            <w:shd w:val="clear" w:color="auto" w:fill="FEFEFE"/>
          </w:tcPr>
          <w:p>
            <w:pPr>
              <w:spacing w:after="0"/>
              <w:rPr>
                <w:sz w:val="13"/>
                <w:szCs w:val="13"/>
                <w:color w:val="auto"/>
              </w:rPr>
            </w:pPr>
          </w:p>
        </w:tc>
        <w:tc>
          <w:tcPr>
            <w:tcW w:w="1280" w:type="dxa"/>
            <w:vAlign w:val="bottom"/>
            <w:shd w:val="clear" w:color="auto" w:fill="FEFEFE"/>
          </w:tcPr>
          <w:p>
            <w:pPr>
              <w:spacing w:after="0"/>
              <w:rPr>
                <w:sz w:val="13"/>
                <w:szCs w:val="13"/>
                <w:color w:val="auto"/>
              </w:rPr>
            </w:pPr>
          </w:p>
        </w:tc>
        <w:tc>
          <w:tcPr>
            <w:tcW w:w="860" w:type="dxa"/>
            <w:vAlign w:val="bottom"/>
            <w:shd w:val="clear" w:color="auto" w:fill="FEFEFE"/>
          </w:tcPr>
          <w:p>
            <w:pPr>
              <w:spacing w:after="0"/>
              <w:rPr>
                <w:sz w:val="13"/>
                <w:szCs w:val="13"/>
                <w:color w:val="auto"/>
              </w:rPr>
            </w:pPr>
          </w:p>
        </w:tc>
      </w:tr>
      <w:tr>
        <w:trPr>
          <w:trHeight w:val="155"/>
        </w:trPr>
        <w:tc>
          <w:tcPr>
            <w:tcW w:w="860" w:type="dxa"/>
            <w:vAlign w:val="bottom"/>
            <w:tcBorders>
              <w:top w:val="single" w:sz="8" w:color="FEFEFE"/>
              <w:bottom w:val="single" w:sz="8" w:color="FEFEFE"/>
            </w:tcBorders>
            <w:shd w:val="clear" w:color="auto" w:fill="FEFEFE"/>
          </w:tcPr>
          <w:p>
            <w:pPr>
              <w:spacing w:after="0"/>
              <w:rPr>
                <w:sz w:val="13"/>
                <w:szCs w:val="13"/>
                <w:color w:val="auto"/>
              </w:rPr>
            </w:pPr>
          </w:p>
        </w:tc>
        <w:tc>
          <w:tcPr>
            <w:tcW w:w="200" w:type="dxa"/>
            <w:vAlign w:val="bottom"/>
            <w:tcBorders>
              <w:top w:val="single" w:sz="8" w:color="FEFEFE"/>
              <w:bottom w:val="single" w:sz="8" w:color="FEFEFE"/>
            </w:tcBorders>
            <w:shd w:val="clear" w:color="auto" w:fill="FEFEFE"/>
          </w:tcPr>
          <w:p>
            <w:pPr>
              <w:spacing w:after="0"/>
              <w:rPr>
                <w:sz w:val="13"/>
                <w:szCs w:val="13"/>
                <w:color w:val="auto"/>
              </w:rPr>
            </w:pPr>
          </w:p>
        </w:tc>
        <w:tc>
          <w:tcPr>
            <w:tcW w:w="2340" w:type="dxa"/>
            <w:vAlign w:val="bottom"/>
            <w:tcBorders>
              <w:top w:val="single" w:sz="8" w:color="0000FF"/>
              <w:bottom w:val="single" w:sz="8" w:color="0000FF"/>
            </w:tcBorders>
            <w:shd w:val="clear" w:color="auto" w:fill="FEFEFE"/>
          </w:tcPr>
          <w:p>
            <w:pPr>
              <w:spacing w:after="0" w:line="155" w:lineRule="exact"/>
              <w:rPr>
                <w:rFonts w:ascii="Arial" w:cs="Arial" w:eastAsia="Arial" w:hAnsi="Arial"/>
                <w:sz w:val="16"/>
                <w:szCs w:val="16"/>
                <w:color w:val="0000FF"/>
              </w:rPr>
            </w:pPr>
            <w:hyperlink w:anchor="page69">
              <w:r>
                <w:rPr>
                  <w:rFonts w:ascii="Arial" w:cs="Arial" w:eastAsia="Arial" w:hAnsi="Arial"/>
                  <w:sz w:val="16"/>
                  <w:szCs w:val="16"/>
                  <w:color w:val="0000FF"/>
                </w:rPr>
                <w:t>the Sarbanes-Oxley Act of 2002.</w:t>
              </w:r>
            </w:hyperlink>
          </w:p>
        </w:tc>
        <w:tc>
          <w:tcPr>
            <w:tcW w:w="1980" w:type="dxa"/>
            <w:vAlign w:val="bottom"/>
            <w:tcBorders>
              <w:top w:val="single" w:sz="8" w:color="0000FF"/>
              <w:bottom w:val="single" w:sz="8" w:color="FEFEFE"/>
            </w:tcBorders>
            <w:gridSpan w:val="5"/>
            <w:shd w:val="clear" w:color="auto" w:fill="FEFEFE"/>
          </w:tcPr>
          <w:p>
            <w:pPr>
              <w:spacing w:after="0"/>
              <w:rPr>
                <w:sz w:val="13"/>
                <w:szCs w:val="13"/>
                <w:color w:val="auto"/>
              </w:rPr>
            </w:pPr>
          </w:p>
        </w:tc>
        <w:tc>
          <w:tcPr>
            <w:tcW w:w="18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800" w:type="dxa"/>
            <w:vAlign w:val="bottom"/>
            <w:tcBorders>
              <w:top w:val="single" w:sz="8" w:color="FEFEFE"/>
              <w:bottom w:val="single" w:sz="8" w:color="FEFEFE"/>
            </w:tcBorders>
            <w:shd w:val="clear" w:color="auto" w:fill="FEFEFE"/>
          </w:tcPr>
          <w:p>
            <w:pPr>
              <w:spacing w:after="0"/>
              <w:rPr>
                <w:sz w:val="13"/>
                <w:szCs w:val="13"/>
                <w:color w:val="auto"/>
              </w:rPr>
            </w:pPr>
          </w:p>
        </w:tc>
        <w:tc>
          <w:tcPr>
            <w:tcW w:w="1080" w:type="dxa"/>
            <w:vAlign w:val="bottom"/>
            <w:tcBorders>
              <w:top w:val="single" w:sz="8" w:color="FEFEFE"/>
              <w:bottom w:val="single" w:sz="8" w:color="FEFEFE"/>
            </w:tcBorders>
            <w:shd w:val="clear" w:color="auto" w:fill="FEFEFE"/>
          </w:tcPr>
          <w:p>
            <w:pPr>
              <w:spacing w:after="0"/>
              <w:rPr>
                <w:sz w:val="13"/>
                <w:szCs w:val="13"/>
                <w:color w:val="auto"/>
              </w:rPr>
            </w:pPr>
          </w:p>
        </w:tc>
        <w:tc>
          <w:tcPr>
            <w:tcW w:w="1280" w:type="dxa"/>
            <w:vAlign w:val="bottom"/>
            <w:tcBorders>
              <w:top w:val="single" w:sz="8" w:color="FEFEFE"/>
              <w:bottom w:val="single" w:sz="8" w:color="FEFEFE"/>
            </w:tcBorders>
            <w:shd w:val="clear" w:color="auto" w:fill="FEFEFE"/>
          </w:tcPr>
          <w:p>
            <w:pPr>
              <w:spacing w:after="0"/>
              <w:rPr>
                <w:sz w:val="13"/>
                <w:szCs w:val="13"/>
                <w:color w:val="auto"/>
              </w:rPr>
            </w:pPr>
          </w:p>
        </w:tc>
        <w:tc>
          <w:tcPr>
            <w:tcW w:w="860" w:type="dxa"/>
            <w:vAlign w:val="bottom"/>
            <w:tcBorders>
              <w:top w:val="single" w:sz="8" w:color="FEFEFE"/>
              <w:bottom w:val="single" w:sz="8" w:color="FEFEFE"/>
            </w:tcBorders>
            <w:shd w:val="clear" w:color="auto" w:fill="FEFEFE"/>
          </w:tcPr>
          <w:p>
            <w:pPr>
              <w:spacing w:after="0"/>
              <w:rPr>
                <w:sz w:val="13"/>
                <w:szCs w:val="13"/>
                <w:color w:val="auto"/>
              </w:rPr>
            </w:pPr>
          </w:p>
        </w:tc>
      </w:tr>
      <w:tr>
        <w:trPr>
          <w:trHeight w:val="210"/>
        </w:trPr>
        <w:tc>
          <w:tcPr>
            <w:tcW w:w="860" w:type="dxa"/>
            <w:vAlign w:val="bottom"/>
            <w:shd w:val="clear" w:color="auto" w:fill="FEFEFE"/>
          </w:tcPr>
          <w:p>
            <w:pPr>
              <w:jc w:val="right"/>
              <w:spacing w:after="0"/>
              <w:rPr>
                <w:sz w:val="20"/>
                <w:szCs w:val="20"/>
                <w:color w:val="auto"/>
              </w:rPr>
            </w:pPr>
            <w:r>
              <w:rPr>
                <w:rFonts w:ascii="Arial" w:cs="Arial" w:eastAsia="Arial" w:hAnsi="Arial"/>
                <w:sz w:val="16"/>
                <w:szCs w:val="16"/>
                <w:color w:val="auto"/>
              </w:rPr>
              <w:t>32.2*</w:t>
            </w:r>
          </w:p>
        </w:tc>
        <w:tc>
          <w:tcPr>
            <w:tcW w:w="200" w:type="dxa"/>
            <w:vAlign w:val="bottom"/>
            <w:shd w:val="clear" w:color="auto" w:fill="FEFEFE"/>
          </w:tcPr>
          <w:p>
            <w:pPr>
              <w:spacing w:after="0"/>
              <w:rPr>
                <w:sz w:val="18"/>
                <w:szCs w:val="18"/>
                <w:color w:val="auto"/>
              </w:rPr>
            </w:pPr>
          </w:p>
        </w:tc>
        <w:tc>
          <w:tcPr>
            <w:tcW w:w="4500" w:type="dxa"/>
            <w:vAlign w:val="bottom"/>
            <w:gridSpan w:val="8"/>
            <w:shd w:val="clear" w:color="auto" w:fill="FEFEFE"/>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Certification of Principal Financial Officer Pursuant to 18</w:t>
              </w:r>
            </w:hyperlink>
          </w:p>
        </w:tc>
        <w:tc>
          <w:tcPr>
            <w:tcW w:w="800" w:type="dxa"/>
            <w:vAlign w:val="bottom"/>
            <w:shd w:val="clear" w:color="auto" w:fill="FEFEFE"/>
          </w:tcPr>
          <w:p>
            <w:pPr>
              <w:spacing w:after="0"/>
              <w:rPr>
                <w:sz w:val="18"/>
                <w:szCs w:val="18"/>
                <w:color w:val="auto"/>
              </w:rPr>
            </w:pPr>
          </w:p>
        </w:tc>
        <w:tc>
          <w:tcPr>
            <w:tcW w:w="1080" w:type="dxa"/>
            <w:vAlign w:val="bottom"/>
            <w:shd w:val="clear" w:color="auto" w:fill="FEFEFE"/>
          </w:tcPr>
          <w:p>
            <w:pPr>
              <w:spacing w:after="0"/>
              <w:rPr>
                <w:sz w:val="18"/>
                <w:szCs w:val="18"/>
                <w:color w:val="auto"/>
              </w:rPr>
            </w:pPr>
          </w:p>
        </w:tc>
        <w:tc>
          <w:tcPr>
            <w:tcW w:w="1280" w:type="dxa"/>
            <w:vAlign w:val="bottom"/>
            <w:shd w:val="clear" w:color="auto" w:fill="FEFEFE"/>
          </w:tcPr>
          <w:p>
            <w:pPr>
              <w:spacing w:after="0"/>
              <w:rPr>
                <w:sz w:val="18"/>
                <w:szCs w:val="18"/>
                <w:color w:val="auto"/>
              </w:rPr>
            </w:pPr>
          </w:p>
        </w:tc>
        <w:tc>
          <w:tcPr>
            <w:tcW w:w="860" w:type="dxa"/>
            <w:vAlign w:val="bottom"/>
            <w:shd w:val="clear" w:color="auto" w:fill="FEFEFE"/>
          </w:tcPr>
          <w:p>
            <w:pPr>
              <w:spacing w:after="0"/>
              <w:rPr>
                <w:sz w:val="18"/>
                <w:szCs w:val="18"/>
                <w:color w:val="auto"/>
              </w:rPr>
            </w:pPr>
          </w:p>
        </w:tc>
      </w:tr>
      <w:tr>
        <w:trPr>
          <w:trHeight w:val="20"/>
        </w:trPr>
        <w:tc>
          <w:tcPr>
            <w:tcW w:w="860" w:type="dxa"/>
            <w:vAlign w:val="bottom"/>
            <w:shd w:val="clear" w:color="auto" w:fill="FEFEFE"/>
          </w:tcPr>
          <w:p>
            <w:pPr>
              <w:spacing w:after="0" w:line="20" w:lineRule="exact"/>
              <w:rPr>
                <w:sz w:val="1"/>
                <w:szCs w:val="1"/>
                <w:color w:val="auto"/>
              </w:rPr>
            </w:pPr>
          </w:p>
        </w:tc>
        <w:tc>
          <w:tcPr>
            <w:tcW w:w="200" w:type="dxa"/>
            <w:vAlign w:val="bottom"/>
            <w:shd w:val="clear" w:color="auto" w:fill="FEFEFE"/>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500" w:type="dxa"/>
            <w:vAlign w:val="bottom"/>
            <w:gridSpan w:val="6"/>
            <w:shd w:val="clear" w:color="auto" w:fill="FEFEFE"/>
          </w:tcPr>
          <w:p>
            <w:pPr>
              <w:spacing w:after="0" w:line="20" w:lineRule="exact"/>
              <w:rPr>
                <w:sz w:val="1"/>
                <w:szCs w:val="1"/>
                <w:color w:val="auto"/>
              </w:rPr>
            </w:pPr>
          </w:p>
        </w:tc>
        <w:tc>
          <w:tcPr>
            <w:tcW w:w="800" w:type="dxa"/>
            <w:vAlign w:val="bottom"/>
            <w:shd w:val="clear" w:color="auto" w:fill="FEFEFE"/>
          </w:tcPr>
          <w:p>
            <w:pPr>
              <w:spacing w:after="0" w:line="20" w:lineRule="exact"/>
              <w:rPr>
                <w:sz w:val="1"/>
                <w:szCs w:val="1"/>
                <w:color w:val="auto"/>
              </w:rPr>
            </w:pPr>
          </w:p>
        </w:tc>
        <w:tc>
          <w:tcPr>
            <w:tcW w:w="1080" w:type="dxa"/>
            <w:vAlign w:val="bottom"/>
            <w:shd w:val="clear" w:color="auto" w:fill="FEFEFE"/>
          </w:tcPr>
          <w:p>
            <w:pPr>
              <w:spacing w:after="0" w:line="20" w:lineRule="exact"/>
              <w:rPr>
                <w:sz w:val="1"/>
                <w:szCs w:val="1"/>
                <w:color w:val="auto"/>
              </w:rPr>
            </w:pPr>
          </w:p>
        </w:tc>
        <w:tc>
          <w:tcPr>
            <w:tcW w:w="1280" w:type="dxa"/>
            <w:vAlign w:val="bottom"/>
            <w:shd w:val="clear" w:color="auto" w:fill="FEFEFE"/>
          </w:tcPr>
          <w:p>
            <w:pPr>
              <w:spacing w:after="0" w:line="20" w:lineRule="exact"/>
              <w:rPr>
                <w:sz w:val="1"/>
                <w:szCs w:val="1"/>
                <w:color w:val="auto"/>
              </w:rPr>
            </w:pPr>
          </w:p>
        </w:tc>
        <w:tc>
          <w:tcPr>
            <w:tcW w:w="860" w:type="dxa"/>
            <w:vAlign w:val="bottom"/>
            <w:shd w:val="clear" w:color="auto" w:fill="FEFEFE"/>
          </w:tcPr>
          <w:p>
            <w:pPr>
              <w:spacing w:after="0" w:line="20" w:lineRule="exact"/>
              <w:rPr>
                <w:sz w:val="1"/>
                <w:szCs w:val="1"/>
                <w:color w:val="auto"/>
              </w:rPr>
            </w:pPr>
          </w:p>
        </w:tc>
      </w:tr>
      <w:tr>
        <w:trPr>
          <w:trHeight w:val="155"/>
        </w:trPr>
        <w:tc>
          <w:tcPr>
            <w:tcW w:w="86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4500" w:type="dxa"/>
            <w:vAlign w:val="bottom"/>
            <w:gridSpan w:val="8"/>
            <w:shd w:val="clear" w:color="auto" w:fill="FEFEFE"/>
          </w:tcPr>
          <w:p>
            <w:pPr>
              <w:spacing w:after="0" w:line="155" w:lineRule="exact"/>
              <w:rPr>
                <w:rFonts w:ascii="Arial" w:cs="Arial" w:eastAsia="Arial" w:hAnsi="Arial"/>
                <w:sz w:val="16"/>
                <w:szCs w:val="16"/>
                <w:color w:val="0000FF"/>
              </w:rPr>
            </w:pPr>
            <w:hyperlink w:anchor="page70">
              <w:r>
                <w:rPr>
                  <w:rFonts w:ascii="Arial" w:cs="Arial" w:eastAsia="Arial" w:hAnsi="Arial"/>
                  <w:sz w:val="16"/>
                  <w:szCs w:val="16"/>
                  <w:color w:val="0000FF"/>
                </w:rPr>
                <w:t>U.S.C. Section 1350, as Adopted Pursuant to Section 906 of</w:t>
              </w:r>
            </w:hyperlink>
          </w:p>
        </w:tc>
        <w:tc>
          <w:tcPr>
            <w:tcW w:w="800" w:type="dxa"/>
            <w:vAlign w:val="bottom"/>
            <w:shd w:val="clear" w:color="auto" w:fill="FEFEFE"/>
          </w:tcPr>
          <w:p>
            <w:pPr>
              <w:spacing w:after="0"/>
              <w:rPr>
                <w:sz w:val="13"/>
                <w:szCs w:val="13"/>
                <w:color w:val="auto"/>
              </w:rPr>
            </w:pPr>
          </w:p>
        </w:tc>
        <w:tc>
          <w:tcPr>
            <w:tcW w:w="1080" w:type="dxa"/>
            <w:vAlign w:val="bottom"/>
            <w:shd w:val="clear" w:color="auto" w:fill="FEFEFE"/>
          </w:tcPr>
          <w:p>
            <w:pPr>
              <w:spacing w:after="0"/>
              <w:rPr>
                <w:sz w:val="13"/>
                <w:szCs w:val="13"/>
                <w:color w:val="auto"/>
              </w:rPr>
            </w:pPr>
          </w:p>
        </w:tc>
        <w:tc>
          <w:tcPr>
            <w:tcW w:w="1280" w:type="dxa"/>
            <w:vAlign w:val="bottom"/>
            <w:shd w:val="clear" w:color="auto" w:fill="FEFEFE"/>
          </w:tcPr>
          <w:p>
            <w:pPr>
              <w:spacing w:after="0"/>
              <w:rPr>
                <w:sz w:val="13"/>
                <w:szCs w:val="13"/>
                <w:color w:val="auto"/>
              </w:rPr>
            </w:pPr>
          </w:p>
        </w:tc>
        <w:tc>
          <w:tcPr>
            <w:tcW w:w="860" w:type="dxa"/>
            <w:vAlign w:val="bottom"/>
            <w:shd w:val="clear" w:color="auto" w:fill="FEFEFE"/>
          </w:tcPr>
          <w:p>
            <w:pPr>
              <w:spacing w:after="0"/>
              <w:rPr>
                <w:sz w:val="13"/>
                <w:szCs w:val="13"/>
                <w:color w:val="auto"/>
              </w:rPr>
            </w:pPr>
          </w:p>
        </w:tc>
      </w:tr>
      <w:tr>
        <w:trPr>
          <w:trHeight w:val="155"/>
        </w:trPr>
        <w:tc>
          <w:tcPr>
            <w:tcW w:w="860" w:type="dxa"/>
            <w:vAlign w:val="bottom"/>
            <w:tcBorders>
              <w:top w:val="single" w:sz="8" w:color="FEFEFE"/>
              <w:bottom w:val="single" w:sz="8" w:color="FEFEFE"/>
            </w:tcBorders>
            <w:shd w:val="clear" w:color="auto" w:fill="FEFEFE"/>
          </w:tcPr>
          <w:p>
            <w:pPr>
              <w:spacing w:after="0"/>
              <w:rPr>
                <w:sz w:val="13"/>
                <w:szCs w:val="13"/>
                <w:color w:val="auto"/>
              </w:rPr>
            </w:pPr>
          </w:p>
        </w:tc>
        <w:tc>
          <w:tcPr>
            <w:tcW w:w="200" w:type="dxa"/>
            <w:vAlign w:val="bottom"/>
            <w:tcBorders>
              <w:top w:val="single" w:sz="8" w:color="FEFEFE"/>
              <w:bottom w:val="single" w:sz="8" w:color="FEFEFE"/>
            </w:tcBorders>
            <w:shd w:val="clear" w:color="auto" w:fill="FEFEFE"/>
          </w:tcPr>
          <w:p>
            <w:pPr>
              <w:spacing w:after="0"/>
              <w:rPr>
                <w:sz w:val="13"/>
                <w:szCs w:val="13"/>
                <w:color w:val="auto"/>
              </w:rPr>
            </w:pPr>
          </w:p>
        </w:tc>
        <w:tc>
          <w:tcPr>
            <w:tcW w:w="2340" w:type="dxa"/>
            <w:vAlign w:val="bottom"/>
            <w:tcBorders>
              <w:top w:val="single" w:sz="8" w:color="0000FF"/>
              <w:bottom w:val="single" w:sz="8" w:color="0000FF"/>
            </w:tcBorders>
            <w:shd w:val="clear" w:color="auto" w:fill="FEFEFE"/>
          </w:tcPr>
          <w:p>
            <w:pPr>
              <w:spacing w:after="0" w:line="155" w:lineRule="exact"/>
              <w:rPr>
                <w:rFonts w:ascii="Arial" w:cs="Arial" w:eastAsia="Arial" w:hAnsi="Arial"/>
                <w:sz w:val="16"/>
                <w:szCs w:val="16"/>
                <w:color w:val="0000FF"/>
              </w:rPr>
            </w:pPr>
            <w:hyperlink w:anchor="page70">
              <w:r>
                <w:rPr>
                  <w:rFonts w:ascii="Arial" w:cs="Arial" w:eastAsia="Arial" w:hAnsi="Arial"/>
                  <w:sz w:val="16"/>
                  <w:szCs w:val="16"/>
                  <w:color w:val="0000FF"/>
                </w:rPr>
                <w:t>the Sarbanes-Oxley Act of 2002.</w:t>
              </w:r>
            </w:hyperlink>
          </w:p>
        </w:tc>
        <w:tc>
          <w:tcPr>
            <w:tcW w:w="1980" w:type="dxa"/>
            <w:vAlign w:val="bottom"/>
            <w:tcBorders>
              <w:top w:val="single" w:sz="8" w:color="0000FF"/>
              <w:bottom w:val="single" w:sz="8" w:color="FEFEFE"/>
            </w:tcBorders>
            <w:gridSpan w:val="5"/>
            <w:shd w:val="clear" w:color="auto" w:fill="FEFEFE"/>
          </w:tcPr>
          <w:p>
            <w:pPr>
              <w:spacing w:after="0"/>
              <w:rPr>
                <w:sz w:val="13"/>
                <w:szCs w:val="13"/>
                <w:color w:val="auto"/>
              </w:rPr>
            </w:pPr>
          </w:p>
        </w:tc>
        <w:tc>
          <w:tcPr>
            <w:tcW w:w="18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800" w:type="dxa"/>
            <w:vAlign w:val="bottom"/>
            <w:tcBorders>
              <w:top w:val="single" w:sz="8" w:color="FEFEFE"/>
              <w:bottom w:val="single" w:sz="8" w:color="FEFEFE"/>
            </w:tcBorders>
            <w:shd w:val="clear" w:color="auto" w:fill="FEFEFE"/>
          </w:tcPr>
          <w:p>
            <w:pPr>
              <w:spacing w:after="0"/>
              <w:rPr>
                <w:sz w:val="13"/>
                <w:szCs w:val="13"/>
                <w:color w:val="auto"/>
              </w:rPr>
            </w:pPr>
          </w:p>
        </w:tc>
        <w:tc>
          <w:tcPr>
            <w:tcW w:w="1080" w:type="dxa"/>
            <w:vAlign w:val="bottom"/>
            <w:tcBorders>
              <w:top w:val="single" w:sz="8" w:color="FEFEFE"/>
              <w:bottom w:val="single" w:sz="8" w:color="FEFEFE"/>
            </w:tcBorders>
            <w:shd w:val="clear" w:color="auto" w:fill="FEFEFE"/>
          </w:tcPr>
          <w:p>
            <w:pPr>
              <w:spacing w:after="0"/>
              <w:rPr>
                <w:sz w:val="13"/>
                <w:szCs w:val="13"/>
                <w:color w:val="auto"/>
              </w:rPr>
            </w:pPr>
          </w:p>
        </w:tc>
        <w:tc>
          <w:tcPr>
            <w:tcW w:w="1280" w:type="dxa"/>
            <w:vAlign w:val="bottom"/>
            <w:tcBorders>
              <w:top w:val="single" w:sz="8" w:color="FEFEFE"/>
              <w:bottom w:val="single" w:sz="8" w:color="FEFEFE"/>
            </w:tcBorders>
            <w:shd w:val="clear" w:color="auto" w:fill="FEFEFE"/>
          </w:tcPr>
          <w:p>
            <w:pPr>
              <w:spacing w:after="0"/>
              <w:rPr>
                <w:sz w:val="13"/>
                <w:szCs w:val="13"/>
                <w:color w:val="auto"/>
              </w:rPr>
            </w:pPr>
          </w:p>
        </w:tc>
        <w:tc>
          <w:tcPr>
            <w:tcW w:w="860" w:type="dxa"/>
            <w:vAlign w:val="bottom"/>
            <w:tcBorders>
              <w:top w:val="single" w:sz="8" w:color="FEFEFE"/>
              <w:bottom w:val="single" w:sz="8" w:color="FEFEFE"/>
            </w:tcBorders>
            <w:shd w:val="clear" w:color="auto" w:fill="FEFEFE"/>
          </w:tcPr>
          <w:p>
            <w:pPr>
              <w:spacing w:after="0"/>
              <w:rPr>
                <w:sz w:val="13"/>
                <w:szCs w:val="13"/>
                <w:color w:val="auto"/>
              </w:rPr>
            </w:pPr>
          </w:p>
        </w:tc>
      </w:tr>
      <w:tr>
        <w:trPr>
          <w:trHeight w:val="252"/>
        </w:trPr>
        <w:tc>
          <w:tcPr>
            <w:tcW w:w="86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101.INS</w:t>
            </w:r>
          </w:p>
        </w:tc>
        <w:tc>
          <w:tcPr>
            <w:tcW w:w="200" w:type="dxa"/>
            <w:vAlign w:val="bottom"/>
            <w:shd w:val="clear" w:color="auto" w:fill="FEFEFE"/>
          </w:tcPr>
          <w:p>
            <w:pPr>
              <w:spacing w:after="0"/>
              <w:rPr>
                <w:sz w:val="21"/>
                <w:szCs w:val="21"/>
                <w:color w:val="auto"/>
              </w:rPr>
            </w:pPr>
          </w:p>
        </w:tc>
        <w:tc>
          <w:tcPr>
            <w:tcW w:w="4500" w:type="dxa"/>
            <w:vAlign w:val="bottom"/>
            <w:gridSpan w:val="8"/>
            <w:shd w:val="clear" w:color="auto" w:fill="FEFEFE"/>
          </w:tcPr>
          <w:p>
            <w:pPr>
              <w:spacing w:after="0"/>
              <w:rPr>
                <w:sz w:val="20"/>
                <w:szCs w:val="20"/>
                <w:color w:val="auto"/>
              </w:rPr>
            </w:pPr>
            <w:r>
              <w:rPr>
                <w:rFonts w:ascii="Arial" w:cs="Arial" w:eastAsia="Arial" w:hAnsi="Arial"/>
                <w:sz w:val="16"/>
                <w:szCs w:val="16"/>
                <w:color w:val="auto"/>
              </w:rPr>
              <w:t>XBRL Instance Document - the instance document does not</w:t>
            </w:r>
          </w:p>
        </w:tc>
        <w:tc>
          <w:tcPr>
            <w:tcW w:w="800" w:type="dxa"/>
            <w:vAlign w:val="bottom"/>
            <w:shd w:val="clear" w:color="auto" w:fill="FEFEFE"/>
          </w:tcPr>
          <w:p>
            <w:pPr>
              <w:spacing w:after="0"/>
              <w:rPr>
                <w:sz w:val="21"/>
                <w:szCs w:val="21"/>
                <w:color w:val="auto"/>
              </w:rPr>
            </w:pPr>
          </w:p>
        </w:tc>
        <w:tc>
          <w:tcPr>
            <w:tcW w:w="1080" w:type="dxa"/>
            <w:vAlign w:val="bottom"/>
            <w:shd w:val="clear" w:color="auto" w:fill="FEFEFE"/>
          </w:tcPr>
          <w:p>
            <w:pPr>
              <w:spacing w:after="0"/>
              <w:rPr>
                <w:sz w:val="21"/>
                <w:szCs w:val="21"/>
                <w:color w:val="auto"/>
              </w:rPr>
            </w:pPr>
          </w:p>
        </w:tc>
        <w:tc>
          <w:tcPr>
            <w:tcW w:w="128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r>
      <w:tr>
        <w:trPr>
          <w:trHeight w:val="189"/>
        </w:trPr>
        <w:tc>
          <w:tcPr>
            <w:tcW w:w="86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4500" w:type="dxa"/>
            <w:vAlign w:val="bottom"/>
            <w:gridSpan w:val="8"/>
            <w:shd w:val="clear" w:color="auto" w:fill="FEFEFE"/>
          </w:tcPr>
          <w:p>
            <w:pPr>
              <w:spacing w:after="0"/>
              <w:rPr>
                <w:sz w:val="20"/>
                <w:szCs w:val="20"/>
                <w:color w:val="auto"/>
              </w:rPr>
            </w:pPr>
            <w:r>
              <w:rPr>
                <w:rFonts w:ascii="Arial" w:cs="Arial" w:eastAsia="Arial" w:hAnsi="Arial"/>
                <w:sz w:val="16"/>
                <w:szCs w:val="16"/>
                <w:color w:val="auto"/>
              </w:rPr>
              <w:t>appear in the Interactive Data File because its XBRL tags are</w:t>
            </w:r>
          </w:p>
        </w:tc>
        <w:tc>
          <w:tcPr>
            <w:tcW w:w="800" w:type="dxa"/>
            <w:vAlign w:val="bottom"/>
            <w:shd w:val="clear" w:color="auto" w:fill="FEFEFE"/>
          </w:tcPr>
          <w:p>
            <w:pPr>
              <w:spacing w:after="0"/>
              <w:rPr>
                <w:sz w:val="16"/>
                <w:szCs w:val="16"/>
                <w:color w:val="auto"/>
              </w:rPr>
            </w:pPr>
          </w:p>
        </w:tc>
        <w:tc>
          <w:tcPr>
            <w:tcW w:w="1080" w:type="dxa"/>
            <w:vAlign w:val="bottom"/>
            <w:shd w:val="clear" w:color="auto" w:fill="FEFEFE"/>
          </w:tcPr>
          <w:p>
            <w:pPr>
              <w:spacing w:after="0"/>
              <w:rPr>
                <w:sz w:val="16"/>
                <w:szCs w:val="16"/>
                <w:color w:val="auto"/>
              </w:rPr>
            </w:pPr>
          </w:p>
        </w:tc>
        <w:tc>
          <w:tcPr>
            <w:tcW w:w="1280" w:type="dxa"/>
            <w:vAlign w:val="bottom"/>
            <w:shd w:val="clear" w:color="auto" w:fill="FEFEFE"/>
          </w:tcPr>
          <w:p>
            <w:pPr>
              <w:spacing w:after="0"/>
              <w:rPr>
                <w:sz w:val="16"/>
                <w:szCs w:val="16"/>
                <w:color w:val="auto"/>
              </w:rPr>
            </w:pPr>
          </w:p>
        </w:tc>
        <w:tc>
          <w:tcPr>
            <w:tcW w:w="860" w:type="dxa"/>
            <w:vAlign w:val="bottom"/>
            <w:shd w:val="clear" w:color="auto" w:fill="FEFEFE"/>
          </w:tcPr>
          <w:p>
            <w:pPr>
              <w:spacing w:after="0"/>
              <w:rPr>
                <w:sz w:val="16"/>
                <w:szCs w:val="16"/>
                <w:color w:val="auto"/>
              </w:rPr>
            </w:pPr>
          </w:p>
        </w:tc>
      </w:tr>
      <w:tr>
        <w:trPr>
          <w:trHeight w:val="195"/>
        </w:trPr>
        <w:tc>
          <w:tcPr>
            <w:tcW w:w="86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4500" w:type="dxa"/>
            <w:vAlign w:val="bottom"/>
            <w:gridSpan w:val="8"/>
            <w:shd w:val="clear" w:color="auto" w:fill="FEFEFE"/>
          </w:tcPr>
          <w:p>
            <w:pPr>
              <w:spacing w:after="0"/>
              <w:rPr>
                <w:sz w:val="20"/>
                <w:szCs w:val="20"/>
                <w:color w:val="auto"/>
              </w:rPr>
            </w:pPr>
            <w:r>
              <w:rPr>
                <w:rFonts w:ascii="Arial" w:cs="Arial" w:eastAsia="Arial" w:hAnsi="Arial"/>
                <w:sz w:val="16"/>
                <w:szCs w:val="16"/>
                <w:color w:val="auto"/>
              </w:rPr>
              <w:t>embedded within the Inline XBRL document.</w:t>
            </w:r>
          </w:p>
        </w:tc>
        <w:tc>
          <w:tcPr>
            <w:tcW w:w="800" w:type="dxa"/>
            <w:vAlign w:val="bottom"/>
            <w:shd w:val="clear" w:color="auto" w:fill="FEFEFE"/>
          </w:tcPr>
          <w:p>
            <w:pPr>
              <w:spacing w:after="0"/>
              <w:rPr>
                <w:sz w:val="16"/>
                <w:szCs w:val="16"/>
                <w:color w:val="auto"/>
              </w:rPr>
            </w:pPr>
          </w:p>
        </w:tc>
        <w:tc>
          <w:tcPr>
            <w:tcW w:w="1080" w:type="dxa"/>
            <w:vAlign w:val="bottom"/>
            <w:shd w:val="clear" w:color="auto" w:fill="FEFEFE"/>
          </w:tcPr>
          <w:p>
            <w:pPr>
              <w:spacing w:after="0"/>
              <w:rPr>
                <w:sz w:val="16"/>
                <w:szCs w:val="16"/>
                <w:color w:val="auto"/>
              </w:rPr>
            </w:pPr>
          </w:p>
        </w:tc>
        <w:tc>
          <w:tcPr>
            <w:tcW w:w="1280" w:type="dxa"/>
            <w:vAlign w:val="bottom"/>
            <w:shd w:val="clear" w:color="auto" w:fill="FEFEFE"/>
          </w:tcPr>
          <w:p>
            <w:pPr>
              <w:spacing w:after="0"/>
              <w:rPr>
                <w:sz w:val="16"/>
                <w:szCs w:val="16"/>
                <w:color w:val="auto"/>
              </w:rPr>
            </w:pPr>
          </w:p>
        </w:tc>
        <w:tc>
          <w:tcPr>
            <w:tcW w:w="860" w:type="dxa"/>
            <w:vAlign w:val="bottom"/>
            <w:shd w:val="clear" w:color="auto" w:fill="FEFEFE"/>
          </w:tcPr>
          <w:p>
            <w:pPr>
              <w:spacing w:after="0"/>
              <w:rPr>
                <w:sz w:val="16"/>
                <w:szCs w:val="16"/>
                <w:color w:val="auto"/>
              </w:rPr>
            </w:pPr>
          </w:p>
        </w:tc>
      </w:tr>
      <w:tr>
        <w:trPr>
          <w:trHeight w:val="243"/>
        </w:trPr>
        <w:tc>
          <w:tcPr>
            <w:tcW w:w="86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101.SCH</w:t>
            </w:r>
          </w:p>
        </w:tc>
        <w:tc>
          <w:tcPr>
            <w:tcW w:w="200" w:type="dxa"/>
            <w:vAlign w:val="bottom"/>
            <w:shd w:val="clear" w:color="auto" w:fill="FEFEFE"/>
          </w:tcPr>
          <w:p>
            <w:pPr>
              <w:spacing w:after="0"/>
              <w:rPr>
                <w:sz w:val="21"/>
                <w:szCs w:val="21"/>
                <w:color w:val="auto"/>
              </w:rPr>
            </w:pPr>
          </w:p>
        </w:tc>
        <w:tc>
          <w:tcPr>
            <w:tcW w:w="4500" w:type="dxa"/>
            <w:vAlign w:val="bottom"/>
            <w:gridSpan w:val="8"/>
            <w:shd w:val="clear" w:color="auto" w:fill="FEFEFE"/>
          </w:tcPr>
          <w:p>
            <w:pPr>
              <w:spacing w:after="0"/>
              <w:rPr>
                <w:sz w:val="20"/>
                <w:szCs w:val="20"/>
                <w:color w:val="auto"/>
              </w:rPr>
            </w:pPr>
            <w:r>
              <w:rPr>
                <w:rFonts w:ascii="Arial" w:cs="Arial" w:eastAsia="Arial" w:hAnsi="Arial"/>
                <w:sz w:val="16"/>
                <w:szCs w:val="16"/>
                <w:color w:val="auto"/>
              </w:rPr>
              <w:t>XBRL Taxonomy Extension Schema Document.</w:t>
            </w:r>
          </w:p>
        </w:tc>
        <w:tc>
          <w:tcPr>
            <w:tcW w:w="800" w:type="dxa"/>
            <w:vAlign w:val="bottom"/>
            <w:shd w:val="clear" w:color="auto" w:fill="FEFEFE"/>
          </w:tcPr>
          <w:p>
            <w:pPr>
              <w:spacing w:after="0"/>
              <w:rPr>
                <w:sz w:val="21"/>
                <w:szCs w:val="21"/>
                <w:color w:val="auto"/>
              </w:rPr>
            </w:pPr>
          </w:p>
        </w:tc>
        <w:tc>
          <w:tcPr>
            <w:tcW w:w="1080" w:type="dxa"/>
            <w:vAlign w:val="bottom"/>
            <w:shd w:val="clear" w:color="auto" w:fill="FEFEFE"/>
          </w:tcPr>
          <w:p>
            <w:pPr>
              <w:spacing w:after="0"/>
              <w:rPr>
                <w:sz w:val="21"/>
                <w:szCs w:val="21"/>
                <w:color w:val="auto"/>
              </w:rPr>
            </w:pPr>
          </w:p>
        </w:tc>
        <w:tc>
          <w:tcPr>
            <w:tcW w:w="128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r>
      <w:tr>
        <w:trPr>
          <w:trHeight w:val="243"/>
        </w:trPr>
        <w:tc>
          <w:tcPr>
            <w:tcW w:w="86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101.CAL</w:t>
            </w:r>
          </w:p>
        </w:tc>
        <w:tc>
          <w:tcPr>
            <w:tcW w:w="200" w:type="dxa"/>
            <w:vAlign w:val="bottom"/>
            <w:shd w:val="clear" w:color="auto" w:fill="FEFEFE"/>
          </w:tcPr>
          <w:p>
            <w:pPr>
              <w:spacing w:after="0"/>
              <w:rPr>
                <w:sz w:val="21"/>
                <w:szCs w:val="21"/>
                <w:color w:val="auto"/>
              </w:rPr>
            </w:pPr>
          </w:p>
        </w:tc>
        <w:tc>
          <w:tcPr>
            <w:tcW w:w="4500" w:type="dxa"/>
            <w:vAlign w:val="bottom"/>
            <w:gridSpan w:val="8"/>
            <w:shd w:val="clear" w:color="auto" w:fill="FEFEFE"/>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800" w:type="dxa"/>
            <w:vAlign w:val="bottom"/>
            <w:shd w:val="clear" w:color="auto" w:fill="FEFEFE"/>
          </w:tcPr>
          <w:p>
            <w:pPr>
              <w:spacing w:after="0"/>
              <w:rPr>
                <w:sz w:val="21"/>
                <w:szCs w:val="21"/>
                <w:color w:val="auto"/>
              </w:rPr>
            </w:pPr>
          </w:p>
        </w:tc>
        <w:tc>
          <w:tcPr>
            <w:tcW w:w="1080" w:type="dxa"/>
            <w:vAlign w:val="bottom"/>
            <w:shd w:val="clear" w:color="auto" w:fill="FEFEFE"/>
          </w:tcPr>
          <w:p>
            <w:pPr>
              <w:spacing w:after="0"/>
              <w:rPr>
                <w:sz w:val="21"/>
                <w:szCs w:val="21"/>
                <w:color w:val="auto"/>
              </w:rPr>
            </w:pPr>
          </w:p>
        </w:tc>
        <w:tc>
          <w:tcPr>
            <w:tcW w:w="128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r>
      <w:tr>
        <w:trPr>
          <w:trHeight w:val="243"/>
        </w:trPr>
        <w:tc>
          <w:tcPr>
            <w:tcW w:w="86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101.DEF</w:t>
            </w:r>
          </w:p>
        </w:tc>
        <w:tc>
          <w:tcPr>
            <w:tcW w:w="200" w:type="dxa"/>
            <w:vAlign w:val="bottom"/>
            <w:shd w:val="clear" w:color="auto" w:fill="FEFEFE"/>
          </w:tcPr>
          <w:p>
            <w:pPr>
              <w:spacing w:after="0"/>
              <w:rPr>
                <w:sz w:val="21"/>
                <w:szCs w:val="21"/>
                <w:color w:val="auto"/>
              </w:rPr>
            </w:pPr>
          </w:p>
        </w:tc>
        <w:tc>
          <w:tcPr>
            <w:tcW w:w="4500" w:type="dxa"/>
            <w:vAlign w:val="bottom"/>
            <w:gridSpan w:val="8"/>
            <w:shd w:val="clear" w:color="auto" w:fill="FEFEFE"/>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800" w:type="dxa"/>
            <w:vAlign w:val="bottom"/>
            <w:shd w:val="clear" w:color="auto" w:fill="FEFEFE"/>
          </w:tcPr>
          <w:p>
            <w:pPr>
              <w:spacing w:after="0"/>
              <w:rPr>
                <w:sz w:val="21"/>
                <w:szCs w:val="21"/>
                <w:color w:val="auto"/>
              </w:rPr>
            </w:pPr>
          </w:p>
        </w:tc>
        <w:tc>
          <w:tcPr>
            <w:tcW w:w="1080" w:type="dxa"/>
            <w:vAlign w:val="bottom"/>
            <w:shd w:val="clear" w:color="auto" w:fill="FEFEFE"/>
          </w:tcPr>
          <w:p>
            <w:pPr>
              <w:spacing w:after="0"/>
              <w:rPr>
                <w:sz w:val="21"/>
                <w:szCs w:val="21"/>
                <w:color w:val="auto"/>
              </w:rPr>
            </w:pPr>
          </w:p>
        </w:tc>
        <w:tc>
          <w:tcPr>
            <w:tcW w:w="128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r>
      <w:tr>
        <w:trPr>
          <w:trHeight w:val="243"/>
        </w:trPr>
        <w:tc>
          <w:tcPr>
            <w:tcW w:w="86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101.LAB</w:t>
            </w:r>
          </w:p>
        </w:tc>
        <w:tc>
          <w:tcPr>
            <w:tcW w:w="200" w:type="dxa"/>
            <w:vAlign w:val="bottom"/>
            <w:shd w:val="clear" w:color="auto" w:fill="FEFEFE"/>
          </w:tcPr>
          <w:p>
            <w:pPr>
              <w:spacing w:after="0"/>
              <w:rPr>
                <w:sz w:val="21"/>
                <w:szCs w:val="21"/>
                <w:color w:val="auto"/>
              </w:rPr>
            </w:pPr>
          </w:p>
        </w:tc>
        <w:tc>
          <w:tcPr>
            <w:tcW w:w="4500" w:type="dxa"/>
            <w:vAlign w:val="bottom"/>
            <w:gridSpan w:val="8"/>
            <w:shd w:val="clear" w:color="auto" w:fill="FEFEFE"/>
          </w:tcPr>
          <w:p>
            <w:pPr>
              <w:spacing w:after="0"/>
              <w:rPr>
                <w:sz w:val="20"/>
                <w:szCs w:val="20"/>
                <w:color w:val="auto"/>
              </w:rPr>
            </w:pPr>
            <w:r>
              <w:rPr>
                <w:rFonts w:ascii="Arial" w:cs="Arial" w:eastAsia="Arial" w:hAnsi="Arial"/>
                <w:sz w:val="16"/>
                <w:szCs w:val="16"/>
                <w:color w:val="auto"/>
              </w:rPr>
              <w:t>XBRL Taxonomy Extension Label Linkbase Document.</w:t>
            </w:r>
          </w:p>
        </w:tc>
        <w:tc>
          <w:tcPr>
            <w:tcW w:w="800" w:type="dxa"/>
            <w:vAlign w:val="bottom"/>
            <w:shd w:val="clear" w:color="auto" w:fill="FEFEFE"/>
          </w:tcPr>
          <w:p>
            <w:pPr>
              <w:spacing w:after="0"/>
              <w:rPr>
                <w:sz w:val="21"/>
                <w:szCs w:val="21"/>
                <w:color w:val="auto"/>
              </w:rPr>
            </w:pPr>
          </w:p>
        </w:tc>
        <w:tc>
          <w:tcPr>
            <w:tcW w:w="1080" w:type="dxa"/>
            <w:vAlign w:val="bottom"/>
            <w:shd w:val="clear" w:color="auto" w:fill="FEFEFE"/>
          </w:tcPr>
          <w:p>
            <w:pPr>
              <w:spacing w:after="0"/>
              <w:rPr>
                <w:sz w:val="21"/>
                <w:szCs w:val="21"/>
                <w:color w:val="auto"/>
              </w:rPr>
            </w:pPr>
          </w:p>
        </w:tc>
        <w:tc>
          <w:tcPr>
            <w:tcW w:w="128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r>
      <w:tr>
        <w:trPr>
          <w:trHeight w:val="263"/>
        </w:trPr>
        <w:tc>
          <w:tcPr>
            <w:tcW w:w="86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101.PRE</w:t>
            </w:r>
          </w:p>
        </w:tc>
        <w:tc>
          <w:tcPr>
            <w:tcW w:w="200" w:type="dxa"/>
            <w:vAlign w:val="bottom"/>
            <w:shd w:val="clear" w:color="auto" w:fill="FEFEFE"/>
          </w:tcPr>
          <w:p>
            <w:pPr>
              <w:spacing w:after="0"/>
              <w:rPr>
                <w:sz w:val="22"/>
                <w:szCs w:val="22"/>
                <w:color w:val="auto"/>
              </w:rPr>
            </w:pPr>
          </w:p>
        </w:tc>
        <w:tc>
          <w:tcPr>
            <w:tcW w:w="4500" w:type="dxa"/>
            <w:vAlign w:val="bottom"/>
            <w:gridSpan w:val="8"/>
            <w:shd w:val="clear" w:color="auto" w:fill="FEFEFE"/>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800" w:type="dxa"/>
            <w:vAlign w:val="bottom"/>
            <w:shd w:val="clear" w:color="auto" w:fill="FEFEFE"/>
          </w:tcPr>
          <w:p>
            <w:pPr>
              <w:spacing w:after="0"/>
              <w:rPr>
                <w:sz w:val="22"/>
                <w:szCs w:val="22"/>
                <w:color w:val="auto"/>
              </w:rPr>
            </w:pPr>
          </w:p>
        </w:tc>
        <w:tc>
          <w:tcPr>
            <w:tcW w:w="1080" w:type="dxa"/>
            <w:vAlign w:val="bottom"/>
            <w:shd w:val="clear" w:color="auto" w:fill="FEFEFE"/>
          </w:tcPr>
          <w:p>
            <w:pPr>
              <w:spacing w:after="0"/>
              <w:rPr>
                <w:sz w:val="22"/>
                <w:szCs w:val="22"/>
                <w:color w:val="auto"/>
              </w:rPr>
            </w:pPr>
          </w:p>
        </w:tc>
        <w:tc>
          <w:tcPr>
            <w:tcW w:w="1280" w:type="dxa"/>
            <w:vAlign w:val="bottom"/>
            <w:shd w:val="clear" w:color="auto" w:fill="FEFEFE"/>
          </w:tcPr>
          <w:p>
            <w:pPr>
              <w:spacing w:after="0"/>
              <w:rPr>
                <w:sz w:val="22"/>
                <w:szCs w:val="22"/>
                <w:color w:val="auto"/>
              </w:rPr>
            </w:pPr>
          </w:p>
        </w:tc>
        <w:tc>
          <w:tcPr>
            <w:tcW w:w="860" w:type="dxa"/>
            <w:vAlign w:val="bottom"/>
            <w:shd w:val="clear" w:color="auto" w:fill="FEFEFE"/>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Filed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-110490</wp:posOffset>
            </wp:positionV>
            <wp:extent cx="454025" cy="3068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4025" cy="30689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Furnished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Herewith</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X</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X</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X</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X</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X</w:t>
      </w:r>
    </w:p>
    <w:p>
      <w:pPr>
        <w:spacing w:after="0" w:line="250" w:lineRule="exact"/>
        <w:rPr>
          <w:sz w:val="20"/>
          <w:szCs w:val="20"/>
          <w:color w:val="auto"/>
        </w:rPr>
      </w:pPr>
    </w:p>
    <w:p>
      <w:pPr>
        <w:sectPr>
          <w:pgSz w:w="11900" w:h="16838" w:orient="portrait"/>
          <w:cols w:equalWidth="0" w:num="2">
            <w:col w:w="9580" w:space="20"/>
            <w:col w:w="1540"/>
          </w:cols>
          <w:pgMar w:left="320" w:top="1174" w:right="439" w:bottom="1440" w:gutter="0" w:footer="0" w:header="0"/>
        </w:sectPr>
      </w:pPr>
    </w:p>
    <w:p>
      <w:pPr>
        <w:spacing w:after="0" w:line="15" w:lineRule="exact"/>
        <w:rPr>
          <w:sz w:val="20"/>
          <w:szCs w:val="20"/>
          <w:color w:val="auto"/>
        </w:rPr>
      </w:pPr>
    </w:p>
    <w:p>
      <w:pPr>
        <w:jc w:val="both"/>
        <w:ind w:firstLine="8"/>
        <w:spacing w:after="0" w:line="246" w:lineRule="auto"/>
        <w:tabs>
          <w:tab w:leader="none" w:pos="108"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4" w:right="43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9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60"/>
        <w:spacing w:after="0"/>
        <w:tabs>
          <w:tab w:leader="none" w:pos="7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19050</wp:posOffset>
            </wp:positionV>
            <wp:extent cx="17570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1"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John Foley</w:t>
      </w:r>
    </w:p>
    <w:p>
      <w:pPr>
        <w:ind w:left="7760"/>
        <w:spacing w:after="0" w:line="228" w:lineRule="auto"/>
        <w:rPr>
          <w:sz w:val="20"/>
          <w:szCs w:val="20"/>
          <w:color w:val="auto"/>
        </w:rPr>
      </w:pPr>
      <w:r>
        <w:rPr>
          <w:rFonts w:ascii="Arial" w:cs="Arial" w:eastAsia="Arial" w:hAnsi="Arial"/>
          <w:sz w:val="16"/>
          <w:szCs w:val="16"/>
          <w:color w:val="auto"/>
        </w:rPr>
        <w:t>Chief Executive Officer</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60"/>
        <w:spacing w:after="0"/>
        <w:tabs>
          <w:tab w:leader="none" w:pos="7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19050</wp:posOffset>
            </wp:positionV>
            <wp:extent cx="17570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1"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Jill Woodworth</w:t>
      </w:r>
    </w:p>
    <w:p>
      <w:pPr>
        <w:ind w:left="7760"/>
        <w:spacing w:after="0" w:line="228"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6"/>
          <w:szCs w:val="16"/>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45"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 John Foley, certify that:</w:t>
      </w:r>
    </w:p>
    <w:p>
      <w:pPr>
        <w:spacing w:after="0" w:line="248"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51"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 Jill Woodworth, certify that:</w:t>
      </w:r>
    </w:p>
    <w:p>
      <w:pPr>
        <w:spacing w:after="0" w:line="248"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51"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John Foley, Chief Executive Officer of Peloton Interactive, Inc. (the “Company”), do hereby certify, pursuant to 18 U.S.C. Section 1350, as adopted pursuant to Section 906 of the Sarbanes-Oxley Act of 2002, that to the best of my knowledge:</w:t>
      </w:r>
    </w:p>
    <w:p>
      <w:pPr>
        <w:spacing w:after="0" w:line="222" w:lineRule="exact"/>
        <w:rPr>
          <w:sz w:val="20"/>
          <w:szCs w:val="20"/>
          <w:color w:val="auto"/>
        </w:rPr>
      </w:pPr>
    </w:p>
    <w:p>
      <w:pPr>
        <w:ind w:left="660" w:hanging="328"/>
        <w:spacing w:after="0" w:line="260"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March 31, 2020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Jill Woodworth, Chief Financial Officer of Peloton Interactive, Inc. (the “Company”), do hereby certify, pursuant to 18 U.S.C. Section 1350, as adopted pursuant to Section 906 of the Sarbanes-Oxley Act of 2002, that to the best of my knowledge:</w:t>
      </w:r>
    </w:p>
    <w:p>
      <w:pPr>
        <w:spacing w:after="0" w:line="222" w:lineRule="exact"/>
        <w:rPr>
          <w:sz w:val="20"/>
          <w:szCs w:val="20"/>
          <w:color w:val="auto"/>
        </w:rPr>
      </w:pPr>
    </w:p>
    <w:p>
      <w:pPr>
        <w:ind w:left="660" w:hanging="328"/>
        <w:spacing w:after="0" w:line="260"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March 31, 2020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lvl w:ilvl="1">
      <w:lvlJc w:val="left"/>
      <w:lvlText w:val="(%2)"/>
      <w:numFmt w:val="decimal"/>
      <w:start w:val="1"/>
    </w:lvl>
  </w:abstractNum>
  <w:abstractNum w:abstractNumId="12">
    <w:nsid w:val="189A769B"/>
    <w:multiLevelType w:val="hybridMultilevel"/>
    <w:lvl w:ilvl="0">
      <w:lvlJc w:val="left"/>
      <w:lvlText w:val="%1."/>
      <w:numFmt w:val="decimal"/>
      <w:start w:val="5"/>
    </w:lvl>
    <w:lvl w:ilvl="1">
      <w:lvlJc w:val="left"/>
      <w:lvlText w:val="%2"/>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2020-05-06T15:40:56Z</dcterms:created>
  <dcterms:modified xsi:type="dcterms:W3CDTF">2020-05-06T15:40:56Z</dcterms:modified>
</cp:coreProperties>
</file>