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398780</wp:posOffset>
            </wp:positionV>
            <wp:extent cx="45745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454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419100</wp:posOffset>
            </wp:positionV>
            <wp:extent cx="45745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4540" cy="6985"/>
                    </a:xfrm>
                    <a:prstGeom prst="rect">
                      <a:avLst/>
                    </a:prstGeom>
                    <a:noFill/>
                  </pic:spPr>
                </pic:pic>
              </a:graphicData>
            </a:graphic>
          </wp:anchor>
        </w:drawing>
        <w:t>UNITED STATES</w:t>
      </w: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Washington, D.C. 20549</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1" w:lineRule="exact"/>
        <w:rPr>
          <w:sz w:val="24"/>
          <w:szCs w:val="24"/>
          <w:color w:val="auto"/>
        </w:rPr>
      </w:pPr>
    </w:p>
    <w:p>
      <w:pPr>
        <w:ind w:left="520" w:hanging="340"/>
        <w:spacing w:after="0"/>
        <w:tabs>
          <w:tab w:leader="none" w:pos="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December 31,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OR</w:t>
      </w:r>
    </w:p>
    <w:p>
      <w:pPr>
        <w:spacing w:after="0" w:line="36" w:lineRule="exact"/>
        <w:rPr>
          <w:sz w:val="24"/>
          <w:szCs w:val="24"/>
          <w:color w:val="auto"/>
        </w:rPr>
      </w:pPr>
    </w:p>
    <w:p>
      <w:pPr>
        <w:ind w:left="520" w:hanging="340"/>
        <w:spacing w:after="0"/>
        <w:tabs>
          <w:tab w:leader="none" w:pos="5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306" w:lineRule="exact"/>
        <w:rPr>
          <w:sz w:val="24"/>
          <w:szCs w:val="24"/>
          <w:color w:val="auto"/>
        </w:rPr>
      </w:pPr>
    </w:p>
    <w:tbl>
      <w:tblPr>
        <w:tblLayout w:type="fixed"/>
        <w:tblInd w:w="1420" w:type="dxa"/>
        <w:tblCellMar>
          <w:top w:w="0" w:type="dxa"/>
          <w:left w:w="0" w:type="dxa"/>
          <w:bottom w:w="0" w:type="dxa"/>
          <w:right w:w="0" w:type="dxa"/>
        </w:tblCellMar>
      </w:tblPr>
      <w:tr>
        <w:trPr>
          <w:trHeight w:val="188"/>
        </w:trPr>
        <w:tc>
          <w:tcPr>
            <w:tcW w:w="2060" w:type="dxa"/>
            <w:vAlign w:val="bottom"/>
          </w:tcPr>
          <w:p>
            <w:pPr>
              <w:spacing w:after="0"/>
              <w:rPr>
                <w:sz w:val="16"/>
                <w:szCs w:val="16"/>
                <w:color w:val="auto"/>
              </w:rPr>
            </w:pPr>
          </w:p>
        </w:tc>
        <w:tc>
          <w:tcPr>
            <w:tcW w:w="5840" w:type="dxa"/>
            <w:vAlign w:val="bottom"/>
            <w:gridSpan w:val="3"/>
          </w:tcPr>
          <w:p>
            <w:pPr>
              <w:jc w:val="center"/>
              <w:ind w:right="1463"/>
              <w:spacing w:after="0"/>
              <w:rPr>
                <w:sz w:val="20"/>
                <w:szCs w:val="20"/>
                <w:color w:val="auto"/>
              </w:rPr>
            </w:pPr>
            <w:r>
              <w:rPr>
                <w:rFonts w:ascii="Arial" w:cs="Arial" w:eastAsia="Arial" w:hAnsi="Arial"/>
                <w:sz w:val="14"/>
                <w:szCs w:val="14"/>
                <w:b w:val="1"/>
                <w:bCs w:val="1"/>
                <w:color w:val="auto"/>
              </w:rPr>
              <w:t>For the transition period from to</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5840" w:type="dxa"/>
            <w:vAlign w:val="bottom"/>
            <w:gridSpan w:val="3"/>
          </w:tcPr>
          <w:p>
            <w:pPr>
              <w:jc w:val="center"/>
              <w:ind w:right="1443"/>
              <w:spacing w:after="0"/>
              <w:rPr>
                <w:sz w:val="20"/>
                <w:szCs w:val="20"/>
                <w:color w:val="auto"/>
              </w:rPr>
            </w:pPr>
            <w:r>
              <w:rPr>
                <w:rFonts w:ascii="Arial" w:cs="Arial" w:eastAsia="Arial" w:hAnsi="Arial"/>
                <w:sz w:val="14"/>
                <w:szCs w:val="14"/>
                <w:b w:val="1"/>
                <w:bCs w:val="1"/>
                <w:color w:val="auto"/>
              </w:rPr>
              <w:t>Commission File Number: 001-39058</w:t>
            </w:r>
          </w:p>
        </w:tc>
        <w:tc>
          <w:tcPr>
            <w:tcW w:w="0" w:type="dxa"/>
            <w:vAlign w:val="bottom"/>
          </w:tcPr>
          <w:p>
            <w:pPr>
              <w:spacing w:after="0"/>
              <w:rPr>
                <w:sz w:val="1"/>
                <w:szCs w:val="1"/>
                <w:color w:val="auto"/>
              </w:rPr>
            </w:pPr>
          </w:p>
        </w:tc>
      </w:tr>
      <w:tr>
        <w:trPr>
          <w:trHeight w:val="506"/>
        </w:trPr>
        <w:tc>
          <w:tcPr>
            <w:tcW w:w="2060" w:type="dxa"/>
            <w:vAlign w:val="bottom"/>
          </w:tcPr>
          <w:p>
            <w:pPr>
              <w:spacing w:after="0"/>
              <w:rPr>
                <w:sz w:val="24"/>
                <w:szCs w:val="24"/>
                <w:color w:val="auto"/>
              </w:rPr>
            </w:pPr>
          </w:p>
        </w:tc>
        <w:tc>
          <w:tcPr>
            <w:tcW w:w="5840" w:type="dxa"/>
            <w:vAlign w:val="bottom"/>
            <w:gridSpan w:val="3"/>
          </w:tcPr>
          <w:p>
            <w:pPr>
              <w:jc w:val="center"/>
              <w:ind w:right="1443"/>
              <w:spacing w:after="0"/>
              <w:rPr>
                <w:sz w:val="20"/>
                <w:szCs w:val="20"/>
                <w:color w:val="auto"/>
              </w:rPr>
            </w:pPr>
            <w:r>
              <w:rPr>
                <w:rFonts w:ascii="Arial" w:cs="Arial" w:eastAsia="Arial" w:hAnsi="Arial"/>
                <w:sz w:val="25"/>
                <w:szCs w:val="25"/>
                <w:b w:val="1"/>
                <w:bCs w:val="1"/>
                <w:color w:val="auto"/>
              </w:rPr>
              <w:t>Peloton Interactive, Inc.</w:t>
            </w:r>
          </w:p>
        </w:tc>
        <w:tc>
          <w:tcPr>
            <w:tcW w:w="0" w:type="dxa"/>
            <w:vAlign w:val="bottom"/>
          </w:tcPr>
          <w:p>
            <w:pPr>
              <w:spacing w:after="0"/>
              <w:rPr>
                <w:sz w:val="1"/>
                <w:szCs w:val="1"/>
                <w:color w:val="auto"/>
              </w:rPr>
            </w:pPr>
          </w:p>
        </w:tc>
      </w:tr>
      <w:tr>
        <w:trPr>
          <w:trHeight w:val="224"/>
        </w:trPr>
        <w:tc>
          <w:tcPr>
            <w:tcW w:w="2060" w:type="dxa"/>
            <w:vAlign w:val="bottom"/>
          </w:tcPr>
          <w:p>
            <w:pPr>
              <w:spacing w:after="0"/>
              <w:rPr>
                <w:sz w:val="19"/>
                <w:szCs w:val="19"/>
                <w:color w:val="auto"/>
              </w:rPr>
            </w:pPr>
          </w:p>
        </w:tc>
        <w:tc>
          <w:tcPr>
            <w:tcW w:w="5840" w:type="dxa"/>
            <w:vAlign w:val="bottom"/>
            <w:gridSpan w:val="3"/>
          </w:tcPr>
          <w:p>
            <w:pPr>
              <w:jc w:val="center"/>
              <w:ind w:right="1443"/>
              <w:spacing w:after="0"/>
              <w:rPr>
                <w:sz w:val="20"/>
                <w:szCs w:val="20"/>
                <w:color w:val="auto"/>
              </w:rPr>
            </w:pPr>
            <w:r>
              <w:rPr>
                <w:rFonts w:ascii="Arial" w:cs="Arial" w:eastAsia="Arial" w:hAnsi="Arial"/>
                <w:sz w:val="17"/>
                <w:szCs w:val="17"/>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35"/>
        </w:trPr>
        <w:tc>
          <w:tcPr>
            <w:tcW w:w="2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60" w:type="dxa"/>
            <w:vAlign w:val="bottom"/>
          </w:tcPr>
          <w:p>
            <w:pPr>
              <w:jc w:val="center"/>
              <w:ind w:right="16"/>
              <w:spacing w:after="0"/>
              <w:rPr>
                <w:sz w:val="20"/>
                <w:szCs w:val="20"/>
                <w:color w:val="auto"/>
              </w:rPr>
            </w:pPr>
            <w:r>
              <w:rPr>
                <w:rFonts w:ascii="Arial" w:cs="Arial" w:eastAsia="Arial" w:hAnsi="Arial"/>
                <w:sz w:val="14"/>
                <w:szCs w:val="14"/>
                <w:b w:val="1"/>
                <w:bCs w:val="1"/>
                <w:color w:val="auto"/>
              </w:rPr>
              <w:t>Delaware</w:t>
            </w:r>
          </w:p>
        </w:tc>
        <w:tc>
          <w:tcPr>
            <w:tcW w:w="584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47-3533761</w:t>
            </w:r>
          </w:p>
        </w:tc>
        <w:tc>
          <w:tcPr>
            <w:tcW w:w="0" w:type="dxa"/>
            <w:vAlign w:val="bottom"/>
          </w:tcPr>
          <w:p>
            <w:pPr>
              <w:spacing w:after="0"/>
              <w:rPr>
                <w:sz w:val="1"/>
                <w:szCs w:val="1"/>
                <w:color w:val="auto"/>
              </w:rPr>
            </w:pPr>
          </w:p>
        </w:tc>
      </w:tr>
      <w:tr>
        <w:trPr>
          <w:trHeight w:val="130"/>
        </w:trPr>
        <w:tc>
          <w:tcPr>
            <w:tcW w:w="2060" w:type="dxa"/>
            <w:vAlign w:val="bottom"/>
          </w:tcPr>
          <w:p>
            <w:pPr>
              <w:jc w:val="center"/>
              <w:ind w:right="16"/>
              <w:spacing w:after="0"/>
              <w:rPr>
                <w:sz w:val="20"/>
                <w:szCs w:val="20"/>
                <w:color w:val="auto"/>
              </w:rPr>
            </w:pPr>
            <w:r>
              <w:rPr>
                <w:rFonts w:ascii="Arial" w:cs="Arial" w:eastAsia="Arial" w:hAnsi="Arial"/>
                <w:sz w:val="11"/>
                <w:szCs w:val="11"/>
                <w:i w:val="1"/>
                <w:iCs w:val="1"/>
                <w:color w:val="auto"/>
              </w:rPr>
              <w:t>(State or other jurisdiction of</w:t>
            </w:r>
          </w:p>
        </w:tc>
        <w:tc>
          <w:tcPr>
            <w:tcW w:w="1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60" w:type="dxa"/>
            <w:vAlign w:val="bottom"/>
          </w:tcPr>
          <w:p>
            <w:pPr>
              <w:jc w:val="center"/>
              <w:ind w:left="1903"/>
              <w:spacing w:after="0"/>
              <w:rPr>
                <w:sz w:val="20"/>
                <w:szCs w:val="20"/>
                <w:color w:val="auto"/>
              </w:rPr>
            </w:pPr>
            <w:r>
              <w:rPr>
                <w:rFonts w:ascii="Arial" w:cs="Arial" w:eastAsia="Arial" w:hAnsi="Arial"/>
                <w:sz w:val="11"/>
                <w:szCs w:val="11"/>
                <w:i w:val="1"/>
                <w:iCs w:val="1"/>
                <w:color w:val="auto"/>
              </w:rPr>
              <w:t>(I.R.S. Employer</w:t>
            </w:r>
          </w:p>
        </w:tc>
        <w:tc>
          <w:tcPr>
            <w:tcW w:w="0" w:type="dxa"/>
            <w:vAlign w:val="bottom"/>
          </w:tcPr>
          <w:p>
            <w:pPr>
              <w:spacing w:after="0"/>
              <w:rPr>
                <w:sz w:val="1"/>
                <w:szCs w:val="1"/>
                <w:color w:val="auto"/>
              </w:rPr>
            </w:pPr>
          </w:p>
        </w:tc>
      </w:tr>
      <w:tr>
        <w:trPr>
          <w:trHeight w:val="148"/>
        </w:trPr>
        <w:tc>
          <w:tcPr>
            <w:tcW w:w="2060" w:type="dxa"/>
            <w:vAlign w:val="bottom"/>
          </w:tcPr>
          <w:p>
            <w:pPr>
              <w:jc w:val="center"/>
              <w:ind w:right="16"/>
              <w:spacing w:after="0"/>
              <w:rPr>
                <w:sz w:val="20"/>
                <w:szCs w:val="20"/>
                <w:color w:val="auto"/>
              </w:rPr>
            </w:pPr>
            <w:r>
              <w:rPr>
                <w:rFonts w:ascii="Arial" w:cs="Arial" w:eastAsia="Arial" w:hAnsi="Arial"/>
                <w:sz w:val="11"/>
                <w:szCs w:val="11"/>
                <w:i w:val="1"/>
                <w:iCs w:val="1"/>
                <w:color w:val="auto"/>
              </w:rPr>
              <w:t>incorporation or organization)</w:t>
            </w: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60" w:type="dxa"/>
            <w:vAlign w:val="bottom"/>
          </w:tcPr>
          <w:p>
            <w:pPr>
              <w:jc w:val="center"/>
              <w:ind w:left="1923"/>
              <w:spacing w:after="0"/>
              <w:rPr>
                <w:sz w:val="20"/>
                <w:szCs w:val="20"/>
                <w:color w:val="auto"/>
              </w:rPr>
            </w:pPr>
            <w:r>
              <w:rPr>
                <w:rFonts w:ascii="Arial" w:cs="Arial" w:eastAsia="Arial" w:hAnsi="Arial"/>
                <w:sz w:val="11"/>
                <w:szCs w:val="11"/>
                <w:i w:val="1"/>
                <w:iCs w:val="1"/>
                <w:color w:val="auto"/>
              </w:rPr>
              <w:t>Identification No.)</w:t>
            </w:r>
          </w:p>
        </w:tc>
        <w:tc>
          <w:tcPr>
            <w:tcW w:w="0" w:type="dxa"/>
            <w:vAlign w:val="bottom"/>
          </w:tcPr>
          <w:p>
            <w:pPr>
              <w:spacing w:after="0"/>
              <w:rPr>
                <w:sz w:val="1"/>
                <w:szCs w:val="1"/>
                <w:color w:val="auto"/>
              </w:rPr>
            </w:pPr>
          </w:p>
        </w:tc>
      </w:tr>
      <w:tr>
        <w:trPr>
          <w:trHeight w:val="191"/>
        </w:trPr>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441 Ninth Avenue, Sixth Floor</w:t>
            </w:r>
          </w:p>
        </w:tc>
        <w:tc>
          <w:tcPr>
            <w:tcW w:w="5840" w:type="dxa"/>
            <w:vAlign w:val="bottom"/>
            <w:gridSpan w:val="3"/>
          </w:tcPr>
          <w:p>
            <w:pPr>
              <w:jc w:val="right"/>
              <w:ind w:right="183"/>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188"/>
        </w:trPr>
        <w:tc>
          <w:tcPr>
            <w:tcW w:w="206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New York, New York</w:t>
            </w:r>
          </w:p>
        </w:tc>
        <w:tc>
          <w:tcPr>
            <w:tcW w:w="1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60" w:type="dxa"/>
            <w:vAlign w:val="bottom"/>
          </w:tcPr>
          <w:p>
            <w:pPr>
              <w:jc w:val="center"/>
              <w:ind w:left="1903"/>
              <w:spacing w:after="0"/>
              <w:rPr>
                <w:sz w:val="20"/>
                <w:szCs w:val="20"/>
                <w:color w:val="auto"/>
              </w:rPr>
            </w:pPr>
            <w:r>
              <w:rPr>
                <w:rFonts w:ascii="Arial" w:cs="Arial" w:eastAsia="Arial" w:hAnsi="Arial"/>
                <w:sz w:val="11"/>
                <w:szCs w:val="11"/>
                <w:i w:val="1"/>
                <w:iCs w:val="1"/>
                <w:color w:val="auto"/>
              </w:rPr>
              <w:t>(Zip Code)</w:t>
            </w:r>
          </w:p>
        </w:tc>
        <w:tc>
          <w:tcPr>
            <w:tcW w:w="0" w:type="dxa"/>
            <w:vAlign w:val="bottom"/>
          </w:tcPr>
          <w:p>
            <w:pPr>
              <w:spacing w:after="0"/>
              <w:rPr>
                <w:sz w:val="1"/>
                <w:szCs w:val="1"/>
                <w:color w:val="auto"/>
              </w:rPr>
            </w:pPr>
          </w:p>
        </w:tc>
      </w:tr>
      <w:tr>
        <w:trPr>
          <w:trHeight w:val="151"/>
        </w:trPr>
        <w:tc>
          <w:tcPr>
            <w:tcW w:w="2060" w:type="dxa"/>
            <w:vAlign w:val="bottom"/>
          </w:tcPr>
          <w:p>
            <w:pPr>
              <w:jc w:val="center"/>
              <w:ind w:right="16"/>
              <w:spacing w:after="0"/>
              <w:rPr>
                <w:sz w:val="20"/>
                <w:szCs w:val="20"/>
                <w:color w:val="auto"/>
              </w:rPr>
            </w:pPr>
            <w:r>
              <w:rPr>
                <w:rFonts w:ascii="Arial" w:cs="Arial" w:eastAsia="Arial" w:hAnsi="Arial"/>
                <w:sz w:val="11"/>
                <w:szCs w:val="11"/>
                <w:i w:val="1"/>
                <w:iCs w:val="1"/>
                <w:color w:val="auto"/>
              </w:rPr>
              <w:t>(Address of principal executive offices)</w:t>
            </w:r>
          </w:p>
        </w:tc>
        <w:tc>
          <w:tcPr>
            <w:tcW w:w="2980" w:type="dxa"/>
            <w:vAlign w:val="bottom"/>
            <w:gridSpan w:val="2"/>
            <w:vMerge w:val="restart"/>
          </w:tcPr>
          <w:p>
            <w:pPr>
              <w:jc w:val="center"/>
              <w:ind w:left="1265"/>
              <w:spacing w:after="0"/>
              <w:rPr>
                <w:sz w:val="20"/>
                <w:szCs w:val="20"/>
                <w:color w:val="auto"/>
              </w:rPr>
            </w:pPr>
            <w:r>
              <w:rPr>
                <w:rFonts w:ascii="Arial" w:cs="Arial" w:eastAsia="Arial" w:hAnsi="Arial"/>
                <w:sz w:val="14"/>
                <w:szCs w:val="14"/>
                <w:b w:val="1"/>
                <w:bCs w:val="1"/>
                <w:color w:val="auto"/>
              </w:rPr>
              <w:t>(917) 671-9198</w:t>
            </w: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5840" w:type="dxa"/>
            <w:vAlign w:val="bottom"/>
            <w:gridSpan w:val="3"/>
          </w:tcPr>
          <w:p>
            <w:pPr>
              <w:jc w:val="center"/>
              <w:ind w:right="1463"/>
              <w:spacing w:after="0"/>
              <w:rPr>
                <w:sz w:val="20"/>
                <w:szCs w:val="20"/>
                <w:color w:val="auto"/>
              </w:rPr>
            </w:pPr>
            <w:r>
              <w:rPr>
                <w:rFonts w:ascii="Arial" w:cs="Arial" w:eastAsia="Arial" w:hAnsi="Arial"/>
                <w:sz w:val="11"/>
                <w:szCs w:val="11"/>
                <w:i w:val="1"/>
                <w:iCs w:val="1"/>
                <w:color w:val="auto"/>
              </w:rPr>
              <w:t>(Registrant’s telephone number, including area code)</w:t>
            </w:r>
          </w:p>
        </w:tc>
        <w:tc>
          <w:tcPr>
            <w:tcW w:w="0" w:type="dxa"/>
            <w:vAlign w:val="bottom"/>
          </w:tcPr>
          <w:p>
            <w:pPr>
              <w:spacing w:after="0"/>
              <w:rPr>
                <w:sz w:val="1"/>
                <w:szCs w:val="1"/>
                <w:color w:val="auto"/>
              </w:rPr>
            </w:pPr>
          </w:p>
        </w:tc>
      </w:tr>
      <w:tr>
        <w:trPr>
          <w:trHeight w:val="138"/>
        </w:trPr>
        <w:tc>
          <w:tcPr>
            <w:tcW w:w="2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500" w:type="dxa"/>
            <w:vAlign w:val="bottom"/>
            <w:gridSpan w:val="2"/>
          </w:tcPr>
          <w:p>
            <w:pPr>
              <w:jc w:val="center"/>
              <w:ind w:right="2803"/>
              <w:spacing w:after="0" w:line="138" w:lineRule="exact"/>
              <w:rPr>
                <w:sz w:val="20"/>
                <w:szCs w:val="20"/>
                <w:color w:val="auto"/>
              </w:rPr>
            </w:pPr>
            <w:r>
              <w:rPr>
                <w:rFonts w:ascii="Arial" w:cs="Arial" w:eastAsia="Arial" w:hAnsi="Arial"/>
                <w:sz w:val="14"/>
                <w:szCs w:val="14"/>
                <w:color w:val="auto"/>
              </w:rPr>
              <w:t>Not Applicable</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5840" w:type="dxa"/>
            <w:vAlign w:val="bottom"/>
            <w:gridSpan w:val="3"/>
          </w:tcPr>
          <w:p>
            <w:pPr>
              <w:jc w:val="center"/>
              <w:ind w:right="1443"/>
              <w:spacing w:after="0"/>
              <w:rPr>
                <w:sz w:val="20"/>
                <w:szCs w:val="20"/>
                <w:color w:val="auto"/>
              </w:rPr>
            </w:pPr>
            <w:r>
              <w:rPr>
                <w:rFonts w:ascii="Arial" w:cs="Arial" w:eastAsia="Arial" w:hAnsi="Arial"/>
                <w:sz w:val="11"/>
                <w:szCs w:val="11"/>
                <w:i w:val="1"/>
                <w:i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40"/>
        </w:trPr>
        <w:tc>
          <w:tcPr>
            <w:tcW w:w="20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 w:lineRule="exact"/>
        <w:rPr>
          <w:sz w:val="24"/>
          <w:szCs w:val="24"/>
          <w:color w:val="auto"/>
        </w:rPr>
      </w:pPr>
    </w:p>
    <w:tbl>
      <w:tblPr>
        <w:tblLayout w:type="fixed"/>
        <w:tblInd w:w="650" w:type="dxa"/>
        <w:tblCellMar>
          <w:top w:w="0" w:type="dxa"/>
          <w:left w:w="0" w:type="dxa"/>
          <w:bottom w:w="0" w:type="dxa"/>
          <w:right w:w="0" w:type="dxa"/>
        </w:tblCellMar>
      </w:tblPr>
      <w:tr>
        <w:trPr>
          <w:trHeight w:val="224"/>
        </w:trPr>
        <w:tc>
          <w:tcPr>
            <w:tcW w:w="3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39"/>
        </w:trPr>
        <w:tc>
          <w:tcPr>
            <w:tcW w:w="3480" w:type="dxa"/>
            <w:vAlign w:val="bottom"/>
            <w:tcBorders>
              <w:left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Class A common stock, $0.000025 par value per</w:t>
            </w: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96"/>
        </w:trPr>
        <w:tc>
          <w:tcPr>
            <w:tcW w:w="34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share</w:t>
            </w:r>
          </w:p>
        </w:tc>
        <w:tc>
          <w:tcPr>
            <w:tcW w:w="2140" w:type="dxa"/>
            <w:vAlign w:val="bottom"/>
            <w:tcBorders>
              <w:right w:val="single" w:sz="8" w:color="auto"/>
            </w:tcBorders>
            <w:vMerge w:val="continue"/>
          </w:tcPr>
          <w:p>
            <w:pPr>
              <w:spacing w:after="0"/>
              <w:rPr>
                <w:sz w:val="8"/>
                <w:szCs w:val="8"/>
                <w:color w:val="auto"/>
              </w:rPr>
            </w:pPr>
          </w:p>
        </w:tc>
        <w:tc>
          <w:tcPr>
            <w:tcW w:w="4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4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44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24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239" w:lineRule="exact"/>
        <w:rPr>
          <w:sz w:val="24"/>
          <w:szCs w:val="24"/>
          <w:color w:val="auto"/>
        </w:rPr>
      </w:pPr>
    </w:p>
    <w:p>
      <w:pPr>
        <w:ind w:right="20"/>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1680" w:type="dxa"/>
        <w:tblCellMar>
          <w:top w:w="0" w:type="dxa"/>
          <w:left w:w="0" w:type="dxa"/>
          <w:bottom w:w="0" w:type="dxa"/>
          <w:right w:w="0" w:type="dxa"/>
        </w:tblCellMar>
      </w:tblPr>
      <w:tr>
        <w:trPr>
          <w:trHeight w:val="191"/>
        </w:trPr>
        <w:tc>
          <w:tcPr>
            <w:tcW w:w="2000" w:type="dxa"/>
            <w:vAlign w:val="bottom"/>
          </w:tcPr>
          <w:p>
            <w:pPr>
              <w:jc w:val="center"/>
              <w:ind w:right="529"/>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02"/>
        </w:trPr>
        <w:tc>
          <w:tcPr>
            <w:tcW w:w="2000" w:type="dxa"/>
            <w:vAlign w:val="bottom"/>
          </w:tcPr>
          <w:p>
            <w:pPr>
              <w:jc w:val="center"/>
              <w:ind w:right="549"/>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6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6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21"/>
        </w:trPr>
        <w:tc>
          <w:tcPr>
            <w:tcW w:w="2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9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281" w:lineRule="exact"/>
        <w:rPr>
          <w:sz w:val="24"/>
          <w:szCs w:val="24"/>
          <w:color w:val="auto"/>
        </w:rPr>
      </w:pPr>
    </w:p>
    <w:p>
      <w:pPr>
        <w:ind w:right="480"/>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108" w:lineRule="exact"/>
        <w:rPr>
          <w:sz w:val="24"/>
          <w:szCs w:val="24"/>
          <w:color w:val="auto"/>
        </w:rPr>
      </w:pPr>
    </w:p>
    <w:p>
      <w:pPr>
        <w:spacing w:after="0" w:line="161" w:lineRule="exact"/>
        <w:tabs>
          <w:tab w:leader="none" w:pos="7240" w:val="left"/>
          <w:tab w:leader="none" w:pos="7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14" w:right="379" w:bottom="1440" w:gutter="0" w:footer="0" w:header="0"/>
        </w:sectPr>
      </w:pPr>
    </w:p>
    <w:bookmarkStart w:id="1" w:name="page2"/>
    <w:bookmarkEnd w:id="1"/>
    <w:p>
      <w:pPr>
        <w:ind w:right="40"/>
        <w:spacing w:after="0" w:line="229" w:lineRule="auto"/>
        <w:rPr>
          <w:sz w:val="20"/>
          <w:szCs w:val="20"/>
          <w:color w:val="auto"/>
        </w:rPr>
      </w:pPr>
      <w:r>
        <w:rPr>
          <w:rFonts w:ascii="Arial" w:cs="Arial" w:eastAsia="Arial" w:hAnsi="Arial"/>
          <w:sz w:val="14"/>
          <w:szCs w:val="14"/>
          <w:color w:val="auto"/>
        </w:rPr>
        <w:t>As of January 31, 2022, the number of shares of the registrant’s Class A common stock outstanding was 302,996,134 and the number of shares of the registrant’s Class B common stock outstanding was 28,604,062.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384810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60" w:type="dxa"/>
            <w:vAlign w:val="bottom"/>
            <w:gridSpan w:val="5"/>
          </w:tcPr>
          <w:p>
            <w:pPr>
              <w:jc w:val="center"/>
              <w:ind w:right="3760"/>
              <w:spacing w:after="0"/>
              <w:rPr>
                <w:sz w:val="20"/>
                <w:szCs w:val="20"/>
                <w:color w:val="auto"/>
              </w:rPr>
            </w:pPr>
            <w:r>
              <w:rPr>
                <w:rFonts w:ascii="Arial" w:cs="Arial" w:eastAsia="Arial" w:hAnsi="Arial"/>
                <w:sz w:val="13"/>
                <w:szCs w:val="13"/>
                <w:b w:val="1"/>
                <w:bCs w:val="1"/>
                <w:color w:val="auto"/>
                <w:w w:val="97"/>
              </w:rPr>
              <w:t>TABLE OF CONTENTS</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gridSpan w:val="5"/>
          </w:tcPr>
          <w:p>
            <w:pPr>
              <w:ind w:left="380"/>
              <w:spacing w:after="0"/>
              <w:rPr>
                <w:sz w:val="20"/>
                <w:szCs w:val="20"/>
                <w:color w:val="auto"/>
              </w:rPr>
            </w:pPr>
            <w:r>
              <w:rPr>
                <w:rFonts w:ascii="Arial" w:cs="Arial" w:eastAsia="Arial" w:hAnsi="Arial"/>
                <w:sz w:val="13"/>
                <w:szCs w:val="13"/>
                <w:b w:val="1"/>
                <w:bCs w:val="1"/>
                <w:color w:val="auto"/>
              </w:rPr>
              <w:t>Page</w:t>
            </w:r>
          </w:p>
        </w:tc>
      </w:tr>
      <w:tr>
        <w:trPr>
          <w:trHeight w:val="35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3"/>
                <w:szCs w:val="13"/>
                <w:color w:val="0000FF"/>
              </w:rPr>
            </w:pPr>
            <w:hyperlink w:anchor="page2">
              <w:r>
                <w:rPr>
                  <w:rFonts w:ascii="Arial" w:cs="Arial" w:eastAsia="Arial" w:hAnsi="Arial"/>
                  <w:sz w:val="13"/>
                  <w:szCs w:val="13"/>
                  <w:color w:val="0000FF"/>
                </w:rPr>
                <w:t>Special Note Regarding Forward Looking Statements</w:t>
              </w:r>
            </w:hyperlink>
          </w:p>
        </w:tc>
        <w:tc>
          <w:tcPr>
            <w:tcW w:w="620" w:type="dxa"/>
            <w:vAlign w:val="bottom"/>
            <w:gridSpan w:val="4"/>
          </w:tcPr>
          <w:p>
            <w:pPr>
              <w:jc w:val="center"/>
              <w:ind w:left="396"/>
              <w:spacing w:after="0"/>
              <w:rPr>
                <w:rFonts w:ascii="Arial" w:cs="Arial" w:eastAsia="Arial" w:hAnsi="Arial"/>
                <w:sz w:val="13"/>
                <w:szCs w:val="13"/>
                <w:color w:val="0000FF"/>
              </w:rPr>
            </w:pPr>
            <w:hyperlink w:anchor="page2">
              <w:r>
                <w:rPr>
                  <w:rFonts w:ascii="Arial" w:cs="Arial" w:eastAsia="Arial" w:hAnsi="Arial"/>
                  <w:sz w:val="13"/>
                  <w:szCs w:val="13"/>
                  <w:color w:val="0000FF"/>
                </w:rPr>
                <w:t>3</w:t>
              </w:r>
            </w:hyperlink>
          </w:p>
        </w:tc>
        <w:tc>
          <w:tcPr>
            <w:tcW w:w="38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Borders>
              <w:top w:val="single" w:sz="8" w:color="0000FF"/>
            </w:tcBorders>
            <w:gridSpan w:val="10"/>
          </w:tcPr>
          <w:p>
            <w:pPr>
              <w:spacing w:after="0"/>
              <w:rPr>
                <w:rFonts w:ascii="Arial" w:cs="Arial" w:eastAsia="Arial" w:hAnsi="Arial"/>
                <w:sz w:val="13"/>
                <w:szCs w:val="13"/>
                <w:color w:val="0000FF"/>
              </w:rPr>
            </w:pPr>
            <w:hyperlink w:anchor="page3">
              <w:r>
                <w:rPr>
                  <w:rFonts w:ascii="Arial" w:cs="Arial" w:eastAsia="Arial" w:hAnsi="Arial"/>
                  <w:sz w:val="13"/>
                  <w:szCs w:val="13"/>
                  <w:color w:val="0000FF"/>
                </w:rPr>
                <w:t>Risk Factor Summary</w:t>
              </w:r>
            </w:hyperlink>
          </w:p>
        </w:tc>
        <w:tc>
          <w:tcPr>
            <w:tcW w:w="640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560" w:type="dxa"/>
            <w:vAlign w:val="bottom"/>
            <w:gridSpan w:val="5"/>
          </w:tcPr>
          <w:p>
            <w:pPr>
              <w:ind w:left="80"/>
              <w:spacing w:after="0"/>
              <w:rPr>
                <w:sz w:val="20"/>
                <w:szCs w:val="20"/>
                <w:color w:val="auto"/>
              </w:rPr>
            </w:pPr>
            <w:r>
              <w:rPr>
                <w:rFonts w:ascii="Arial" w:cs="Arial" w:eastAsia="Arial" w:hAnsi="Arial"/>
                <w:sz w:val="13"/>
                <w:szCs w:val="13"/>
                <w:b w:val="1"/>
                <w:bCs w:val="1"/>
                <w:color w:val="auto"/>
              </w:rPr>
              <w:t>Part I. Financial Information</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860" w:type="dxa"/>
            <w:vAlign w:val="bottom"/>
            <w:gridSpan w:val="4"/>
          </w:tcPr>
          <w:p>
            <w:pPr>
              <w:spacing w:after="0" w:line="143" w:lineRule="exact"/>
              <w:rPr>
                <w:rFonts w:ascii="Arial" w:cs="Arial" w:eastAsia="Arial" w:hAnsi="Arial"/>
                <w:sz w:val="13"/>
                <w:szCs w:val="13"/>
                <w:color w:val="0000FF"/>
              </w:rPr>
            </w:pPr>
            <w:hyperlink w:anchor="page5">
              <w:r>
                <w:rPr>
                  <w:rFonts w:ascii="Arial" w:cs="Arial" w:eastAsia="Arial" w:hAnsi="Arial"/>
                  <w:sz w:val="13"/>
                  <w:szCs w:val="13"/>
                  <w:color w:val="0000FF"/>
                </w:rPr>
                <w:t>Item 1.</w:t>
              </w:r>
            </w:hyperlink>
          </w:p>
        </w:tc>
        <w:tc>
          <w:tcPr>
            <w:tcW w:w="9400" w:type="dxa"/>
            <w:vAlign w:val="bottom"/>
            <w:gridSpan w:val="18"/>
          </w:tcPr>
          <w:p>
            <w:pPr>
              <w:spacing w:after="0" w:line="143" w:lineRule="exact"/>
              <w:rPr>
                <w:rFonts w:ascii="Arial" w:cs="Arial" w:eastAsia="Arial" w:hAnsi="Arial"/>
                <w:sz w:val="13"/>
                <w:szCs w:val="13"/>
                <w:color w:val="0000FF"/>
              </w:rPr>
            </w:pPr>
            <w:hyperlink w:anchor="page5">
              <w:r>
                <w:rPr>
                  <w:rFonts w:ascii="Arial" w:cs="Arial" w:eastAsia="Arial" w:hAnsi="Arial"/>
                  <w:sz w:val="13"/>
                  <w:szCs w:val="13"/>
                  <w:color w:val="0000FF"/>
                </w:rPr>
                <w:t>Financial Statements</w:t>
              </w:r>
            </w:hyperlink>
          </w:p>
        </w:tc>
        <w:tc>
          <w:tcPr>
            <w:tcW w:w="620" w:type="dxa"/>
            <w:vAlign w:val="bottom"/>
            <w:gridSpan w:val="4"/>
          </w:tcPr>
          <w:p>
            <w:pPr>
              <w:jc w:val="center"/>
              <w:ind w:left="396"/>
              <w:spacing w:after="0" w:line="143" w:lineRule="exact"/>
              <w:rPr>
                <w:rFonts w:ascii="Arial" w:cs="Arial" w:eastAsia="Arial" w:hAnsi="Arial"/>
                <w:sz w:val="13"/>
                <w:szCs w:val="13"/>
                <w:color w:val="0000FF"/>
              </w:rPr>
            </w:pPr>
            <w:hyperlink w:anchor="page5">
              <w:r>
                <w:rPr>
                  <w:rFonts w:ascii="Arial" w:cs="Arial" w:eastAsia="Arial" w:hAnsi="Arial"/>
                  <w:sz w:val="13"/>
                  <w:szCs w:val="13"/>
                  <w:color w:val="0000FF"/>
                </w:rPr>
                <w:t>5</w:t>
              </w:r>
            </w:hyperlink>
          </w:p>
        </w:tc>
        <w:tc>
          <w:tcPr>
            <w:tcW w:w="3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gridSpan w:val="18"/>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 xml:space="preserve">Condensed Consolidated Balance Sheets as of December </w:t>
              </w:r>
            </w:hyperlink>
            <w:r>
              <w:rPr>
                <w:rFonts w:ascii="Arial" w:cs="Arial" w:eastAsia="Arial" w:hAnsi="Arial"/>
                <w:sz w:val="13"/>
                <w:szCs w:val="13"/>
                <w:color w:val="0000FF"/>
              </w:rPr>
              <w:t xml:space="preserve">31, </w:t>
            </w:r>
            <w:hyperlink w:anchor="page5">
              <w:r>
                <w:rPr>
                  <w:rFonts w:ascii="Arial" w:cs="Arial" w:eastAsia="Arial" w:hAnsi="Arial"/>
                  <w:sz w:val="13"/>
                  <w:szCs w:val="13"/>
                  <w:color w:val="0000FF"/>
                </w:rPr>
                <w:t>2021 and June 30, 2021 (unaudited)</w:t>
              </w:r>
            </w:hyperlink>
          </w:p>
        </w:tc>
        <w:tc>
          <w:tcPr>
            <w:tcW w:w="620" w:type="dxa"/>
            <w:vAlign w:val="bottom"/>
            <w:gridSpan w:val="4"/>
          </w:tcPr>
          <w:p>
            <w:pPr>
              <w:jc w:val="center"/>
              <w:ind w:left="396"/>
              <w:spacing w:after="0"/>
              <w:rPr>
                <w:rFonts w:ascii="Arial" w:cs="Arial" w:eastAsia="Arial" w:hAnsi="Arial"/>
                <w:sz w:val="13"/>
                <w:szCs w:val="13"/>
                <w:color w:val="0000FF"/>
              </w:rPr>
            </w:pPr>
            <w:hyperlink w:anchor="page5">
              <w:r>
                <w:rPr>
                  <w:rFonts w:ascii="Arial" w:cs="Arial" w:eastAsia="Arial" w:hAnsi="Arial"/>
                  <w:sz w:val="13"/>
                  <w:szCs w:val="13"/>
                  <w:color w:val="0000FF"/>
                </w:rPr>
                <w:t>5</w:t>
              </w:r>
            </w:hyperlink>
          </w:p>
        </w:tc>
        <w:tc>
          <w:tcPr>
            <w:tcW w:w="3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tcBorders>
              <w:bottom w:val="single" w:sz="8" w:color="0000FF"/>
            </w:tcBorders>
            <w:gridSpan w:val="18"/>
          </w:tcPr>
          <w:p>
            <w:pPr>
              <w:spacing w:after="0"/>
              <w:rPr>
                <w:rFonts w:ascii="Arial" w:cs="Arial" w:eastAsia="Arial" w:hAnsi="Arial"/>
                <w:sz w:val="13"/>
                <w:szCs w:val="13"/>
                <w:color w:val="0000FF"/>
                <w:w w:val="97"/>
              </w:rPr>
            </w:pPr>
            <w:hyperlink w:anchor="page5">
              <w:r>
                <w:rPr>
                  <w:rFonts w:ascii="Arial" w:cs="Arial" w:eastAsia="Arial" w:hAnsi="Arial"/>
                  <w:sz w:val="13"/>
                  <w:szCs w:val="13"/>
                  <w:color w:val="0000FF"/>
                  <w:w w:val="97"/>
                </w:rPr>
                <w:t>Condensed Consolidated Statements of Operations and Comprehensive (Loss) Income for the Three and Six Months Ended December 31, 2021 and 2020 (unaudited)</w:t>
              </w:r>
            </w:hyperlink>
          </w:p>
        </w:tc>
        <w:tc>
          <w:tcPr>
            <w:tcW w:w="500" w:type="dxa"/>
            <w:vAlign w:val="bottom"/>
            <w:gridSpan w:val="2"/>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3"/>
                <w:szCs w:val="13"/>
                <w:color w:val="0000FF"/>
              </w:rPr>
            </w:pPr>
            <w:hyperlink w:anchor="page5">
              <w:r>
                <w:rPr>
                  <w:rFonts w:ascii="Arial" w:cs="Arial" w:eastAsia="Arial" w:hAnsi="Arial"/>
                  <w:sz w:val="13"/>
                  <w:szCs w:val="13"/>
                  <w:color w:val="0000FF"/>
                </w:rPr>
                <w:t>6</w:t>
              </w:r>
            </w:hyperlink>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20" w:type="dxa"/>
            <w:vAlign w:val="bottom"/>
            <w:tcBorders>
              <w:bottom w:val="single" w:sz="8" w:color="0000FF"/>
            </w:tcBorders>
            <w:gridSpan w:val="16"/>
          </w:tcPr>
          <w:p>
            <w:pPr>
              <w:spacing w:after="0"/>
              <w:rPr>
                <w:rFonts w:ascii="Arial" w:cs="Arial" w:eastAsia="Arial" w:hAnsi="Arial"/>
                <w:sz w:val="13"/>
                <w:szCs w:val="13"/>
                <w:color w:val="0000FF"/>
                <w:w w:val="97"/>
              </w:rPr>
            </w:pPr>
            <w:hyperlink w:anchor="page6">
              <w:r>
                <w:rPr>
                  <w:rFonts w:ascii="Arial" w:cs="Arial" w:eastAsia="Arial" w:hAnsi="Arial"/>
                  <w:sz w:val="13"/>
                  <w:szCs w:val="13"/>
                  <w:color w:val="0000FF"/>
                  <w:w w:val="97"/>
                </w:rPr>
                <w:t xml:space="preserve">Condensed Consolidated Statements of Cash Flows for the Six Months Ended December </w:t>
              </w:r>
            </w:hyperlink>
            <w:r>
              <w:rPr>
                <w:rFonts w:ascii="Arial" w:cs="Arial" w:eastAsia="Arial" w:hAnsi="Arial"/>
                <w:sz w:val="13"/>
                <w:szCs w:val="13"/>
                <w:color w:val="0000FF"/>
                <w:w w:val="97"/>
              </w:rPr>
              <w:t xml:space="preserve">31, </w:t>
            </w:r>
            <w:hyperlink w:anchor="page6">
              <w:r>
                <w:rPr>
                  <w:rFonts w:ascii="Arial" w:cs="Arial" w:eastAsia="Arial" w:hAnsi="Arial"/>
                  <w:sz w:val="13"/>
                  <w:szCs w:val="13"/>
                  <w:color w:val="0000FF"/>
                  <w:w w:val="97"/>
                </w:rPr>
                <w:t>2021 and 2020 (unaudited)</w:t>
              </w:r>
            </w:hyperlink>
          </w:p>
        </w:tc>
        <w:tc>
          <w:tcPr>
            <w:tcW w:w="2580" w:type="dxa"/>
            <w:vAlign w:val="bottom"/>
            <w:gridSpan w:val="2"/>
          </w:tcPr>
          <w:p>
            <w:pPr>
              <w:spacing w:after="0"/>
              <w:rPr>
                <w:sz w:val="13"/>
                <w:szCs w:val="13"/>
                <w:color w:val="auto"/>
              </w:rPr>
            </w:pPr>
          </w:p>
        </w:tc>
        <w:tc>
          <w:tcPr>
            <w:tcW w:w="500" w:type="dxa"/>
            <w:vAlign w:val="bottom"/>
            <w:gridSpan w:val="2"/>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3"/>
                <w:szCs w:val="13"/>
                <w:color w:val="0000FF"/>
              </w:rPr>
            </w:pPr>
            <w:hyperlink w:anchor="page6">
              <w:r>
                <w:rPr>
                  <w:rFonts w:ascii="Arial" w:cs="Arial" w:eastAsia="Arial" w:hAnsi="Arial"/>
                  <w:sz w:val="13"/>
                  <w:szCs w:val="13"/>
                  <w:color w:val="0000FF"/>
                </w:rPr>
                <w:t>6</w:t>
              </w:r>
            </w:hyperlink>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920" w:type="dxa"/>
            <w:vAlign w:val="bottom"/>
            <w:tcBorders>
              <w:bottom w:val="single" w:sz="8" w:color="0000FF"/>
            </w:tcBorders>
            <w:gridSpan w:val="17"/>
          </w:tcPr>
          <w:p>
            <w:pPr>
              <w:spacing w:after="0"/>
              <w:rPr>
                <w:rFonts w:ascii="Arial" w:cs="Arial" w:eastAsia="Arial" w:hAnsi="Arial"/>
                <w:sz w:val="13"/>
                <w:szCs w:val="13"/>
                <w:color w:val="0000FF"/>
                <w:w w:val="97"/>
              </w:rPr>
            </w:pPr>
            <w:hyperlink w:anchor="page8">
              <w:r>
                <w:rPr>
                  <w:rFonts w:ascii="Arial" w:cs="Arial" w:eastAsia="Arial" w:hAnsi="Arial"/>
                  <w:sz w:val="13"/>
                  <w:szCs w:val="13"/>
                  <w:color w:val="0000FF"/>
                  <w:w w:val="97"/>
                </w:rPr>
                <w:t xml:space="preserve">Condensed Consolidated Statements of Stockholders’ Equity for the Three and Six Months Ended December </w:t>
              </w:r>
            </w:hyperlink>
            <w:r>
              <w:rPr>
                <w:rFonts w:ascii="Arial" w:cs="Arial" w:eastAsia="Arial" w:hAnsi="Arial"/>
                <w:sz w:val="13"/>
                <w:szCs w:val="13"/>
                <w:color w:val="0000FF"/>
                <w:w w:val="97"/>
              </w:rPr>
              <w:t xml:space="preserve">31, </w:t>
            </w:r>
            <w:hyperlink w:anchor="page8">
              <w:r>
                <w:rPr>
                  <w:rFonts w:ascii="Arial" w:cs="Arial" w:eastAsia="Arial" w:hAnsi="Arial"/>
                  <w:sz w:val="13"/>
                  <w:szCs w:val="13"/>
                  <w:color w:val="0000FF"/>
                  <w:w w:val="97"/>
                </w:rPr>
                <w:t>2021 and 2020 (unaudited)</w:t>
              </w:r>
            </w:hyperlink>
          </w:p>
        </w:tc>
        <w:tc>
          <w:tcPr>
            <w:tcW w:w="148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80" w:type="dxa"/>
            <w:vAlign w:val="bottom"/>
            <w:tcBorders>
              <w:bottom w:val="single" w:sz="8" w:color="0000FF"/>
            </w:tcBorders>
          </w:tcPr>
          <w:p>
            <w:pPr>
              <w:jc w:val="center"/>
              <w:spacing w:after="0"/>
              <w:rPr>
                <w:rFonts w:ascii="Arial" w:cs="Arial" w:eastAsia="Arial" w:hAnsi="Arial"/>
                <w:sz w:val="13"/>
                <w:szCs w:val="13"/>
                <w:color w:val="0000FF"/>
              </w:rPr>
            </w:pPr>
            <w:hyperlink w:anchor="page8">
              <w:r>
                <w:rPr>
                  <w:rFonts w:ascii="Arial" w:cs="Arial" w:eastAsia="Arial" w:hAnsi="Arial"/>
                  <w:sz w:val="13"/>
                  <w:szCs w:val="13"/>
                  <w:color w:val="0000FF"/>
                </w:rPr>
                <w:t>9</w:t>
              </w:r>
            </w:hyperlink>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0" w:type="dxa"/>
            <w:vAlign w:val="bottom"/>
            <w:gridSpan w:val="18"/>
          </w:tcPr>
          <w:p>
            <w:pPr>
              <w:spacing w:after="0"/>
              <w:rPr>
                <w:rFonts w:ascii="Arial" w:cs="Arial" w:eastAsia="Arial" w:hAnsi="Arial"/>
                <w:sz w:val="13"/>
                <w:szCs w:val="13"/>
                <w:color w:val="0000FF"/>
              </w:rPr>
            </w:pPr>
            <w:hyperlink w:anchor="page9">
              <w:r>
                <w:rPr>
                  <w:rFonts w:ascii="Arial" w:cs="Arial" w:eastAsia="Arial" w:hAnsi="Arial"/>
                  <w:sz w:val="13"/>
                  <w:szCs w:val="13"/>
                  <w:color w:val="0000FF"/>
                </w:rPr>
                <w:t>Notes to Condensed Consolidated Financial Statements (unaudited)</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9">
              <w:r>
                <w:rPr>
                  <w:rFonts w:ascii="Arial" w:cs="Arial" w:eastAsia="Arial" w:hAnsi="Arial"/>
                  <w:sz w:val="13"/>
                  <w:szCs w:val="13"/>
                  <w:color w:val="0000FF"/>
                  <w:w w:val="96"/>
                </w:rPr>
                <w:t>10</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24">
              <w:r>
                <w:rPr>
                  <w:rFonts w:ascii="Arial" w:cs="Arial" w:eastAsia="Arial" w:hAnsi="Arial"/>
                  <w:sz w:val="13"/>
                  <w:szCs w:val="13"/>
                  <w:color w:val="0000FF"/>
                </w:rPr>
                <w:t>Item 2.</w:t>
              </w:r>
            </w:hyperlink>
          </w:p>
        </w:tc>
        <w:tc>
          <w:tcPr>
            <w:tcW w:w="9400" w:type="dxa"/>
            <w:vAlign w:val="bottom"/>
            <w:gridSpan w:val="18"/>
          </w:tcPr>
          <w:p>
            <w:pPr>
              <w:spacing w:after="0"/>
              <w:rPr>
                <w:rFonts w:ascii="Arial" w:cs="Arial" w:eastAsia="Arial" w:hAnsi="Arial"/>
                <w:sz w:val="13"/>
                <w:szCs w:val="13"/>
                <w:color w:val="0000FF"/>
              </w:rPr>
            </w:pPr>
            <w:hyperlink w:anchor="page24">
              <w:r>
                <w:rPr>
                  <w:rFonts w:ascii="Arial" w:cs="Arial" w:eastAsia="Arial" w:hAnsi="Arial"/>
                  <w:sz w:val="13"/>
                  <w:szCs w:val="13"/>
                  <w:color w:val="0000FF"/>
                </w:rPr>
                <w:t>Management’s Discussion and Analysis of Financial Condition and Results of Operations</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24">
              <w:r>
                <w:rPr>
                  <w:rFonts w:ascii="Arial" w:cs="Arial" w:eastAsia="Arial" w:hAnsi="Arial"/>
                  <w:sz w:val="13"/>
                  <w:szCs w:val="13"/>
                  <w:color w:val="0000FF"/>
                  <w:w w:val="96"/>
                </w:rPr>
                <w:t>25</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39">
              <w:r>
                <w:rPr>
                  <w:rFonts w:ascii="Arial" w:cs="Arial" w:eastAsia="Arial" w:hAnsi="Arial"/>
                  <w:sz w:val="13"/>
                  <w:szCs w:val="13"/>
                  <w:color w:val="0000FF"/>
                </w:rPr>
                <w:t>Item 3.</w:t>
              </w:r>
            </w:hyperlink>
          </w:p>
        </w:tc>
        <w:tc>
          <w:tcPr>
            <w:tcW w:w="9400" w:type="dxa"/>
            <w:vAlign w:val="bottom"/>
            <w:gridSpan w:val="18"/>
          </w:tcPr>
          <w:p>
            <w:pPr>
              <w:spacing w:after="0"/>
              <w:rPr>
                <w:rFonts w:ascii="Arial" w:cs="Arial" w:eastAsia="Arial" w:hAnsi="Arial"/>
                <w:sz w:val="13"/>
                <w:szCs w:val="13"/>
                <w:color w:val="0000FF"/>
              </w:rPr>
            </w:pPr>
            <w:hyperlink w:anchor="page39">
              <w:r>
                <w:rPr>
                  <w:rFonts w:ascii="Arial" w:cs="Arial" w:eastAsia="Arial" w:hAnsi="Arial"/>
                  <w:sz w:val="13"/>
                  <w:szCs w:val="13"/>
                  <w:color w:val="0000FF"/>
                </w:rPr>
                <w:t>Quantitative and Qualitative Disclosures About Market Risk</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39">
              <w:r>
                <w:rPr>
                  <w:rFonts w:ascii="Arial" w:cs="Arial" w:eastAsia="Arial" w:hAnsi="Arial"/>
                  <w:sz w:val="13"/>
                  <w:szCs w:val="13"/>
                  <w:color w:val="0000FF"/>
                  <w:w w:val="96"/>
                </w:rPr>
                <w:t>39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40">
              <w:r>
                <w:rPr>
                  <w:rFonts w:ascii="Arial" w:cs="Arial" w:eastAsia="Arial" w:hAnsi="Arial"/>
                  <w:sz w:val="13"/>
                  <w:szCs w:val="13"/>
                  <w:color w:val="0000FF"/>
                </w:rPr>
                <w:t>Item 4.</w:t>
              </w:r>
            </w:hyperlink>
          </w:p>
        </w:tc>
        <w:tc>
          <w:tcPr>
            <w:tcW w:w="9400" w:type="dxa"/>
            <w:vAlign w:val="bottom"/>
            <w:gridSpan w:val="18"/>
          </w:tcPr>
          <w:p>
            <w:pPr>
              <w:spacing w:after="0"/>
              <w:rPr>
                <w:rFonts w:ascii="Arial" w:cs="Arial" w:eastAsia="Arial" w:hAnsi="Arial"/>
                <w:sz w:val="13"/>
                <w:szCs w:val="13"/>
                <w:color w:val="0000FF"/>
              </w:rPr>
            </w:pPr>
            <w:hyperlink w:anchor="page40">
              <w:r>
                <w:rPr>
                  <w:rFonts w:ascii="Arial" w:cs="Arial" w:eastAsia="Arial" w:hAnsi="Arial"/>
                  <w:sz w:val="13"/>
                  <w:szCs w:val="13"/>
                  <w:color w:val="0000FF"/>
                </w:rPr>
                <w:t>Controls and Procedures</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40">
              <w:r>
                <w:rPr>
                  <w:rFonts w:ascii="Arial" w:cs="Arial" w:eastAsia="Arial" w:hAnsi="Arial"/>
                  <w:sz w:val="13"/>
                  <w:szCs w:val="13"/>
                  <w:color w:val="0000FF"/>
                  <w:w w:val="96"/>
                </w:rPr>
                <w:t>40</w:t>
              </w:r>
            </w:hyperlink>
          </w:p>
        </w:tc>
      </w:tr>
      <w:tr>
        <w:trPr>
          <w:trHeight w:val="389"/>
        </w:trPr>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60" w:type="dxa"/>
            <w:vAlign w:val="bottom"/>
            <w:gridSpan w:val="5"/>
          </w:tcPr>
          <w:p>
            <w:pPr>
              <w:jc w:val="center"/>
              <w:ind w:right="3780"/>
              <w:spacing w:after="0"/>
              <w:rPr>
                <w:sz w:val="20"/>
                <w:szCs w:val="20"/>
                <w:color w:val="auto"/>
              </w:rPr>
            </w:pPr>
            <w:r>
              <w:rPr>
                <w:rFonts w:ascii="Arial" w:cs="Arial" w:eastAsia="Arial" w:hAnsi="Arial"/>
                <w:sz w:val="13"/>
                <w:szCs w:val="13"/>
                <w:b w:val="1"/>
                <w:bCs w:val="1"/>
                <w:color w:val="auto"/>
                <w:w w:val="97"/>
              </w:rPr>
              <w:t>Part II. Other Information</w:t>
            </w:r>
          </w:p>
        </w:tc>
        <w:tc>
          <w:tcPr>
            <w:tcW w:w="4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80" w:type="dxa"/>
            <w:vAlign w:val="bottom"/>
            <w:tcBorders>
              <w:bottom w:val="single" w:sz="8" w:color="0000FF"/>
            </w:tcBorders>
            <w:gridSpan w:val="2"/>
          </w:tcPr>
          <w:p>
            <w:pPr>
              <w:spacing w:after="0" w:line="143" w:lineRule="exact"/>
              <w:rPr>
                <w:rFonts w:ascii="Arial" w:cs="Arial" w:eastAsia="Arial" w:hAnsi="Arial"/>
                <w:sz w:val="13"/>
                <w:szCs w:val="13"/>
                <w:color w:val="0000FF"/>
              </w:rPr>
            </w:pPr>
            <w:hyperlink w:anchor="page42">
              <w:r>
                <w:rPr>
                  <w:rFonts w:ascii="Arial" w:cs="Arial" w:eastAsia="Arial" w:hAnsi="Arial"/>
                  <w:sz w:val="13"/>
                  <w:szCs w:val="13"/>
                  <w:color w:val="0000FF"/>
                </w:rPr>
                <w:t>Item 1.</w:t>
              </w:r>
            </w:hyperlink>
          </w:p>
        </w:tc>
        <w:tc>
          <w:tcPr>
            <w:tcW w:w="380" w:type="dxa"/>
            <w:vAlign w:val="bottom"/>
            <w:gridSpan w:val="2"/>
          </w:tcPr>
          <w:p>
            <w:pPr>
              <w:spacing w:after="0"/>
              <w:rPr>
                <w:sz w:val="12"/>
                <w:szCs w:val="12"/>
                <w:color w:val="auto"/>
              </w:rPr>
            </w:pPr>
          </w:p>
        </w:tc>
        <w:tc>
          <w:tcPr>
            <w:tcW w:w="1060" w:type="dxa"/>
            <w:vAlign w:val="bottom"/>
            <w:tcBorders>
              <w:bottom w:val="single" w:sz="8" w:color="0000FF"/>
            </w:tcBorders>
            <w:gridSpan w:val="4"/>
          </w:tcPr>
          <w:p>
            <w:pPr>
              <w:spacing w:after="0" w:line="143" w:lineRule="exact"/>
              <w:rPr>
                <w:rFonts w:ascii="Arial" w:cs="Arial" w:eastAsia="Arial" w:hAnsi="Arial"/>
                <w:sz w:val="13"/>
                <w:szCs w:val="13"/>
                <w:color w:val="0000FF"/>
                <w:w w:val="96"/>
              </w:rPr>
            </w:pPr>
            <w:hyperlink w:anchor="page42">
              <w:r>
                <w:rPr>
                  <w:rFonts w:ascii="Arial" w:cs="Arial" w:eastAsia="Arial" w:hAnsi="Arial"/>
                  <w:sz w:val="13"/>
                  <w:szCs w:val="13"/>
                  <w:color w:val="0000FF"/>
                  <w:w w:val="96"/>
                </w:rPr>
                <w:t>Legal Proceedings</w:t>
              </w:r>
            </w:hyperlink>
          </w:p>
        </w:tc>
        <w:tc>
          <w:tcPr>
            <w:tcW w:w="8340" w:type="dxa"/>
            <w:vAlign w:val="bottom"/>
            <w:gridSpan w:val="14"/>
          </w:tcPr>
          <w:p>
            <w:pPr>
              <w:spacing w:after="0"/>
              <w:rPr>
                <w:sz w:val="12"/>
                <w:szCs w:val="12"/>
                <w:color w:val="auto"/>
              </w:rPr>
            </w:pPr>
          </w:p>
        </w:tc>
        <w:tc>
          <w:tcPr>
            <w:tcW w:w="1000" w:type="dxa"/>
            <w:vAlign w:val="bottom"/>
            <w:gridSpan w:val="5"/>
          </w:tcPr>
          <w:p>
            <w:pPr>
              <w:jc w:val="center"/>
              <w:ind w:left="36"/>
              <w:spacing w:after="0" w:line="143" w:lineRule="exact"/>
              <w:rPr>
                <w:rFonts w:ascii="Arial" w:cs="Arial" w:eastAsia="Arial" w:hAnsi="Arial"/>
                <w:sz w:val="13"/>
                <w:szCs w:val="13"/>
                <w:color w:val="0000FF"/>
                <w:w w:val="96"/>
              </w:rPr>
            </w:pPr>
            <w:hyperlink w:anchor="page42">
              <w:r>
                <w:rPr>
                  <w:rFonts w:ascii="Arial" w:cs="Arial" w:eastAsia="Arial" w:hAnsi="Arial"/>
                  <w:sz w:val="13"/>
                  <w:szCs w:val="13"/>
                  <w:color w:val="0000FF"/>
                  <w:w w:val="96"/>
                </w:rPr>
                <w:t>42</w:t>
              </w:r>
            </w:hyperlink>
          </w:p>
        </w:tc>
      </w:tr>
      <w:tr>
        <w:trPr>
          <w:trHeight w:val="15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3"/>
                <w:szCs w:val="13"/>
                <w:color w:val="0000FF"/>
                <w:w w:val="94"/>
              </w:rPr>
            </w:pPr>
            <w:hyperlink w:anchor="page42">
              <w:r>
                <w:rPr>
                  <w:rFonts w:ascii="Arial" w:cs="Arial" w:eastAsia="Arial" w:hAnsi="Arial"/>
                  <w:sz w:val="13"/>
                  <w:szCs w:val="13"/>
                  <w:color w:val="0000FF"/>
                  <w:w w:val="94"/>
                </w:rPr>
                <w:t>Item 1A.</w:t>
              </w:r>
            </w:hyperlink>
          </w:p>
        </w:tc>
        <w:tc>
          <w:tcPr>
            <w:tcW w:w="380" w:type="dxa"/>
            <w:vAlign w:val="bottom"/>
            <w:gridSpan w:val="2"/>
          </w:tcPr>
          <w:p>
            <w:pPr>
              <w:spacing w:after="0"/>
              <w:rPr>
                <w:sz w:val="13"/>
                <w:szCs w:val="13"/>
                <w:color w:val="auto"/>
              </w:rPr>
            </w:pPr>
          </w:p>
        </w:tc>
        <w:tc>
          <w:tcPr>
            <w:tcW w:w="9400" w:type="dxa"/>
            <w:vAlign w:val="bottom"/>
            <w:gridSpan w:val="18"/>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Risk Factors</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42">
              <w:r>
                <w:rPr>
                  <w:rFonts w:ascii="Arial" w:cs="Arial" w:eastAsia="Arial" w:hAnsi="Arial"/>
                  <w:sz w:val="13"/>
                  <w:szCs w:val="13"/>
                  <w:color w:val="0000FF"/>
                  <w:w w:val="96"/>
                </w:rPr>
                <w:t>42</w:t>
              </w:r>
            </w:hyperlink>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80" w:type="dxa"/>
            <w:vAlign w:val="bottom"/>
            <w:tcBorders>
              <w:bottom w:val="single" w:sz="8" w:color="0000FF"/>
            </w:tcBorders>
            <w:gridSpan w:val="2"/>
          </w:tcPr>
          <w:p>
            <w:pPr>
              <w:spacing w:after="0"/>
              <w:rPr>
                <w:rFonts w:ascii="Arial" w:cs="Arial" w:eastAsia="Arial" w:hAnsi="Arial"/>
                <w:sz w:val="13"/>
                <w:szCs w:val="13"/>
                <w:color w:val="0000FF"/>
              </w:rPr>
            </w:pPr>
            <w:hyperlink w:anchor="page24">
              <w:r>
                <w:rPr>
                  <w:rFonts w:ascii="Arial" w:cs="Arial" w:eastAsia="Arial" w:hAnsi="Arial"/>
                  <w:sz w:val="13"/>
                  <w:szCs w:val="13"/>
                  <w:color w:val="0000FF"/>
                </w:rPr>
                <w:t>Item 2.</w:t>
              </w:r>
            </w:hyperlink>
          </w:p>
        </w:tc>
        <w:tc>
          <w:tcPr>
            <w:tcW w:w="3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40" w:type="dxa"/>
            <w:vAlign w:val="bottom"/>
            <w:tcBorders>
              <w:bottom w:val="single" w:sz="8" w:color="0000FF"/>
            </w:tcBorders>
            <w:gridSpan w:val="12"/>
          </w:tcPr>
          <w:p>
            <w:pPr>
              <w:spacing w:after="0"/>
              <w:rPr>
                <w:rFonts w:ascii="Arial" w:cs="Arial" w:eastAsia="Arial" w:hAnsi="Arial"/>
                <w:sz w:val="13"/>
                <w:szCs w:val="13"/>
                <w:color w:val="0000FF"/>
                <w:w w:val="97"/>
              </w:rPr>
            </w:pPr>
            <w:hyperlink w:anchor="page72">
              <w:r>
                <w:rPr>
                  <w:rFonts w:ascii="Arial" w:cs="Arial" w:eastAsia="Arial" w:hAnsi="Arial"/>
                  <w:sz w:val="13"/>
                  <w:szCs w:val="13"/>
                  <w:color w:val="0000FF"/>
                  <w:w w:val="97"/>
                </w:rPr>
                <w:t>Unregistered Sales of Equity Securities and Use of Proceeds</w:t>
              </w:r>
            </w:hyperlink>
          </w:p>
        </w:tc>
        <w:tc>
          <w:tcPr>
            <w:tcW w:w="5960" w:type="dxa"/>
            <w:vAlign w:val="bottom"/>
            <w:gridSpan w:val="6"/>
          </w:tcPr>
          <w:p>
            <w:pPr>
              <w:spacing w:after="0"/>
              <w:rPr>
                <w:sz w:val="13"/>
                <w:szCs w:val="13"/>
                <w:color w:val="auto"/>
              </w:rPr>
            </w:pPr>
          </w:p>
        </w:tc>
        <w:tc>
          <w:tcPr>
            <w:tcW w:w="1000" w:type="dxa"/>
            <w:vAlign w:val="bottom"/>
            <w:gridSpan w:val="5"/>
          </w:tcPr>
          <w:p>
            <w:pPr>
              <w:jc w:val="center"/>
              <w:ind w:left="36"/>
              <w:spacing w:after="0"/>
              <w:rPr>
                <w:rFonts w:ascii="Arial" w:cs="Arial" w:eastAsia="Arial" w:hAnsi="Arial"/>
                <w:sz w:val="13"/>
                <w:szCs w:val="13"/>
                <w:color w:val="0000FF"/>
                <w:w w:val="96"/>
              </w:rPr>
            </w:pPr>
            <w:hyperlink w:anchor="page72">
              <w:r>
                <w:rPr>
                  <w:rFonts w:ascii="Arial" w:cs="Arial" w:eastAsia="Arial" w:hAnsi="Arial"/>
                  <w:sz w:val="13"/>
                  <w:szCs w:val="13"/>
                  <w:color w:val="0000FF"/>
                  <w:w w:val="96"/>
                </w:rPr>
                <w:t>72</w:t>
              </w:r>
            </w:hyperlink>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72">
              <w:r>
                <w:rPr>
                  <w:rFonts w:ascii="Arial" w:cs="Arial" w:eastAsia="Arial" w:hAnsi="Arial"/>
                  <w:sz w:val="13"/>
                  <w:szCs w:val="13"/>
                  <w:color w:val="0000FF"/>
                </w:rPr>
                <w:t>Item 3.</w:t>
              </w:r>
            </w:hyperlink>
          </w:p>
        </w:tc>
        <w:tc>
          <w:tcPr>
            <w:tcW w:w="9400" w:type="dxa"/>
            <w:vAlign w:val="bottom"/>
            <w:gridSpan w:val="18"/>
          </w:tcPr>
          <w:p>
            <w:pPr>
              <w:spacing w:after="0"/>
              <w:rPr>
                <w:rFonts w:ascii="Arial" w:cs="Arial" w:eastAsia="Arial" w:hAnsi="Arial"/>
                <w:sz w:val="13"/>
                <w:szCs w:val="13"/>
                <w:color w:val="0000FF"/>
              </w:rPr>
            </w:pPr>
            <w:hyperlink w:anchor="page72">
              <w:r>
                <w:rPr>
                  <w:rFonts w:ascii="Arial" w:cs="Arial" w:eastAsia="Arial" w:hAnsi="Arial"/>
                  <w:sz w:val="13"/>
                  <w:szCs w:val="13"/>
                  <w:color w:val="0000FF"/>
                </w:rPr>
                <w:t>Defaults Upon Senior Securities</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72">
              <w:r>
                <w:rPr>
                  <w:rFonts w:ascii="Arial" w:cs="Arial" w:eastAsia="Arial" w:hAnsi="Arial"/>
                  <w:sz w:val="13"/>
                  <w:szCs w:val="13"/>
                  <w:color w:val="0000FF"/>
                  <w:w w:val="96"/>
                </w:rPr>
                <w:t>72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72">
              <w:r>
                <w:rPr>
                  <w:rFonts w:ascii="Arial" w:cs="Arial" w:eastAsia="Arial" w:hAnsi="Arial"/>
                  <w:sz w:val="13"/>
                  <w:szCs w:val="13"/>
                  <w:color w:val="0000FF"/>
                </w:rPr>
                <w:t>Item 4.</w:t>
              </w:r>
            </w:hyperlink>
          </w:p>
        </w:tc>
        <w:tc>
          <w:tcPr>
            <w:tcW w:w="9400" w:type="dxa"/>
            <w:vAlign w:val="bottom"/>
            <w:gridSpan w:val="18"/>
          </w:tcPr>
          <w:p>
            <w:pPr>
              <w:spacing w:after="0"/>
              <w:rPr>
                <w:rFonts w:ascii="Arial" w:cs="Arial" w:eastAsia="Arial" w:hAnsi="Arial"/>
                <w:sz w:val="13"/>
                <w:szCs w:val="13"/>
                <w:color w:val="0000FF"/>
              </w:rPr>
            </w:pPr>
            <w:hyperlink w:anchor="page72">
              <w:r>
                <w:rPr>
                  <w:rFonts w:ascii="Arial" w:cs="Arial" w:eastAsia="Arial" w:hAnsi="Arial"/>
                  <w:sz w:val="13"/>
                  <w:szCs w:val="13"/>
                  <w:color w:val="0000FF"/>
                </w:rPr>
                <w:t>Mine Safety Disclosures</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72">
              <w:r>
                <w:rPr>
                  <w:rFonts w:ascii="Arial" w:cs="Arial" w:eastAsia="Arial" w:hAnsi="Arial"/>
                  <w:sz w:val="13"/>
                  <w:szCs w:val="13"/>
                  <w:color w:val="0000FF"/>
                  <w:w w:val="96"/>
                </w:rPr>
                <w:t>72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80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72">
              <w:r>
                <w:rPr>
                  <w:rFonts w:ascii="Arial" w:cs="Arial" w:eastAsia="Arial" w:hAnsi="Arial"/>
                  <w:sz w:val="13"/>
                  <w:szCs w:val="13"/>
                  <w:color w:val="0000FF"/>
                </w:rPr>
                <w:t>Item 5.</w:t>
              </w:r>
            </w:hyperlink>
          </w:p>
        </w:tc>
        <w:tc>
          <w:tcPr>
            <w:tcW w:w="9400" w:type="dxa"/>
            <w:vAlign w:val="bottom"/>
            <w:gridSpan w:val="18"/>
          </w:tcPr>
          <w:p>
            <w:pPr>
              <w:spacing w:after="0"/>
              <w:rPr>
                <w:rFonts w:ascii="Arial" w:cs="Arial" w:eastAsia="Arial" w:hAnsi="Arial"/>
                <w:sz w:val="13"/>
                <w:szCs w:val="13"/>
                <w:color w:val="0000FF"/>
              </w:rPr>
            </w:pPr>
            <w:hyperlink w:anchor="page72">
              <w:r>
                <w:rPr>
                  <w:rFonts w:ascii="Arial" w:cs="Arial" w:eastAsia="Arial" w:hAnsi="Arial"/>
                  <w:sz w:val="13"/>
                  <w:szCs w:val="13"/>
                  <w:color w:val="0000FF"/>
                </w:rPr>
                <w:t>Other Information</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72">
              <w:r>
                <w:rPr>
                  <w:rFonts w:ascii="Arial" w:cs="Arial" w:eastAsia="Arial" w:hAnsi="Arial"/>
                  <w:sz w:val="13"/>
                  <w:szCs w:val="13"/>
                  <w:color w:val="0000FF"/>
                  <w:w w:val="96"/>
                </w:rPr>
                <w:t>72</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860" w:type="dxa"/>
            <w:vAlign w:val="bottom"/>
            <w:gridSpan w:val="4"/>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Item 6.</w:t>
              </w:r>
            </w:hyperlink>
          </w:p>
        </w:tc>
        <w:tc>
          <w:tcPr>
            <w:tcW w:w="9400" w:type="dxa"/>
            <w:vAlign w:val="bottom"/>
            <w:gridSpan w:val="18"/>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Exhibits</w:t>
              </w:r>
            </w:hyperlink>
          </w:p>
        </w:tc>
        <w:tc>
          <w:tcPr>
            <w:tcW w:w="1000" w:type="dxa"/>
            <w:vAlign w:val="bottom"/>
            <w:gridSpan w:val="5"/>
          </w:tcPr>
          <w:p>
            <w:pPr>
              <w:jc w:val="center"/>
              <w:ind w:left="36"/>
              <w:spacing w:after="0"/>
              <w:rPr>
                <w:rFonts w:ascii="Arial" w:cs="Arial" w:eastAsia="Arial" w:hAnsi="Arial"/>
                <w:sz w:val="13"/>
                <w:szCs w:val="13"/>
                <w:color w:val="0000FF"/>
                <w:w w:val="96"/>
              </w:rPr>
            </w:pPr>
            <w:hyperlink w:anchor="page73">
              <w:r>
                <w:rPr>
                  <w:rFonts w:ascii="Arial" w:cs="Arial" w:eastAsia="Arial" w:hAnsi="Arial"/>
                  <w:sz w:val="13"/>
                  <w:szCs w:val="13"/>
                  <w:color w:val="0000FF"/>
                  <w:w w:val="96"/>
                </w:rPr>
                <w:t>74</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860" w:type="dxa"/>
            <w:vAlign w:val="bottom"/>
            <w:gridSpan w:val="4"/>
          </w:tcPr>
          <w:p>
            <w:pPr>
              <w:spacing w:after="0"/>
              <w:rPr>
                <w:rFonts w:ascii="Arial" w:cs="Arial" w:eastAsia="Arial" w:hAnsi="Arial"/>
                <w:sz w:val="13"/>
                <w:szCs w:val="13"/>
                <w:color w:val="0000FF"/>
                <w:w w:val="99"/>
              </w:rPr>
            </w:pPr>
            <w:hyperlink w:anchor="page74">
              <w:r>
                <w:rPr>
                  <w:rFonts w:ascii="Arial" w:cs="Arial" w:eastAsia="Arial" w:hAnsi="Arial"/>
                  <w:sz w:val="13"/>
                  <w:szCs w:val="13"/>
                  <w:color w:val="0000FF"/>
                  <w:w w:val="99"/>
                </w:rPr>
                <w:t>SIGNATURES</w:t>
              </w:r>
            </w:hyperlink>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gridSpan w:val="5"/>
          </w:tcPr>
          <w:p>
            <w:pPr>
              <w:jc w:val="center"/>
              <w:ind w:left="36"/>
              <w:spacing w:after="0"/>
              <w:rPr>
                <w:rFonts w:ascii="Arial" w:cs="Arial" w:eastAsia="Arial" w:hAnsi="Arial"/>
                <w:sz w:val="13"/>
                <w:szCs w:val="13"/>
                <w:color w:val="0000FF"/>
                <w:w w:val="96"/>
              </w:rPr>
            </w:pPr>
            <w:hyperlink w:anchor="page74">
              <w:r>
                <w:rPr>
                  <w:rFonts w:ascii="Arial" w:cs="Arial" w:eastAsia="Arial" w:hAnsi="Arial"/>
                  <w:sz w:val="13"/>
                  <w:szCs w:val="13"/>
                  <w:color w:val="0000FF"/>
                  <w:w w:val="96"/>
                </w:rPr>
                <w:t>75</w:t>
              </w:r>
            </w:hyperlink>
          </w:p>
        </w:tc>
      </w:tr>
      <w:tr>
        <w:trPr>
          <w:trHeight w:val="735"/>
        </w:trPr>
        <w:tc>
          <w:tcPr>
            <w:tcW w:w="20" w:type="dxa"/>
            <w:vAlign w:val="bottom"/>
            <w:tcBorders>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SPECIAL NOTE REGARDING FORWARD LOOKING STATEMENTS</w:t>
      </w: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the expected benefits from our restructuring initiative and cost saving measures,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186" w:lineRule="exact"/>
        <w:rPr>
          <w:sz w:val="20"/>
          <w:szCs w:val="20"/>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3"/>
          <w:szCs w:val="13"/>
          <w:color w:val="auto"/>
        </w:rPr>
        <w:t>our ability to achieve and maintain future profitability;</w:t>
      </w:r>
    </w:p>
    <w:p>
      <w:pPr>
        <w:spacing w:after="0" w:line="196" w:lineRule="exact"/>
        <w:rPr>
          <w:rFonts w:ascii="Arial" w:cs="Arial" w:eastAsia="Arial" w:hAnsi="Arial"/>
          <w:sz w:val="17"/>
          <w:szCs w:val="17"/>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attract and maintain Subscribers;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effectively manage our growth;</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accurately forecast consumer demand of our products and services and adequately maintain our inventory;</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execute and achieve the benefits of our restructuring initiative and other cost saving measures;</w:t>
      </w:r>
    </w:p>
    <w:p>
      <w:pPr>
        <w:spacing w:after="0" w:line="179"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anticipate consumer preferences and successfully develop and introduce new products and services;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demand for our products and services and growth of the connected fitness products industry;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predict our long-term performance and declines in our revenue growth as our business matures;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direct and indirect impacts to our business and financial performance from the COVID-19 pandemic;</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effects of increased competition in our markets and our ability to compete effectively;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and our ability to partner with third parties such as music licensors, service providers, and suppliers;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declines in sales of our Bike and Bike+;</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reliance on and lack of control over third-party suppliers, contract manufacturers and logistics partners for our Connected Fitness Products;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dependence on third-party licenses for use of music in our content;</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actual or perceived defects in, or safety of, our products, including any impact of product recalls or legal or regulatory claims, proceedings or investigations involving our products;</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maintain, protect, and enhance our intellectual property;</w:t>
      </w:r>
    </w:p>
    <w:p>
      <w:pPr>
        <w:spacing w:after="0" w:line="190"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stay in compliance with laws and regulations that currently apply or become applicable to our business both in the United States and internationally; and</w:t>
      </w:r>
    </w:p>
    <w:p>
      <w:pPr>
        <w:spacing w:after="0" w:line="190"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those risks and uncertainties described in the sections titled “Management’s Discussion and Analysis of Financial Condition and Results of Operations” in Part I, Item 2 and “Risk Factors” in Part II, Item 1A of this Quarterly Report on Form 10-Q, as such factors may be updated in our filings with the Securities and Exchange Commission (the “SEC”).</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In this Quarterly Report on Form 10-Q, the words “we,” “us,” “our,” and "Peloton" refer to Peloton Interactive, Inc. and its wholly owned subsidiaries, unless the context requires otherwise.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RISK FACTOR SUMMARY</w:t>
      </w:r>
    </w:p>
    <w:p>
      <w:pPr>
        <w:spacing w:after="0" w:line="220"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business is subject to numerous risks and uncertainties, including those described in Part II, Item 1A, “Risk Factors” in this Quarterly Report on Form 10-Q. You should carefully consider these risks and uncertainties when investing in our Class A common stock. Some of the principal risks and uncertainties include the following:</w:t>
      </w:r>
    </w:p>
    <w:p>
      <w:pPr>
        <w:spacing w:after="0" w:line="184"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incurred operating losses in the past, may incur operating losses in the future, and may not achieve or maintain profitability in the future.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be unable to attract and retain Subscribers, which could have an adverse effect on our business and rate of growth.</w:t>
      </w:r>
    </w:p>
    <w:p>
      <w:pPr>
        <w:spacing w:after="0" w:line="41" w:lineRule="exact"/>
        <w:rPr>
          <w:rFonts w:ascii="Arial" w:cs="Arial" w:eastAsia="Arial" w:hAnsi="Arial"/>
          <w:sz w:val="13"/>
          <w:szCs w:val="13"/>
          <w:color w:val="auto"/>
        </w:rPr>
      </w:pPr>
    </w:p>
    <w:p>
      <w:pPr>
        <w:ind w:left="520" w:right="40" w:hanging="260"/>
        <w:spacing w:after="0" w:line="238"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grown rapidly in recent years and have limited operating experience at our current scale of operations. If we are unable to manage our growth effectively, our brand, company culture, and financial performance may suffer.</w:t>
      </w:r>
    </w:p>
    <w:p>
      <w:pPr>
        <w:ind w:left="520" w:right="500" w:hanging="260"/>
        <w:spacing w:after="0" w:line="238"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operating results have been, and could in the future be, adversely affected if we are unable to accurately forecast consumer demand for our products and services and adequately manage our inventory.</w:t>
      </w:r>
    </w:p>
    <w:p>
      <w:pPr>
        <w:ind w:left="520" w:right="80" w:hanging="260"/>
        <w:spacing w:after="0" w:line="238"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not successfully execute or achieve the expected benefits of our restructuring initiative and other cost saving measures we may take in the future, and our efforts may result in further actions and/or additional asset impairment charges and adversely affect our business.</w:t>
      </w:r>
    </w:p>
    <w:p>
      <w:pPr>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35" w:lineRule="exact"/>
        <w:rPr>
          <w:rFonts w:ascii="Arial" w:cs="Arial" w:eastAsia="Arial" w:hAnsi="Arial"/>
          <w:sz w:val="13"/>
          <w:szCs w:val="13"/>
          <w:color w:val="auto"/>
        </w:rPr>
      </w:pPr>
    </w:p>
    <w:p>
      <w:pPr>
        <w:ind w:left="520" w:right="140" w:hanging="260"/>
        <w:spacing w:after="0" w:line="238"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connected fitness market is relatively new and, if the general market and specific demand for our products and services does not continue to grow, grows more slowly than we expect, or fails to grow as much as we expect, our business, financial condition, and operating results may be adversely affected.</w:t>
      </w:r>
    </w:p>
    <w:p>
      <w:pPr>
        <w:ind w:left="520" w:right="420" w:hanging="260"/>
        <w:spacing w:after="0" w:line="238"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a limited operating history from which to predict our long-term performance, and our past financial results may not be indicative of our future performance. Further, our revenue growth rate is likely to slow as our business matures.</w:t>
      </w:r>
    </w:p>
    <w:p>
      <w:pPr>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full impact of the COVID-19 pandemic is uncertain and cannot be predicted. The COVID-19 pandemic could worsen or its effects may be prolonged, including as a result of variants, which could have an adverse effect on our business, results of operations, and financial condition.</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operate in a highly competitive market and we may be unable to compete successfully against existing and future competitors.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derive a significant majority of our revenue from sales of our Bike and Bike+. A decline in sales of our Bike and Bike+ would negatively affect our future revenue and operating results.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rely on a limited number of suppliers, contract manufacturers, and logistics partners for our Connected Fitness Products. A loss of any of these partners could negatively affect our business.</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success depends on our ability to maintain the value and reputation of the Peloton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3"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9"/>
              </w:rPr>
              <w:t>December 31,</w:t>
            </w: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2"/>
        </w:trPr>
        <w:tc>
          <w:tcPr>
            <w:tcW w:w="7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ind w:right="216"/>
              <w:spacing w:after="0"/>
              <w:rPr>
                <w:sz w:val="20"/>
                <w:szCs w:val="20"/>
                <w:color w:val="auto"/>
              </w:rPr>
            </w:pPr>
            <w:r>
              <w:rPr>
                <w:rFonts w:ascii="Arial" w:cs="Arial" w:eastAsia="Arial" w:hAnsi="Arial"/>
                <w:sz w:val="13"/>
                <w:szCs w:val="13"/>
                <w:b w:val="1"/>
                <w:bCs w:val="1"/>
                <w:color w:val="auto"/>
                <w:w w:val="96"/>
              </w:rPr>
              <w:t>(unaudited)</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1,134.8</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Marketable securities</w:t>
            </w:r>
          </w:p>
        </w:tc>
        <w:tc>
          <w:tcPr>
            <w:tcW w:w="28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 net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Inventories, net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1,541.3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937.1</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202.8</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current assets</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3,456.6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2,818.1</w:t>
            </w:r>
          </w:p>
        </w:tc>
        <w:tc>
          <w:tcPr>
            <w:tcW w:w="0" w:type="dxa"/>
            <w:vAlign w:val="bottom"/>
          </w:tcPr>
          <w:p>
            <w:pPr>
              <w:spacing w:after="0"/>
              <w:rPr>
                <w:sz w:val="1"/>
                <w:szCs w:val="1"/>
                <w:color w:val="auto"/>
              </w:rPr>
            </w:pPr>
          </w:p>
        </w:tc>
      </w:tr>
      <w:tr>
        <w:trPr>
          <w:trHeight w:val="16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591.9</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229.2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247.9</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210.1</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 net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580.1</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5,482.5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4,485.6</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1,136.0</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989.1</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Customer deposits and deferred revenue</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Operating lease liabilities, current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80.8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current liabilities</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1,243.0</w:t>
            </w:r>
          </w:p>
        </w:tc>
        <w:tc>
          <w:tcPr>
            <w:tcW w:w="0" w:type="dxa"/>
            <w:vAlign w:val="bottom"/>
          </w:tcPr>
          <w:p>
            <w:pPr>
              <w:spacing w:after="0"/>
              <w:rPr>
                <w:sz w:val="1"/>
                <w:szCs w:val="1"/>
                <w:color w:val="auto"/>
              </w:rPr>
            </w:pPr>
          </w:p>
        </w:tc>
      </w:tr>
      <w:tr>
        <w:trPr>
          <w:trHeight w:val="16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senior notes, net</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829.8</w:t>
            </w: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Operating lease liabilities, non-current</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743.7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620.4</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Total liabilities</w:t>
            </w: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3,113.6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2,731.5</w:t>
            </w:r>
          </w:p>
        </w:tc>
        <w:tc>
          <w:tcPr>
            <w:tcW w:w="0" w:type="dxa"/>
            <w:vAlign w:val="bottom"/>
          </w:tcPr>
          <w:p>
            <w:pPr>
              <w:spacing w:after="0"/>
              <w:rPr>
                <w:sz w:val="1"/>
                <w:szCs w:val="1"/>
                <w:color w:val="auto"/>
              </w:rPr>
            </w:pPr>
          </w:p>
        </w:tc>
      </w:tr>
      <w:tr>
        <w:trPr>
          <w:trHeight w:val="152"/>
        </w:trPr>
        <w:tc>
          <w:tcPr>
            <w:tcW w:w="7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Commitments and contingencies (Note 8)</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CEEFF"/>
          </w:tcPr>
          <w:p>
            <w:pPr>
              <w:ind w:left="280"/>
              <w:spacing w:after="0" w:line="142" w:lineRule="exact"/>
              <w:rPr>
                <w:sz w:val="20"/>
                <w:szCs w:val="20"/>
                <w:color w:val="auto"/>
              </w:rPr>
            </w:pPr>
            <w:r>
              <w:rPr>
                <w:rFonts w:ascii="Arial" w:cs="Arial" w:eastAsia="Arial" w:hAnsi="Arial"/>
                <w:sz w:val="13"/>
                <w:szCs w:val="13"/>
                <w:color w:val="auto"/>
                <w:w w:val="98"/>
              </w:rPr>
              <w:t>Common stock, $0.000025 par value; 2,500,000,000 and 2,500,000,000 Class A shares authorized, 302,778,818 and 270,855,356</w:t>
            </w: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w w:val="98"/>
              </w:rPr>
              <w:t>shares issued and outstanding as of December 31, 2021 and June 30, 2021, respectively; 2,500,000,000 and 2,500,000,000 Class</w:t>
            </w: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8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rPr>
              <w:t>B shares authorized, 28,668,327 and 29,291,774 shares issued and outstanding as of December 31, 2021 and June 30, 2021,</w:t>
            </w: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respectively.</w:t>
            </w:r>
          </w:p>
        </w:tc>
        <w:tc>
          <w:tcPr>
            <w:tcW w:w="2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Additional paid-in capital</w:t>
            </w:r>
          </w:p>
        </w:tc>
        <w:tc>
          <w:tcPr>
            <w:tcW w:w="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4,048.8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2,618.9</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Accumulated deficit</w:t>
            </w: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(1,698.2)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(883.0)</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Total stockholders’ equity</w:t>
            </w:r>
          </w:p>
        </w:tc>
        <w:tc>
          <w:tcPr>
            <w:tcW w:w="2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2,368.9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1,754.1</w:t>
            </w:r>
          </w:p>
        </w:tc>
        <w:tc>
          <w:tcPr>
            <w:tcW w:w="0" w:type="dxa"/>
            <w:vAlign w:val="bottom"/>
          </w:tcPr>
          <w:p>
            <w:pPr>
              <w:spacing w:after="0"/>
              <w:rPr>
                <w:sz w:val="1"/>
                <w:szCs w:val="1"/>
                <w:color w:val="auto"/>
              </w:rPr>
            </w:pPr>
          </w:p>
        </w:tc>
      </w:tr>
      <w:tr>
        <w:trPr>
          <w:trHeight w:val="163"/>
        </w:trPr>
        <w:tc>
          <w:tcPr>
            <w:tcW w:w="7680" w:type="dxa"/>
            <w:vAlign w:val="bottom"/>
          </w:tcPr>
          <w:p>
            <w:pPr>
              <w:ind w:left="60"/>
              <w:spacing w:after="0"/>
              <w:rPr>
                <w:sz w:val="20"/>
                <w:szCs w:val="20"/>
                <w:color w:val="auto"/>
              </w:rPr>
            </w:pPr>
            <w:r>
              <w:rPr>
                <w:rFonts w:ascii="Arial" w:cs="Arial" w:eastAsia="Arial" w:hAnsi="Arial"/>
                <w:sz w:val="13"/>
                <w:szCs w:val="13"/>
                <w:color w:val="auto"/>
              </w:rPr>
              <w:t>Total liabilities and stockholders’ equity</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5,482.5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4,485.6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4"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5"/>
          </w:tcPr>
          <w:p>
            <w:pPr>
              <w:ind w:left="160"/>
              <w:spacing w:after="0"/>
              <w:rPr>
                <w:sz w:val="20"/>
                <w:szCs w:val="20"/>
                <w:color w:val="auto"/>
              </w:rPr>
            </w:pPr>
            <w:r>
              <w:rPr>
                <w:rFonts w:ascii="Arial" w:cs="Arial" w:eastAsia="Arial" w:hAnsi="Arial"/>
                <w:sz w:val="13"/>
                <w:szCs w:val="13"/>
                <w:b w:val="1"/>
                <w:bCs w:val="1"/>
                <w:color w:val="auto"/>
              </w:rPr>
              <w:t>Three Months Ended December 31,</w:t>
            </w:r>
          </w:p>
        </w:tc>
        <w:tc>
          <w:tcPr>
            <w:tcW w:w="280" w:type="dxa"/>
            <w:vAlign w:val="bottom"/>
          </w:tcPr>
          <w:p>
            <w:pPr>
              <w:spacing w:after="0"/>
              <w:rPr>
                <w:sz w:val="14"/>
                <w:szCs w:val="14"/>
                <w:color w:val="auto"/>
              </w:rPr>
            </w:pPr>
          </w:p>
        </w:tc>
        <w:tc>
          <w:tcPr>
            <w:tcW w:w="26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50"/>
        </w:trPr>
        <w:tc>
          <w:tcPr>
            <w:tcW w:w="53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53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796.4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870.1</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1,471.5</w:t>
            </w: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351.2</w:t>
            </w:r>
          </w:p>
        </w:tc>
      </w:tr>
      <w:tr>
        <w:trPr>
          <w:trHeight w:val="160"/>
        </w:trPr>
        <w:tc>
          <w:tcPr>
            <w:tcW w:w="53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revenue</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1,133.9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1,939.1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1,822.7</w:t>
            </w:r>
          </w:p>
        </w:tc>
      </w:tr>
      <w:tr>
        <w:trPr>
          <w:trHeight w:val="152"/>
        </w:trPr>
        <w:tc>
          <w:tcPr>
            <w:tcW w:w="53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Cost of revenue:</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5380" w:type="dxa"/>
            <w:vAlign w:val="bottom"/>
          </w:tcPr>
          <w:p>
            <w:pPr>
              <w:ind w:left="280"/>
              <w:spacing w:after="0"/>
              <w:rPr>
                <w:sz w:val="20"/>
                <w:szCs w:val="20"/>
                <w:color w:val="auto"/>
              </w:rPr>
            </w:pPr>
            <w:r>
              <w:rPr>
                <w:rFonts w:ascii="Arial" w:cs="Arial" w:eastAsia="Arial" w:hAnsi="Arial"/>
                <w:sz w:val="13"/>
                <w:szCs w:val="13"/>
                <w:color w:val="auto"/>
              </w:rPr>
              <w:t>Connected Fitness Products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745.5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562.8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1,186.2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927.0</w:t>
            </w: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Subscription</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w:t>
            </w:r>
          </w:p>
        </w:tc>
      </w:tr>
      <w:tr>
        <w:trPr>
          <w:trHeight w:val="160"/>
        </w:trPr>
        <w:tc>
          <w:tcPr>
            <w:tcW w:w="538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cost of revenue</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1,396.2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1,069.2</w:t>
            </w:r>
          </w:p>
        </w:tc>
      </w:tr>
      <w:tr>
        <w:trPr>
          <w:trHeight w:val="16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753.5</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Operating expenses: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and marketing</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292.1</w:t>
            </w:r>
          </w:p>
        </w:tc>
      </w:tr>
      <w:tr>
        <w:trPr>
          <w:trHeight w:val="168"/>
        </w:trPr>
        <w:tc>
          <w:tcPr>
            <w:tcW w:w="5380" w:type="dxa"/>
            <w:vAlign w:val="bottom"/>
          </w:tcPr>
          <w:p>
            <w:pPr>
              <w:ind w:left="280"/>
              <w:spacing w:after="0"/>
              <w:rPr>
                <w:sz w:val="20"/>
                <w:szCs w:val="20"/>
                <w:color w:val="auto"/>
              </w:rPr>
            </w:pPr>
            <w:r>
              <w:rPr>
                <w:rFonts w:ascii="Arial" w:cs="Arial" w:eastAsia="Arial" w:hAnsi="Arial"/>
                <w:sz w:val="13"/>
                <w:szCs w:val="13"/>
                <w:color w:val="auto"/>
              </w:rPr>
              <w:t>General and administrative</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248.7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249.7</w:t>
            </w:r>
          </w:p>
        </w:tc>
      </w:tr>
      <w:tr>
        <w:trPr>
          <w:trHeight w:val="172"/>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r>
      <w:tr>
        <w:trPr>
          <w:trHeight w:val="168"/>
        </w:trPr>
        <w:tc>
          <w:tcPr>
            <w:tcW w:w="5380" w:type="dxa"/>
            <w:vAlign w:val="bottom"/>
          </w:tcPr>
          <w:p>
            <w:pPr>
              <w:ind w:left="280"/>
              <w:spacing w:after="0"/>
              <w:rPr>
                <w:sz w:val="20"/>
                <w:szCs w:val="20"/>
                <w:color w:val="auto"/>
              </w:rPr>
            </w:pPr>
            <w:r>
              <w:rPr>
                <w:rFonts w:ascii="Arial" w:cs="Arial" w:eastAsia="Arial" w:hAnsi="Arial"/>
                <w:sz w:val="13"/>
                <w:szCs w:val="13"/>
                <w:color w:val="auto"/>
              </w:rPr>
              <w:t>Impairment expense</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3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705.9</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366.0</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1,328.3</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625.8</w:t>
            </w: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(Loss) income from operations</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(425.7)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(785.4)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127.7</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38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172"/>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income</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68"/>
        </w:trPr>
        <w:tc>
          <w:tcPr>
            <w:tcW w:w="5380" w:type="dxa"/>
            <w:vAlign w:val="bottom"/>
          </w:tcPr>
          <w:p>
            <w:pPr>
              <w:ind w:left="280"/>
              <w:spacing w:after="0"/>
              <w:rPr>
                <w:sz w:val="20"/>
                <w:szCs w:val="20"/>
                <w:color w:val="auto"/>
              </w:rPr>
            </w:pPr>
            <w:r>
              <w:rPr>
                <w:rFonts w:ascii="Arial" w:cs="Arial" w:eastAsia="Arial" w:hAnsi="Arial"/>
                <w:sz w:val="13"/>
                <w:szCs w:val="13"/>
                <w:color w:val="auto"/>
              </w:rPr>
              <w:t>Foreign exchange losses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(0.8)</w:t>
            </w:r>
          </w:p>
        </w:tc>
      </w:tr>
      <w:tr>
        <w:trPr>
          <w:trHeight w:val="170"/>
        </w:trPr>
        <w:tc>
          <w:tcPr>
            <w:tcW w:w="53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expense, net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3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other (expense) income, net</w:t>
            </w: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6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income before provision for income taxes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r>
      <w:tr>
        <w:trPr>
          <w:trHeight w:val="16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8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380" w:type="dxa"/>
            <w:vAlign w:val="bottom"/>
          </w:tcPr>
          <w:p>
            <w:pPr>
              <w:ind w:left="20"/>
              <w:spacing w:after="0" w:line="133" w:lineRule="exact"/>
              <w:rPr>
                <w:sz w:val="20"/>
                <w:szCs w:val="20"/>
                <w:color w:val="auto"/>
              </w:rPr>
            </w:pPr>
            <w:r>
              <w:rPr>
                <w:rFonts w:ascii="Arial" w:cs="Arial" w:eastAsia="Arial" w:hAnsi="Arial"/>
                <w:sz w:val="13"/>
                <w:szCs w:val="13"/>
                <w:color w:val="auto"/>
              </w:rPr>
              <w:t>Net (loss) income attributable to Class A and Class B common stockholders</w:t>
            </w:r>
          </w:p>
        </w:tc>
        <w:tc>
          <w:tcPr>
            <w:tcW w:w="2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(439.4)</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63.6</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(815.3)</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132.8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income per share attributable to common stockholders, basic</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380" w:type="dxa"/>
            <w:vAlign w:val="bottom"/>
          </w:tcPr>
          <w:p>
            <w:pPr>
              <w:ind w:left="20"/>
              <w:spacing w:after="0" w:line="133" w:lineRule="exact"/>
              <w:rPr>
                <w:sz w:val="20"/>
                <w:szCs w:val="20"/>
                <w:color w:val="auto"/>
              </w:rPr>
            </w:pPr>
            <w:r>
              <w:rPr>
                <w:rFonts w:ascii="Arial" w:cs="Arial" w:eastAsia="Arial" w:hAnsi="Arial"/>
                <w:sz w:val="13"/>
                <w:szCs w:val="13"/>
                <w:color w:val="auto"/>
              </w:rPr>
              <w:t>Net (loss) income per share attributable to common stockholders, diluted</w:t>
            </w:r>
          </w:p>
        </w:tc>
        <w:tc>
          <w:tcPr>
            <w:tcW w:w="240" w:type="dxa"/>
            <w:vAlign w:val="bottom"/>
            <w:tcBorders>
              <w:bottom w:val="single" w:sz="8" w:color="auto"/>
            </w:tcBorders>
          </w:tcPr>
          <w:p>
            <w:pPr>
              <w:jc w:val="right"/>
              <w:ind w:right="96"/>
              <w:spacing w:after="0" w:line="133"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(1.39)</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0.18</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(2.64)</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0.39</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Class A and Class B common shares outstanding, basic</w:t>
            </w: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317,110,297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292,462,184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309,119,648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290,591,037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380" w:type="dxa"/>
            <w:vAlign w:val="bottom"/>
          </w:tcPr>
          <w:p>
            <w:pPr>
              <w:ind w:left="20"/>
              <w:spacing w:after="0" w:line="133" w:lineRule="exact"/>
              <w:rPr>
                <w:sz w:val="20"/>
                <w:szCs w:val="20"/>
                <w:color w:val="auto"/>
              </w:rPr>
            </w:pPr>
            <w:r>
              <w:rPr>
                <w:rFonts w:ascii="Arial" w:cs="Arial" w:eastAsia="Arial" w:hAnsi="Arial"/>
                <w:sz w:val="13"/>
                <w:szCs w:val="13"/>
                <w:color w:val="auto"/>
              </w:rPr>
              <w:t>Weighted-average Class A and Class B common shares outstanding, diluted</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317,110,297</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347,886,695</w:t>
            </w: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309,119,648</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344,994,314</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Other comprehensive income:</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5380" w:type="dxa"/>
            <w:vAlign w:val="bottom"/>
          </w:tcPr>
          <w:p>
            <w:pPr>
              <w:ind w:left="180"/>
              <w:spacing w:after="0"/>
              <w:rPr>
                <w:sz w:val="20"/>
                <w:szCs w:val="20"/>
                <w:color w:val="auto"/>
              </w:rPr>
            </w:pPr>
            <w:r>
              <w:rPr>
                <w:rFonts w:ascii="Arial" w:cs="Arial" w:eastAsia="Arial" w:hAnsi="Arial"/>
                <w:sz w:val="13"/>
                <w:szCs w:val="13"/>
                <w:color w:val="auto"/>
              </w:rPr>
              <w:t>Net unrealized losses on marketable securities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2"/>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foreign currency translation adjustment</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r>
      <w:tr>
        <w:trPr>
          <w:trHeight w:val="168"/>
        </w:trPr>
        <w:tc>
          <w:tcPr>
            <w:tcW w:w="5380" w:type="dxa"/>
            <w:vAlign w:val="bottom"/>
          </w:tcPr>
          <w:p>
            <w:pPr>
              <w:ind w:left="180"/>
              <w:spacing w:after="0"/>
              <w:rPr>
                <w:sz w:val="20"/>
                <w:szCs w:val="20"/>
                <w:color w:val="auto"/>
              </w:rPr>
            </w:pPr>
            <w:r>
              <w:rPr>
                <w:rFonts w:ascii="Arial" w:cs="Arial" w:eastAsia="Arial" w:hAnsi="Arial"/>
                <w:sz w:val="13"/>
                <w:szCs w:val="13"/>
                <w:color w:val="auto"/>
              </w:rPr>
              <w:t>Net unrealized loss on hedging derivatives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other comprehensive income</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63"/>
        </w:trPr>
        <w:tc>
          <w:tcPr>
            <w:tcW w:w="5380" w:type="dxa"/>
            <w:vAlign w:val="bottom"/>
          </w:tcPr>
          <w:p>
            <w:pPr>
              <w:ind w:left="20"/>
              <w:spacing w:after="0"/>
              <w:rPr>
                <w:sz w:val="20"/>
                <w:szCs w:val="20"/>
                <w:color w:val="auto"/>
              </w:rPr>
            </w:pPr>
            <w:r>
              <w:rPr>
                <w:rFonts w:ascii="Arial" w:cs="Arial" w:eastAsia="Arial" w:hAnsi="Arial"/>
                <w:sz w:val="13"/>
                <w:szCs w:val="13"/>
                <w:color w:val="auto"/>
              </w:rPr>
              <w:t>Comprehensive (loss) income</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139.4</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millions)</w:t>
      </w:r>
    </w:p>
    <w:p>
      <w:pPr>
        <w:spacing w:after="0" w:line="362"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Six Months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0"/>
        </w:trPr>
        <w:tc>
          <w:tcPr>
            <w:tcW w:w="76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1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Net (loss) income</w:t>
            </w:r>
          </w:p>
        </w:tc>
        <w:tc>
          <w:tcPr>
            <w:tcW w:w="1120" w:type="dxa"/>
            <w:vAlign w:val="bottom"/>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(815.3)</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(loss) income to net cash (used in) provided by operating activities: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Depreciation and amortization expense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Non-cash operating lease expense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Amortization of premium from marketable securities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Amortization of debt discount and issuance costs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Impairment expense</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Net foreign currency adjustments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Loss (gain) on disposals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Accounts receivable</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(601.5)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(273.0)</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Prepaid expenses and other current assets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Accounts payable and accrued expenses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331.9</w:t>
            </w:r>
          </w:p>
        </w:tc>
        <w:tc>
          <w:tcPr>
            <w:tcW w:w="0" w:type="dxa"/>
            <w:vAlign w:val="bottom"/>
          </w:tcPr>
          <w:p>
            <w:pPr>
              <w:spacing w:after="0"/>
              <w:rPr>
                <w:sz w:val="1"/>
                <w:szCs w:val="1"/>
                <w:color w:val="auto"/>
              </w:rPr>
            </w:pPr>
          </w:p>
        </w:tc>
      </w:tr>
      <w:tr>
        <w:trPr>
          <w:trHeight w:val="168"/>
        </w:trPr>
        <w:tc>
          <w:tcPr>
            <w:tcW w:w="7680" w:type="dxa"/>
            <w:vAlign w:val="bottom"/>
          </w:tcPr>
          <w:p>
            <w:pPr>
              <w:ind w:left="620"/>
              <w:spacing w:after="0"/>
              <w:rPr>
                <w:sz w:val="20"/>
                <w:szCs w:val="20"/>
                <w:color w:val="auto"/>
              </w:rPr>
            </w:pPr>
            <w:r>
              <w:rPr>
                <w:rFonts w:ascii="Arial" w:cs="Arial" w:eastAsia="Arial" w:hAnsi="Arial"/>
                <w:sz w:val="13"/>
                <w:szCs w:val="13"/>
                <w:color w:val="auto"/>
              </w:rPr>
              <w:t>Customer deposits and deferred revenue</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245.7</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Operating lease liabilities, net</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Other liabilities</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3"/>
        </w:trPr>
        <w:tc>
          <w:tcPr>
            <w:tcW w:w="768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Net cash (used in) provided by operating activities</w:t>
            </w:r>
          </w:p>
        </w:tc>
        <w:tc>
          <w:tcPr>
            <w:tcW w:w="1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(1,007.6)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510.5</w:t>
            </w:r>
          </w:p>
        </w:tc>
        <w:tc>
          <w:tcPr>
            <w:tcW w:w="0" w:type="dxa"/>
            <w:vAlign w:val="bottom"/>
          </w:tcPr>
          <w:p>
            <w:pPr>
              <w:spacing w:after="0"/>
              <w:rPr>
                <w:sz w:val="1"/>
                <w:szCs w:val="1"/>
                <w:color w:val="auto"/>
              </w:rPr>
            </w:pPr>
          </w:p>
        </w:tc>
      </w:tr>
      <w:tr>
        <w:trPr>
          <w:trHeight w:val="148"/>
        </w:trPr>
        <w:tc>
          <w:tcPr>
            <w:tcW w:w="768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Investing Activities:</w:t>
            </w: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Purchases of marketable securities</w:t>
            </w:r>
          </w:p>
        </w:tc>
        <w:tc>
          <w:tcPr>
            <w:tcW w:w="1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(449.1)</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Maturities of marketable securities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300.6</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Sales of marketable securities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(119.4)</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Business combinations, net of cash acquired</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Asset acquisitions, net of cash acquired</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(78.1)</w:t>
            </w:r>
          </w:p>
        </w:tc>
        <w:tc>
          <w:tcPr>
            <w:tcW w:w="0" w:type="dxa"/>
            <w:vAlign w:val="bottom"/>
          </w:tcPr>
          <w:p>
            <w:pPr>
              <w:spacing w:after="0"/>
              <w:rPr>
                <w:sz w:val="1"/>
                <w:szCs w:val="1"/>
                <w:color w:val="auto"/>
              </w:rPr>
            </w:pPr>
          </w:p>
        </w:tc>
      </w:tr>
      <w:tr>
        <w:trPr>
          <w:trHeight w:val="170"/>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Internal-use software costs and other</w:t>
            </w:r>
          </w:p>
        </w:tc>
        <w:tc>
          <w:tcPr>
            <w:tcW w:w="1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0"/>
        </w:trPr>
        <w:tc>
          <w:tcPr>
            <w:tcW w:w="7680" w:type="dxa"/>
            <w:vAlign w:val="bottom"/>
            <w:tcBorders>
              <w:bottom w:val="single" w:sz="8" w:color="CCEEFF"/>
            </w:tcBorders>
          </w:tcPr>
          <w:p>
            <w:pPr>
              <w:ind w:left="1040"/>
              <w:spacing w:after="0"/>
              <w:rPr>
                <w:sz w:val="20"/>
                <w:szCs w:val="20"/>
                <w:color w:val="auto"/>
              </w:rPr>
            </w:pPr>
            <w:r>
              <w:rPr>
                <w:rFonts w:ascii="Arial" w:cs="Arial" w:eastAsia="Arial" w:hAnsi="Arial"/>
                <w:sz w:val="13"/>
                <w:szCs w:val="13"/>
                <w:color w:val="auto"/>
              </w:rPr>
              <w:t>Net cash provided by (used in) investing activities</w:t>
            </w:r>
          </w:p>
        </w:tc>
        <w:tc>
          <w:tcPr>
            <w:tcW w:w="1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(346.7)</w:t>
            </w:r>
          </w:p>
        </w:tc>
        <w:tc>
          <w:tcPr>
            <w:tcW w:w="0" w:type="dxa"/>
            <w:vAlign w:val="bottom"/>
          </w:tcPr>
          <w:p>
            <w:pPr>
              <w:spacing w:after="0"/>
              <w:rPr>
                <w:sz w:val="1"/>
                <w:szCs w:val="1"/>
                <w:color w:val="auto"/>
              </w:rPr>
            </w:pPr>
          </w:p>
        </w:tc>
      </w:tr>
      <w:tr>
        <w:trPr>
          <w:trHeight w:val="152"/>
        </w:trPr>
        <w:tc>
          <w:tcPr>
            <w:tcW w:w="7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Flows from Financing Activities:</w:t>
            </w:r>
          </w:p>
        </w:tc>
        <w:tc>
          <w:tcPr>
            <w:tcW w:w="1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Proceeds from public offering, net of issuance costs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1,218.8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employee stock purchase plan withholdings</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8"/>
        </w:trPr>
        <w:tc>
          <w:tcPr>
            <w:tcW w:w="7680" w:type="dxa"/>
            <w:vAlign w:val="bottom"/>
          </w:tcPr>
          <w:p>
            <w:pPr>
              <w:ind w:left="280"/>
              <w:spacing w:after="0"/>
              <w:rPr>
                <w:sz w:val="20"/>
                <w:szCs w:val="20"/>
                <w:color w:val="auto"/>
              </w:rPr>
            </w:pPr>
            <w:r>
              <w:rPr>
                <w:rFonts w:ascii="Arial" w:cs="Arial" w:eastAsia="Arial" w:hAnsi="Arial"/>
                <w:sz w:val="13"/>
                <w:szCs w:val="13"/>
                <w:color w:val="auto"/>
              </w:rPr>
              <w:t>Proceeds from exercise of stock options</w:t>
            </w:r>
          </w:p>
        </w:tc>
        <w:tc>
          <w:tcPr>
            <w:tcW w:w="1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Taxes withheld and paid on employee stock awards</w:t>
            </w:r>
          </w:p>
        </w:tc>
        <w:tc>
          <w:tcPr>
            <w:tcW w:w="1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Principal repayments of finance leases</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0"/>
        </w:trPr>
        <w:tc>
          <w:tcPr>
            <w:tcW w:w="768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Net cash provided by financing activities</w:t>
            </w:r>
          </w:p>
        </w:tc>
        <w:tc>
          <w:tcPr>
            <w:tcW w:w="1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1,287.2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160"/>
        </w:trPr>
        <w:tc>
          <w:tcPr>
            <w:tcW w:w="7680" w:type="dxa"/>
            <w:vAlign w:val="bottom"/>
          </w:tcPr>
          <w:p>
            <w:pPr>
              <w:ind w:left="20"/>
              <w:spacing w:after="0"/>
              <w:rPr>
                <w:sz w:val="20"/>
                <w:szCs w:val="20"/>
                <w:color w:val="auto"/>
              </w:rPr>
            </w:pPr>
            <w:r>
              <w:rPr>
                <w:rFonts w:ascii="Arial" w:cs="Arial" w:eastAsia="Arial" w:hAnsi="Arial"/>
                <w:sz w:val="13"/>
                <w:szCs w:val="13"/>
                <w:color w:val="auto"/>
              </w:rPr>
              <w:t>Effect of exchange rate changes</w:t>
            </w:r>
          </w:p>
        </w:tc>
        <w:tc>
          <w:tcPr>
            <w:tcW w:w="1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cash, cash equivalents, and restricted cash</w:t>
            </w:r>
          </w:p>
        </w:tc>
        <w:tc>
          <w:tcPr>
            <w:tcW w:w="1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 Beginning of period</w:t>
            </w:r>
          </w:p>
        </w:tc>
        <w:tc>
          <w:tcPr>
            <w:tcW w:w="1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1,135.7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1,037.0</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 End of period</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1,694.6</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1,249.9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6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Cash paid for interest</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5600"/>
              <w:spacing w:after="0"/>
              <w:rPr>
                <w:sz w:val="20"/>
                <w:szCs w:val="20"/>
                <w:color w:val="auto"/>
              </w:rPr>
            </w:pPr>
            <w:r>
              <w:rPr>
                <w:rFonts w:ascii="Arial" w:cs="Arial" w:eastAsia="Arial" w:hAnsi="Arial"/>
                <w:sz w:val="13"/>
                <w:szCs w:val="13"/>
                <w:color w:val="auto"/>
              </w:rPr>
              <w:t>7</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6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234950</wp:posOffset>
            </wp:positionV>
            <wp:extent cx="22904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0445" cy="698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80" w:type="dxa"/>
            <w:vAlign w:val="bottom"/>
          </w:tcPr>
          <w:p>
            <w:pPr>
              <w:ind w:left="280"/>
              <w:spacing w:after="0"/>
              <w:rPr>
                <w:sz w:val="20"/>
                <w:szCs w:val="20"/>
                <w:color w:val="auto"/>
              </w:rPr>
            </w:pPr>
            <w:r>
              <w:rPr>
                <w:rFonts w:ascii="Arial" w:cs="Arial" w:eastAsia="Arial" w:hAnsi="Arial"/>
                <w:sz w:val="13"/>
                <w:szCs w:val="13"/>
                <w:color w:val="auto"/>
              </w:rPr>
              <w:t>Cash paid for income taxes</w:t>
            </w:r>
          </w:p>
        </w:tc>
        <w:tc>
          <w:tcPr>
            <w:tcW w:w="76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1"/>
        </w:trPr>
        <w:tc>
          <w:tcPr>
            <w:tcW w:w="76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Supplemental Disclosures of Non-Cash Investing and Financing Information:</w:t>
            </w:r>
          </w:p>
        </w:tc>
        <w:tc>
          <w:tcPr>
            <w:tcW w:w="7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70"/>
        </w:trPr>
        <w:tc>
          <w:tcPr>
            <w:tcW w:w="7680" w:type="dxa"/>
            <w:vAlign w:val="bottom"/>
          </w:tcPr>
          <w:p>
            <w:pPr>
              <w:ind w:left="280"/>
              <w:spacing w:after="0"/>
              <w:rPr>
                <w:sz w:val="20"/>
                <w:szCs w:val="20"/>
                <w:color w:val="auto"/>
              </w:rPr>
            </w:pPr>
            <w:r>
              <w:rPr>
                <w:rFonts w:ascii="Arial" w:cs="Arial" w:eastAsia="Arial" w:hAnsi="Arial"/>
                <w:sz w:val="13"/>
                <w:szCs w:val="13"/>
                <w:color w:val="auto"/>
              </w:rPr>
              <w:t>Property and equipment accrued but unpaid</w:t>
            </w:r>
          </w:p>
        </w:tc>
        <w:tc>
          <w:tcPr>
            <w:tcW w:w="7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Stock-based compensation capitalized for software development costs</w:t>
            </w: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unaudited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(in millions)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2020" w:type="dxa"/>
            <w:vAlign w:val="bottom"/>
            <w:gridSpan w:val="3"/>
            <w:vMerge w:val="restart"/>
          </w:tcPr>
          <w:p>
            <w:pPr>
              <w:jc w:val="center"/>
              <w:ind w:left="136"/>
              <w:spacing w:after="0"/>
              <w:rPr>
                <w:sz w:val="20"/>
                <w:szCs w:val="20"/>
                <w:color w:val="auto"/>
              </w:rPr>
            </w:pPr>
            <w:r>
              <w:rPr>
                <w:rFonts w:ascii="Arial" w:cs="Arial" w:eastAsia="Arial" w:hAnsi="Arial"/>
                <w:sz w:val="13"/>
                <w:szCs w:val="13"/>
                <w:b w:val="1"/>
                <w:bCs w:val="1"/>
                <w:color w:val="auto"/>
                <w:w w:val="98"/>
              </w:rPr>
              <w:t>Class A and Class B Common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480" w:type="dxa"/>
            <w:vAlign w:val="bottom"/>
          </w:tcPr>
          <w:p>
            <w:pPr>
              <w:spacing w:after="0"/>
              <w:rPr>
                <w:sz w:val="3"/>
                <w:szCs w:val="3"/>
                <w:color w:val="auto"/>
              </w:rPr>
            </w:pPr>
          </w:p>
        </w:tc>
        <w:tc>
          <w:tcPr>
            <w:tcW w:w="202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200"/>
              <w:spacing w:after="0" w:line="128"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vMerge w:val="restart"/>
          </w:tcPr>
          <w:p>
            <w:pPr>
              <w:jc w:val="center"/>
              <w:ind w:right="36"/>
              <w:spacing w:after="0" w:line="12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5"/>
        </w:trPr>
        <w:tc>
          <w:tcPr>
            <w:tcW w:w="4480" w:type="dxa"/>
            <w:vAlign w:val="bottom"/>
          </w:tcPr>
          <w:p>
            <w:pPr>
              <w:spacing w:after="0"/>
              <w:rPr>
                <w:sz w:val="7"/>
                <w:szCs w:val="7"/>
                <w:color w:val="auto"/>
              </w:rPr>
            </w:pPr>
          </w:p>
        </w:tc>
        <w:tc>
          <w:tcPr>
            <w:tcW w:w="2020" w:type="dxa"/>
            <w:vAlign w:val="bottom"/>
            <w:gridSpan w:val="3"/>
            <w:vMerge w:val="restart"/>
          </w:tcPr>
          <w:p>
            <w:pPr>
              <w:jc w:val="center"/>
              <w:ind w:left="136"/>
              <w:spacing w:after="0"/>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480" w:type="dxa"/>
            <w:vAlign w:val="bottom"/>
          </w:tcPr>
          <w:p>
            <w:pPr>
              <w:spacing w:after="0"/>
              <w:rPr>
                <w:sz w:val="7"/>
                <w:szCs w:val="7"/>
                <w:color w:val="auto"/>
              </w:rPr>
            </w:pPr>
          </w:p>
        </w:tc>
        <w:tc>
          <w:tcPr>
            <w:tcW w:w="2020" w:type="dxa"/>
            <w:vAlign w:val="bottom"/>
            <w:tcBorders>
              <w:bottom w:val="single" w:sz="8" w:color="auto"/>
            </w:tcBorders>
            <w:gridSpan w:val="3"/>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3"/>
            <w:vMerge w:val="restart"/>
          </w:tcPr>
          <w:p>
            <w:pPr>
              <w:jc w:val="center"/>
              <w:ind w:right="80"/>
              <w:spacing w:after="0" w:line="128" w:lineRule="exact"/>
              <w:rPr>
                <w:sz w:val="20"/>
                <w:szCs w:val="20"/>
                <w:color w:val="auto"/>
              </w:rPr>
            </w:pPr>
            <w:r>
              <w:rPr>
                <w:rFonts w:ascii="Arial" w:cs="Arial" w:eastAsia="Arial" w:hAnsi="Arial"/>
                <w:sz w:val="13"/>
                <w:szCs w:val="13"/>
                <w:b w:val="1"/>
                <w:bCs w:val="1"/>
                <w:color w:val="auto"/>
                <w:w w:val="98"/>
              </w:rPr>
              <w:t>Additional Paid-</w:t>
            </w:r>
          </w:p>
        </w:tc>
        <w:tc>
          <w:tcPr>
            <w:tcW w:w="1140" w:type="dxa"/>
            <w:vAlign w:val="bottom"/>
            <w:gridSpan w:val="3"/>
            <w:vMerge w:val="restart"/>
          </w:tcPr>
          <w:p>
            <w:pPr>
              <w:jc w:val="center"/>
              <w:ind w:right="60"/>
              <w:spacing w:after="0" w:line="128"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7"/>
                <w:szCs w:val="7"/>
                <w:color w:val="auto"/>
              </w:rPr>
            </w:pPr>
          </w:p>
        </w:tc>
        <w:tc>
          <w:tcPr>
            <w:tcW w:w="1040" w:type="dxa"/>
            <w:vAlign w:val="bottom"/>
            <w:gridSpan w:val="2"/>
            <w:vMerge w:val="restart"/>
          </w:tcPr>
          <w:p>
            <w:pPr>
              <w:jc w:val="center"/>
              <w:ind w:right="200"/>
              <w:spacing w:after="0" w:line="128"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7"/>
                <w:szCs w:val="7"/>
                <w:color w:val="auto"/>
              </w:rPr>
            </w:pPr>
          </w:p>
        </w:tc>
        <w:tc>
          <w:tcPr>
            <w:tcW w:w="960" w:type="dxa"/>
            <w:vAlign w:val="bottom"/>
            <w:vMerge w:val="restart"/>
          </w:tcPr>
          <w:p>
            <w:pPr>
              <w:jc w:val="center"/>
              <w:ind w:right="56"/>
              <w:spacing w:after="0" w:line="128"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108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Shares</w:t>
            </w:r>
          </w:p>
        </w:tc>
        <w:tc>
          <w:tcPr>
            <w:tcW w:w="60" w:type="dxa"/>
            <w:vAlign w:val="bottom"/>
            <w:vMerge w:val="restart"/>
          </w:tcPr>
          <w:p>
            <w:pPr>
              <w:spacing w:after="0" w:line="20" w:lineRule="exact"/>
              <w:rPr>
                <w:sz w:val="1"/>
                <w:szCs w:val="1"/>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9"/>
              </w:rPr>
              <w:t>In Capital</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Income</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September 30, 2020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1,801.0</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Activity related to stock-based compensation</w:t>
            </w:r>
          </w:p>
        </w:tc>
        <w:tc>
          <w:tcPr>
            <w:tcW w:w="108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September 30, 2021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302.8</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1,506.9</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Activity related to stock-based compensation</w:t>
            </w:r>
          </w:p>
        </w:tc>
        <w:tc>
          <w:tcPr>
            <w:tcW w:w="108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pursuant to public offering,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(439.4)</w:t>
            </w:r>
          </w:p>
        </w:tc>
        <w:tc>
          <w:tcPr>
            <w:tcW w:w="0" w:type="dxa"/>
            <w:vAlign w:val="bottom"/>
          </w:tcPr>
          <w:p>
            <w:pPr>
              <w:spacing w:after="0"/>
              <w:rPr>
                <w:sz w:val="1"/>
                <w:szCs w:val="1"/>
                <w:color w:val="auto"/>
              </w:rPr>
            </w:pPr>
          </w:p>
        </w:tc>
      </w:tr>
      <w:tr>
        <w:trPr>
          <w:trHeight w:val="163"/>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Balance - December 31, 2021</w:t>
            </w:r>
          </w:p>
        </w:tc>
        <w:tc>
          <w:tcPr>
            <w:tcW w:w="1080" w:type="dxa"/>
            <w:vAlign w:val="bottom"/>
          </w:tcPr>
          <w:p>
            <w:pPr>
              <w:jc w:val="right"/>
              <w:spacing w:after="0"/>
              <w:rPr>
                <w:sz w:val="20"/>
                <w:szCs w:val="20"/>
                <w:color w:val="auto"/>
              </w:rPr>
            </w:pPr>
            <w:r>
              <w:rPr>
                <w:rFonts w:ascii="Arial" w:cs="Arial" w:eastAsia="Arial" w:hAnsi="Arial"/>
                <w:sz w:val="13"/>
                <w:szCs w:val="13"/>
                <w:color w:val="auto"/>
              </w:rPr>
              <w:t>331.4</w:t>
            </w:r>
          </w:p>
        </w:tc>
        <w:tc>
          <w:tcPr>
            <w:tcW w:w="60" w:type="dxa"/>
            <w:vAlign w:val="bottom"/>
          </w:tcPr>
          <w:p>
            <w:pPr>
              <w:spacing w:after="0"/>
              <w:rPr>
                <w:sz w:val="14"/>
                <w:szCs w:val="14"/>
                <w:color w:val="auto"/>
              </w:rPr>
            </w:pP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4,048.8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18.3</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(1,698.2)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2,368.9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480" w:type="dxa"/>
            <w:vAlign w:val="bottom"/>
          </w:tcPr>
          <w:p>
            <w:pPr>
              <w:spacing w:after="0"/>
              <w:rPr>
                <w:sz w:val="24"/>
                <w:szCs w:val="24"/>
                <w:color w:val="auto"/>
              </w:rPr>
            </w:pPr>
          </w:p>
        </w:tc>
        <w:tc>
          <w:tcPr>
            <w:tcW w:w="2020" w:type="dxa"/>
            <w:vAlign w:val="bottom"/>
            <w:gridSpan w:val="3"/>
            <w:vMerge w:val="restart"/>
          </w:tcPr>
          <w:p>
            <w:pPr>
              <w:jc w:val="center"/>
              <w:ind w:left="136"/>
              <w:spacing w:after="0"/>
              <w:rPr>
                <w:sz w:val="20"/>
                <w:szCs w:val="20"/>
                <w:color w:val="auto"/>
              </w:rPr>
            </w:pPr>
            <w:r>
              <w:rPr>
                <w:rFonts w:ascii="Arial" w:cs="Arial" w:eastAsia="Arial" w:hAnsi="Arial"/>
                <w:sz w:val="13"/>
                <w:szCs w:val="13"/>
                <w:b w:val="1"/>
                <w:bCs w:val="1"/>
                <w:color w:val="auto"/>
                <w:w w:val="98"/>
              </w:rPr>
              <w:t>Class A and Class B Common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480" w:type="dxa"/>
            <w:vAlign w:val="bottom"/>
          </w:tcPr>
          <w:p>
            <w:pPr>
              <w:spacing w:after="0"/>
              <w:rPr>
                <w:sz w:val="3"/>
                <w:szCs w:val="3"/>
                <w:color w:val="auto"/>
              </w:rPr>
            </w:pPr>
          </w:p>
        </w:tc>
        <w:tc>
          <w:tcPr>
            <w:tcW w:w="202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200"/>
              <w:spacing w:after="0" w:line="128"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vMerge w:val="restart"/>
          </w:tcPr>
          <w:p>
            <w:pPr>
              <w:jc w:val="center"/>
              <w:ind w:right="36"/>
              <w:spacing w:after="0" w:line="12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5"/>
        </w:trPr>
        <w:tc>
          <w:tcPr>
            <w:tcW w:w="4480" w:type="dxa"/>
            <w:vAlign w:val="bottom"/>
          </w:tcPr>
          <w:p>
            <w:pPr>
              <w:spacing w:after="0"/>
              <w:rPr>
                <w:sz w:val="7"/>
                <w:szCs w:val="7"/>
                <w:color w:val="auto"/>
              </w:rPr>
            </w:pPr>
          </w:p>
        </w:tc>
        <w:tc>
          <w:tcPr>
            <w:tcW w:w="2020" w:type="dxa"/>
            <w:vAlign w:val="bottom"/>
            <w:gridSpan w:val="3"/>
            <w:vMerge w:val="restart"/>
          </w:tcPr>
          <w:p>
            <w:pPr>
              <w:jc w:val="center"/>
              <w:ind w:left="136"/>
              <w:spacing w:after="0"/>
              <w:rPr>
                <w:sz w:val="20"/>
                <w:szCs w:val="20"/>
                <w:color w:val="auto"/>
              </w:rPr>
            </w:pPr>
            <w:r>
              <w:rPr>
                <w:rFonts w:ascii="Arial" w:cs="Arial" w:eastAsia="Arial" w:hAnsi="Arial"/>
                <w:sz w:val="13"/>
                <w:szCs w:val="13"/>
                <w:b w:val="1"/>
                <w:bCs w:val="1"/>
                <w:color w:val="auto"/>
                <w:w w:val="95"/>
              </w:rPr>
              <w:t>Stock</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480" w:type="dxa"/>
            <w:vAlign w:val="bottom"/>
          </w:tcPr>
          <w:p>
            <w:pPr>
              <w:spacing w:after="0"/>
              <w:rPr>
                <w:sz w:val="7"/>
                <w:szCs w:val="7"/>
                <w:color w:val="auto"/>
              </w:rPr>
            </w:pPr>
          </w:p>
        </w:tc>
        <w:tc>
          <w:tcPr>
            <w:tcW w:w="2020" w:type="dxa"/>
            <w:vAlign w:val="bottom"/>
            <w:tcBorders>
              <w:bottom w:val="single" w:sz="8" w:color="auto"/>
            </w:tcBorders>
            <w:gridSpan w:val="3"/>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3"/>
            <w:vMerge w:val="restart"/>
          </w:tcPr>
          <w:p>
            <w:pPr>
              <w:jc w:val="center"/>
              <w:ind w:right="80"/>
              <w:spacing w:after="0" w:line="128" w:lineRule="exact"/>
              <w:rPr>
                <w:sz w:val="20"/>
                <w:szCs w:val="20"/>
                <w:color w:val="auto"/>
              </w:rPr>
            </w:pPr>
            <w:r>
              <w:rPr>
                <w:rFonts w:ascii="Arial" w:cs="Arial" w:eastAsia="Arial" w:hAnsi="Arial"/>
                <w:sz w:val="13"/>
                <w:szCs w:val="13"/>
                <w:b w:val="1"/>
                <w:bCs w:val="1"/>
                <w:color w:val="auto"/>
                <w:w w:val="98"/>
              </w:rPr>
              <w:t>Additional Paid-</w:t>
            </w:r>
          </w:p>
        </w:tc>
        <w:tc>
          <w:tcPr>
            <w:tcW w:w="1140" w:type="dxa"/>
            <w:vAlign w:val="bottom"/>
            <w:gridSpan w:val="3"/>
            <w:vMerge w:val="restart"/>
          </w:tcPr>
          <w:p>
            <w:pPr>
              <w:jc w:val="center"/>
              <w:ind w:right="60"/>
              <w:spacing w:after="0" w:line="128"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7"/>
                <w:szCs w:val="7"/>
                <w:color w:val="auto"/>
              </w:rPr>
            </w:pPr>
          </w:p>
        </w:tc>
        <w:tc>
          <w:tcPr>
            <w:tcW w:w="1040" w:type="dxa"/>
            <w:vAlign w:val="bottom"/>
            <w:gridSpan w:val="2"/>
            <w:vMerge w:val="restart"/>
          </w:tcPr>
          <w:p>
            <w:pPr>
              <w:jc w:val="center"/>
              <w:ind w:right="200"/>
              <w:spacing w:after="0" w:line="128"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7"/>
                <w:szCs w:val="7"/>
                <w:color w:val="auto"/>
              </w:rPr>
            </w:pPr>
          </w:p>
        </w:tc>
        <w:tc>
          <w:tcPr>
            <w:tcW w:w="960" w:type="dxa"/>
            <w:vAlign w:val="bottom"/>
            <w:vMerge w:val="restart"/>
          </w:tcPr>
          <w:p>
            <w:pPr>
              <w:jc w:val="center"/>
              <w:ind w:right="56"/>
              <w:spacing w:after="0" w:line="128"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108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Shares</w:t>
            </w:r>
          </w:p>
        </w:tc>
        <w:tc>
          <w:tcPr>
            <w:tcW w:w="60" w:type="dxa"/>
            <w:vAlign w:val="bottom"/>
            <w:vMerge w:val="restart"/>
          </w:tcPr>
          <w:p>
            <w:pPr>
              <w:spacing w:after="0" w:line="20" w:lineRule="exact"/>
              <w:rPr>
                <w:sz w:val="1"/>
                <w:szCs w:val="1"/>
                <w:color w:val="auto"/>
              </w:rPr>
            </w:pPr>
          </w:p>
        </w:tc>
        <w:tc>
          <w:tcPr>
            <w:tcW w:w="8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9"/>
              </w:rPr>
              <w:t>In Capital</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Income</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1"/>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 June 30, 2020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1,678.0</w:t>
            </w:r>
          </w:p>
        </w:tc>
        <w:tc>
          <w:tcPr>
            <w:tcW w:w="0" w:type="dxa"/>
            <w:vAlign w:val="bottom"/>
          </w:tcPr>
          <w:p>
            <w:pPr>
              <w:spacing w:after="0"/>
              <w:rPr>
                <w:sz w:val="1"/>
                <w:szCs w:val="1"/>
                <w:color w:val="auto"/>
              </w:rPr>
            </w:pPr>
          </w:p>
        </w:tc>
      </w:tr>
      <w:tr>
        <w:trPr>
          <w:trHeight w:val="168"/>
        </w:trPr>
        <w:tc>
          <w:tcPr>
            <w:tcW w:w="4480" w:type="dxa"/>
            <w:vAlign w:val="bottom"/>
          </w:tcPr>
          <w:p>
            <w:pPr>
              <w:ind w:left="180"/>
              <w:spacing w:after="0"/>
              <w:rPr>
                <w:sz w:val="20"/>
                <w:szCs w:val="20"/>
                <w:color w:val="auto"/>
              </w:rPr>
            </w:pPr>
            <w:r>
              <w:rPr>
                <w:rFonts w:ascii="Arial" w:cs="Arial" w:eastAsia="Arial" w:hAnsi="Arial"/>
                <w:sz w:val="13"/>
                <w:szCs w:val="13"/>
                <w:color w:val="auto"/>
              </w:rPr>
              <w:t>Activity related to stock-based compensation</w:t>
            </w:r>
          </w:p>
        </w:tc>
        <w:tc>
          <w:tcPr>
            <w:tcW w:w="1080" w:type="dxa"/>
            <w:vAlign w:val="bottom"/>
          </w:tcPr>
          <w:p>
            <w:pPr>
              <w:jc w:val="right"/>
              <w:spacing w:after="0"/>
              <w:rPr>
                <w:sz w:val="20"/>
                <w:szCs w:val="20"/>
                <w:color w:val="auto"/>
              </w:rPr>
            </w:pPr>
            <w:r>
              <w:rPr>
                <w:rFonts w:ascii="Arial" w:cs="Arial" w:eastAsia="Arial" w:hAnsi="Arial"/>
                <w:sz w:val="13"/>
                <w:szCs w:val="13"/>
                <w:color w:val="auto"/>
              </w:rPr>
              <w:t>5.9</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8"/>
        </w:trPr>
        <w:tc>
          <w:tcPr>
            <w:tcW w:w="448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63"/>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Balance - December 31, 2020</w:t>
            </w:r>
          </w:p>
        </w:tc>
        <w:tc>
          <w:tcPr>
            <w:tcW w:w="1080" w:type="dxa"/>
            <w:vAlign w:val="bottom"/>
          </w:tcPr>
          <w:p>
            <w:pPr>
              <w:jc w:val="right"/>
              <w:spacing w:after="0"/>
              <w:rPr>
                <w:sz w:val="20"/>
                <w:szCs w:val="20"/>
                <w:color w:val="auto"/>
              </w:rPr>
            </w:pPr>
            <w:r>
              <w:rPr>
                <w:rFonts w:ascii="Arial" w:cs="Arial" w:eastAsia="Arial" w:hAnsi="Arial"/>
                <w:sz w:val="13"/>
                <w:szCs w:val="13"/>
                <w:color w:val="auto"/>
              </w:rPr>
              <w:t>294.3</w:t>
            </w:r>
          </w:p>
        </w:tc>
        <w:tc>
          <w:tcPr>
            <w:tcW w:w="60" w:type="dxa"/>
            <w:vAlign w:val="bottom"/>
          </w:tcPr>
          <w:p>
            <w:pPr>
              <w:spacing w:after="0"/>
              <w:rPr>
                <w:sz w:val="14"/>
                <w:szCs w:val="14"/>
                <w:color w:val="auto"/>
              </w:rPr>
            </w:pP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2,472.7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16.6</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(561.0)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1,928.3</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Balance - June 30, 2021</w:t>
            </w:r>
          </w:p>
        </w:tc>
        <w:tc>
          <w:tcPr>
            <w:tcW w:w="1080" w:type="dxa"/>
            <w:vAlign w:val="bottom"/>
          </w:tcPr>
          <w:p>
            <w:pPr>
              <w:jc w:val="right"/>
              <w:spacing w:after="0"/>
              <w:rPr>
                <w:sz w:val="20"/>
                <w:szCs w:val="20"/>
                <w:color w:val="auto"/>
              </w:rPr>
            </w:pPr>
            <w:r>
              <w:rPr>
                <w:rFonts w:ascii="Arial" w:cs="Arial" w:eastAsia="Arial" w:hAnsi="Arial"/>
                <w:sz w:val="13"/>
                <w:szCs w:val="13"/>
                <w:color w:val="auto"/>
              </w:rPr>
              <w:t>300.1</w:t>
            </w:r>
          </w:p>
        </w:tc>
        <w:tc>
          <w:tcPr>
            <w:tcW w:w="60" w:type="dxa"/>
            <w:vAlign w:val="bottom"/>
          </w:tcPr>
          <w:p>
            <w:pPr>
              <w:spacing w:after="0"/>
              <w:rPr>
                <w:sz w:val="14"/>
                <w:szCs w:val="14"/>
                <w:color w:val="auto"/>
              </w:rPr>
            </w:pP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2,618.9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18.2</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(883.0)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1,754.1</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Activity related to stock-based compensation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0" w:type="dxa"/>
            <w:vAlign w:val="bottom"/>
          </w:tcPr>
          <w:p>
            <w:pPr>
              <w:spacing w:after="0"/>
              <w:rPr>
                <w:sz w:val="1"/>
                <w:szCs w:val="1"/>
                <w:color w:val="auto"/>
              </w:rPr>
            </w:pPr>
          </w:p>
        </w:tc>
      </w:tr>
      <w:tr>
        <w:trPr>
          <w:trHeight w:val="168"/>
        </w:trPr>
        <w:tc>
          <w:tcPr>
            <w:tcW w:w="4480" w:type="dxa"/>
            <w:vAlign w:val="bottom"/>
          </w:tcPr>
          <w:p>
            <w:pPr>
              <w:ind w:left="18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tcPr>
          <w:p>
            <w:pPr>
              <w:jc w:val="right"/>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72"/>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Issuance of common stock pursuant to public offering, net 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1,218.7</w:t>
            </w:r>
          </w:p>
        </w:tc>
        <w:tc>
          <w:tcPr>
            <w:tcW w:w="0" w:type="dxa"/>
            <w:vAlign w:val="bottom"/>
          </w:tcPr>
          <w:p>
            <w:pPr>
              <w:spacing w:after="0"/>
              <w:rPr>
                <w:sz w:val="1"/>
                <w:szCs w:val="1"/>
                <w:color w:val="auto"/>
              </w:rPr>
            </w:pPr>
          </w:p>
        </w:tc>
      </w:tr>
      <w:tr>
        <w:trPr>
          <w:trHeight w:val="168"/>
        </w:trPr>
        <w:tc>
          <w:tcPr>
            <w:tcW w:w="448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0"/>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(815.3)</w:t>
            </w:r>
          </w:p>
        </w:tc>
        <w:tc>
          <w:tcPr>
            <w:tcW w:w="0" w:type="dxa"/>
            <w:vAlign w:val="bottom"/>
          </w:tcPr>
          <w:p>
            <w:pPr>
              <w:spacing w:after="0"/>
              <w:rPr>
                <w:sz w:val="1"/>
                <w:szCs w:val="1"/>
                <w:color w:val="auto"/>
              </w:rPr>
            </w:pPr>
          </w:p>
        </w:tc>
      </w:tr>
      <w:tr>
        <w:trPr>
          <w:trHeight w:val="163"/>
        </w:trPr>
        <w:tc>
          <w:tcPr>
            <w:tcW w:w="4480" w:type="dxa"/>
            <w:vAlign w:val="bottom"/>
          </w:tcPr>
          <w:p>
            <w:pPr>
              <w:ind w:left="20"/>
              <w:spacing w:after="0"/>
              <w:rPr>
                <w:sz w:val="20"/>
                <w:szCs w:val="20"/>
                <w:color w:val="auto"/>
              </w:rPr>
            </w:pPr>
            <w:r>
              <w:rPr>
                <w:rFonts w:ascii="Arial" w:cs="Arial" w:eastAsia="Arial" w:hAnsi="Arial"/>
                <w:sz w:val="13"/>
                <w:szCs w:val="13"/>
                <w:b w:val="1"/>
                <w:bCs w:val="1"/>
                <w:color w:val="auto"/>
              </w:rPr>
              <w:t>Balance - December 31, 2021</w:t>
            </w:r>
          </w:p>
        </w:tc>
        <w:tc>
          <w:tcPr>
            <w:tcW w:w="1080" w:type="dxa"/>
            <w:vAlign w:val="bottom"/>
          </w:tcPr>
          <w:p>
            <w:pPr>
              <w:jc w:val="right"/>
              <w:spacing w:after="0"/>
              <w:rPr>
                <w:sz w:val="20"/>
                <w:szCs w:val="20"/>
                <w:color w:val="auto"/>
              </w:rPr>
            </w:pPr>
            <w:r>
              <w:rPr>
                <w:rFonts w:ascii="Arial" w:cs="Arial" w:eastAsia="Arial" w:hAnsi="Arial"/>
                <w:sz w:val="13"/>
                <w:szCs w:val="13"/>
                <w:color w:val="auto"/>
              </w:rPr>
              <w:t>331.4</w:t>
            </w:r>
          </w:p>
        </w:tc>
        <w:tc>
          <w:tcPr>
            <w:tcW w:w="60" w:type="dxa"/>
            <w:vAlign w:val="bottom"/>
          </w:tcPr>
          <w:p>
            <w:pPr>
              <w:spacing w:after="0"/>
              <w:rPr>
                <w:sz w:val="14"/>
                <w:szCs w:val="14"/>
                <w:color w:val="auto"/>
              </w:rPr>
            </w:pPr>
          </w:p>
        </w:tc>
        <w:tc>
          <w:tcPr>
            <w:tcW w:w="880" w:type="dxa"/>
            <w:vAlign w:val="bottom"/>
          </w:tcPr>
          <w:p>
            <w:pPr>
              <w:jc w:val="right"/>
              <w:ind w:right="716"/>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4,048.8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18.3</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(1,698.2)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2,368.9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accompanying notes to these unaudited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Description of Business and Basis of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Description and Organization</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3"/>
          <w:szCs w:val="13"/>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2021,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Company’s Annual Report on Form 10-K for the fiscal year ended June 30, 2021, filed with the SEC on August 27, 2021 (the “Form 10-K”). However, the Company believes that the disclosures provided herein are adequate to prevent the information presented from being misleading.</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condensed consolidated financial statements include the accounts of the Company and its wholly owned subsidiaries. All significant intercompany balances and transactions have been eliminated in consolidation.</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and six months ended December 31, 2021 are not necessarily indicative of the results to be expected for any subsequent quarter, the fiscal year ending June 30, 2022, or any other period.</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53"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 xml:space="preserve">Except as described elsewhere in </w:t>
      </w:r>
      <w:r>
        <w:rPr>
          <w:rFonts w:ascii="Arial" w:cs="Arial" w:eastAsia="Arial" w:hAnsi="Arial"/>
          <w:sz w:val="12"/>
          <w:szCs w:val="12"/>
          <w:i w:val="1"/>
          <w:iCs w:val="1"/>
          <w:color w:val="auto"/>
        </w:rPr>
        <w:t>Note 2 - Summary of Significant Accounting Policies</w:t>
      </w:r>
      <w:r>
        <w:rPr>
          <w:rFonts w:ascii="Arial" w:cs="Arial" w:eastAsia="Arial" w:hAnsi="Arial"/>
          <w:sz w:val="12"/>
          <w:szCs w:val="12"/>
          <w:color w:val="auto"/>
        </w:rPr>
        <w:t xml:space="preserve"> of the Notes to Condensed Consolidated Financial Statements in Part I, Item 1 of this Quarterly Report on Form 10-Q under the heading </w:t>
      </w:r>
      <w:r>
        <w:rPr>
          <w:rFonts w:ascii="Arial" w:cs="Arial" w:eastAsia="Arial" w:hAnsi="Arial"/>
          <w:sz w:val="12"/>
          <w:szCs w:val="12"/>
          <w:i w:val="1"/>
          <w:iCs w:val="1"/>
          <w:color w:val="auto"/>
        </w:rPr>
        <w:t>“Recently Issued Accounting Pronouncements”</w:t>
      </w:r>
      <w:r>
        <w:rPr>
          <w:rFonts w:ascii="Arial" w:cs="Arial" w:eastAsia="Arial" w:hAnsi="Arial"/>
          <w:sz w:val="12"/>
          <w:szCs w:val="12"/>
          <w:color w:val="auto"/>
        </w:rPr>
        <w:t>, there have been no material changes to the Company’s significant accounting policies as described in the Form 10-K.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Estimates</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impairment of long-lived and intangible assets, useful lives of long 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 asset acquisitions, valuation of the debt component of convertible senior notes, contingent consideration, and commitments and contingencies. Actual results may differ from these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Derivative Instruments and Hedging Activities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Company, when deemed appropriate, uses derivatives as a risk management tool to mitigate the potential impact of foreign currency exchange risk. As required by ASC 815, the Company records all derivatives on the balance sheet at fair value in the following line items: Prepaid expenses and other current assets; and Other current liabilities.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The Company does not currently have fair value or net investment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to our derivatives where we apply hedge accounting,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Company evaluates its convertible instruments and other contracts to determine if those contracts or embedded components of those contracts qualify as derivatives requiring separate recognition in the Company’s financial statements in accordance with the criteria under ASC 815-15. As of December 31, 2021, the Company did not have any material derivative contracts or contracts with material embedded derivative features requiring bifurcation.</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Recently Adopted</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2020-01</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In January 2020, the FASB issued ASU 2020-01, </w:t>
      </w:r>
      <w:r>
        <w:rPr>
          <w:rFonts w:ascii="Arial" w:cs="Arial" w:eastAsia="Arial" w:hAnsi="Arial"/>
          <w:sz w:val="13"/>
          <w:szCs w:val="13"/>
          <w:i w:val="1"/>
          <w:iCs w:val="1"/>
          <w:color w:val="auto"/>
        </w:rPr>
        <w:t>Investments-Equity Securities (Topic 321), Investments-Equity Method and Joint Ventures (Topic 323), and Derivatives and Hedging (Topic 815):</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Clarifying the Interactions between Topic 321, Topic 323, and Topic 815. </w:t>
      </w:r>
      <w:r>
        <w:rPr>
          <w:rFonts w:ascii="Arial" w:cs="Arial" w:eastAsia="Arial" w:hAnsi="Arial"/>
          <w:sz w:val="13"/>
          <w:szCs w:val="13"/>
          <w:color w:val="auto"/>
        </w:rPr>
        <w:t>This guidance clarifies the interaction of the accounting for equity investments under Topic 321 and investments accounted for</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has completed its assessment and adopted this standard on July 1, 2021. The adoption of this standard did not materially impact the Company’s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2020-04 and ASU 2021-01</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xml:space="preserve">. This guidance provides temporary optional expedients and exceptions to accounting guidance on contract modifications and hedge accounting to ease entities’ financial reporting burdens as the market transitions from the London Interbank Offered Rate (LIBOR) and other interbank offered rates to alternative reference rates. In January 2021, the FASB issued ASU No. 2021-01, </w:t>
      </w:r>
      <w:r>
        <w:rPr>
          <w:rFonts w:ascii="Arial" w:cs="Arial" w:eastAsia="Arial" w:hAnsi="Arial"/>
          <w:sz w:val="13"/>
          <w:szCs w:val="13"/>
          <w:i w:val="1"/>
          <w:iCs w:val="1"/>
          <w:color w:val="auto"/>
        </w:rPr>
        <w:t>Reference Rate Reform (Topic 848)</w:t>
      </w:r>
      <w:r>
        <w:rPr>
          <w:rFonts w:ascii="Arial" w:cs="Arial" w:eastAsia="Arial" w:hAnsi="Arial"/>
          <w:sz w:val="13"/>
          <w:szCs w:val="13"/>
          <w:color w:val="auto"/>
        </w:rPr>
        <w:t>, which refines the scope of Topic ASC 848 and clarifies some of its guidance. The amendments in ASU 2021-01 are elective and apply to all entities that have derivative instruments that use an interest rate for margining, discounting, or contract price alignment that is modified as a result of reference rate reform. The guidance in both updates was effective upon issuance and generally can be applied through December 31, 2022. The Company adopted this standard after LIBOR was discontinued on December 31, 2021. The adoption of this standard did not materially impact the Company's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Pronouncements Not Yet Adopted</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2020-06</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In August 2020, the FASB issued ASU 2020-06, </w:t>
      </w:r>
      <w:r>
        <w:rPr>
          <w:rFonts w:ascii="Arial" w:cs="Arial" w:eastAsia="Arial" w:hAnsi="Arial"/>
          <w:sz w:val="13"/>
          <w:szCs w:val="13"/>
          <w:i w:val="1"/>
          <w:iCs w:val="1"/>
          <w:color w:val="auto"/>
        </w:rPr>
        <w:t>Debt - Debt with Conversion and Other Options (Subtopic 470-20) and Derivatives and Hedging- Contracts in Entity’s Own Equity (Subtopic 815-40):</w:t>
      </w:r>
      <w:r>
        <w:rPr>
          <w:rFonts w:ascii="Arial" w:cs="Arial" w:eastAsia="Arial" w:hAnsi="Arial"/>
          <w:sz w:val="13"/>
          <w:szCs w:val="13"/>
          <w:color w:val="auto"/>
        </w:rPr>
        <w:t xml:space="preserve"> </w:t>
      </w:r>
      <w:r>
        <w:rPr>
          <w:rFonts w:ascii="Arial" w:cs="Arial" w:eastAsia="Arial" w:hAnsi="Arial"/>
          <w:sz w:val="13"/>
          <w:szCs w:val="13"/>
          <w:i w:val="1"/>
          <w:iCs w:val="1"/>
          <w:color w:val="auto"/>
        </w:rPr>
        <w:t>Accounting for Convertible Instruments and Contracts in an Entity’s Own Equity</w:t>
      </w:r>
      <w:r>
        <w:rPr>
          <w:rFonts w:ascii="Arial" w:cs="Arial" w:eastAsia="Arial" w:hAnsi="Arial"/>
          <w:sz w:val="13"/>
          <w:szCs w:val="13"/>
          <w:color w:val="auto"/>
        </w:rPr>
        <w:t>. The guidance will simplify the accounting for convertible instruments by reducing the number of accounting models for</w:t>
      </w:r>
      <w:r>
        <w:rPr>
          <w:rFonts w:ascii="Arial" w:cs="Arial" w:eastAsia="Arial" w:hAnsi="Arial"/>
          <w:sz w:val="13"/>
          <w:szCs w:val="13"/>
          <w:i w:val="1"/>
          <w:iCs w:val="1"/>
          <w:color w:val="auto"/>
        </w:rPr>
        <w:t xml:space="preserve"> </w:t>
      </w:r>
      <w:r>
        <w:rPr>
          <w:rFonts w:ascii="Arial" w:cs="Arial" w:eastAsia="Arial" w:hAnsi="Arial"/>
          <w:sz w:val="13"/>
          <w:szCs w:val="13"/>
          <w:color w:val="auto"/>
        </w:rPr>
        <w:t>convertible debt instruments and convertible preferred stock, thereby limiting the accounting results in fewer embedded conversion features being separately recognized from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 w:name="page12"/>
    <w:bookmarkEnd w:id="11"/>
    <w:p>
      <w:pPr>
        <w:jc w:val="both"/>
        <w:spacing w:after="0" w:line="239" w:lineRule="auto"/>
        <w:rPr>
          <w:sz w:val="20"/>
          <w:szCs w:val="20"/>
          <w:color w:val="auto"/>
        </w:rPr>
      </w:pPr>
      <w:r>
        <w:rPr>
          <w:rFonts w:ascii="Arial" w:cs="Arial" w:eastAsia="Arial" w:hAnsi="Arial"/>
          <w:sz w:val="13"/>
          <w:szCs w:val="13"/>
          <w:color w:val="auto"/>
        </w:rPr>
        <w:t xml:space="preserve">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Upon adoption, the Company expects a decrease to Additional paid-in capital to remove the equity component separately recorded for the conversion features associated with the Notes (as defined in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of the Notes to Condensed Consolidated Financial Statements in Part I, Item 1 of this Quarterly Report on Form 10-Q), an increase in the carrying value of its Notes to reflect the full principal amount of the Notes outstanding net of issuance costs, and an increase to Accumulated deficit. The Company expects the adoption of this standard to reduce its reported Interest expense.</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ASU 2021-08</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In October 2021, the Financial Accounting Standards Board issued ASU 2021-08, </w:t>
      </w:r>
      <w:r>
        <w:rPr>
          <w:rFonts w:ascii="Arial" w:cs="Arial" w:eastAsia="Arial" w:hAnsi="Arial"/>
          <w:sz w:val="13"/>
          <w:szCs w:val="13"/>
          <w:i w:val="1"/>
          <w:iCs w:val="1"/>
          <w:color w:val="auto"/>
        </w:rPr>
        <w:t>Business Combinations (Topic 805): Accounting for Contract Assets and Contract Liabilities from Contracts with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Customers. </w:t>
      </w:r>
      <w:r>
        <w:rPr>
          <w:rFonts w:ascii="Arial" w:cs="Arial" w:eastAsia="Arial" w:hAnsi="Arial"/>
          <w:sz w:val="13"/>
          <w:szCs w:val="13"/>
          <w:color w:val="auto"/>
        </w:rPr>
        <w:t>The guidance requires that an acquirer recognize and measure contract assets and liabilities acquired in a business combination in accordance with ASC 606,</w:t>
      </w:r>
      <w:r>
        <w:rPr>
          <w:rFonts w:ascii="Arial" w:cs="Arial" w:eastAsia="Arial" w:hAnsi="Arial"/>
          <w:sz w:val="13"/>
          <w:szCs w:val="13"/>
          <w:i w:val="1"/>
          <w:iCs w:val="1"/>
          <w:color w:val="auto"/>
        </w:rPr>
        <w:t xml:space="preserve"> Revenue from Contracts with Customers</w:t>
      </w:r>
      <w:r>
        <w:rPr>
          <w:rFonts w:ascii="Arial" w:cs="Arial" w:eastAsia="Arial" w:hAnsi="Arial"/>
          <w:sz w:val="13"/>
          <w:szCs w:val="13"/>
          <w:color w:val="auto"/>
        </w:rPr>
        <w:t>. This standard is effective for annual periods beginning after December 15, 2022, including interim periods therein, with early adoption permitted, and should be applied prospectively to</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occurring on or after the effective date. The Company will continue to evaluate the impact of this guidance, which will depend on the contract assets and liabilities acquired in future business combinations.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Revenue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Company’s primary source of revenue is from sales of its Connected Fitness Products and associated recurring Subscription revenues.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Company determines revenue recognition through the following steps:</w:t>
      </w:r>
    </w:p>
    <w:p>
      <w:pPr>
        <w:spacing w:after="0" w:line="190"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Identification of the contract, or contracts, with a customer;</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Identification of the performance obligations in the contract;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Determination of the transaction price;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Allocation of the transaction price to the performance obligations in the contract;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Recognition of revenue when, or as, the Company satisfies a performance obligation.</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applies the practical expedient as per ASC 606-10-50-14 and does not disclose information related to remaining performance obligations due to their original expected terms being one year or less.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 income.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Connected Fitness Products</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which is recognized over the warranty period and service revenue which is recognized over the term of the service contract. The Company allows customers to return Peloton branded Connected Fitness Products within thirty days of purchase, as stated in its return policy.</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Connected Fitness Products within Sales and marketing in the Company’s condensed consolidated statements of operations and comprehensive (loss) income.</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Subscription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Company’s subscriptions provide unlimited access to content in its library of live and on-demand fitness classes. The Company’s subscriptions are offered on a month-to-month basis.</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Amounts paid for subscription fees, net of refunds are included within Customer deposits and deferred revenue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 income.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Sales tax collected from customers and remitted to governmental authorities is not included in revenue and is reflected as a liability on the Company’s condensed consolidated balance sheets.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Standard Product Warranty</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 offers a standard product warranty that its Connected Fitness Products will operate under normal, non-commercial use for a period of one year covering the touchscreen and most original Bike, Bike+, Tread, and Tread+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Activity related to the Company’s accrual for our estimated future product warranty obligation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5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period</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4"/>
              </w:rPr>
              <w:t>44.4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center"/>
              <w:ind w:left="616"/>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center"/>
              <w:ind w:left="656"/>
              <w:spacing w:after="0"/>
              <w:rPr>
                <w:sz w:val="20"/>
                <w:szCs w:val="20"/>
                <w:color w:val="auto"/>
              </w:rPr>
            </w:pPr>
            <w:r>
              <w:rPr>
                <w:rFonts w:ascii="Arial" w:cs="Arial" w:eastAsia="Arial" w:hAnsi="Arial"/>
                <w:sz w:val="13"/>
                <w:szCs w:val="13"/>
                <w:color w:val="auto"/>
                <w:w w:val="94"/>
              </w:rPr>
              <w:t>34.2</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Provision for warranty accrual</w:t>
            </w:r>
          </w:p>
        </w:tc>
        <w:tc>
          <w:tcPr>
            <w:tcW w:w="960" w:type="dxa"/>
            <w:vAlign w:val="bottom"/>
          </w:tcPr>
          <w:p>
            <w:pPr>
              <w:spacing w:after="0"/>
              <w:rPr>
                <w:sz w:val="14"/>
                <w:szCs w:val="14"/>
                <w:color w:val="auto"/>
              </w:rPr>
            </w:pPr>
          </w:p>
        </w:tc>
        <w:tc>
          <w:tcPr>
            <w:tcW w:w="460" w:type="dxa"/>
            <w:vAlign w:val="bottom"/>
          </w:tcPr>
          <w:p>
            <w:pPr>
              <w:jc w:val="center"/>
              <w:ind w:left="36"/>
              <w:spacing w:after="0"/>
              <w:rPr>
                <w:sz w:val="20"/>
                <w:szCs w:val="20"/>
                <w:color w:val="auto"/>
              </w:rPr>
            </w:pPr>
            <w:r>
              <w:rPr>
                <w:rFonts w:ascii="Arial" w:cs="Arial" w:eastAsia="Arial" w:hAnsi="Arial"/>
                <w:sz w:val="13"/>
                <w:szCs w:val="13"/>
                <w:color w:val="auto"/>
                <w:w w:val="94"/>
              </w:rPr>
              <w:t>18.8</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center"/>
              <w:ind w:left="616"/>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center"/>
              <w:ind w:left="656"/>
              <w:spacing w:after="0"/>
              <w:rPr>
                <w:sz w:val="20"/>
                <w:szCs w:val="20"/>
                <w:color w:val="auto"/>
              </w:rPr>
            </w:pPr>
            <w:r>
              <w:rPr>
                <w:rFonts w:ascii="Arial" w:cs="Arial" w:eastAsia="Arial" w:hAnsi="Arial"/>
                <w:sz w:val="13"/>
                <w:szCs w:val="13"/>
                <w:color w:val="auto"/>
                <w:w w:val="94"/>
              </w:rPr>
              <w:t>17.5</w:t>
            </w: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claims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center"/>
              <w:ind w:left="16"/>
              <w:spacing w:after="0"/>
              <w:rPr>
                <w:sz w:val="20"/>
                <w:szCs w:val="20"/>
                <w:color w:val="auto"/>
              </w:rPr>
            </w:pPr>
            <w:r>
              <w:rPr>
                <w:rFonts w:ascii="Arial" w:cs="Arial" w:eastAsia="Arial" w:hAnsi="Arial"/>
                <w:sz w:val="13"/>
                <w:szCs w:val="13"/>
                <w:color w:val="auto"/>
                <w:w w:val="99"/>
              </w:rPr>
              <w:t>(14.7)</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(12.8)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center"/>
              <w:ind w:left="596"/>
              <w:spacing w:after="0"/>
              <w:rPr>
                <w:sz w:val="20"/>
                <w:szCs w:val="20"/>
                <w:color w:val="auto"/>
              </w:rPr>
            </w:pPr>
            <w:r>
              <w:rPr>
                <w:rFonts w:ascii="Arial" w:cs="Arial" w:eastAsia="Arial" w:hAnsi="Arial"/>
                <w:sz w:val="13"/>
                <w:szCs w:val="13"/>
                <w:color w:val="auto"/>
                <w:w w:val="94"/>
              </w:rPr>
              <w:t>(29.1)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center"/>
              <w:ind w:left="636"/>
              <w:spacing w:after="0"/>
              <w:rPr>
                <w:sz w:val="20"/>
                <w:szCs w:val="20"/>
                <w:color w:val="auto"/>
              </w:rPr>
            </w:pPr>
            <w:r>
              <w:rPr>
                <w:rFonts w:ascii="Arial" w:cs="Arial" w:eastAsia="Arial" w:hAnsi="Arial"/>
                <w:sz w:val="13"/>
                <w:szCs w:val="13"/>
                <w:color w:val="auto"/>
                <w:w w:val="99"/>
              </w:rPr>
              <w:t>(19.1)</w:t>
            </w:r>
          </w:p>
        </w:tc>
      </w:tr>
      <w:tr>
        <w:trPr>
          <w:trHeight w:val="163"/>
        </w:trPr>
        <w:tc>
          <w:tcPr>
            <w:tcW w:w="538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center"/>
              <w:ind w:left="36"/>
              <w:spacing w:after="0"/>
              <w:rPr>
                <w:sz w:val="20"/>
                <w:szCs w:val="20"/>
                <w:color w:val="auto"/>
              </w:rPr>
            </w:pPr>
            <w:r>
              <w:rPr>
                <w:rFonts w:ascii="Arial" w:cs="Arial" w:eastAsia="Arial" w:hAnsi="Arial"/>
                <w:sz w:val="13"/>
                <w:szCs w:val="13"/>
                <w:color w:val="auto"/>
                <w:w w:val="94"/>
              </w:rPr>
              <w:t>48.5</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96"/>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center"/>
              <w:ind w:left="616"/>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center"/>
              <w:ind w:left="656"/>
              <w:spacing w:after="0"/>
              <w:rPr>
                <w:sz w:val="20"/>
                <w:szCs w:val="20"/>
                <w:color w:val="auto"/>
              </w:rPr>
            </w:pPr>
            <w:r>
              <w:rPr>
                <w:rFonts w:ascii="Arial" w:cs="Arial" w:eastAsia="Arial" w:hAnsi="Arial"/>
                <w:sz w:val="13"/>
                <w:szCs w:val="13"/>
                <w:color w:val="auto"/>
                <w:w w:val="94"/>
              </w:rPr>
              <w:t>32.6</w:t>
            </w:r>
          </w:p>
        </w:tc>
      </w:tr>
      <w:tr>
        <w:trPr>
          <w:trHeight w:val="20"/>
        </w:trPr>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 for an additional period of 12 to 27 months.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 income.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Disaggregation of Revenue</w:t>
      </w: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The Company’s revenue from contracts with customers disaggregated by major product lines, excluding sales-based taxes, are included in </w:t>
      </w:r>
      <w:r>
        <w:rPr>
          <w:rFonts w:ascii="Arial" w:cs="Arial" w:eastAsia="Arial" w:hAnsi="Arial"/>
          <w:sz w:val="13"/>
          <w:szCs w:val="13"/>
          <w:i w:val="1"/>
          <w:iCs w:val="1"/>
          <w:color w:val="auto"/>
        </w:rPr>
        <w:t>Note 13- Segment Information</w:t>
      </w:r>
      <w:r>
        <w:rPr>
          <w:rFonts w:ascii="Arial" w:cs="Arial" w:eastAsia="Arial" w:hAnsi="Arial"/>
          <w:sz w:val="13"/>
          <w:szCs w:val="13"/>
          <w:color w:val="auto"/>
        </w:rPr>
        <w:t xml:space="preserve"> of the Notes to Condensed Consolidated Financial Statements in Part I, Item 1 of this Quarterly Report on Form 10-Q.</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80" w:type="dxa"/>
            <w:vAlign w:val="bottom"/>
          </w:tcPr>
          <w:p>
            <w:pPr>
              <w:spacing w:after="0"/>
              <w:rPr>
                <w:sz w:val="20"/>
                <w:szCs w:val="20"/>
                <w:color w:val="auto"/>
              </w:rPr>
            </w:pPr>
            <w:r>
              <w:rPr>
                <w:rFonts w:ascii="Arial" w:cs="Arial" w:eastAsia="Arial" w:hAnsi="Arial"/>
                <w:sz w:val="13"/>
                <w:szCs w:val="13"/>
                <w:color w:val="auto"/>
              </w:rPr>
              <w:t>The Company’s revenue disaggregated by geographic region, were as follows:</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52"/>
        </w:trPr>
        <w:tc>
          <w:tcPr>
            <w:tcW w:w="5380" w:type="dxa"/>
            <w:vAlign w:val="bottom"/>
          </w:tcPr>
          <w:p>
            <w:pPr>
              <w:spacing w:after="0"/>
              <w:rPr>
                <w:sz w:val="24"/>
                <w:szCs w:val="24"/>
                <w:color w:val="auto"/>
              </w:rPr>
            </w:pPr>
          </w:p>
        </w:tc>
        <w:tc>
          <w:tcPr>
            <w:tcW w:w="3000" w:type="dxa"/>
            <w:vAlign w:val="bottom"/>
            <w:gridSpan w:val="6"/>
          </w:tcPr>
          <w:p>
            <w:pPr>
              <w:ind w:left="400"/>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Pr>
          <w:p>
            <w:pPr>
              <w:spacing w:after="0"/>
              <w:rPr>
                <w:sz w:val="24"/>
                <w:szCs w:val="24"/>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North America</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1,729.7</w:t>
            </w:r>
          </w:p>
        </w:tc>
      </w:tr>
      <w:tr>
        <w:trPr>
          <w:trHeight w:val="168"/>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International</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w:t>
            </w:r>
          </w:p>
        </w:tc>
      </w:tr>
      <w:tr>
        <w:trPr>
          <w:trHeight w:val="188"/>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Total revenue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1,064.8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1,822.7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During the three and six months ended December 31, 2021, the Company’s revenue attributable to the United States was $982.7 million and $1,678.9 million or 87% and 87% of total revenue, respectively. During the three and six months ended December 31, 2020, the Company’s revenue attributable to the United States was $971.4 million and $1,673.7 million or 91% and 92% of total revenue,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i w:val="1"/>
          <w:iCs w:val="1"/>
          <w:color w:val="auto"/>
        </w:rPr>
        <w:t>Customer Deposits and Deferred Revenue</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of December 31, 2021 and June 30, 2021, customer deposits of $159.9 million and $92.2 million, respectively, and deferred revenue of $80.6 million and $72.6 million, respectively, were included in Customer deposits and deferred revenue on the Company’s condensed consolidated balance sheets.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six months ended December 31, 2021 and 2020, the Company recognized revenue of $64.9 million and $22.1 million, respectively, that was included in the deferred revenue balance as of June 30, 2021 and 2020, respectively.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Fair Value Measurements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 Measurements of Other Financial Instruments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estimated fair values of the Company’s financial instruments that are not recorded at fair value on the condensed 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gridSpan w:val="3"/>
          </w:tcPr>
          <w:p>
            <w:pPr>
              <w:jc w:val="center"/>
              <w:ind w:right="636"/>
              <w:spacing w:after="0"/>
              <w:rPr>
                <w:sz w:val="20"/>
                <w:szCs w:val="20"/>
                <w:color w:val="auto"/>
              </w:rPr>
            </w:pPr>
            <w:r>
              <w:rPr>
                <w:rFonts w:ascii="Arial" w:cs="Arial" w:eastAsia="Arial" w:hAnsi="Arial"/>
                <w:sz w:val="13"/>
                <w:szCs w:val="13"/>
                <w:b w:val="1"/>
                <w:bCs w:val="1"/>
                <w:color w:val="auto"/>
                <w:w w:val="97"/>
              </w:rPr>
              <w:t>As of December 31, 2021</w:t>
            </w:r>
          </w:p>
        </w:tc>
        <w:tc>
          <w:tcPr>
            <w:tcW w:w="1080" w:type="dxa"/>
            <w:vAlign w:val="bottom"/>
          </w:tcPr>
          <w:p>
            <w:pPr>
              <w:spacing w:after="0"/>
              <w:rPr>
                <w:sz w:val="14"/>
                <w:szCs w:val="14"/>
                <w:color w:val="auto"/>
              </w:rPr>
            </w:pPr>
          </w:p>
        </w:tc>
      </w:tr>
      <w:tr>
        <w:trPr>
          <w:trHeight w:val="172"/>
        </w:trPr>
        <w:tc>
          <w:tcPr>
            <w:tcW w:w="5380" w:type="dxa"/>
            <w:vAlign w:val="bottom"/>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Level 1</w:t>
            </w: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Level 2</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Total</w:t>
            </w:r>
          </w:p>
        </w:tc>
      </w:tr>
      <w:tr>
        <w:trPr>
          <w:trHeight w:val="162"/>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8"/>
              </w:rPr>
              <w:t>(in millions)</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Senior Notes</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   $</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852.3</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ind w:left="820"/>
              <w:spacing w:after="0"/>
              <w:rPr>
                <w:sz w:val="20"/>
                <w:szCs w:val="20"/>
                <w:color w:val="auto"/>
              </w:rPr>
            </w:pPr>
            <w:r>
              <w:rPr>
                <w:rFonts w:ascii="Arial" w:cs="Arial" w:eastAsia="Arial" w:hAnsi="Arial"/>
                <w:sz w:val="13"/>
                <w:szCs w:val="13"/>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852.3</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the 0% Convertible Senior Notes due February 15, 2026 (the “Notes”) is determined based on the closing price on the last trading day of the reporting period.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20"/>
                <w:szCs w:val="20"/>
                <w:color w:val="auto"/>
              </w:rPr>
            </w:pPr>
            <w:r>
              <w:rPr>
                <w:rFonts w:ascii="Arial" w:cs="Arial" w:eastAsia="Arial" w:hAnsi="Arial"/>
                <w:sz w:val="13"/>
                <w:szCs w:val="13"/>
                <w:b w:val="1"/>
                <w:bCs w:val="1"/>
                <w:color w:val="auto"/>
              </w:rPr>
              <w:t>5. Inventories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18"/>
        </w:trPr>
        <w:tc>
          <w:tcPr>
            <w:tcW w:w="7680" w:type="dxa"/>
            <w:vAlign w:val="bottom"/>
          </w:tcPr>
          <w:p>
            <w:pPr>
              <w:spacing w:after="0"/>
              <w:rPr>
                <w:sz w:val="20"/>
                <w:szCs w:val="20"/>
                <w:color w:val="auto"/>
              </w:rPr>
            </w:pPr>
            <w:r>
              <w:rPr>
                <w:rFonts w:ascii="Arial" w:cs="Arial" w:eastAsia="Arial" w:hAnsi="Arial"/>
                <w:sz w:val="13"/>
                <w:szCs w:val="13"/>
                <w:color w:val="auto"/>
              </w:rPr>
              <w:t>Inventories were as follows: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7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December 31, 2021</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June 30, 2021</w:t>
            </w:r>
          </w:p>
        </w:tc>
      </w:tr>
      <w:tr>
        <w:trPr>
          <w:trHeight w:val="162"/>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(in millions)</w:t>
            </w:r>
          </w:p>
        </w:tc>
        <w:tc>
          <w:tcPr>
            <w:tcW w:w="1360" w:type="dxa"/>
            <w:vAlign w:val="bottom"/>
          </w:tcPr>
          <w:p>
            <w:pPr>
              <w:spacing w:after="0"/>
              <w:rPr>
                <w:sz w:val="14"/>
                <w:szCs w:val="14"/>
                <w:color w:val="auto"/>
              </w:rPr>
            </w:pP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72"/>
        </w:trPr>
        <w:tc>
          <w:tcPr>
            <w:tcW w:w="768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Finished products</w:t>
            </w:r>
            <w:r>
              <w:rPr>
                <w:rFonts w:ascii="Arial" w:cs="Arial" w:eastAsia="Arial" w:hAnsi="Arial"/>
                <w:sz w:val="16"/>
                <w:szCs w:val="16"/>
                <w:color w:val="auto"/>
                <w:vertAlign w:val="superscript"/>
              </w:rPr>
              <w:t>(1)</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1,522.0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879.5</w:t>
            </w:r>
          </w:p>
        </w:tc>
      </w:tr>
      <w:tr>
        <w:trPr>
          <w:trHeight w:val="158"/>
        </w:trPr>
        <w:tc>
          <w:tcPr>
            <w:tcW w:w="7680" w:type="dxa"/>
            <w:vAlign w:val="bottom"/>
          </w:tcPr>
          <w:p>
            <w:pPr>
              <w:ind w:left="20"/>
              <w:spacing w:after="0"/>
              <w:rPr>
                <w:sz w:val="20"/>
                <w:szCs w:val="20"/>
                <w:color w:val="auto"/>
              </w:rPr>
            </w:pPr>
            <w:r>
              <w:rPr>
                <w:rFonts w:ascii="Arial" w:cs="Arial" w:eastAsia="Arial" w:hAnsi="Arial"/>
                <w:sz w:val="13"/>
                <w:szCs w:val="13"/>
                <w:color w:val="auto"/>
              </w:rPr>
              <w:t>Total inventories</w:t>
            </w:r>
          </w:p>
        </w:tc>
        <w:tc>
          <w:tcPr>
            <w:tcW w:w="2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1,627.8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997.2</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Reserves</w:t>
            </w: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w:t>
            </w:r>
          </w:p>
        </w:tc>
      </w:tr>
      <w:tr>
        <w:trPr>
          <w:trHeight w:val="163"/>
        </w:trPr>
        <w:tc>
          <w:tcPr>
            <w:tcW w:w="7680" w:type="dxa"/>
            <w:vAlign w:val="bottom"/>
          </w:tcPr>
          <w:p>
            <w:pPr>
              <w:ind w:left="180"/>
              <w:spacing w:after="0"/>
              <w:rPr>
                <w:sz w:val="20"/>
                <w:szCs w:val="20"/>
                <w:color w:val="auto"/>
              </w:rPr>
            </w:pPr>
            <w:r>
              <w:rPr>
                <w:rFonts w:ascii="Arial" w:cs="Arial" w:eastAsia="Arial" w:hAnsi="Arial"/>
                <w:sz w:val="13"/>
                <w:szCs w:val="13"/>
                <w:color w:val="auto"/>
              </w:rPr>
              <w:t>Total inventories, net</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1,541.3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937.1</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(1) Includes $572.3 million and $249.9 million of finished goods inventory in transit, products owned by the Company that have not yet been received at a Company distribution center, as of December 31, 2021 and June 30, 2021,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Combination</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Precor Incorporated</w:t>
      </w:r>
    </w:p>
    <w:p>
      <w:pPr>
        <w:spacing w:after="0" w:line="4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 April 1, 2021, the Company acquired the Precor business, which consisted of 15 legal entities (“Precor”) from Amer Sports Corporation (“Amer”) for a purchase price of approximately $412.0 million, net of cash acquired, which was paid in cash. During the six months ended December 31, 2021, the purchase consideration was reduced by $2.9 million associated with working capital adjustments, resulting in a revised purchase price of $409.2 million. Upon completion of the transaction, Precor became wholly owned subsidiaries of the Company.</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During the fourth quarter of fiscal 2021, the Company completed a preliminary analysis to determine the fair values of the assets acquired and liabilities assumed and the amounts recorded reflected management’s initial assessment of fair value as of the closing date. Based on additional information obtained to date, the Company refined its initial assessment of fair value and, as a result, recognized the following adjustments to the Company’s preliminary purchase price allocation during the first quarter of fiscal 2022: Inventory decreased $4.0 million, Intangible assets, net increased $1.0 million, and deferred tax liability increased $3.4 million. The adjustments resulted in a corresponding increase to Goodwill of $3.5 million, of which $3.4 million relates to the deferred tax liability and $0.1 million relates to the updated fair value assessment. The adjustments did not result in a material impact on the financial results of prior periods.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14" w:name="page15"/>
    <w:bookmarkEnd w:id="14"/>
    <w:p>
      <w:pPr>
        <w:jc w:val="both"/>
        <w:spacing w:after="0" w:line="241" w:lineRule="auto"/>
        <w:rPr>
          <w:sz w:val="20"/>
          <w:szCs w:val="20"/>
          <w:color w:val="auto"/>
        </w:rPr>
      </w:pPr>
      <w:r>
        <w:rPr>
          <w:rFonts w:ascii="Arial" w:cs="Arial" w:eastAsia="Arial" w:hAnsi="Arial"/>
          <w:sz w:val="13"/>
          <w:szCs w:val="13"/>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material adjustments to the values presented in the preliminary purchase price allocation.</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Acquisitions</w:t>
      </w:r>
    </w:p>
    <w:p>
      <w:pPr>
        <w:spacing w:after="0" w:line="43"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During the three and six months ended December 31, 2021, the Company completed two transactions to acquire certain developed software and assembled workforce for use in the development of the Company’s data platform and content supply chain. The transactions were completed on November 1, 2021 and November 8, 2021, and were accounted for as a business combination and asset acquisition, respectively.</w:t>
      </w:r>
    </w:p>
    <w:p>
      <w:pPr>
        <w:spacing w:after="0" w:line="165"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The acquisitions resulted in the recognition of $12.0 million of Goodwill, and $17.7 million of assets primarily consisting of developed software. The developed software was assigned a useful life of 3 years and is recorded in Property and equipment, net on the Company’s condensed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Debt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Notes and the Indenture</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accounting for the issuance of the Notes, the Company separated the Notes into liability and equity components, using an effective interest rate of 3.69% to determine the fair value of the liability component. The carrying amount of the equity component representing the conversion option was $163.8 million and was determined by deducting the fair value of the liability component from the initial proceeds ascribed to the Notes as a whole. The equity component is not remeasured as long as it continues to meet the conditions for equity classification. The excess of the principal amount of the liability component over its carrying amount (“debt discount”) is amortized to interest expense using the effective interest method over the contractual term of the Notes.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recorded as additional debt discount were $19.0 million and will be amortized to interest expense using the effective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3"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interest method over the contractual terms of the Notes. Issuance costs attributable to the equity component of $3.7 million were netted with the equity component in stockholders’ equity.</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The net carrying amount of the liability component of the Notes was as follows:</w:t>
      </w:r>
    </w:p>
    <w:p>
      <w:pPr>
        <w:sectPr>
          <w:pgSz w:w="11900" w:h="16838" w:orient="portrait"/>
          <w:cols w:equalWidth="0" w:num="1">
            <w:col w:w="11280"/>
          </w:cols>
          <w:pgMar w:left="300" w:top="523" w:right="3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161530" cy="107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Unamortized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Unamortized debt issuance costs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carrying amount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111823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(in millions)</w:t>
      </w:r>
    </w:p>
    <w:p>
      <w:pPr>
        <w:spacing w:after="0" w:line="36" w:lineRule="exact"/>
        <w:rPr>
          <w:sz w:val="20"/>
          <w:szCs w:val="20"/>
          <w:color w:val="auto"/>
        </w:rPr>
      </w:pPr>
    </w:p>
    <w:p>
      <w:pPr>
        <w:ind w:left="1264" w:hanging="1264"/>
        <w:spacing w:after="0"/>
        <w:tabs>
          <w:tab w:leader="none" w:pos="1264" w:val="left"/>
        </w:tabs>
        <w:numPr>
          <w:ilvl w:val="0"/>
          <w:numId w:val="6"/>
        </w:numPr>
        <w:rPr>
          <w:rFonts w:ascii="Arial" w:cs="Arial" w:eastAsia="Arial" w:hAnsi="Arial"/>
          <w:sz w:val="13"/>
          <w:szCs w:val="13"/>
          <w:color w:val="auto"/>
        </w:rPr>
      </w:pPr>
      <w:r>
        <w:rPr>
          <w:rFonts w:ascii="Arial" w:cs="Arial" w:eastAsia="Arial" w:hAnsi="Arial"/>
          <w:sz w:val="13"/>
          <w:szCs w:val="13"/>
          <w:color w:val="auto"/>
        </w:rPr>
        <w:t>1,000.0</w:t>
      </w:r>
    </w:p>
    <w:p>
      <w:pPr>
        <w:spacing w:after="0" w:line="20" w:lineRule="exact"/>
        <w:rPr>
          <w:rFonts w:ascii="Arial" w:cs="Arial" w:eastAsia="Arial" w:hAnsi="Arial"/>
          <w:sz w:val="13"/>
          <w:szCs w:val="13"/>
          <w:color w:val="auto"/>
        </w:rPr>
      </w:pPr>
    </w:p>
    <w:p>
      <w:pPr>
        <w:ind w:left="1324"/>
        <w:spacing w:after="0"/>
        <w:rPr>
          <w:rFonts w:ascii="Arial" w:cs="Arial" w:eastAsia="Arial" w:hAnsi="Arial"/>
          <w:sz w:val="13"/>
          <w:szCs w:val="13"/>
          <w:color w:val="auto"/>
        </w:rPr>
      </w:pPr>
      <w:r>
        <w:rPr>
          <w:rFonts w:ascii="Arial" w:cs="Arial" w:eastAsia="Arial" w:hAnsi="Arial"/>
          <w:sz w:val="12"/>
          <w:szCs w:val="12"/>
          <w:color w:val="auto"/>
        </w:rPr>
        <w:t>(137.1)</w:t>
      </w:r>
    </w:p>
    <w:p>
      <w:pPr>
        <w:spacing w:after="0" w:line="31" w:lineRule="exact"/>
        <w:rPr>
          <w:rFonts w:ascii="Arial" w:cs="Arial" w:eastAsia="Arial" w:hAnsi="Arial"/>
          <w:sz w:val="13"/>
          <w:szCs w:val="13"/>
          <w:color w:val="auto"/>
        </w:rPr>
      </w:pPr>
    </w:p>
    <w:p>
      <w:pPr>
        <w:ind w:left="1384"/>
        <w:spacing w:after="0"/>
        <w:rPr>
          <w:rFonts w:ascii="Arial" w:cs="Arial" w:eastAsia="Arial" w:hAnsi="Arial"/>
          <w:sz w:val="13"/>
          <w:szCs w:val="13"/>
          <w:color w:val="auto"/>
        </w:rPr>
      </w:pP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111823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11" w:lineRule="exact"/>
        <w:rPr>
          <w:sz w:val="20"/>
          <w:szCs w:val="20"/>
          <w:color w:val="auto"/>
        </w:rPr>
      </w:pPr>
    </w:p>
    <w:p>
      <w:pPr>
        <w:ind w:left="1364" w:hanging="1364"/>
        <w:spacing w:after="0"/>
        <w:tabs>
          <w:tab w:leader="none" w:pos="1364" w:val="left"/>
        </w:tabs>
        <w:numPr>
          <w:ilvl w:val="0"/>
          <w:numId w:val="7"/>
        </w:numPr>
        <w:rPr>
          <w:rFonts w:ascii="Arial" w:cs="Arial" w:eastAsia="Arial" w:hAnsi="Arial"/>
          <w:sz w:val="13"/>
          <w:szCs w:val="13"/>
          <w:color w:val="auto"/>
        </w:rPr>
      </w:pPr>
      <w:r>
        <w:rPr>
          <w:rFonts w:ascii="Arial" w:cs="Arial" w:eastAsia="Arial" w:hAnsi="Arial"/>
          <w:sz w:val="13"/>
          <w:szCs w:val="13"/>
          <w:color w:val="auto"/>
        </w:rPr>
        <w:t>846.7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5080</wp:posOffset>
            </wp:positionV>
            <wp:extent cx="111823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823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111823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816" w:space="720"/>
            <w:col w:w="1744"/>
          </w:cols>
          <w:pgMar w:left="300" w:top="523" w:right="31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20"/>
                <w:szCs w:val="20"/>
                <w:color w:val="auto"/>
              </w:rPr>
            </w:pPr>
            <w:r>
              <w:rPr>
                <w:rFonts w:ascii="Arial" w:cs="Arial" w:eastAsia="Arial" w:hAnsi="Arial"/>
                <w:sz w:val="13"/>
                <w:szCs w:val="13"/>
                <w:color w:val="auto"/>
              </w:rPr>
              <w:t>The following table sets forth the interest expense recognized related to the Notes: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4"/>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Three Months Ended</w:t>
            </w:r>
          </w:p>
        </w:tc>
        <w:tc>
          <w:tcPr>
            <w:tcW w:w="200" w:type="dxa"/>
            <w:vAlign w:val="bottom"/>
          </w:tcPr>
          <w:p>
            <w:pPr>
              <w:spacing w:after="0"/>
              <w:rPr>
                <w:sz w:val="15"/>
                <w:szCs w:val="15"/>
                <w:color w:val="auto"/>
              </w:rPr>
            </w:pPr>
          </w:p>
        </w:tc>
        <w:tc>
          <w:tcPr>
            <w:tcW w:w="1560" w:type="dxa"/>
            <w:vAlign w:val="bottom"/>
          </w:tcPr>
          <w:p>
            <w:pPr>
              <w:jc w:val="right"/>
              <w:ind w:right="256"/>
              <w:spacing w:after="0"/>
              <w:rPr>
                <w:sz w:val="20"/>
                <w:szCs w:val="20"/>
                <w:color w:val="auto"/>
              </w:rPr>
            </w:pPr>
            <w:r>
              <w:rPr>
                <w:rFonts w:ascii="Arial" w:cs="Arial" w:eastAsia="Arial" w:hAnsi="Arial"/>
                <w:sz w:val="13"/>
                <w:szCs w:val="13"/>
                <w:b w:val="1"/>
                <w:bCs w:val="1"/>
                <w:color w:val="auto"/>
              </w:rPr>
              <w:t>Six Months Ended</w:t>
            </w:r>
          </w:p>
        </w:tc>
      </w:tr>
      <w:tr>
        <w:trPr>
          <w:trHeight w:val="169"/>
        </w:trPr>
        <w:tc>
          <w:tcPr>
            <w:tcW w:w="7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December 31, 2021</w:t>
            </w: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December 31, 2021</w:t>
            </w:r>
          </w:p>
        </w:tc>
      </w:tr>
      <w:tr>
        <w:trPr>
          <w:trHeight w:val="160"/>
        </w:trPr>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4"/>
          </w:tcPr>
          <w:p>
            <w:pPr>
              <w:jc w:val="right"/>
              <w:ind w:right="1376"/>
              <w:spacing w:after="0"/>
              <w:rPr>
                <w:sz w:val="20"/>
                <w:szCs w:val="20"/>
                <w:color w:val="auto"/>
              </w:rPr>
            </w:pPr>
            <w:r>
              <w:rPr>
                <w:rFonts w:ascii="Arial" w:cs="Arial" w:eastAsia="Arial" w:hAnsi="Arial"/>
                <w:sz w:val="13"/>
                <w:szCs w:val="13"/>
                <w:b w:val="1"/>
                <w:bCs w:val="1"/>
                <w:color w:val="auto"/>
              </w:rPr>
              <w:t>(in millions)</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debt discount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center"/>
              <w:ind w:left="1236"/>
              <w:spacing w:after="0"/>
              <w:rPr>
                <w:sz w:val="20"/>
                <w:szCs w:val="20"/>
                <w:color w:val="auto"/>
              </w:rPr>
            </w:pPr>
            <w:r>
              <w:rPr>
                <w:rFonts w:ascii="Arial" w:cs="Arial" w:eastAsia="Arial" w:hAnsi="Arial"/>
                <w:sz w:val="13"/>
                <w:szCs w:val="13"/>
                <w:color w:val="auto"/>
                <w:w w:val="99"/>
              </w:rPr>
              <w:t>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Amortization of debt issuance costs</w:t>
            </w:r>
          </w:p>
        </w:tc>
        <w:tc>
          <w:tcPr>
            <w:tcW w:w="160" w:type="dxa"/>
            <w:vAlign w:val="bottom"/>
          </w:tcPr>
          <w:p>
            <w:pPr>
              <w:spacing w:after="0"/>
              <w:rPr>
                <w:sz w:val="14"/>
                <w:szCs w:val="14"/>
                <w:color w:val="auto"/>
              </w:rPr>
            </w:pPr>
          </w:p>
        </w:tc>
        <w:tc>
          <w:tcPr>
            <w:tcW w:w="1600" w:type="dxa"/>
            <w:vAlign w:val="bottom"/>
          </w:tcPr>
          <w:p>
            <w:pPr>
              <w:jc w:val="center"/>
              <w:ind w:left="1236"/>
              <w:spacing w:after="0"/>
              <w:rPr>
                <w:sz w:val="20"/>
                <w:szCs w:val="20"/>
                <w:color w:val="auto"/>
              </w:rPr>
            </w:pPr>
            <w:r>
              <w:rPr>
                <w:rFonts w:ascii="Arial" w:cs="Arial" w:eastAsia="Arial" w:hAnsi="Arial"/>
                <w:sz w:val="13"/>
                <w:szCs w:val="13"/>
                <w:color w:val="auto"/>
                <w:w w:val="99"/>
              </w:rPr>
              <w:t>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0"/>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Interest capitalized</w:t>
            </w:r>
          </w:p>
        </w:tc>
        <w:tc>
          <w:tcPr>
            <w:tcW w:w="1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center"/>
              <w:ind w:left="1236"/>
              <w:spacing w:after="0"/>
              <w:rPr>
                <w:sz w:val="20"/>
                <w:szCs w:val="20"/>
                <w:color w:val="auto"/>
              </w:rPr>
            </w:pPr>
            <w:r>
              <w:rPr>
                <w:rFonts w:ascii="Arial" w:cs="Arial" w:eastAsia="Arial" w:hAnsi="Arial"/>
                <w:sz w:val="13"/>
                <w:szCs w:val="13"/>
                <w:color w:val="auto"/>
                <w:w w:val="97"/>
              </w:rPr>
              <w:t>(0.2)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63"/>
        </w:trPr>
        <w:tc>
          <w:tcPr>
            <w:tcW w:w="7680" w:type="dxa"/>
            <w:vAlign w:val="bottom"/>
          </w:tcPr>
          <w:p>
            <w:pPr>
              <w:ind w:left="20"/>
              <w:spacing w:after="0"/>
              <w:rPr>
                <w:sz w:val="20"/>
                <w:szCs w:val="20"/>
                <w:color w:val="auto"/>
              </w:rPr>
            </w:pPr>
            <w:r>
              <w:rPr>
                <w:rFonts w:ascii="Arial" w:cs="Arial" w:eastAsia="Arial" w:hAnsi="Arial"/>
                <w:sz w:val="13"/>
                <w:szCs w:val="13"/>
                <w:color w:val="auto"/>
              </w:rPr>
              <w:t>Total interest expense related to the Notes</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auto"/>
            </w:tcBorders>
          </w:tcPr>
          <w:p>
            <w:pPr>
              <w:jc w:val="center"/>
              <w:ind w:left="1236"/>
              <w:spacing w:after="0"/>
              <w:rPr>
                <w:sz w:val="20"/>
                <w:szCs w:val="20"/>
                <w:color w:val="auto"/>
              </w:rPr>
            </w:pPr>
            <w:r>
              <w:rPr>
                <w:rFonts w:ascii="Arial" w:cs="Arial" w:eastAsia="Arial" w:hAnsi="Arial"/>
                <w:sz w:val="13"/>
                <w:szCs w:val="13"/>
                <w:color w:val="auto"/>
                <w:w w:val="99"/>
              </w:rPr>
              <w:t>8.3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Capped Call Transactions</w:t>
      </w: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Amended and Restated Credit Agreement</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2019, the Company entered into an amended and restated loan and security agreement (“Amended and Restated Credit Agreement”). The Amended and Restated Credit Agreement provided for a $250.0 million secured revolving credit facility, including up to the lesser of $150.0 million and the aggregate unused amount of the facility for the issuance of letters of credit.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February 8, 2021, the Company entered into a First Amendment (the “First Amendment”) to the Amended and Restated Credit Agreement to revise certain covenants that restricted the incurrence of indebtedness to permit the Capped Call Transactions and issuance of the Notes.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March 18, 2021, the Company entered into a Joinder Agreement (the “Joinder”) to the Amended and Restated Credit Agreement, as amended by the First Amendment, to provide for an increase of the commitments available under the revolving credit facility from $250.0 million to $285.0 million.</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On December 10, 2021, the Company entered into a Second Amendment (the “Second Amendment”) to the Amended and Restated Credit Agreement (as amended by the First Amendment, the Joinder and the Second Amendment, the “Credit Agreement”). The Second Amendment amends certain provisions of the Credit Agreement to, among other changes, increase the lenders’ aggregate commitments to extend credit to the Company from an aggregate amount of $285.0 million in revolving loans to an aggregate amount of $500.0 million in revolving loans, extend the maturity date for $465.0 million of the commitments to December 10, 2026 with $35.0 million of the commitments expiring on June 20, 2024, and modify certain covenants contained therein. Interest on the Amended Credit Agreement is paid based on the Secured Overnight Financing Rate (“SOFR”) plus 2.25% or an Alternative Base Rate plus 1.25% for revolving loans maturing on December 10, 2026, and is paid based on SOFR plus 2.75% or an Alternative Base Rate plus 1.75% for revolving loans maturing on June 20, 2024. The Company is required to pay an annual commitment fee of 0.325% and 0.375% on a quarterly basis based on the unused portion of the revolving credit facility for the revolving loans maturing on December 10, 2026 and June 20, 2024,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type w:val="continuous"/>
        </w:sectPr>
      </w:pPr>
    </w:p>
    <w:bookmarkStart w:id="16" w:name="page17"/>
    <w:bookmarkEnd w:id="16"/>
    <w:p>
      <w:pPr>
        <w:jc w:val="both"/>
        <w:spacing w:after="0" w:line="244" w:lineRule="auto"/>
        <w:rPr>
          <w:sz w:val="20"/>
          <w:szCs w:val="20"/>
          <w:color w:val="auto"/>
        </w:rPr>
      </w:pPr>
      <w:r>
        <w:rPr>
          <w:rFonts w:ascii="Arial" w:cs="Arial" w:eastAsia="Arial" w:hAnsi="Arial"/>
          <w:sz w:val="13"/>
          <w:szCs w:val="13"/>
          <w:color w:val="auto"/>
        </w:rPr>
        <w:t>During the three and six months ended December 31, 2021, the Company incurred total commitment fees of $0.3 million and $0.6 million, respectively, and $0.2 million and 0.5 million during the three and six months ended December 31, 2020, respectively, which are included in Interest expense in the condensed consolidated statements of operations and comprehensive (loss) income.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the Company had not drawn on the credit facility and did not have outstanding borrowings under the Credit Agreement.</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connection with the execution of the Second Amendment, the Company incurred debt issuance costs of $1.1 million which are capitalized and presented as Other assets on the Company’s condensed consolidated balance sheets. These costs are being amortized to interest expense using the effective interest method over the term of the Credit Agreement.</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Company has the option to repay its borrowings under the Credit Agreement without premium or penalty prior to maturity. The Credit Agreement contains customary affirmative covenants as well as customary covenants that restrict the Company’s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 total level of liquidity of not less than $250.0 million and maintaining a minimum total four-quarter revenue level of $3.0 billion (which are replaced with a covenant to maintain a minimum debt to adjusted EBITDA ratio upon the Company’s meeting a specified adjusted EBITDA threshold). As of December 31, 2021, the Company was in compliance with the covenants under the Credit Agreement. At December 31, 2021, the Company was contingently liable for approximately $4.8 million in standby letters of credit as security for an operating lease obligation. In addition, the Company is required to pledge or otherwise restrict a portion of cash and cash equivalents as collateral for standby letters of credit. As of December 31, 2021, the Company had $86.8 million in letters of credit, which are classified as Restricted cash on its condensed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subject to minimum guarantee royalty payments associated under certain music license agreements.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represents the Company's minimum annual guarantee payments under music license agreements for the next three years as of December 31, 2021:</w:t>
      </w:r>
    </w:p>
    <w:p>
      <w:pPr>
        <w:spacing w:after="0" w:line="206" w:lineRule="exact"/>
        <w:rPr>
          <w:sz w:val="20"/>
          <w:szCs w:val="20"/>
          <w:color w:val="auto"/>
        </w:rPr>
      </w:pPr>
    </w:p>
    <w:p>
      <w:pPr>
        <w:ind w:left="9580"/>
        <w:spacing w:after="0"/>
        <w:rPr>
          <w:sz w:val="20"/>
          <w:szCs w:val="20"/>
          <w:color w:val="auto"/>
        </w:rPr>
      </w:pPr>
      <w:r>
        <w:rPr>
          <w:rFonts w:ascii="Arial" w:cs="Arial" w:eastAsia="Arial" w:hAnsi="Arial"/>
          <w:sz w:val="13"/>
          <w:szCs w:val="13"/>
          <w:b w:val="1"/>
          <w:bCs w:val="1"/>
          <w:color w:val="auto"/>
        </w:rPr>
        <w:t>Future Minimum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6046470</wp:posOffset>
            </wp:positionH>
            <wp:positionV relativeFrom="paragraph">
              <wp:posOffset>15240</wp:posOffset>
            </wp:positionV>
            <wp:extent cx="111823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61530" cy="107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2022 (remaining)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2024</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w:t>
      </w: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Content Costs for Past Use Reserve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millions)</w:t>
      </w:r>
    </w:p>
    <w:p>
      <w:pPr>
        <w:spacing w:after="0" w:line="36" w:lineRule="exact"/>
        <w:rPr>
          <w:sz w:val="20"/>
          <w:szCs w:val="20"/>
          <w:color w:val="auto"/>
        </w:rPr>
      </w:pPr>
    </w:p>
    <w:p>
      <w:pPr>
        <w:spacing w:after="0"/>
        <w:tabs>
          <w:tab w:leader="none" w:pos="14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8.6</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32.5</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24.6</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6.0</w:t>
      </w:r>
    </w:p>
    <w:p>
      <w:pPr>
        <w:spacing w:after="0" w:line="31" w:lineRule="exact"/>
        <w:rPr>
          <w:sz w:val="20"/>
          <w:szCs w:val="20"/>
          <w:color w:val="auto"/>
        </w:rPr>
      </w:pPr>
    </w:p>
    <w:p>
      <w:pPr>
        <w:spacing w:after="0"/>
        <w:tabs>
          <w:tab w:leader="none" w:pos="14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1823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8820" w:space="720"/>
            <w:col w:w="1740"/>
          </w:cols>
          <w:pgMar w:left="300" w:top="523" w:right="319" w:bottom="1440" w:gutter="0" w:footer="0" w:header="0"/>
          <w:type w:val="continuous"/>
        </w:sectPr>
      </w:pPr>
    </w:p>
    <w:p>
      <w:pPr>
        <w:jc w:val="both"/>
        <w:spacing w:after="0" w:line="241" w:lineRule="auto"/>
        <w:rPr>
          <w:sz w:val="20"/>
          <w:szCs w:val="20"/>
          <w:color w:val="auto"/>
        </w:rPr>
      </w:pPr>
      <w:r>
        <w:rPr>
          <w:rFonts w:ascii="Arial" w:cs="Arial" w:eastAsia="Arial" w:hAnsi="Arial"/>
          <w:sz w:val="13"/>
          <w:szCs w:val="13"/>
          <w:color w:val="auto"/>
        </w:rPr>
        <w:t>To secure the rights to stream music on the Peloton platform, the Company must obtain licenses from, and pay royalties to, copyright owners of both sound recordings and musical compositions. The licensors have the right to audit our royalty calculations and routinely exercise those rights.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December 31, 2021 and 2020, the Company had previously recorded reserves of $10.2 million and $17.6 million, respectively, included in Accounts payable and accrued expenses in the accompanying condensed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Recall Reserves</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050505"/>
        </w:rPr>
        <w:t xml:space="preserve">On May 5, 2021, the Company announced separate, voluntary recalls of its Tread+ and Tread products in collaboration with the </w:t>
      </w:r>
      <w:r>
        <w:rPr>
          <w:rFonts w:ascii="Arial" w:cs="Arial" w:eastAsia="Arial" w:hAnsi="Arial"/>
          <w:sz w:val="13"/>
          <w:szCs w:val="13"/>
          <w:color w:val="000000"/>
        </w:rPr>
        <w:t>U.S. Consumer Product Safety Commission ("</w:t>
      </w:r>
      <w:r>
        <w:rPr>
          <w:rFonts w:ascii="Arial" w:cs="Arial" w:eastAsia="Arial" w:hAnsi="Arial"/>
          <w:sz w:val="13"/>
          <w:szCs w:val="13"/>
          <w:color w:val="050505"/>
        </w:rPr>
        <w:t xml:space="preserve">CPSC") and halted sales of these products to work on product enhancements. As a result of these recalls, the Company accrued for a reduction to Connected Fitness Products revenue for actual and estimated future returns of $7.4 million and $18.9 million for the three and six months ended </w:t>
      </w:r>
      <w:r>
        <w:rPr>
          <w:rFonts w:ascii="Arial" w:cs="Arial" w:eastAsia="Arial" w:hAnsi="Arial"/>
          <w:sz w:val="13"/>
          <w:szCs w:val="13"/>
          <w:color w:val="000000"/>
        </w:rPr>
        <w:t>December 31, 2021</w:t>
      </w:r>
      <w:r>
        <w:rPr>
          <w:rFonts w:ascii="Arial" w:cs="Arial" w:eastAsia="Arial" w:hAnsi="Arial"/>
          <w:sz w:val="13"/>
          <w:szCs w:val="13"/>
          <w:color w:val="050505"/>
        </w:rPr>
        <w:t xml:space="preserve">, respectively, and a return reserve of $26.7 million is included within Accounts payable and accrued expenses in the accompanying condensed consolidated balance sheets related to the impacts of the recall. The estimated returns reserve is primarily based on historical and expected product returns. The Company recorded costs associated with inventory write-downs and logistic costs of $5.2 million and $5.7 million in Connected Fitness Products cost of revenue for the three and six months ended, </w:t>
      </w:r>
      <w:r>
        <w:rPr>
          <w:rFonts w:ascii="Arial" w:cs="Arial" w:eastAsia="Arial" w:hAnsi="Arial"/>
          <w:sz w:val="13"/>
          <w:szCs w:val="13"/>
          <w:color w:val="000000"/>
        </w:rPr>
        <w:t>December 31, 2021,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i w:val="1"/>
          <w:iCs w:val="1"/>
          <w:color w:val="auto"/>
        </w:rPr>
        <w:t>Commitments to Suppliers</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utilize contract manufacturers to build parts of our products.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ranging from 30 to 90 days. In certain instances, these agreements allow us the option to cancel, reschedule and/or adjust our requirements based on our business needs. While our purchase orders are legally cancellable in most situations, there are some which are not cancellable in the event of a demand plan change or other specific circumstances, such as the procurement of unique, Peloton-specific designs, and/or specific non-cancellable, non-returnable components by our suppliers based on our provided forecasts. As the Company materially reduced its demand plan, we are assessing whether to agree to acquire certain inventory purchased by our suppliers under the original demand plan schedule, where appropriate, in an effort to maintain long-term supply continuity, flexibility, scalability perspective with our supply partners. As of December 31, 2021, our commitments to contract with third-party manufacturers for their inventory on-hand and component purchase commitments related to the manufacture of our products were estimated to be approximately $550 million.</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and Regulatory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Company is, or may become, a party to legal and regulatory proceedings with respect to a variety of matters in the ordinary course of business.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For example, we received reports of a number of injuries associated with our Tread+ product, one of which led to the death of a child. As a result of those reported Tread+ incidents, in April 2021, the CPSC unilaterally issued a warning to consumers about the safety hazards associated with the Tread+ and is continuing to investigate the matter. In addition to the CPSC investigation and other regulatory investigations, we are presently subject to class action litigation and private personal injury claims related to these perceived defects in the Tread+ and incidents reported to result from its use.</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Additionally on April 29, 2021, Ashley Wilson filed a putative securities class action lawsuit against the Company and certain of its officers, captioned Wilson v. Peloton Interactive, Inc., et al., Case No. 1:21-cv-02369-CBA-PK, in the United States District Court for the Eastern District of New York, purportedly on behalf of a class consisting of those individuals who purchased or otherwise acquired our common stock between September 11, 2020 and April 16, 2021 (the "Wilson Action"). Plaintiff Wilson amended her lawsuit on May 6, 2021 to expand the purported class to those who purchased or acquired our common stock between September 11, 2020 and May 5, 2021. On May 24, 2021, Leigh Drori filed a related putative securities class action lawsuit, captioned Drori v. Peloton Interactive, Inc., et al., Case No. 1:21-cv-02925-CBA-PK, also in the United States District Court for the Eastern District of New York (the “Drori Action”). On November 16, 2021, the district judge consolidated the Wilson and Drori Actions under the caption </w:t>
      </w:r>
      <w:r>
        <w:rPr>
          <w:rFonts w:ascii="Arial" w:cs="Arial" w:eastAsia="Arial" w:hAnsi="Arial"/>
          <w:sz w:val="13"/>
          <w:szCs w:val="13"/>
          <w:i w:val="1"/>
          <w:iCs w:val="1"/>
          <w:color w:val="auto"/>
        </w:rPr>
        <w:t>In re Peloton Interactive, Inc. Securities Litigation</w:t>
      </w:r>
      <w:r>
        <w:rPr>
          <w:rFonts w:ascii="Arial" w:cs="Arial" w:eastAsia="Arial" w:hAnsi="Arial"/>
          <w:sz w:val="13"/>
          <w:szCs w:val="13"/>
          <w:color w:val="auto"/>
        </w:rPr>
        <w:t>,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Exchange Act of 1934 (“Exchange Act”) regarding the Company’s Tread and Tread+ products and the safety of those products. Defendants’ motion to dismiss the amended consolidated complaint is due March 7, 2022.</w:t>
      </w:r>
    </w:p>
    <w:p>
      <w:pPr>
        <w:spacing w:after="0" w:line="188"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 xml:space="preserve">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Securities and Exchange Act of 1934, as well as a claim for contribution under Sections 10(b) and 21D of the Securities Exchange Act of 1934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three actions under the caption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re Peloton Interactive, Inc. Derivative Litigation</w:t>
      </w:r>
      <w:r>
        <w:rPr>
          <w:rFonts w:ascii="Arial" w:cs="Arial" w:eastAsia="Arial" w:hAnsi="Arial"/>
          <w:sz w:val="13"/>
          <w:szCs w:val="13"/>
          <w:color w:val="auto"/>
        </w:rPr>
        <w:t>, Master File No. 21-cv-02862-CBA-PK. On November 23, 2021, Anthony Franchi filed a shareholder derivative action in the United States District Court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for the Eastern District of New York against certain of the Company’s executive officers and members of the board of directors captioned </w:t>
      </w:r>
      <w:r>
        <w:rPr>
          <w:rFonts w:ascii="Arial" w:cs="Arial" w:eastAsia="Arial" w:hAnsi="Arial"/>
          <w:sz w:val="13"/>
          <w:szCs w:val="13"/>
          <w:i w:val="1"/>
          <w:iCs w:val="1"/>
          <w:color w:val="auto"/>
        </w:rPr>
        <w:t>Franchi v. Blachford, et al.</w:t>
      </w:r>
      <w:r>
        <w:rPr>
          <w:rFonts w:ascii="Arial" w:cs="Arial" w:eastAsia="Arial" w:hAnsi="Arial"/>
          <w:sz w:val="13"/>
          <w:szCs w:val="13"/>
          <w:color w:val="auto"/>
        </w:rPr>
        <w:t xml:space="preserve">, Case No. CV 21-06544 (the “Franchi Action”), which alleges breaches of fiduciary duty, unjust enrichment, and violations of Sections 14(a) and 20(a) of the Exchange Act. On January 24, 2022, the court entered a stipulation consolidating the Franchi Action into </w:t>
      </w:r>
      <w:r>
        <w:rPr>
          <w:rFonts w:ascii="Arial" w:cs="Arial" w:eastAsia="Arial" w:hAnsi="Arial"/>
          <w:sz w:val="13"/>
          <w:szCs w:val="13"/>
          <w:i w:val="1"/>
          <w:iCs w:val="1"/>
          <w:color w:val="auto"/>
        </w:rPr>
        <w:t>In re Peloton Interactive, Inc. Derivative Litigation</w:t>
      </w:r>
      <w:r>
        <w:rPr>
          <w:rFonts w:ascii="Arial" w:cs="Arial" w:eastAsia="Arial" w:hAnsi="Arial"/>
          <w:sz w:val="13"/>
          <w:szCs w:val="13"/>
          <w:color w:val="auto"/>
        </w:rPr>
        <w:t xml:space="preserve"> and appointed each plaintiff a co-lead plaintiff. On February 3, 2022, the parties filed a stipulation to stay the consolidated derivative action, which the Court has not yet entered.</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On November 18, 2021, the City of Hialeah Employees’ Retirement System filed a putative securities class action lawsuit against the Company and certain of its officers in the United States District Court for the Southern District of New York, purportedly on behalf of a class consisting of those individuals who purchased or otherwise acquired our common stock between December 9, 2020 and November 4, 2021, captioned </w:t>
      </w:r>
      <w:r>
        <w:rPr>
          <w:rFonts w:ascii="Arial" w:cs="Arial" w:eastAsia="Arial" w:hAnsi="Arial"/>
          <w:sz w:val="13"/>
          <w:szCs w:val="13"/>
          <w:i w:val="1"/>
          <w:iCs w:val="1"/>
          <w:color w:val="auto"/>
        </w:rPr>
        <w:t>City of Hialeah Employees’ Retirement System v. Peloton Interactive, Inc.</w:t>
      </w:r>
      <w:r>
        <w:rPr>
          <w:rFonts w:ascii="Arial" w:cs="Arial" w:eastAsia="Arial" w:hAnsi="Arial"/>
          <w:sz w:val="13"/>
          <w:szCs w:val="13"/>
          <w:color w:val="auto"/>
        </w:rPr>
        <w:t xml:space="preserve">, Case No. 21-cv-09582-ALC (the “Hialeah Action”). On December 2, 2021, Anastasia Deulina filed a related putative securities class action against the same defendants also in the United States District Court for the Southern District of New York captioned </w:t>
      </w:r>
      <w:r>
        <w:rPr>
          <w:rFonts w:ascii="Arial" w:cs="Arial" w:eastAsia="Arial" w:hAnsi="Arial"/>
          <w:sz w:val="13"/>
          <w:szCs w:val="13"/>
          <w:i w:val="1"/>
          <w:iCs w:val="1"/>
          <w:color w:val="auto"/>
        </w:rPr>
        <w:t>Deulina v. Peloton Interactive, Inc.</w:t>
      </w:r>
      <w:r>
        <w:rPr>
          <w:rFonts w:ascii="Arial" w:cs="Arial" w:eastAsia="Arial" w:hAnsi="Arial"/>
          <w:sz w:val="13"/>
          <w:szCs w:val="13"/>
          <w:color w:val="auto"/>
        </w:rPr>
        <w:t>, Case No. 21-cv-10266-ALC (the “Deulina Action”). The Hialeah and Deulina Actions allege that Defendants made false and misleading statements in violation of Sections 10(b) and 20(a) of the Exchange Act regarding demand for, and supply of, the Company’s products. On January 18, 2022, several purported shareholders filed motions to consolidate the Hialeah and Deulina Actions and to be appointed lead plaintiff. The Court has not yet ruled on those motions. After the Court appoints a lead plaintiff and lead counsel, the parties will negotiate and submit a proposed schedule for lead plaintiff to file a consolidated amended complaint and for defendants to file a motion to dismiss.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18" w:name="page19"/>
    <w:bookmarkEnd w:id="18"/>
    <w:p>
      <w:pPr>
        <w:jc w:val="both"/>
        <w:spacing w:after="0" w:line="239" w:lineRule="auto"/>
        <w:rPr>
          <w:sz w:val="20"/>
          <w:szCs w:val="20"/>
          <w:color w:val="auto"/>
        </w:rPr>
      </w:pPr>
      <w:r>
        <w:rPr>
          <w:rFonts w:ascii="Arial" w:cs="Arial" w:eastAsia="Arial" w:hAnsi="Arial"/>
          <w:sz w:val="13"/>
          <w:szCs w:val="13"/>
          <w:color w:val="auto"/>
        </w:rPr>
        <w:t>In April 2021, DISH Technologies L.L.C., and Sling TV L.L.C. (DISH) filed a complaint in the United States District Court for the Eastern District of Texas. DISH, along with DISH DBS Corporation, also filed a complaint in the United States International Trade Commission (ITC) under Section 337 of the Tariff Act of 1930 against the Company, along with ICON Health &amp; Fitness, Inc. (now iFIT Inc. f/k/a Icon Health &amp; Fitness, Inc.), FreeMotion Fitness, Inc., NordicTrack, Inc., lululemon athletica, inc., and Curiouser Products Inc. d/b/a MIRROR. The complaints allege infringement of various patents related to fitness devices containing internet-streaming enabled video displays. In the ITC complaint, DISH seeks an exclusion order barring the importation of Peloton Connected Fitness devices, and streaming components and systems containing components thereof that infringe one or more of the asserted patents, as well as a cease and desist order preventing the Company from carrying out commercial activities within the United States related to those products. In the Eastern District of Texas complaint, DISH is seeking an order permanently enjoining the Company from infringing the asserted patents, an award of damages for the infringement of the asserted patents, and an award of damages for lost sales. The ITC investigation is ongoing and the Texas litigation remains stayed pending resolution to the ITC investigation.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On February 2, 2022, iFit Inc. (“iFit”) filed a complaint with the United States International Trade Commission (ITC) under Section 337 of the Tariff Act of 1930 against the Company, along with Peloton Interactive, UK Ltd., Tonic Fitness Technology, Inc., and Rexon Industrial Corp., Ltd., alleging infringement of a continuation of a patent that is already at issue in a separate litigation between the Company and iFit, iFit Inc. v. Peloton Interactive Inc., C.A. No. 21-cv-0507-RGA (D. Del)., and that is related to an exercise system that includes a stationary bicycle having pedals, a free weight cradle, as well as a display with one or more processors and memory and programmed workouts. iFit seeks an exclusion order barring the importation of the Peloton exercise system and components that infringe the asserted patent, as well as a cease and desist order preventing the Company from carrying out certain commercial activities within the United States related to such imported products.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Stockholders' Equity</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November 16, 2021, the Company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The Company sold the Shares to the underwriters at the public offering price of $46.00 per share less underwriting discounts</w:t>
      </w:r>
      <w:r>
        <w:rPr>
          <w:rFonts w:ascii="Arial" w:cs="Arial" w:eastAsia="Arial" w:hAnsi="Arial"/>
          <w:sz w:val="13"/>
          <w:szCs w:val="13"/>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The net proceeds to the Company from the Offering were approximately $1.2 billion after deducting the underwriters’ discounts and commissions.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Equity-Based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2019 Equity Incentive Plan</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2021, the number of shares of Class A common stock available for issuance under the 2019 Plan was automatically increased according to its terms by 15,007,356 shares. As of December 31, 2021, 59,172,230 shares of Class A common stock are available for future award under the 2019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i w:val="1"/>
          <w:iCs w:val="1"/>
          <w:color w:val="auto"/>
        </w:rPr>
        <w:t>Stock Options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summary sets forth the stock option activity under the 2019 Plan: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w w:val="97"/>
              </w:rPr>
              <w:t>Options Outstanding</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center"/>
              <w:ind w:right="100"/>
              <w:spacing w:after="0" w:line="120" w:lineRule="exact"/>
              <w:rPr>
                <w:sz w:val="20"/>
                <w:szCs w:val="20"/>
                <w:color w:val="auto"/>
              </w:rPr>
            </w:pPr>
            <w:r>
              <w:rPr>
                <w:rFonts w:ascii="Arial" w:cs="Arial" w:eastAsia="Arial" w:hAnsi="Arial"/>
                <w:sz w:val="13"/>
                <w:szCs w:val="13"/>
                <w:b w:val="1"/>
                <w:bCs w:val="1"/>
                <w:color w:val="auto"/>
                <w:w w:val="98"/>
              </w:rPr>
              <w:t>Weighted-Average</w:t>
            </w:r>
          </w:p>
        </w:tc>
        <w:tc>
          <w:tcPr>
            <w:tcW w:w="120" w:type="dxa"/>
            <w:vAlign w:val="bottom"/>
          </w:tcPr>
          <w:p>
            <w:pPr>
              <w:spacing w:after="0"/>
              <w:rPr>
                <w:sz w:val="10"/>
                <w:szCs w:val="10"/>
                <w:color w:val="auto"/>
              </w:rPr>
            </w:pPr>
          </w:p>
        </w:tc>
        <w:tc>
          <w:tcPr>
            <w:tcW w:w="128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rPr>
              <w:t>Number of 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right"/>
              <w:ind w:right="96"/>
              <w:spacing w:after="0"/>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1"/>
                <w:szCs w:val="11"/>
                <w:color w:val="auto"/>
              </w:rPr>
            </w:pPr>
          </w:p>
        </w:tc>
        <w:tc>
          <w:tcPr>
            <w:tcW w:w="1060" w:type="dxa"/>
            <w:vAlign w:val="bottom"/>
          </w:tcPr>
          <w:p>
            <w:pPr>
              <w:jc w:val="center"/>
              <w:ind w:left="276"/>
              <w:spacing w:after="0" w:line="128" w:lineRule="exact"/>
              <w:rPr>
                <w:sz w:val="20"/>
                <w:szCs w:val="20"/>
                <w:color w:val="auto"/>
              </w:rPr>
            </w:pPr>
            <w:r>
              <w:rPr>
                <w:rFonts w:ascii="Arial" w:cs="Arial" w:eastAsia="Arial" w:hAnsi="Arial"/>
                <w:sz w:val="13"/>
                <w:szCs w:val="13"/>
                <w:b w:val="1"/>
                <w:bCs w:val="1"/>
                <w:color w:val="auto"/>
                <w:w w:val="96"/>
              </w:rPr>
              <w:t>Remaining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3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tcPr>
          <w:p>
            <w:pPr>
              <w:jc w:val="right"/>
              <w:ind w:right="280"/>
              <w:spacing w:after="0" w:line="128" w:lineRule="exact"/>
              <w:rPr>
                <w:sz w:val="20"/>
                <w:szCs w:val="20"/>
                <w:color w:val="auto"/>
              </w:rPr>
            </w:pPr>
            <w:r>
              <w:rPr>
                <w:rFonts w:ascii="Arial" w:cs="Arial" w:eastAsia="Arial" w:hAnsi="Arial"/>
                <w:sz w:val="13"/>
                <w:szCs w:val="13"/>
                <w:b w:val="1"/>
                <w:bCs w:val="1"/>
                <w:color w:val="auto"/>
              </w:rPr>
              <w:t>Contractual Term</w:t>
            </w:r>
          </w:p>
        </w:tc>
        <w:tc>
          <w:tcPr>
            <w:tcW w:w="120" w:type="dxa"/>
            <w:vAlign w:val="bottom"/>
          </w:tcPr>
          <w:p>
            <w:pPr>
              <w:spacing w:after="0"/>
              <w:rPr>
                <w:sz w:val="11"/>
                <w:szCs w:val="11"/>
                <w:color w:val="auto"/>
              </w:rPr>
            </w:pPr>
          </w:p>
        </w:tc>
        <w:tc>
          <w:tcPr>
            <w:tcW w:w="1280" w:type="dxa"/>
            <w:vAlign w:val="bottom"/>
          </w:tcPr>
          <w:p>
            <w:pPr>
              <w:jc w:val="center"/>
              <w:ind w:right="76"/>
              <w:spacing w:after="0" w:line="128"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Options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Exercise Price</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296"/>
              <w:spacing w:after="0"/>
              <w:rPr>
                <w:sz w:val="20"/>
                <w:szCs w:val="20"/>
                <w:color w:val="auto"/>
              </w:rPr>
            </w:pPr>
            <w:r>
              <w:rPr>
                <w:rFonts w:ascii="Arial" w:cs="Arial" w:eastAsia="Arial" w:hAnsi="Arial"/>
                <w:sz w:val="13"/>
                <w:szCs w:val="13"/>
                <w:b w:val="1"/>
                <w:bCs w:val="1"/>
                <w:color w:val="auto"/>
                <w:w w:val="98"/>
              </w:rPr>
              <w:t>(years)</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Value (in millions)</w:t>
            </w:r>
          </w:p>
        </w:tc>
        <w:tc>
          <w:tcPr>
            <w:tcW w:w="0" w:type="dxa"/>
            <w:vAlign w:val="bottom"/>
          </w:tcPr>
          <w:p>
            <w:pPr>
              <w:spacing w:after="0"/>
              <w:rPr>
                <w:sz w:val="1"/>
                <w:szCs w:val="1"/>
                <w:color w:val="auto"/>
              </w:rPr>
            </w:pPr>
          </w:p>
        </w:tc>
      </w:tr>
      <w:tr>
        <w:trPr>
          <w:trHeight w:val="16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57,946,608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6,119.2</w:t>
            </w:r>
          </w:p>
        </w:tc>
        <w:tc>
          <w:tcPr>
            <w:tcW w:w="0" w:type="dxa"/>
            <w:vAlign w:val="bottom"/>
          </w:tcPr>
          <w:p>
            <w:pPr>
              <w:spacing w:after="0"/>
              <w:rPr>
                <w:sz w:val="1"/>
                <w:szCs w:val="1"/>
                <w:color w:val="auto"/>
              </w:rPr>
            </w:pPr>
          </w:p>
        </w:tc>
      </w:tr>
      <w:tr>
        <w:trPr>
          <w:trHeight w:val="168"/>
        </w:trPr>
        <w:tc>
          <w:tcPr>
            <w:tcW w:w="53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3,522,970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96.07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(3,157,764)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241.1</w:t>
            </w: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(684,266)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58.32</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57,627,548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23.23</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w:t>
            </w:r>
          </w:p>
        </w:tc>
        <w:tc>
          <w:tcPr>
            <w:tcW w:w="0" w:type="dxa"/>
            <w:vAlign w:val="bottom"/>
          </w:tcPr>
          <w:p>
            <w:pPr>
              <w:spacing w:after="0"/>
              <w:rPr>
                <w:sz w:val="1"/>
                <w:szCs w:val="1"/>
                <w:color w:val="auto"/>
              </w:rPr>
            </w:pPr>
          </w:p>
        </w:tc>
      </w:tr>
      <w:tr>
        <w:trPr>
          <w:trHeight w:val="163"/>
        </w:trPr>
        <w:tc>
          <w:tcPr>
            <w:tcW w:w="5380" w:type="dxa"/>
            <w:vAlign w:val="bottom"/>
          </w:tcPr>
          <w:p>
            <w:pPr>
              <w:ind w:left="20"/>
              <w:spacing w:after="0"/>
              <w:rPr>
                <w:sz w:val="20"/>
                <w:szCs w:val="20"/>
                <w:color w:val="auto"/>
              </w:rPr>
            </w:pPr>
            <w:r>
              <w:rPr>
                <w:rFonts w:ascii="Arial" w:cs="Arial" w:eastAsia="Arial" w:hAnsi="Arial"/>
                <w:sz w:val="13"/>
                <w:szCs w:val="13"/>
                <w:color w:val="auto"/>
              </w:rPr>
              <w:t>Vested and Exercisable—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33,141,759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11.10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891.2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3"/>
                <w:szCs w:val="13"/>
                <w:color w:val="auto"/>
              </w:rPr>
              <w:t>Unvested option activity is as follows:</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3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vMerge w:val="restart"/>
          </w:tcPr>
          <w:p>
            <w:pPr>
              <w:jc w:val="right"/>
              <w:ind w:right="576"/>
              <w:spacing w:after="0"/>
              <w:rPr>
                <w:sz w:val="20"/>
                <w:szCs w:val="20"/>
                <w:color w:val="auto"/>
              </w:rPr>
            </w:pPr>
            <w:r>
              <w:rPr>
                <w:rFonts w:ascii="Arial" w:cs="Arial" w:eastAsia="Arial" w:hAnsi="Arial"/>
                <w:sz w:val="13"/>
                <w:szCs w:val="13"/>
                <w:b w:val="1"/>
                <w:bCs w:val="1"/>
                <w:color w:val="auto"/>
                <w:w w:val="97"/>
              </w:rPr>
              <w:t>Options</w:t>
            </w:r>
          </w:p>
        </w:tc>
        <w:tc>
          <w:tcPr>
            <w:tcW w:w="80" w:type="dxa"/>
            <w:vAlign w:val="bottom"/>
          </w:tcPr>
          <w:p>
            <w:pPr>
              <w:spacing w:after="0"/>
              <w:rPr>
                <w:sz w:val="12"/>
                <w:szCs w:val="12"/>
                <w:color w:val="auto"/>
              </w:rPr>
            </w:pPr>
          </w:p>
        </w:tc>
        <w:tc>
          <w:tcPr>
            <w:tcW w:w="1760" w:type="dxa"/>
            <w:vAlign w:val="bottom"/>
            <w:gridSpan w:val="4"/>
          </w:tcPr>
          <w:p>
            <w:pPr>
              <w:jc w:val="right"/>
              <w:ind w:right="76"/>
              <w:spacing w:after="0" w:line="143" w:lineRule="exact"/>
              <w:rPr>
                <w:sz w:val="20"/>
                <w:szCs w:val="20"/>
                <w:color w:val="auto"/>
              </w:rPr>
            </w:pPr>
            <w:r>
              <w:rPr>
                <w:rFonts w:ascii="Arial" w:cs="Arial" w:eastAsia="Arial" w:hAnsi="Arial"/>
                <w:sz w:val="13"/>
                <w:szCs w:val="13"/>
                <w:b w:val="1"/>
                <w:bCs w:val="1"/>
                <w:color w:val="auto"/>
              </w:rPr>
              <w:t>Weighted-Average Grant</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Unvested - June 30, 2021</w:t>
            </w: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28,160,034</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0" w:type="dxa"/>
            <w:vAlign w:val="bottom"/>
          </w:tcPr>
          <w:p>
            <w:pPr>
              <w:spacing w:after="0"/>
              <w:rPr>
                <w:sz w:val="1"/>
                <w:szCs w:val="1"/>
                <w:color w:val="auto"/>
              </w:rPr>
            </w:pPr>
          </w:p>
        </w:tc>
      </w:tr>
      <w:tr>
        <w:trPr>
          <w:trHeight w:val="168"/>
        </w:trPr>
        <w:tc>
          <w:tcPr>
            <w:tcW w:w="5380" w:type="dxa"/>
            <w:vAlign w:val="bottom"/>
          </w:tcPr>
          <w:p>
            <w:pPr>
              <w:ind w:left="100"/>
              <w:spacing w:after="0"/>
              <w:rPr>
                <w:sz w:val="20"/>
                <w:szCs w:val="20"/>
                <w:color w:val="auto"/>
              </w:rPr>
            </w:pPr>
            <w:r>
              <w:rPr>
                <w:rFonts w:ascii="Arial" w:cs="Arial" w:eastAsia="Arial" w:hAnsi="Arial"/>
                <w:sz w:val="13"/>
                <w:szCs w:val="13"/>
                <w:color w:val="auto"/>
              </w:rPr>
              <w:t>Granted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3,522,970</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43.15</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Early exercised unvested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(13,501)</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68"/>
        </w:trPr>
        <w:tc>
          <w:tcPr>
            <w:tcW w:w="5380" w:type="dxa"/>
            <w:vAlign w:val="bottom"/>
          </w:tcPr>
          <w:p>
            <w:pPr>
              <w:ind w:left="100"/>
              <w:spacing w:after="0"/>
              <w:rPr>
                <w:sz w:val="20"/>
                <w:szCs w:val="20"/>
                <w:color w:val="auto"/>
              </w:rPr>
            </w:pPr>
            <w:r>
              <w:rPr>
                <w:rFonts w:ascii="Arial" w:cs="Arial" w:eastAsia="Arial" w:hAnsi="Arial"/>
                <w:sz w:val="13"/>
                <w:szCs w:val="13"/>
                <w:color w:val="auto"/>
              </w:rPr>
              <w:t>Vested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(6,511,747)</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10.95</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Forfeited or expired</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(671,967)</w:t>
            </w:r>
          </w:p>
        </w:tc>
        <w:tc>
          <w:tcPr>
            <w:tcW w:w="3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25.87</w:t>
            </w:r>
          </w:p>
        </w:tc>
        <w:tc>
          <w:tcPr>
            <w:tcW w:w="0" w:type="dxa"/>
            <w:vAlign w:val="bottom"/>
          </w:tcPr>
          <w:p>
            <w:pPr>
              <w:spacing w:after="0"/>
              <w:rPr>
                <w:sz w:val="1"/>
                <w:szCs w:val="1"/>
                <w:color w:val="auto"/>
              </w:rPr>
            </w:pPr>
          </w:p>
        </w:tc>
      </w:tr>
      <w:tr>
        <w:trPr>
          <w:trHeight w:val="163"/>
        </w:trPr>
        <w:tc>
          <w:tcPr>
            <w:tcW w:w="5380" w:type="dxa"/>
            <w:vAlign w:val="bottom"/>
          </w:tcPr>
          <w:p>
            <w:pPr>
              <w:ind w:left="20"/>
              <w:spacing w:after="0"/>
              <w:rPr>
                <w:sz w:val="20"/>
                <w:szCs w:val="20"/>
                <w:color w:val="auto"/>
              </w:rPr>
            </w:pPr>
            <w:r>
              <w:rPr>
                <w:rFonts w:ascii="Arial" w:cs="Arial" w:eastAsia="Arial" w:hAnsi="Arial"/>
                <w:sz w:val="13"/>
                <w:szCs w:val="13"/>
                <w:color w:val="auto"/>
              </w:rPr>
              <w:t>Unvested - December 31, 2021</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24,485,789</w:t>
            </w:r>
          </w:p>
        </w:tc>
        <w:tc>
          <w:tcPr>
            <w:tcW w:w="3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18.13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aggregate intrinsic value of options outstanding and vested and exercisable, were calculated as the difference between the exercise price of the options and the fair value of the Company’s common stock as of December 31, 2021. The fair value of the common stock is the closing stock price of the Company's Class A common stock as reported on the Nasdaq Global Select Market. The aggregate intrinsic value of exercised options was $241.1 million and $523.4 million for the six months ended December 31, 2021 and 2020, respectively.</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For the six months ended December 31, 2021 and 2020, the weighted-average grant date fair value per option was $43.15 and $36.05, respectively. The fair value of each option was estimated at the grant date using the Black-Scholes method with the following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Borders>
              <w:bottom w:val="single" w:sz="8" w:color="CCEEFF"/>
            </w:tcBorders>
          </w:tcPr>
          <w:p>
            <w:pPr>
              <w:spacing w:after="0"/>
              <w:rPr>
                <w:sz w:val="14"/>
                <w:szCs w:val="14"/>
                <w:color w:val="auto"/>
              </w:rPr>
            </w:pPr>
          </w:p>
        </w:tc>
        <w:tc>
          <w:tcPr>
            <w:tcW w:w="36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Six Months Ended December 31, 2021</w:t>
            </w:r>
          </w:p>
        </w:tc>
      </w:tr>
      <w:tr>
        <w:trPr>
          <w:trHeight w:val="163"/>
        </w:trPr>
        <w:tc>
          <w:tcPr>
            <w:tcW w:w="7680" w:type="dxa"/>
            <w:vAlign w:val="bottom"/>
            <w:shd w:val="clear" w:color="auto" w:fill="CCEEFF"/>
          </w:tcPr>
          <w:p>
            <w:pPr>
              <w:ind w:left="20"/>
              <w:spacing w:after="0" w:line="163" w:lineRule="exact"/>
              <w:rPr>
                <w:sz w:val="20"/>
                <w:szCs w:val="20"/>
                <w:color w:val="auto"/>
              </w:rPr>
            </w:pPr>
            <w:r>
              <w:rPr>
                <w:rFonts w:ascii="Arial" w:cs="Arial" w:eastAsia="Arial" w:hAnsi="Arial"/>
                <w:sz w:val="13"/>
                <w:szCs w:val="13"/>
                <w:color w:val="auto"/>
              </w:rPr>
              <w:t>Weighted average risk-free interest rate</w:t>
            </w:r>
            <w:r>
              <w:rPr>
                <w:rFonts w:ascii="Arial" w:cs="Arial" w:eastAsia="Arial" w:hAnsi="Arial"/>
                <w:sz w:val="16"/>
                <w:szCs w:val="16"/>
                <w:color w:val="auto"/>
                <w:vertAlign w:val="superscript"/>
              </w:rPr>
              <w:t>(1)</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1.0%</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3"/>
                <w:szCs w:val="13"/>
                <w:color w:val="auto"/>
                <w:w w:val="99"/>
              </w:rPr>
              <w:t>6.0</w:t>
            </w:r>
          </w:p>
        </w:tc>
      </w:tr>
      <w:tr>
        <w:trPr>
          <w:trHeight w:val="172"/>
        </w:trPr>
        <w:tc>
          <w:tcPr>
            <w:tcW w:w="768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Weighted average expected volatility</w:t>
            </w:r>
            <w:r>
              <w:rPr>
                <w:rFonts w:ascii="Arial" w:cs="Arial" w:eastAsia="Arial" w:hAnsi="Arial"/>
                <w:sz w:val="16"/>
                <w:szCs w:val="16"/>
                <w:color w:val="auto"/>
                <w:vertAlign w:val="superscript"/>
              </w:rPr>
              <w:t>(2)</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47.0%</w:t>
            </w:r>
          </w:p>
        </w:tc>
      </w:tr>
      <w:tr>
        <w:trPr>
          <w:trHeight w:val="165"/>
        </w:trPr>
        <w:tc>
          <w:tcPr>
            <w:tcW w:w="768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w:t>
      </w:r>
    </w:p>
    <w:p>
      <w:pPr>
        <w:spacing w:after="0" w:line="35" w:lineRule="exact"/>
        <w:rPr>
          <w:sz w:val="20"/>
          <w:szCs w:val="20"/>
          <w:color w:val="auto"/>
        </w:rPr>
      </w:pPr>
    </w:p>
    <w:p>
      <w:pPr>
        <w:ind w:left="160" w:hanging="155"/>
        <w:spacing w:after="0"/>
        <w:tabs>
          <w:tab w:leader="none" w:pos="160" w:val="left"/>
        </w:tabs>
        <w:numPr>
          <w:ilvl w:val="0"/>
          <w:numId w:val="8"/>
        </w:numPr>
        <w:rPr>
          <w:rFonts w:ascii="Arial" w:cs="Arial" w:eastAsia="Arial" w:hAnsi="Arial"/>
          <w:sz w:val="10"/>
          <w:szCs w:val="10"/>
          <w:color w:val="auto"/>
        </w:rPr>
      </w:pPr>
      <w:r>
        <w:rPr>
          <w:rFonts w:ascii="Arial" w:cs="Arial" w:eastAsia="Arial" w:hAnsi="Arial"/>
          <w:sz w:val="10"/>
          <w:szCs w:val="10"/>
          <w:color w:val="auto"/>
        </w:rPr>
        <w:t>Based on U.S. Treasury yield curve in effect at the time of grant.</w:t>
      </w:r>
    </w:p>
    <w:p>
      <w:pPr>
        <w:spacing w:after="0" w:line="44" w:lineRule="exact"/>
        <w:rPr>
          <w:rFonts w:ascii="Arial" w:cs="Arial" w:eastAsia="Arial" w:hAnsi="Arial"/>
          <w:sz w:val="10"/>
          <w:szCs w:val="10"/>
          <w:color w:val="auto"/>
        </w:rPr>
      </w:pPr>
    </w:p>
    <w:p>
      <w:pPr>
        <w:ind w:right="80" w:firstLine="5"/>
        <w:spacing w:after="0" w:line="248" w:lineRule="auto"/>
        <w:tabs>
          <w:tab w:leader="none" w:pos="149" w:val="left"/>
        </w:tabs>
        <w:numPr>
          <w:ilvl w:val="0"/>
          <w:numId w:val="8"/>
        </w:numPr>
        <w:rPr>
          <w:rFonts w:ascii="Arial" w:cs="Arial" w:eastAsia="Arial" w:hAnsi="Arial"/>
          <w:sz w:val="10"/>
          <w:szCs w:val="10"/>
          <w:color w:val="auto"/>
        </w:rPr>
      </w:pPr>
      <w:r>
        <w:rPr>
          <w:rFonts w:ascii="Arial" w:cs="Arial" w:eastAsia="Arial" w:hAnsi="Arial"/>
          <w:sz w:val="10"/>
          <w:szCs w:val="10"/>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i w:val="1"/>
          <w:iCs w:val="1"/>
          <w:color w:val="auto"/>
        </w:rPr>
        <w:t>Restricted Stock and Restricted Stock Units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activity related to the Company's restricted stock and restricted stock units: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6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3"/>
                <w:szCs w:val="13"/>
                <w:b w:val="1"/>
                <w:bCs w:val="1"/>
                <w:color w:val="auto"/>
              </w:rPr>
              <w:t>Restricted Stock Units Outstanding</w:t>
            </w:r>
          </w:p>
        </w:tc>
        <w:tc>
          <w:tcPr>
            <w:tcW w:w="0" w:type="dxa"/>
            <w:vAlign w:val="bottom"/>
          </w:tcPr>
          <w:p>
            <w:pPr>
              <w:spacing w:after="0"/>
              <w:rPr>
                <w:sz w:val="1"/>
                <w:szCs w:val="1"/>
                <w:color w:val="auto"/>
              </w:rPr>
            </w:pPr>
          </w:p>
        </w:tc>
      </w:tr>
      <w:tr>
        <w:trPr>
          <w:trHeight w:val="120"/>
        </w:trPr>
        <w:tc>
          <w:tcPr>
            <w:tcW w:w="7680" w:type="dxa"/>
            <w:vAlign w:val="bottom"/>
          </w:tcPr>
          <w:p>
            <w:pPr>
              <w:spacing w:after="0"/>
              <w:rPr>
                <w:sz w:val="10"/>
                <w:szCs w:val="10"/>
                <w:color w:val="auto"/>
              </w:rPr>
            </w:pPr>
          </w:p>
        </w:tc>
        <w:tc>
          <w:tcPr>
            <w:tcW w:w="176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Number of Awards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jc w:val="right"/>
              <w:ind w:right="76"/>
              <w:spacing w:after="0" w:line="120" w:lineRule="exact"/>
              <w:rPr>
                <w:sz w:val="20"/>
                <w:szCs w:val="20"/>
                <w:color w:val="auto"/>
              </w:rPr>
            </w:pPr>
            <w:r>
              <w:rPr>
                <w:rFonts w:ascii="Arial" w:cs="Arial" w:eastAsia="Arial" w:hAnsi="Arial"/>
                <w:sz w:val="13"/>
                <w:szCs w:val="13"/>
                <w:b w:val="1"/>
                <w:bCs w:val="1"/>
                <w:color w:val="auto"/>
                <w:w w:val="97"/>
              </w:rPr>
              <w:t>Weighted-Average Grant</w:t>
            </w:r>
          </w:p>
        </w:tc>
        <w:tc>
          <w:tcPr>
            <w:tcW w:w="0" w:type="dxa"/>
            <w:vAlign w:val="bottom"/>
          </w:tcPr>
          <w:p>
            <w:pPr>
              <w:spacing w:after="0"/>
              <w:rPr>
                <w:sz w:val="1"/>
                <w:szCs w:val="1"/>
                <w:color w:val="auto"/>
              </w:rPr>
            </w:pPr>
          </w:p>
        </w:tc>
      </w:tr>
      <w:tr>
        <w:trPr>
          <w:trHeight w:val="169"/>
        </w:trPr>
        <w:tc>
          <w:tcPr>
            <w:tcW w:w="76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61"/>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Outstanding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1,785,946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99.43</w:t>
            </w:r>
          </w:p>
        </w:tc>
        <w:tc>
          <w:tcPr>
            <w:tcW w:w="0" w:type="dxa"/>
            <w:vAlign w:val="bottom"/>
          </w:tcPr>
          <w:p>
            <w:pPr>
              <w:spacing w:after="0"/>
              <w:rPr>
                <w:sz w:val="1"/>
                <w:szCs w:val="1"/>
                <w:color w:val="auto"/>
              </w:rPr>
            </w:pPr>
          </w:p>
        </w:tc>
      </w:tr>
      <w:tr>
        <w:trPr>
          <w:trHeight w:val="168"/>
        </w:trPr>
        <w:tc>
          <w:tcPr>
            <w:tcW w:w="7680" w:type="dxa"/>
            <w:vAlign w:val="bottom"/>
          </w:tcPr>
          <w:p>
            <w:pPr>
              <w:ind w:left="120"/>
              <w:spacing w:after="0"/>
              <w:rPr>
                <w:sz w:val="20"/>
                <w:szCs w:val="20"/>
                <w:color w:val="auto"/>
              </w:rPr>
            </w:pPr>
            <w:r>
              <w:rPr>
                <w:rFonts w:ascii="Arial" w:cs="Arial" w:eastAsia="Arial" w:hAnsi="Arial"/>
                <w:sz w:val="13"/>
                <w:szCs w:val="13"/>
                <w:color w:val="auto"/>
              </w:rPr>
              <w:t>Granted</w:t>
            </w:r>
          </w:p>
        </w:tc>
        <w:tc>
          <w:tcPr>
            <w:tcW w:w="1760" w:type="dxa"/>
            <w:vAlign w:val="bottom"/>
          </w:tcPr>
          <w:p>
            <w:pPr>
              <w:jc w:val="right"/>
              <w:spacing w:after="0"/>
              <w:rPr>
                <w:sz w:val="20"/>
                <w:szCs w:val="20"/>
                <w:color w:val="auto"/>
              </w:rPr>
            </w:pPr>
            <w:r>
              <w:rPr>
                <w:rFonts w:ascii="Arial" w:cs="Arial" w:eastAsia="Arial" w:hAnsi="Arial"/>
                <w:sz w:val="13"/>
                <w:szCs w:val="13"/>
                <w:color w:val="auto"/>
              </w:rPr>
              <w:t>2,667,778</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96.09</w:t>
            </w:r>
          </w:p>
        </w:tc>
        <w:tc>
          <w:tcPr>
            <w:tcW w:w="0" w:type="dxa"/>
            <w:vAlign w:val="bottom"/>
          </w:tcPr>
          <w:p>
            <w:pPr>
              <w:spacing w:after="0"/>
              <w:rPr>
                <w:sz w:val="1"/>
                <w:szCs w:val="1"/>
                <w:color w:val="auto"/>
              </w:rPr>
            </w:pPr>
          </w:p>
        </w:tc>
      </w:tr>
      <w:tr>
        <w:trPr>
          <w:trHeight w:val="172"/>
        </w:trPr>
        <w:tc>
          <w:tcPr>
            <w:tcW w:w="7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(669,555)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99.46</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(127,989)</w:t>
            </w:r>
          </w:p>
        </w:tc>
        <w:tc>
          <w:tcPr>
            <w:tcW w:w="2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105.80</w:t>
            </w: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 December 31,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3,656,180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96.77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August 2019, the Board of Directors adopted, and in September 2019, the Company's stockholders approved, the 2019 Employee Stock Purchase Plan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2021, the number of shares of Class A common stock available for issuance under the ESPP was automatically increased according to its terms by 3,001,471 shares. As of December 31, 2021, a total of 10,568,799 shares of Class A common stock were available for sale to employees under the ESPP.</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resulting in a modification under ASC 718.</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There was an ESPP reset in the six months ended December 31, 2021 that resulted in a total modification charge of $3.5 million, which is recognized over the new two-year offering period ending August 31, 2023.</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Black-Scholes option pricing model assumptions used to calculate the fair value of shares estimated to be purchased at the commencement of the ESPP offering periods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Borders>
              <w:bottom w:val="single" w:sz="8" w:color="CCEEFF"/>
            </w:tcBorders>
          </w:tcPr>
          <w:p>
            <w:pPr>
              <w:spacing w:after="0"/>
              <w:rPr>
                <w:sz w:val="14"/>
                <w:szCs w:val="14"/>
                <w:color w:val="auto"/>
              </w:rPr>
            </w:pPr>
          </w:p>
        </w:tc>
        <w:tc>
          <w:tcPr>
            <w:tcW w:w="36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Six Months Ended December 31, 2021</w:t>
            </w:r>
          </w:p>
        </w:tc>
      </w:tr>
      <w:tr>
        <w:trPr>
          <w:trHeight w:val="163"/>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risk-free interest rate</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0.5%</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3"/>
                <w:szCs w:val="13"/>
                <w:color w:val="auto"/>
                <w:w w:val="99"/>
              </w:rPr>
              <w:t>1.2</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expected volatility</w:t>
            </w:r>
          </w:p>
        </w:tc>
        <w:tc>
          <w:tcPr>
            <w:tcW w:w="3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64.9%</w:t>
            </w:r>
          </w:p>
        </w:tc>
      </w:tr>
      <w:tr>
        <w:trPr>
          <w:trHeight w:val="165"/>
        </w:trPr>
        <w:tc>
          <w:tcPr>
            <w:tcW w:w="768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3"/>
                <w:szCs w:val="13"/>
                <w:color w:val="auto"/>
                <w:w w:val="91"/>
              </w:rPr>
              <w:t>—</w:t>
            </w:r>
          </w:p>
        </w:tc>
      </w:tr>
    </w:tbl>
    <w:p>
      <w:pPr>
        <w:spacing w:after="0" w:line="261"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three and six months ended December 31, 2021, the Company recorded stock-based compensation expense associated with the ESPP of $4.6 million and $8.2 million, respectively, and $2.2 million and $3.8 million for the three and six months ended December 31, 2020, respectively.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connection with the offering period which ended on August 31, 2021, employees purchased 293,356 shares of Class A common stock at a weighted-average price of $39.95 under the ESPP. As of December 31, 2021, total unrecognized compensation cost related to the ESPP was $21.6 million, which will be amortized over a weighted-average remaining period of 1.5 years.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i w:val="1"/>
          <w:iCs w:val="1"/>
          <w:color w:val="auto"/>
        </w:rPr>
        <w:t>Stock-Based Compensation Expense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Company's total stock-based compensation expense was as follows:</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24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5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(in millions)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5240" w:type="dxa"/>
            <w:vAlign w:val="bottom"/>
          </w:tcPr>
          <w:p>
            <w:pPr>
              <w:ind w:left="120"/>
              <w:spacing w:after="0"/>
              <w:rPr>
                <w:sz w:val="20"/>
                <w:szCs w:val="20"/>
                <w:color w:val="auto"/>
              </w:rPr>
            </w:pPr>
            <w:r>
              <w:rPr>
                <w:rFonts w:ascii="Arial" w:cs="Arial" w:eastAsia="Arial" w:hAnsi="Arial"/>
                <w:sz w:val="13"/>
                <w:szCs w:val="13"/>
                <w:color w:val="auto"/>
              </w:rPr>
              <w:t>Connected Fitness Products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104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0"/>
        </w:trPr>
        <w:tc>
          <w:tcPr>
            <w:tcW w:w="5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0"/>
        </w:trPr>
        <w:tc>
          <w:tcPr>
            <w:tcW w:w="524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11.7</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2"/>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68"/>
        </w:trPr>
        <w:tc>
          <w:tcPr>
            <w:tcW w:w="524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38.3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37.8</w:t>
            </w:r>
          </w:p>
        </w:tc>
      </w:tr>
      <w:tr>
        <w:trPr>
          <w:trHeight w:val="170"/>
        </w:trPr>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63"/>
        </w:trPr>
        <w:tc>
          <w:tcPr>
            <w:tcW w:w="5240" w:type="dxa"/>
            <w:vAlign w:val="bottom"/>
          </w:tcPr>
          <w:p>
            <w:pPr>
              <w:ind w:left="240"/>
              <w:spacing w:after="0"/>
              <w:rPr>
                <w:sz w:val="20"/>
                <w:szCs w:val="20"/>
                <w:color w:val="auto"/>
              </w:rPr>
            </w:pPr>
            <w:r>
              <w:rPr>
                <w:rFonts w:ascii="Arial" w:cs="Arial" w:eastAsia="Arial" w:hAnsi="Arial"/>
                <w:sz w:val="13"/>
                <w:szCs w:val="13"/>
                <w:color w:val="auto"/>
              </w:rPr>
              <w:t>Total stock-based compensation expense</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76"/>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340"/>
        <w:spacing w:after="0" w:line="244" w:lineRule="auto"/>
        <w:rPr>
          <w:sz w:val="20"/>
          <w:szCs w:val="20"/>
          <w:color w:val="auto"/>
        </w:rPr>
      </w:pPr>
      <w:r>
        <w:rPr>
          <w:rFonts w:ascii="Arial" w:cs="Arial" w:eastAsia="Arial" w:hAnsi="Arial"/>
          <w:sz w:val="13"/>
          <w:szCs w:val="13"/>
          <w:color w:val="auto"/>
        </w:rPr>
        <w:t>As of December 31, 2021, the Company had $738.1 million of unrecognized stock-based compensation expense related to unvested stock-based awards that is expected to be recognized over a weighted-average period of 3.0 years.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Income Taxes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 recorded a provision from income taxes of $3.1 million and $5.4 million for the three and six months ended December 31, 2021, respectively, and a benefit of $3.0 million and $1.7 million for the three and six months ended December 31, 2020, respectively. Furthermore, the Company's effective tax rates were (0.71)% and (0.67)% for the three and six months ended December 31, 2021, respectively, and (4.60)% and (1.24)% for the three and six months ended December 31, 2020, respectively. The income tax provision and the effective tax rate is primarily driven by state and international taxes.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Company maintains a valuation allowance on the majority of its deferred tax assets as it has concluded that it is more likely than not that the deferred assets will not be utilized.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80" w:type="dxa"/>
            <w:vAlign w:val="bottom"/>
          </w:tcPr>
          <w:p>
            <w:pPr>
              <w:spacing w:after="0"/>
              <w:rPr>
                <w:sz w:val="20"/>
                <w:szCs w:val="20"/>
                <w:color w:val="auto"/>
              </w:rPr>
            </w:pPr>
            <w:r>
              <w:rPr>
                <w:rFonts w:ascii="Arial" w:cs="Arial" w:eastAsia="Arial" w:hAnsi="Arial"/>
                <w:sz w:val="13"/>
                <w:szCs w:val="13"/>
                <w:b w:val="1"/>
                <w:bCs w:val="1"/>
                <w:color w:val="auto"/>
              </w:rPr>
              <w:t>12. Net (Loss) Income Per Share</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18"/>
        </w:trPr>
        <w:tc>
          <w:tcPr>
            <w:tcW w:w="5380" w:type="dxa"/>
            <w:vAlign w:val="bottom"/>
          </w:tcPr>
          <w:p>
            <w:pPr>
              <w:spacing w:after="0"/>
              <w:rPr>
                <w:sz w:val="20"/>
                <w:szCs w:val="20"/>
                <w:color w:val="auto"/>
              </w:rPr>
            </w:pPr>
            <w:r>
              <w:rPr>
                <w:rFonts w:ascii="Arial" w:cs="Arial" w:eastAsia="Arial" w:hAnsi="Arial"/>
                <w:sz w:val="13"/>
                <w:szCs w:val="13"/>
                <w:color w:val="auto"/>
              </w:rPr>
              <w:t>The computation of basic and diluted net (loss) income per share is as follows: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2"/>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December 31,</w:t>
            </w:r>
          </w:p>
        </w:tc>
        <w:tc>
          <w:tcPr>
            <w:tcW w:w="280" w:type="dxa"/>
            <w:vAlign w:val="bottom"/>
          </w:tcPr>
          <w:p>
            <w:pPr>
              <w:spacing w:after="0"/>
              <w:rPr>
                <w:sz w:val="24"/>
                <w:szCs w:val="24"/>
                <w:color w:val="auto"/>
              </w:rPr>
            </w:pPr>
          </w:p>
        </w:tc>
        <w:tc>
          <w:tcPr>
            <w:tcW w:w="26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80" w:type="dxa"/>
            <w:vAlign w:val="bottom"/>
            <w:gridSpan w:val="7"/>
          </w:tcPr>
          <w:p>
            <w:pPr>
              <w:ind w:left="40"/>
              <w:spacing w:after="0"/>
              <w:rPr>
                <w:sz w:val="20"/>
                <w:szCs w:val="20"/>
                <w:color w:val="auto"/>
              </w:rPr>
            </w:pPr>
            <w:r>
              <w:rPr>
                <w:rFonts w:ascii="Arial" w:cs="Arial" w:eastAsia="Arial" w:hAnsi="Arial"/>
                <w:sz w:val="13"/>
                <w:szCs w:val="13"/>
                <w:b w:val="1"/>
                <w:bCs w:val="1"/>
                <w:color w:val="auto"/>
                <w:w w:val="98"/>
              </w:rPr>
              <w:t>(in millions, except share and per share amounts)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8"/>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net (loss) income per share:</w:t>
            </w: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63"/>
        </w:trPr>
        <w:tc>
          <w:tcPr>
            <w:tcW w:w="5380" w:type="dxa"/>
            <w:vAlign w:val="bottom"/>
          </w:tcPr>
          <w:p>
            <w:pPr>
              <w:ind w:left="180"/>
              <w:spacing w:after="0"/>
              <w:rPr>
                <w:sz w:val="20"/>
                <w:szCs w:val="20"/>
                <w:color w:val="auto"/>
              </w:rPr>
            </w:pPr>
            <w:r>
              <w:rPr>
                <w:rFonts w:ascii="Arial" w:cs="Arial" w:eastAsia="Arial" w:hAnsi="Arial"/>
                <w:sz w:val="13"/>
                <w:szCs w:val="13"/>
                <w:color w:val="auto"/>
              </w:rPr>
              <w:t>Net (loss) income attributable to common stockholders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(439.4)</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(815.3)</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132.8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computation:</w:t>
            </w: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53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Weighted-average common shares outstanding</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317,110,297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292,462,184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309,119,648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290,591,037</w:t>
            </w:r>
          </w:p>
        </w:tc>
      </w:tr>
      <w:tr>
        <w:trPr>
          <w:trHeight w:val="183"/>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 net (loss)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8"/>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net (loss) income per share:</w:t>
            </w: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r>
      <w:tr>
        <w:trPr>
          <w:trHeight w:val="163"/>
        </w:trPr>
        <w:tc>
          <w:tcPr>
            <w:tcW w:w="5380" w:type="dxa"/>
            <w:vAlign w:val="bottom"/>
          </w:tcPr>
          <w:p>
            <w:pPr>
              <w:ind w:left="180"/>
              <w:spacing w:after="0"/>
              <w:rPr>
                <w:sz w:val="20"/>
                <w:szCs w:val="20"/>
                <w:color w:val="auto"/>
              </w:rPr>
            </w:pPr>
            <w:r>
              <w:rPr>
                <w:rFonts w:ascii="Arial" w:cs="Arial" w:eastAsia="Arial" w:hAnsi="Arial"/>
                <w:sz w:val="13"/>
                <w:szCs w:val="13"/>
                <w:color w:val="auto"/>
              </w:rPr>
              <w:t>Net (loss) income attributable to common stockholders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(439.4)</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63.6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(815.3)</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132.8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Shares used in computation:</w:t>
            </w: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5380" w:type="dxa"/>
            <w:vAlign w:val="bottom"/>
          </w:tcPr>
          <w:p>
            <w:pPr>
              <w:ind w:left="180"/>
              <w:spacing w:after="0"/>
              <w:rPr>
                <w:sz w:val="20"/>
                <w:szCs w:val="20"/>
                <w:color w:val="auto"/>
              </w:rPr>
            </w:pPr>
            <w:r>
              <w:rPr>
                <w:rFonts w:ascii="Arial" w:cs="Arial" w:eastAsia="Arial" w:hAnsi="Arial"/>
                <w:sz w:val="13"/>
                <w:szCs w:val="13"/>
                <w:color w:val="auto"/>
              </w:rPr>
              <w:t>Weighted-average common shares outstanding</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317,110,297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292,462,184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309,119,648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290,591,037</w:t>
            </w:r>
          </w:p>
        </w:tc>
      </w:tr>
      <w:tr>
        <w:trPr>
          <w:trHeight w:val="172"/>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Weighted-average effect of potentially dilutive securities: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380" w:type="dxa"/>
            <w:vAlign w:val="bottom"/>
          </w:tcPr>
          <w:p>
            <w:pPr>
              <w:ind w:left="360"/>
              <w:spacing w:after="0"/>
              <w:rPr>
                <w:sz w:val="20"/>
                <w:szCs w:val="20"/>
                <w:color w:val="auto"/>
              </w:rPr>
            </w:pPr>
            <w:r>
              <w:rPr>
                <w:rFonts w:ascii="Arial" w:cs="Arial" w:eastAsia="Arial" w:hAnsi="Arial"/>
                <w:sz w:val="13"/>
                <w:szCs w:val="13"/>
                <w:color w:val="auto"/>
              </w:rPr>
              <w:t>Employee stock options</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54,271,831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53,426,104</w:t>
            </w:r>
          </w:p>
        </w:tc>
      </w:tr>
      <w:tr>
        <w:trPr>
          <w:trHeight w:val="172"/>
        </w:trPr>
        <w:tc>
          <w:tcPr>
            <w:tcW w:w="53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Restricted stock units and awards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636,056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552,394</w:t>
            </w:r>
          </w:p>
        </w:tc>
      </w:tr>
      <w:tr>
        <w:trPr>
          <w:trHeight w:val="168"/>
        </w:trPr>
        <w:tc>
          <w:tcPr>
            <w:tcW w:w="5380" w:type="dxa"/>
            <w:vAlign w:val="bottom"/>
          </w:tcPr>
          <w:p>
            <w:pPr>
              <w:ind w:left="360"/>
              <w:spacing w:after="0"/>
              <w:rPr>
                <w:sz w:val="20"/>
                <w:szCs w:val="20"/>
                <w:color w:val="auto"/>
              </w:rPr>
            </w:pPr>
            <w:r>
              <w:rPr>
                <w:rFonts w:ascii="Arial" w:cs="Arial" w:eastAsia="Arial" w:hAnsi="Arial"/>
                <w:sz w:val="13"/>
                <w:szCs w:val="13"/>
                <w:color w:val="auto"/>
              </w:rPr>
              <w:t>Shares estimated to be purchased under ESPP</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516,624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424,779</w:t>
            </w:r>
          </w:p>
        </w:tc>
      </w:tr>
      <w:tr>
        <w:trPr>
          <w:trHeight w:val="160"/>
        </w:trPr>
        <w:tc>
          <w:tcPr>
            <w:tcW w:w="5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Diluted weighted-average common shares outstanding</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317,110,297</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347,886,695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309,119,648</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344,994,314</w:t>
            </w:r>
          </w:p>
        </w:tc>
      </w:tr>
      <w:tr>
        <w:trPr>
          <w:trHeight w:val="163"/>
        </w:trPr>
        <w:tc>
          <w:tcPr>
            <w:tcW w:w="5380" w:type="dxa"/>
            <w:vAlign w:val="bottom"/>
          </w:tcPr>
          <w:p>
            <w:pPr>
              <w:ind w:left="180"/>
              <w:spacing w:after="0"/>
              <w:rPr>
                <w:sz w:val="20"/>
                <w:szCs w:val="20"/>
                <w:color w:val="auto"/>
              </w:rPr>
            </w:pPr>
            <w:r>
              <w:rPr>
                <w:rFonts w:ascii="Arial" w:cs="Arial" w:eastAsia="Arial" w:hAnsi="Arial"/>
                <w:sz w:val="13"/>
                <w:szCs w:val="13"/>
                <w:color w:val="auto"/>
              </w:rPr>
              <w:t>Diluted net (loss) income per share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(1.39)</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0.18</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0.39</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04"/>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016"/>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0"/>
        </w:trPr>
        <w:tc>
          <w:tcPr>
            <w:tcW w:w="53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The following potentially dilutive shares were not included in the calculation of diluted shares outstanding as the effect would have been anti-dilutive: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0" w:type="dxa"/>
            <w:vAlign w:val="bottom"/>
            <w:gridSpan w:val="4"/>
          </w:tcPr>
          <w:p>
            <w:pPr>
              <w:ind w:left="400"/>
              <w:spacing w:after="0"/>
              <w:rPr>
                <w:sz w:val="20"/>
                <w:szCs w:val="20"/>
                <w:color w:val="auto"/>
              </w:rPr>
            </w:pPr>
            <w:r>
              <w:rPr>
                <w:rFonts w:ascii="Arial" w:cs="Arial" w:eastAsia="Arial" w:hAnsi="Arial"/>
                <w:sz w:val="13"/>
                <w:szCs w:val="13"/>
                <w:b w:val="1"/>
                <w:bCs w:val="1"/>
                <w:color w:val="auto"/>
              </w:rPr>
              <w:t>Three Months Ended December 31,</w:t>
            </w:r>
          </w:p>
        </w:tc>
        <w:tc>
          <w:tcPr>
            <w:tcW w:w="2900" w:type="dxa"/>
            <w:vAlign w:val="bottom"/>
            <w:gridSpan w:val="3"/>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44,011,349</w:t>
            </w: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65,236</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47,438,668</w:t>
            </w: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206,467</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1420" w:type="dxa"/>
            <w:vAlign w:val="bottom"/>
          </w:tcPr>
          <w:p>
            <w:pPr>
              <w:jc w:val="right"/>
              <w:spacing w:after="0"/>
              <w:rPr>
                <w:sz w:val="20"/>
                <w:szCs w:val="20"/>
                <w:color w:val="auto"/>
              </w:rPr>
            </w:pPr>
            <w:r>
              <w:rPr>
                <w:rFonts w:ascii="Arial" w:cs="Arial" w:eastAsia="Arial" w:hAnsi="Arial"/>
                <w:sz w:val="13"/>
                <w:szCs w:val="13"/>
                <w:color w:val="auto"/>
              </w:rPr>
              <w:t>104,006</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590</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252,433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6,761</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estimated to be purchased under ESPP</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56,740</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52"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Company expects to settle the principal amount of the Notes in cash upon conversion, and therefore, the Company uses the treasury stock method for calculating any potential dilutive effect of the conversion option on diluted net income per share, if applicable. The conversion option will have a dilutive impact on net loss per share of common stock when the average market price per share of the Company's Class A common stock for a given period exceeds the conversion price of the Notes of $239.23 per share. During the three and six months ended December 31, 2021, the weighted average price per share of the Company's Class A common stock was below the conversion price of the Notes.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denominator for basic and diluted (loss) income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Segment Information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The Company applies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The Connected Fitness Product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Key financial performance measures of the segments including Revenue, Cost of revenue, and Gross profit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0" w:type="dxa"/>
            <w:vAlign w:val="bottom"/>
            <w:gridSpan w:val="6"/>
          </w:tcPr>
          <w:p>
            <w:pPr>
              <w:ind w:left="400"/>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Pr>
          <w:p>
            <w:pPr>
              <w:spacing w:after="0"/>
              <w:rPr>
                <w:sz w:val="14"/>
                <w:szCs w:val="14"/>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5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Connected Fitness Products: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380" w:type="dxa"/>
            <w:vAlign w:val="bottom"/>
          </w:tcPr>
          <w:p>
            <w:pPr>
              <w:ind w:left="520"/>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796.4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870.1</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1,471.5</w:t>
            </w:r>
          </w:p>
        </w:tc>
      </w:tr>
      <w:tr>
        <w:trPr>
          <w:trHeight w:val="17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927.0</w:t>
            </w:r>
          </w:p>
        </w:tc>
      </w:tr>
      <w:tr>
        <w:trPr>
          <w:trHeight w:val="163"/>
        </w:trPr>
        <w:tc>
          <w:tcPr>
            <w:tcW w:w="53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307.3</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544.5</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Subscription:</w:t>
            </w: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5380" w:type="dxa"/>
            <w:vAlign w:val="bottom"/>
          </w:tcPr>
          <w:p>
            <w:pPr>
              <w:ind w:left="520"/>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337.5</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194.7</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641.7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351.2</w:t>
            </w:r>
          </w:p>
        </w:tc>
      </w:tr>
      <w:tr>
        <w:trPr>
          <w:trHeight w:val="17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142.2</w:t>
            </w:r>
          </w:p>
        </w:tc>
      </w:tr>
      <w:tr>
        <w:trPr>
          <w:trHeight w:val="163"/>
        </w:trPr>
        <w:tc>
          <w:tcPr>
            <w:tcW w:w="53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229.3</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431.7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31"/>
        </w:trPr>
        <w:tc>
          <w:tcPr>
            <w:tcW w:w="53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Consolidated:</w:t>
            </w: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68"/>
        </w:trPr>
        <w:tc>
          <w:tcPr>
            <w:tcW w:w="5380" w:type="dxa"/>
            <w:vAlign w:val="bottom"/>
          </w:tcPr>
          <w:p>
            <w:pPr>
              <w:ind w:left="520"/>
              <w:spacing w:after="0"/>
              <w:rPr>
                <w:sz w:val="20"/>
                <w:szCs w:val="20"/>
                <w:color w:val="auto"/>
              </w:rPr>
            </w:pPr>
            <w:r>
              <w:rPr>
                <w:rFonts w:ascii="Arial" w:cs="Arial" w:eastAsia="Arial" w:hAnsi="Arial"/>
                <w:sz w:val="13"/>
                <w:szCs w:val="13"/>
                <w:color w:val="auto"/>
              </w:rPr>
              <w:t>Revenue</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1,133.9</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1,064.8</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1,939.1</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1,822.7</w:t>
            </w:r>
          </w:p>
        </w:tc>
      </w:tr>
      <w:tr>
        <w:trPr>
          <w:trHeight w:val="170"/>
        </w:trPr>
        <w:tc>
          <w:tcPr>
            <w:tcW w:w="53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Cost of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1,069.2</w:t>
            </w:r>
          </w:p>
        </w:tc>
      </w:tr>
      <w:tr>
        <w:trPr>
          <w:trHeight w:val="163"/>
        </w:trPr>
        <w:tc>
          <w:tcPr>
            <w:tcW w:w="5380" w:type="dxa"/>
            <w:vAlign w:val="bottom"/>
          </w:tcPr>
          <w:p>
            <w:pPr>
              <w:ind w:left="640"/>
              <w:spacing w:after="0"/>
              <w:rPr>
                <w:sz w:val="20"/>
                <w:szCs w:val="20"/>
                <w:color w:val="auto"/>
              </w:rPr>
            </w:pPr>
            <w:r>
              <w:rPr>
                <w:rFonts w:ascii="Arial" w:cs="Arial" w:eastAsia="Arial" w:hAnsi="Arial"/>
                <w:sz w:val="13"/>
                <w:szCs w:val="13"/>
                <w:color w:val="auto"/>
              </w:rPr>
              <w:t>Gross profit</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753.5</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04"/>
        </w:trPr>
        <w:tc>
          <w:tcPr>
            <w:tcW w:w="5380" w:type="dxa"/>
            <w:vAlign w:val="bottom"/>
          </w:tcPr>
          <w:p>
            <w:pPr>
              <w:spacing w:after="0"/>
              <w:rPr>
                <w:sz w:val="24"/>
                <w:szCs w:val="24"/>
                <w:color w:val="auto"/>
              </w:rPr>
            </w:pPr>
          </w:p>
        </w:tc>
        <w:tc>
          <w:tcPr>
            <w:tcW w:w="900" w:type="dxa"/>
            <w:vAlign w:val="bottom"/>
          </w:tcPr>
          <w:p>
            <w:pPr>
              <w:jc w:val="right"/>
              <w:ind w:right="496"/>
              <w:spacing w:after="0"/>
              <w:rPr>
                <w:sz w:val="20"/>
                <w:szCs w:val="20"/>
                <w:color w:val="auto"/>
              </w:rPr>
            </w:pPr>
            <w:r>
              <w:rPr>
                <w:rFonts w:ascii="Arial" w:cs="Arial" w:eastAsia="Arial" w:hAnsi="Arial"/>
                <w:sz w:val="13"/>
                <w:szCs w:val="13"/>
                <w:color w:val="auto"/>
              </w:rPr>
              <w:t>23</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0"/>
        </w:trPr>
        <w:tc>
          <w:tcPr>
            <w:tcW w:w="53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auto"/>
        </w:rPr>
        <w:t>Reconciliation of Gross Profit</w:t>
      </w:r>
    </w:p>
    <w:p>
      <w:pPr>
        <w:spacing w:after="0" w:line="45" w:lineRule="exact"/>
        <w:rPr>
          <w:sz w:val="20"/>
          <w:szCs w:val="20"/>
          <w:color w:val="auto"/>
        </w:rPr>
      </w:pPr>
    </w:p>
    <w:p>
      <w:pPr>
        <w:ind w:right="460"/>
        <w:spacing w:after="0" w:line="244" w:lineRule="auto"/>
        <w:rPr>
          <w:sz w:val="20"/>
          <w:szCs w:val="20"/>
          <w:color w:val="auto"/>
        </w:rPr>
      </w:pPr>
      <w:r>
        <w:rPr>
          <w:rFonts w:ascii="Arial" w:cs="Arial" w:eastAsia="Arial" w:hAnsi="Arial"/>
          <w:sz w:val="13"/>
          <w:szCs w:val="13"/>
          <w:color w:val="auto"/>
        </w:rPr>
        <w:t>Operating expenditures, interest income and other expense, and taxes are not allocated to individual segments as these are managed on an entity wide group basis. The reconciliation between reportable Segment Gross Profit to consolidated (loss) income before tax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0" w:type="dxa"/>
            <w:vAlign w:val="bottom"/>
            <w:gridSpan w:val="6"/>
          </w:tcPr>
          <w:p>
            <w:pPr>
              <w:ind w:left="400"/>
              <w:spacing w:after="0"/>
              <w:rPr>
                <w:sz w:val="20"/>
                <w:szCs w:val="20"/>
                <w:color w:val="auto"/>
              </w:rPr>
            </w:pPr>
            <w:r>
              <w:rPr>
                <w:rFonts w:ascii="Arial" w:cs="Arial" w:eastAsia="Arial" w:hAnsi="Arial"/>
                <w:sz w:val="13"/>
                <w:szCs w:val="13"/>
                <w:b w:val="1"/>
                <w:bCs w:val="1"/>
                <w:color w:val="auto"/>
              </w:rPr>
              <w:t>Three Months Ended December 31,</w:t>
            </w:r>
          </w:p>
        </w:tc>
        <w:tc>
          <w:tcPr>
            <w:tcW w:w="380" w:type="dxa"/>
            <w:vAlign w:val="bottom"/>
          </w:tcPr>
          <w:p>
            <w:pPr>
              <w:spacing w:after="0"/>
              <w:rPr>
                <w:sz w:val="14"/>
                <w:szCs w:val="14"/>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62"/>
        </w:trPr>
        <w:tc>
          <w:tcPr>
            <w:tcW w:w="53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60"/>
        </w:trPr>
        <w:tc>
          <w:tcPr>
            <w:tcW w:w="5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Gross Profit</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753.5</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(177.4)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(292.1)</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(84.1)</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expense</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(expense) income, net</w:t>
            </w: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8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(Loss) income before provision for income taxes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Subsequent Events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February 2022 Restructuring Plan</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On February 1, 2022, following the Company’s previous disclosure regarding market factors impacting the business, the Company’s Board of Directors approved a restructuring plan to realign the Company’s operational focus to support its multi-year growth, scale the business, and improve costs (the “Restructuring Plan”). The Restructuring Plan includes: (i) reducing the Company’s headcount;</w:t>
      </w:r>
    </w:p>
    <w:p>
      <w:pPr>
        <w:jc w:val="both"/>
        <w:ind w:firstLine="5"/>
        <w:spacing w:after="0" w:line="241" w:lineRule="auto"/>
        <w:tabs>
          <w:tab w:leader="none" w:pos="187" w:val="left"/>
        </w:tabs>
        <w:numPr>
          <w:ilvl w:val="0"/>
          <w:numId w:val="9"/>
        </w:numPr>
        <w:rPr>
          <w:rFonts w:ascii="Arial" w:cs="Arial" w:eastAsia="Arial" w:hAnsi="Arial"/>
          <w:sz w:val="13"/>
          <w:szCs w:val="13"/>
          <w:color w:val="auto"/>
        </w:rPr>
      </w:pPr>
      <w:r>
        <w:rPr>
          <w:rFonts w:ascii="Arial" w:cs="Arial" w:eastAsia="Arial" w:hAnsi="Arial"/>
          <w:sz w:val="13"/>
          <w:szCs w:val="13"/>
          <w:color w:val="auto"/>
        </w:rPr>
        <w:t>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2024.</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connection with the Restructuring Plan, the Company estimates that it will incur total cash charges of approximately $190 million composed of: (i) approximately $90 million for severance and other related personnel reduction costs; (ii) approximately $40 million related to closing and consolidating several assembly and manufacturing plants and distribution facilities; and (iii) approximately $60 million in capital expenditures. Additionally, the Company expects to recognize approximately $80 million of asset impairment charges in the third fiscal quarter of 2022 in connection with the Restructuring Plan.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Company expects to achieve at least $800 million in annualized run-rate cost savings as a result of the Restructuring Plan, with the majority expected to be realized by the end of fiscal 2024.</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CEO Transition</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February 7, 2022, the Board appointed Barry McCarthy as the Chief Executive Officer and President of the Company to succeed John Foley, the Company’s Co-Founder and former Chief Executive Officer, in this role, and appointed Mr. Foley as Executive Chair of the Board, in each case, as of February 9, 2022 (the “CEO Commencement Date”). Additionally, Mr. McCarthy has been designated as the Company’s principal executive officer, effective as of the CEO Commencement Date. The Company and Mr. McCarthy have entered into an employment offer letter, dated February 7, 2022, in connection with Mr. McCarthy’s appointment as Chief Executive Officer (the “Offer Letter”). As part of the Offer Letter, Mr. McCarthy was granted a stock option award to purchase 8,000,000 shares of the Company’s Class A Common Stock (the “Option Award”). The Option Award will have an exercise price per share equal to the closing price of the Company’s Class A common stock on the CEO Commencement Date and will vest and become exercisable over four years.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2021, filed with the SEC on August 27, 2021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Form 10-K.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Overview</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3"/>
          <w:szCs w:val="13"/>
          <w:color w:val="050505"/>
        </w:rPr>
        <w:t>Peloton is the largest interactive fitness platform in the world with a loyal community of over 6.6 million Members as of December 31,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App subscription.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050505"/>
        </w:rPr>
        <w:t>Our Connected Fitness Product portfolio includes the Peloton Bike, Bike+, and the Peloton Tread and Tread+.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the three months ended December 31, 2020 to the three months ended December 31, 2021, total revenue grew 6%, and our Connected Fitness Subscription base grew 66%.</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050505"/>
        </w:rPr>
        <w:t>Our financial profile has been characterized by strong growth, strong retention, recurring revenue, and efficient customer acquisition. Our low Average Net Monthly Connected Fitness Churn, together with our high Subscription Contribution Margin, has allowed us to generate value from our Connected Fitness Subscriptions. When we acquire new Connected Fitness Subscriptions, we are often able to offset a portion of our subscription acquisition costs with the gross profit earned on our Connected Fitness Products.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050505"/>
        </w:rPr>
        <w:t>F</w:t>
      </w:r>
      <w:r>
        <w:rPr>
          <w:rFonts w:ascii="Arial" w:cs="Arial" w:eastAsia="Arial" w:hAnsi="Arial"/>
          <w:sz w:val="13"/>
          <w:szCs w:val="13"/>
          <w:color w:val="000000"/>
        </w:rPr>
        <w:t>or the three months ended December 31, 2021 and 2020:</w:t>
      </w:r>
    </w:p>
    <w:p>
      <w:pPr>
        <w:spacing w:after="0" w:line="189" w:lineRule="exact"/>
        <w:rPr>
          <w:sz w:val="20"/>
          <w:szCs w:val="20"/>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generated total revenue of $1,133.9 million, and $1,064.8 million, respectively</w:t>
      </w:r>
      <w:r>
        <w:rPr>
          <w:rFonts w:ascii="Arial" w:cs="Arial" w:eastAsia="Arial" w:hAnsi="Arial"/>
          <w:sz w:val="13"/>
          <w:szCs w:val="13"/>
          <w:color w:val="auto"/>
          <w:strike w:val="1"/>
        </w:rPr>
        <w:t>;</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 of December 31, 2021 and 2020, we had 2,766,816 and 1,667,223 Connected Fitness Subscriptions, respectively;</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Average Net Monthly Connected Fitness Churn was 0.79% and 0.76%, respectively;</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recognized net (loss) income of $(439.4) million and $63.6 million, respectively;</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Adjusted EBITDA was $(266.5) million and $116.9 million, respectively;</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Subscription Gross Margin was 67.9% and 60.3%, respectively; and</w:t>
      </w: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Subscription Contribution Margin was 71.4% and 65.3%,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050505"/>
        </w:rPr>
        <w:t>For a definition of Connected Fitness Subscriptions and Average Net Monthly Connected Fitness Churn, see the section titled “—Key Operational and Business Metrics”.</w:t>
      </w:r>
    </w:p>
    <w:p>
      <w:pPr>
        <w:spacing w:after="0" w:line="190"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050505"/>
        </w:rPr>
        <w:t>See the section titled “—Non-GAAP Financial Measures” for definitions of and information regarding our use of Adjusted EBITDA, Adjusted EBITDA Margin, Subscription Contribution and Subscription Contribution Margin, and a reconciliation of each of net (loss) income to Adjusted EBITDA and Subscription Gross Profit to Subscription Contribution.</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050505"/>
        </w:rPr>
        <w:t>Second quarter fiscal 2022 update and recent developments</w:t>
      </w:r>
    </w:p>
    <w:p>
      <w:pPr>
        <w:spacing w:after="0" w:line="47"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050505"/>
        </w:rPr>
        <w:t xml:space="preserve">As discussed last quarter, forecasting our business during the COVID-19 pandemic, particularly in its more recent stages, has proven to be very challenging. While we have been able to grow more than we anticipated just two years ago, fluctuations in demand and supply that we have been navigating during this time period have led us to grow our operations beyond what we believe is currently best suited to our business. Although our belief in the positive long-term outlook for Connected Fitness remains unchanged, the long-term cost demands of our business require us to recalibrate our near-term expectations. Additionally, while demand for our Connected Fitness products has continued to strongly outpace pre-pandemic levels, we have had significant difficulty in predicting near-term consumer demand and, as a result, our expected near-term operating performance. </w:t>
      </w:r>
      <w:r>
        <w:rPr>
          <w:rFonts w:ascii="Arial" w:cs="Arial" w:eastAsia="Arial" w:hAnsi="Arial"/>
          <w:sz w:val="13"/>
          <w:szCs w:val="13"/>
          <w:color w:val="000000"/>
        </w:rPr>
        <w:t>See</w:t>
      </w:r>
      <w:r>
        <w:rPr>
          <w:rFonts w:ascii="Arial" w:cs="Arial" w:eastAsia="Arial" w:hAnsi="Arial"/>
          <w:sz w:val="13"/>
          <w:szCs w:val="13"/>
          <w:color w:val="050505"/>
        </w:rPr>
        <w:t xml:space="preserve"> </w:t>
      </w:r>
      <w:r>
        <w:rPr>
          <w:rFonts w:ascii="Arial" w:cs="Arial" w:eastAsia="Arial" w:hAnsi="Arial"/>
          <w:sz w:val="13"/>
          <w:szCs w:val="13"/>
          <w:i w:val="1"/>
          <w:iCs w:val="1"/>
          <w:color w:val="000000"/>
        </w:rPr>
        <w:t>“Risk Factors—Risks Related to Our Business—Our operating results have been, and could in the future be,</w:t>
      </w:r>
      <w:r>
        <w:rPr>
          <w:rFonts w:ascii="Arial" w:cs="Arial" w:eastAsia="Arial" w:hAnsi="Arial"/>
          <w:sz w:val="13"/>
          <w:szCs w:val="13"/>
          <w:color w:val="050505"/>
        </w:rPr>
        <w:t xml:space="preserve"> </w:t>
      </w:r>
      <w:r>
        <w:rPr>
          <w:rFonts w:ascii="Arial" w:cs="Arial" w:eastAsia="Arial" w:hAnsi="Arial"/>
          <w:sz w:val="13"/>
          <w:szCs w:val="13"/>
          <w:i w:val="1"/>
          <w:iCs w:val="1"/>
          <w:color w:val="000000"/>
        </w:rPr>
        <w:t>adversely affected if we are unable to accurately forecast consumer demand for our products and services and adequately manage our inventory.”</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February 2022 Restructuring Plan</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On February 1, 2022, following our previous disclosure regarding market factors impacting our business, our board of directors approved a restructuring plan to realign our operational focus to support our multi-year growth, scale our business, and improve costs (the “Restructuring Plan”). The Restructuring Plan includes: (i) reducing our headcount by approximately 2,800 global positions;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5" w:name="page26"/>
    <w:bookmarkEnd w:id="25"/>
    <w:p>
      <w:pPr>
        <w:jc w:val="both"/>
        <w:spacing w:after="0"/>
        <w:rPr>
          <w:sz w:val="20"/>
          <w:szCs w:val="20"/>
          <w:color w:val="auto"/>
        </w:rPr>
      </w:pPr>
      <w:r>
        <w:rPr>
          <w:rFonts w:ascii="Arial" w:cs="Arial" w:eastAsia="Arial" w:hAnsi="Arial"/>
          <w:sz w:val="13"/>
          <w:szCs w:val="13"/>
          <w:color w:val="auto"/>
        </w:rPr>
        <w:t>In connection with the Restructuring Plan, we estimate that we will incur total cash charges of approximately $190 million composed of: (i) approximately $90 million for severance and other related personnel reduction costs; (ii) approximately $40 million related to closing and/or consolidating several assembly and/or manufacturing plants and distribution facilities; and (iii) approximately $60 million in capital expenditures. We also intend to reduce our planned capital expenditures in fiscal 2022 by approximately $150 million (net of anticipated restructuring expenditures). Additionally, we expect to recognize approximately $80 million of asset impairment charges in the third fiscal quarter of 2022 in connection with the Restructuring Plan.</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We expect to achieve at least $800 million in annualized run-rate cost savings as a result of the Restructuring Plan, with the majority expected to be realized by the end of fiscal 2024.</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 xml:space="preserve">However, we may not be able to fully realize the cost savings and benefits initially anticipated from the Restructuring Plan, and the expected costs may be greater than expected. See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w:t>
      </w:r>
      <w:r>
        <w:rPr>
          <w:rFonts w:ascii="Arial" w:cs="Arial" w:eastAsia="Arial" w:hAnsi="Arial"/>
          <w:sz w:val="13"/>
          <w:szCs w:val="13"/>
          <w:i w:val="1"/>
          <w:iCs w:val="1"/>
          <w:color w:val="auto"/>
        </w:rPr>
        <w:t>Risks Related to Our Business—We may not successfully execute or achieve the expected benefits of our restructuring initiative, and our efforts may result in further actions and/or additional asset impairment charges and adversely affect our business</w:t>
      </w:r>
      <w:r>
        <w:rPr>
          <w:rFonts w:ascii="Arial" w:cs="Arial" w:eastAsia="Arial" w:hAnsi="Arial"/>
          <w:sz w:val="13"/>
          <w:szCs w:val="13"/>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Introducing Peloton Guide</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We are excited to officially announce the launch of Peloton Guide, our first connected fitness strength product, on or around April 9. The Peloton App already enables Members to stream great fitness workouts with world-class instructors on any screen in their home, including their TV. Priced at $495, we believe Guide further enhances the full-body workout experience through a number of unique product features:</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Body activity features allow members to see what movements will be in a class, understand correct form, and see which muscles were worked each day to guide the next workout.</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Metric-driven accountability through a smart camera with Peloton's unique Movement Tracker pushes our Members to complete every strength movement in every class.</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Form matching via a picture-in-picture feature lets Members simultaneously see themselves side by side with the instructor.</w:t>
      </w: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all-new Peloton Heart Rate Band that comes with the Guide empowers Members to understand exertion levels and track effort.</w:t>
      </w:r>
    </w:p>
    <w:p>
      <w:pPr>
        <w:jc w:val="both"/>
        <w:spacing w:after="0" w:line="244" w:lineRule="auto"/>
        <w:rPr>
          <w:sz w:val="20"/>
          <w:szCs w:val="20"/>
          <w:color w:val="auto"/>
        </w:rPr>
      </w:pPr>
      <w:r>
        <w:rPr>
          <w:rFonts w:ascii="Arial" w:cs="Arial" w:eastAsia="Arial" w:hAnsi="Arial"/>
          <w:sz w:val="13"/>
          <w:szCs w:val="13"/>
          <w:color w:val="auto"/>
        </w:rPr>
        <w:t>Guide will be supported with dedicated content, including exclusive programs for all levels, live full-body training classes with instructors, and an extensive move library to help Members learn and perfect proper form. Guide represents a compelling value in the strength category and we will continue to add new features and content over the air to continuously improve the value proposition.</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Content</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3"/>
          <w:szCs w:val="13"/>
          <w:color w:val="auto"/>
        </w:rPr>
        <w:t xml:space="preserve">Music has always been at the heart of the Peloton experience. Our sizable and growing Member base made us a sought-after partner for the music industry. During fiscal quarter ended </w:t>
      </w:r>
      <w:r>
        <w:rPr>
          <w:rFonts w:ascii="Arial" w:cs="Arial" w:eastAsia="Arial" w:hAnsi="Arial"/>
          <w:sz w:val="13"/>
          <w:szCs w:val="13"/>
          <w:color w:val="050505"/>
        </w:rPr>
        <w:t>December 31,</w:t>
      </w:r>
      <w:r>
        <w:rPr>
          <w:rFonts w:ascii="Arial" w:cs="Arial" w:eastAsia="Arial" w:hAnsi="Arial"/>
          <w:sz w:val="13"/>
          <w:szCs w:val="13"/>
          <w:color w:val="auto"/>
        </w:rPr>
        <w:t xml:space="preserve"> </w:t>
      </w:r>
      <w:r>
        <w:rPr>
          <w:rFonts w:ascii="Arial" w:cs="Arial" w:eastAsia="Arial" w:hAnsi="Arial"/>
          <w:sz w:val="13"/>
          <w:szCs w:val="13"/>
          <w:color w:val="050505"/>
        </w:rPr>
        <w:t xml:space="preserve">2021, </w:t>
      </w:r>
      <w:r>
        <w:rPr>
          <w:rFonts w:ascii="Arial" w:cs="Arial" w:eastAsia="Arial" w:hAnsi="Arial"/>
          <w:sz w:val="13"/>
          <w:szCs w:val="13"/>
          <w:color w:val="000000"/>
        </w:rPr>
        <w:t>we announced the newest installment of our Peloton x Beyoncé Artist Series, which featured 22 classes across nine modalities and three languages and our Ivy Park collaboration. We were also</w:t>
      </w:r>
      <w:r>
        <w:rPr>
          <w:rFonts w:ascii="Arial" w:cs="Arial" w:eastAsia="Arial" w:hAnsi="Arial"/>
          <w:sz w:val="13"/>
          <w:szCs w:val="13"/>
          <w:color w:val="050505"/>
        </w:rPr>
        <w:t xml:space="preserve"> </w:t>
      </w:r>
      <w:r>
        <w:rPr>
          <w:rFonts w:ascii="Arial" w:cs="Arial" w:eastAsia="Arial" w:hAnsi="Arial"/>
          <w:sz w:val="13"/>
          <w:szCs w:val="13"/>
          <w:color w:val="000000"/>
        </w:rPr>
        <w:t>thrilled to feature our first ever Artist Series featuring Taylor Swift, a long-standing top Member request, as well as series centered around Queen, the Foo Fighters, ABBA, and The Beatles, among others. In total, Members took over 5 million Artist Series classes during the second quarter, an over 50% sequential increase compared to the first quarter.</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the second quarter of fiscal 2022, we launched Boxing, which represented the last leg of a two-year fitness modality development plan, totaling 14 fitness modalities. Boxing is an engaging and efficient full body workout that appeals to all fitness levels and has been on our Member wishlist for years. Our initial offering is a Boxing Program featuring 3 of our instructors and, based on Member response, we have already added to our class strategy and intend to continue expanding the content and instructor offering going forward.</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During the second quarter of fiscal 2022, we also added our first adaptive athlete instructor, Logan Aldridge, in furtherance of our commitment to being one of the most inclusive fitness brands in the world. In addition to teaching classes, Logan also serves in an off-air training specialist role, assisting all of our instructors to help ensure their content is accessible and inclusive.</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Software</w:t>
      </w:r>
    </w:p>
    <w:p>
      <w:pPr>
        <w:spacing w:after="0" w:line="3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October 2021, we launched Guest Pass, a referral program enabling members to share extended Peloton App trials with their friends. Available on iOS and web, Guest Pass leverages our growing word of mouth flywheel to bring high-quality incremental users into our ecosystem. The early results are encouraging, with users referred via Guest Pass completing more workouts and converting to paid Digital and Connected Fitness Subscriptions at a higher rate than those acquired by other means.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0505"/>
        </w:rPr>
        <w:t>Product recall update</w:t>
      </w:r>
    </w:p>
    <w:p>
      <w:pPr>
        <w:spacing w:after="0" w:line="3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050505"/>
        </w:rPr>
        <w:t xml:space="preserve">On May 5, 2021, we announced separate, voluntary recalls of each of our Tread+ and Tread products in collaboration with the U.S. Consumer Product Safety Commission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For the three and six months ended </w:t>
      </w:r>
      <w:r>
        <w:rPr>
          <w:rFonts w:ascii="Arial" w:cs="Arial" w:eastAsia="Arial" w:hAnsi="Arial"/>
          <w:sz w:val="13"/>
          <w:szCs w:val="13"/>
          <w:color w:val="000000"/>
        </w:rPr>
        <w:t>December 31, 2021</w:t>
      </w:r>
      <w:r>
        <w:rPr>
          <w:rFonts w:ascii="Arial" w:cs="Arial" w:eastAsia="Arial" w:hAnsi="Arial"/>
          <w:sz w:val="13"/>
          <w:szCs w:val="13"/>
          <w:color w:val="050505"/>
        </w:rPr>
        <w:t xml:space="preserve">, the Company accrued for a reduction to Connected Fitness Products revenue for actual and estimated future returns of $7.4 million and </w:t>
      </w:r>
      <w:r>
        <w:rPr>
          <w:rFonts w:ascii="Arial" w:cs="Arial" w:eastAsia="Arial" w:hAnsi="Arial"/>
          <w:sz w:val="13"/>
          <w:szCs w:val="13"/>
          <w:color w:val="000000"/>
        </w:rPr>
        <w:t>$18.9 million, respectively</w:t>
      </w:r>
      <w:r>
        <w:rPr>
          <w:rFonts w:ascii="Arial" w:cs="Arial" w:eastAsia="Arial" w:hAnsi="Arial"/>
          <w:sz w:val="13"/>
          <w:szCs w:val="13"/>
          <w:color w:val="050505"/>
        </w:rPr>
        <w:t xml:space="preserve">, and a return reserve of $26.7 million is included within Accounts payable and accrued expenses in the accompanying condensed consolidated balance sheets related to the impacts of the recall as of </w:t>
      </w:r>
      <w:r>
        <w:rPr>
          <w:rFonts w:ascii="Arial" w:cs="Arial" w:eastAsia="Arial" w:hAnsi="Arial"/>
          <w:sz w:val="13"/>
          <w:szCs w:val="13"/>
          <w:color w:val="000000"/>
        </w:rPr>
        <w:t>December 31, 2021</w:t>
      </w:r>
      <w:r>
        <w:rPr>
          <w:rFonts w:ascii="Arial" w:cs="Arial" w:eastAsia="Arial" w:hAnsi="Arial"/>
          <w:sz w:val="13"/>
          <w:szCs w:val="13"/>
          <w:color w:val="050505"/>
        </w:rPr>
        <w:t>. We expect to continue to incur additional costs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We announced a repair for the Tread in August 2021, shortly before resuming sales. We continue to work on potential hardware enhancements for Tread+, which remains recalled. Our plans for the Tread+ recall is still being finalized and actual costs related to this matter may vary from the estimate, and may result in further impacts to our future results of operations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13"/>
          <w:szCs w:val="13"/>
          <w:color w:val="050505"/>
        </w:rPr>
        <w:t xml:space="preserve">business. </w:t>
      </w:r>
      <w:r>
        <w:rPr>
          <w:rFonts w:ascii="Arial" w:cs="Arial" w:eastAsia="Arial" w:hAnsi="Arial"/>
          <w:sz w:val="13"/>
          <w:szCs w:val="13"/>
          <w:color w:val="000000"/>
        </w:rPr>
        <w:t>See “</w:t>
      </w:r>
      <w:r>
        <w:rPr>
          <w:rFonts w:ascii="Arial" w:cs="Arial" w:eastAsia="Arial" w:hAnsi="Arial"/>
          <w:sz w:val="13"/>
          <w:szCs w:val="13"/>
          <w:i w:val="1"/>
          <w:iCs w:val="1"/>
          <w:color w:val="000000"/>
        </w:rPr>
        <w:t>Risk Factors—Risks Related to Our Connected Fitness Products and Members—We may be subject to warranty claims that could result in significant direct or indirect costs, or we could</w:t>
      </w:r>
      <w:r>
        <w:rPr>
          <w:rFonts w:ascii="Arial" w:cs="Arial" w:eastAsia="Arial" w:hAnsi="Arial"/>
          <w:sz w:val="13"/>
          <w:szCs w:val="13"/>
          <w:color w:val="050505"/>
        </w:rPr>
        <w:t xml:space="preserve"> </w:t>
      </w:r>
      <w:r>
        <w:rPr>
          <w:rFonts w:ascii="Arial" w:cs="Arial" w:eastAsia="Arial" w:hAnsi="Arial"/>
          <w:sz w:val="13"/>
          <w:szCs w:val="13"/>
          <w:i w:val="1"/>
          <w:iCs w:val="1"/>
          <w:color w:val="000000"/>
        </w:rPr>
        <w:t>experience greater product returns than expected, either of which could have an adverse effect on our business, financial condition, and operating results.</w:t>
      </w:r>
      <w:r>
        <w:rPr>
          <w:rFonts w:ascii="Arial" w:cs="Arial" w:eastAsia="Arial" w:hAnsi="Arial"/>
          <w:sz w:val="13"/>
          <w:szCs w:val="13"/>
          <w:color w:val="000000"/>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Key Operational and Business Metrics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measures presented in our interim condensed consolidated financial statements, we use the following key operational and business metrics to evaluate our business, measure our</w:t>
      </w:r>
    </w:p>
    <w:tbl>
      <w:tblPr>
        <w:tblLayout w:type="fixed"/>
        <w:tblInd w:w="0" w:type="dxa"/>
        <w:tblCellMar>
          <w:top w:w="0" w:type="dxa"/>
          <w:left w:w="0" w:type="dxa"/>
          <w:bottom w:w="0" w:type="dxa"/>
          <w:right w:w="0" w:type="dxa"/>
        </w:tblCellMar>
      </w:tblPr>
      <w:tr>
        <w:trPr>
          <w:trHeight w:val="153"/>
        </w:trPr>
        <w:tc>
          <w:tcPr>
            <w:tcW w:w="7500" w:type="dxa"/>
            <w:vAlign w:val="bottom"/>
          </w:tcPr>
          <w:p>
            <w:pPr>
              <w:spacing w:after="0"/>
              <w:rPr>
                <w:sz w:val="20"/>
                <w:szCs w:val="20"/>
                <w:color w:val="auto"/>
              </w:rPr>
            </w:pPr>
            <w:r>
              <w:rPr>
                <w:rFonts w:ascii="Arial" w:cs="Arial" w:eastAsia="Arial" w:hAnsi="Arial"/>
                <w:sz w:val="13"/>
                <w:szCs w:val="13"/>
                <w:color w:val="auto"/>
              </w:rPr>
              <w:t>performance, develop financial forecasts, and make strategic decisions.</w:t>
            </w: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374"/>
        </w:trPr>
        <w:tc>
          <w:tcPr>
            <w:tcW w:w="7500" w:type="dxa"/>
            <w:vAlign w:val="bottom"/>
          </w:tcPr>
          <w:p>
            <w:pPr>
              <w:spacing w:after="0"/>
              <w:rPr>
                <w:sz w:val="24"/>
                <w:szCs w:val="24"/>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760" w:type="dxa"/>
            <w:vAlign w:val="bottom"/>
            <w:tcBorders>
              <w:bottom w:val="single" w:sz="8" w:color="auto"/>
            </w:tcBorders>
          </w:tcPr>
          <w:p>
            <w:pPr>
              <w:spacing w:after="0"/>
              <w:rPr>
                <w:sz w:val="24"/>
                <w:szCs w:val="24"/>
                <w:color w:val="auto"/>
              </w:rPr>
            </w:pPr>
          </w:p>
        </w:tc>
      </w:tr>
      <w:tr>
        <w:trPr>
          <w:trHeight w:val="171"/>
        </w:trPr>
        <w:tc>
          <w:tcPr>
            <w:tcW w:w="75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6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Connected Fitness Subscriptions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96"/>
              </w:rPr>
              <w:t>2,766,816</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1,667,223</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Average Net Monthly Connected Fitness Churn</w:t>
            </w:r>
          </w:p>
        </w:tc>
        <w:tc>
          <w:tcPr>
            <w:tcW w:w="1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0.79 %</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0.76 %</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Workouts (in millions)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123.2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98.1</w:t>
            </w:r>
          </w:p>
        </w:tc>
      </w:tr>
      <w:tr>
        <w:trPr>
          <w:trHeight w:val="168"/>
        </w:trPr>
        <w:tc>
          <w:tcPr>
            <w:tcW w:w="7500" w:type="dxa"/>
            <w:vAlign w:val="bottom"/>
          </w:tcPr>
          <w:p>
            <w:pPr>
              <w:ind w:left="20"/>
              <w:spacing w:after="0"/>
              <w:rPr>
                <w:sz w:val="20"/>
                <w:szCs w:val="20"/>
                <w:color w:val="auto"/>
              </w:rPr>
            </w:pPr>
            <w:r>
              <w:rPr>
                <w:rFonts w:ascii="Arial" w:cs="Arial" w:eastAsia="Arial" w:hAnsi="Arial"/>
                <w:sz w:val="13"/>
                <w:szCs w:val="13"/>
                <w:color w:val="auto"/>
              </w:rPr>
              <w:t>Average Monthly Workouts per Connected Fitness Subscription</w:t>
            </w:r>
          </w:p>
        </w:tc>
        <w:tc>
          <w:tcPr>
            <w:tcW w:w="110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21.1</w:t>
            </w:r>
          </w:p>
        </w:tc>
      </w:tr>
      <w:tr>
        <w:trPr>
          <w:trHeight w:val="172"/>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Profit (in millions)</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229.3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117.5</w:t>
            </w:r>
          </w:p>
        </w:tc>
      </w:tr>
      <w:tr>
        <w:trPr>
          <w:trHeight w:val="180"/>
        </w:trPr>
        <w:tc>
          <w:tcPr>
            <w:tcW w:w="7500" w:type="dxa"/>
            <w:vAlign w:val="bottom"/>
          </w:tcPr>
          <w:p>
            <w:pPr>
              <w:ind w:left="20"/>
              <w:spacing w:after="0" w:line="181" w:lineRule="exact"/>
              <w:rPr>
                <w:sz w:val="20"/>
                <w:szCs w:val="20"/>
                <w:color w:val="auto"/>
              </w:rPr>
            </w:pPr>
            <w:r>
              <w:rPr>
                <w:rFonts w:ascii="Arial" w:cs="Arial" w:eastAsia="Arial" w:hAnsi="Arial"/>
                <w:sz w:val="13"/>
                <w:szCs w:val="13"/>
                <w:color w:val="auto"/>
              </w:rPr>
              <w:t>Subscription Contribution (in millions)</w:t>
            </w:r>
            <w:r>
              <w:rPr>
                <w:rFonts w:ascii="Arial" w:cs="Arial" w:eastAsia="Arial" w:hAnsi="Arial"/>
                <w:sz w:val="16"/>
                <w:szCs w:val="16"/>
                <w:color w:val="auto"/>
                <w:vertAlign w:val="superscript"/>
              </w:rPr>
              <w:t>(1)</w:t>
            </w:r>
          </w:p>
        </w:tc>
        <w:tc>
          <w:tcPr>
            <w:tcW w:w="1100" w:type="dxa"/>
            <w:vAlign w:val="bottom"/>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6"/>
              <w:spacing w:after="0"/>
              <w:rPr>
                <w:sz w:val="20"/>
                <w:szCs w:val="20"/>
                <w:color w:val="auto"/>
              </w:rPr>
            </w:pPr>
            <w:r>
              <w:rPr>
                <w:rFonts w:ascii="Arial" w:cs="Arial" w:eastAsia="Arial" w:hAnsi="Arial"/>
                <w:sz w:val="13"/>
                <w:szCs w:val="13"/>
                <w:color w:val="auto"/>
              </w:rPr>
              <w:t>240.9</w:t>
            </w:r>
          </w:p>
        </w:tc>
        <w:tc>
          <w:tcPr>
            <w:tcW w:w="80" w:type="dxa"/>
            <w:vAlign w:val="bottom"/>
          </w:tcPr>
          <w:p>
            <w:pPr>
              <w:spacing w:after="0"/>
              <w:rPr>
                <w:sz w:val="15"/>
                <w:szCs w:val="15"/>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127.2</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Gross Margin</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67.9 %</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60.3 %</w:t>
            </w:r>
          </w:p>
        </w:tc>
      </w:tr>
      <w:tr>
        <w:trPr>
          <w:trHeight w:val="180"/>
        </w:trPr>
        <w:tc>
          <w:tcPr>
            <w:tcW w:w="7500" w:type="dxa"/>
            <w:vAlign w:val="bottom"/>
          </w:tcPr>
          <w:p>
            <w:pPr>
              <w:ind w:left="20"/>
              <w:spacing w:after="0" w:line="181" w:lineRule="exact"/>
              <w:rPr>
                <w:sz w:val="20"/>
                <w:szCs w:val="20"/>
                <w:color w:val="auto"/>
              </w:rPr>
            </w:pPr>
            <w:r>
              <w:rPr>
                <w:rFonts w:ascii="Arial" w:cs="Arial" w:eastAsia="Arial" w:hAnsi="Arial"/>
                <w:sz w:val="13"/>
                <w:szCs w:val="13"/>
                <w:color w:val="auto"/>
              </w:rPr>
              <w:t>Subscription Contribution Margin</w:t>
            </w:r>
            <w:r>
              <w:rPr>
                <w:rFonts w:ascii="Arial" w:cs="Arial" w:eastAsia="Arial" w:hAnsi="Arial"/>
                <w:sz w:val="16"/>
                <w:szCs w:val="16"/>
                <w:color w:val="auto"/>
                <w:vertAlign w:val="superscript"/>
              </w:rPr>
              <w:t>(1)</w:t>
            </w:r>
          </w:p>
        </w:tc>
        <w:tc>
          <w:tcPr>
            <w:tcW w:w="1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71.4 %</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65.3 %</w:t>
            </w:r>
          </w:p>
        </w:tc>
      </w:tr>
      <w:tr>
        <w:trPr>
          <w:trHeight w:val="170"/>
        </w:trPr>
        <w:tc>
          <w:tcPr>
            <w:tcW w:w="7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 (in millions)</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(439.4)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63.6</w:t>
            </w:r>
          </w:p>
        </w:tc>
      </w:tr>
      <w:tr>
        <w:trPr>
          <w:trHeight w:val="180"/>
        </w:trPr>
        <w:tc>
          <w:tcPr>
            <w:tcW w:w="7500" w:type="dxa"/>
            <w:vAlign w:val="bottom"/>
          </w:tcPr>
          <w:p>
            <w:pPr>
              <w:ind w:left="20"/>
              <w:spacing w:after="0" w:line="181" w:lineRule="exact"/>
              <w:rPr>
                <w:sz w:val="20"/>
                <w:szCs w:val="20"/>
                <w:color w:val="auto"/>
              </w:rPr>
            </w:pPr>
            <w:r>
              <w:rPr>
                <w:rFonts w:ascii="Arial" w:cs="Arial" w:eastAsia="Arial" w:hAnsi="Arial"/>
                <w:sz w:val="13"/>
                <w:szCs w:val="13"/>
                <w:color w:val="auto"/>
              </w:rPr>
              <w:t>Adjusted EBITDA (in millions)</w:t>
            </w:r>
            <w:r>
              <w:rPr>
                <w:rFonts w:ascii="Arial" w:cs="Arial" w:eastAsia="Arial" w:hAnsi="Arial"/>
                <w:sz w:val="16"/>
                <w:szCs w:val="16"/>
                <w:color w:val="auto"/>
                <w:vertAlign w:val="superscript"/>
              </w:rPr>
              <w:t>(2)</w:t>
            </w:r>
          </w:p>
        </w:tc>
        <w:tc>
          <w:tcPr>
            <w:tcW w:w="1100" w:type="dxa"/>
            <w:vAlign w:val="bottom"/>
          </w:tcPr>
          <w:p>
            <w:pPr>
              <w:jc w:val="right"/>
              <w:ind w:right="9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(266.5)</w:t>
            </w:r>
          </w:p>
        </w:tc>
        <w:tc>
          <w:tcPr>
            <w:tcW w:w="80" w:type="dxa"/>
            <w:vAlign w:val="bottom"/>
          </w:tcPr>
          <w:p>
            <w:pPr>
              <w:spacing w:after="0"/>
              <w:rPr>
                <w:sz w:val="15"/>
                <w:szCs w:val="15"/>
                <w:color w:val="auto"/>
              </w:rPr>
            </w:pPr>
          </w:p>
        </w:tc>
        <w:tc>
          <w:tcPr>
            <w:tcW w:w="1080" w:type="dxa"/>
            <w:vAlign w:val="bottom"/>
          </w:tcPr>
          <w:p>
            <w:pPr>
              <w:jc w:val="right"/>
              <w:ind w:right="9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96"/>
              <w:spacing w:after="0"/>
              <w:rPr>
                <w:sz w:val="20"/>
                <w:szCs w:val="20"/>
                <w:color w:val="auto"/>
              </w:rPr>
            </w:pPr>
            <w:r>
              <w:rPr>
                <w:rFonts w:ascii="Arial" w:cs="Arial" w:eastAsia="Arial" w:hAnsi="Arial"/>
                <w:sz w:val="13"/>
                <w:szCs w:val="13"/>
                <w:color w:val="auto"/>
              </w:rPr>
              <w:t>116.9</w:t>
            </w:r>
          </w:p>
        </w:tc>
      </w:tr>
      <w:tr>
        <w:trPr>
          <w:trHeight w:val="180"/>
        </w:trPr>
        <w:tc>
          <w:tcPr>
            <w:tcW w:w="750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Adjusted EBITDA Margin</w:t>
            </w:r>
            <w:r>
              <w:rPr>
                <w:rFonts w:ascii="Arial" w:cs="Arial" w:eastAsia="Arial" w:hAnsi="Arial"/>
                <w:sz w:val="16"/>
                <w:szCs w:val="16"/>
                <w:color w:val="auto"/>
                <w:vertAlign w:val="superscript"/>
              </w:rPr>
              <w:t>(2)</w:t>
            </w:r>
          </w:p>
        </w:tc>
        <w:tc>
          <w:tcPr>
            <w:tcW w:w="1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w:t>
      </w:r>
    </w:p>
    <w:p>
      <w:pPr>
        <w:spacing w:after="0" w:line="35" w:lineRule="exact"/>
        <w:rPr>
          <w:sz w:val="20"/>
          <w:szCs w:val="20"/>
          <w:color w:val="auto"/>
        </w:rPr>
      </w:pPr>
    </w:p>
    <w:p>
      <w:pPr>
        <w:ind w:right="520" w:firstLine="5"/>
        <w:spacing w:after="0" w:line="248" w:lineRule="auto"/>
        <w:tabs>
          <w:tab w:leader="none" w:pos="149" w:val="left"/>
        </w:tabs>
        <w:numPr>
          <w:ilvl w:val="0"/>
          <w:numId w:val="12"/>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38" w:lineRule="exact"/>
        <w:rPr>
          <w:rFonts w:ascii="Arial" w:cs="Arial" w:eastAsia="Arial" w:hAnsi="Arial"/>
          <w:sz w:val="10"/>
          <w:szCs w:val="10"/>
          <w:color w:val="auto"/>
        </w:rPr>
      </w:pPr>
    </w:p>
    <w:p>
      <w:pPr>
        <w:ind w:right="140" w:firstLine="5"/>
        <w:spacing w:after="0" w:line="248" w:lineRule="auto"/>
        <w:tabs>
          <w:tab w:leader="none" w:pos="149" w:val="left"/>
        </w:tabs>
        <w:numPr>
          <w:ilvl w:val="0"/>
          <w:numId w:val="12"/>
        </w:numPr>
        <w:rPr>
          <w:rFonts w:ascii="Arial" w:cs="Arial" w:eastAsia="Arial" w:hAnsi="Arial"/>
          <w:sz w:val="10"/>
          <w:szCs w:val="10"/>
          <w:color w:val="auto"/>
        </w:rPr>
      </w:pPr>
      <w:r>
        <w:rPr>
          <w:rFonts w:ascii="Arial" w:cs="Arial" w:eastAsia="Arial" w:hAnsi="Arial"/>
          <w:sz w:val="10"/>
          <w:szCs w:val="10"/>
          <w:color w:val="auto"/>
        </w:rPr>
        <w:t>Please see the section titled “Non-GAAP Financial Measures—Adjusted EBITDA and Adjusted EBITDA Margin” for a reconciliation of net (loss) income to Adjusted EBITDA and an explanation of why we consider Adjusted EBITDA to be a helpful metric for investors.</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Subscriptions</w:t>
      </w:r>
    </w:p>
    <w:p>
      <w:pPr>
        <w:spacing w:after="0" w:line="47"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Net Monthly Connected Fitness Churn</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Workouts and Average Monthly Workouts per Connected Fitness Subscription</w:t>
      </w:r>
    </w:p>
    <w:p>
      <w:pPr>
        <w:spacing w:after="0" w:line="47"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the completion of at least 50% of an instructor-led class or scenic ride or run, or ten or more minutes of “Just Ride” or “Just Run” mode by a Member associated with a Connected Fitness Subscription. We define “Average Monthly Workouts per Connected Fitness Subscription” as the Total Workouts completed in the quarter divided by the average number of Connected Fitness Subscriptions in each month, divided by three months.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Components of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47"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which is recognized over the warranty period and service revenue which is recognized over the term, and is recorded net of returns and discounts and third-party financing program fees, when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auto"/>
        </w:rPr>
        <w:t>Subscription revenue consists of revenue generated from our monthly Connected Fitness Subscription and Peloton Digital subscription.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99% and 90% of our Connected Fitness Subscription and Peloton Digital subscription bases were paying month-to-month, respectively.</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a Connected Fitness Subscription owns both a Bike and Tread product in the same household, the price of the Subscription remains $39.00 monthly. As of December 31, 2021, approximately 4% of our Connected Fitness Subscriptions owned both a Bike and Tread product.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 of revenue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Connected Fitness Products</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and marketing</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Peloton App, and depreciation of 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Research and development</w:t>
      </w:r>
    </w:p>
    <w:p>
      <w:pPr>
        <w:spacing w:after="0" w:line="1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which may also cause research and development expenses to vary from period to period.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expense</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Management disposes of fixed assets during the regular course of business due to damage, obsolescence, strategic shifts, and loss.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Non-operating income and expenses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(expense) income, net</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Other (expense) income, net consists of interest (expense) income, unrealized and realized gains (losses) on investments, and impacts from foreign exchange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 provision</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3"/>
          <w:szCs w:val="13"/>
          <w:b w:val="1"/>
          <w:bCs w:val="1"/>
          <w:color w:val="auto"/>
        </w:rPr>
        <w:t>Results of Operations</w:t>
      </w:r>
    </w:p>
    <w:p>
      <w:pPr>
        <w:spacing w:after="0" w:line="185"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0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7"/>
              </w:rPr>
              <w:t>Three Months Ended December 31,</w:t>
            </w:r>
          </w:p>
        </w:tc>
        <w:tc>
          <w:tcPr>
            <w:tcW w:w="280" w:type="dxa"/>
            <w:vAlign w:val="bottom"/>
          </w:tcPr>
          <w:p>
            <w:pPr>
              <w:spacing w:after="0"/>
              <w:rPr>
                <w:sz w:val="14"/>
                <w:szCs w:val="14"/>
                <w:color w:val="auto"/>
              </w:rPr>
            </w:pPr>
          </w:p>
        </w:tc>
        <w:tc>
          <w:tcPr>
            <w:tcW w:w="262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98"/>
              </w:rPr>
              <w:t>Six Months Ended December 31,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gridSpan w:val="3"/>
          </w:tcPr>
          <w:p>
            <w:pPr>
              <w:jc w:val="center"/>
              <w:ind w:left="16"/>
              <w:spacing w:after="0"/>
              <w:rPr>
                <w:sz w:val="20"/>
                <w:szCs w:val="20"/>
                <w:color w:val="auto"/>
              </w:rPr>
            </w:pPr>
            <w:r>
              <w:rPr>
                <w:rFonts w:ascii="Arial" w:cs="Arial" w:eastAsia="Arial" w:hAnsi="Arial"/>
                <w:sz w:val="13"/>
                <w:szCs w:val="13"/>
                <w:b w:val="1"/>
                <w:bCs w:val="1"/>
                <w:color w:val="auto"/>
                <w:w w:val="98"/>
              </w:rPr>
              <w:t>(in millions)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616"/>
              <w:spacing w:after="0"/>
              <w:rPr>
                <w:sz w:val="20"/>
                <w:szCs w:val="20"/>
                <w:color w:val="auto"/>
              </w:rPr>
            </w:pPr>
            <w:r>
              <w:rPr>
                <w:rFonts w:ascii="Arial" w:cs="Arial" w:eastAsia="Arial" w:hAnsi="Arial"/>
                <w:sz w:val="13"/>
                <w:szCs w:val="13"/>
                <w:b w:val="1"/>
                <w:bCs w:val="1"/>
                <w:color w:val="auto"/>
                <w:w w:val="95"/>
              </w:rPr>
              <w:t>(in millions)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Consolidated Statement of Operations Data:</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Revenue</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1,471.5</w:t>
            </w: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337.5</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351.2</w:t>
            </w:r>
          </w:p>
        </w:tc>
        <w:tc>
          <w:tcPr>
            <w:tcW w:w="0" w:type="dxa"/>
            <w:vAlign w:val="bottom"/>
          </w:tcPr>
          <w:p>
            <w:pPr>
              <w:spacing w:after="0"/>
              <w:rPr>
                <w:sz w:val="1"/>
                <w:szCs w:val="1"/>
                <w:color w:val="auto"/>
              </w:rPr>
            </w:pPr>
          </w:p>
        </w:tc>
      </w:tr>
      <w:tr>
        <w:trPr>
          <w:trHeight w:val="163"/>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1,133.9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1,064.8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1,822.7</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line="161" w:lineRule="exact"/>
              <w:rPr>
                <w:sz w:val="20"/>
                <w:szCs w:val="20"/>
                <w:color w:val="auto"/>
              </w:rPr>
            </w:pPr>
            <w:r>
              <w:rPr>
                <w:rFonts w:ascii="Arial" w:cs="Arial" w:eastAsia="Arial" w:hAnsi="Arial"/>
                <w:sz w:val="13"/>
                <w:szCs w:val="13"/>
                <w:color w:val="auto"/>
              </w:rPr>
              <w:t>Cost of revenue</w:t>
            </w:r>
            <w:r>
              <w:rPr>
                <w:rFonts w:ascii="Arial" w:cs="Arial" w:eastAsia="Arial" w:hAnsi="Arial"/>
                <w:sz w:val="16"/>
                <w:szCs w:val="16"/>
                <w:color w:val="auto"/>
                <w:vertAlign w:val="superscript"/>
              </w:rPr>
              <w:t>(1)(2)</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Connected Fitness Products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927.0</w:t>
            </w:r>
          </w:p>
        </w:tc>
        <w:tc>
          <w:tcPr>
            <w:tcW w:w="0" w:type="dxa"/>
            <w:vAlign w:val="bottom"/>
          </w:tcPr>
          <w:p>
            <w:pPr>
              <w:spacing w:after="0"/>
              <w:rPr>
                <w:sz w:val="1"/>
                <w:szCs w:val="1"/>
                <w:color w:val="auto"/>
              </w:rPr>
            </w:pPr>
          </w:p>
        </w:tc>
      </w:tr>
      <w:tr>
        <w:trPr>
          <w:trHeight w:val="178"/>
        </w:trPr>
        <w:tc>
          <w:tcPr>
            <w:tcW w:w="53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cost of revenue</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853.7</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1,396.2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1,069.2</w:t>
            </w:r>
          </w:p>
        </w:tc>
        <w:tc>
          <w:tcPr>
            <w:tcW w:w="0" w:type="dxa"/>
            <w:vAlign w:val="bottom"/>
          </w:tcPr>
          <w:p>
            <w:pPr>
              <w:spacing w:after="0"/>
              <w:rPr>
                <w:sz w:val="1"/>
                <w:szCs w:val="1"/>
                <w:color w:val="auto"/>
              </w:rPr>
            </w:pPr>
          </w:p>
        </w:tc>
      </w:tr>
      <w:tr>
        <w:trPr>
          <w:trHeight w:val="160"/>
        </w:trPr>
        <w:tc>
          <w:tcPr>
            <w:tcW w:w="53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280.2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543.0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753.5</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20"/>
              <w:spacing w:after="0" w:line="181" w:lineRule="exact"/>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(1)(2)</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349.6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633.9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292.1</w:t>
            </w:r>
          </w:p>
        </w:tc>
        <w:tc>
          <w:tcPr>
            <w:tcW w:w="0" w:type="dxa"/>
            <w:vAlign w:val="bottom"/>
          </w:tcPr>
          <w:p>
            <w:pPr>
              <w:spacing w:after="0"/>
              <w:rPr>
                <w:sz w:val="1"/>
                <w:szCs w:val="1"/>
                <w:color w:val="auto"/>
              </w:rPr>
            </w:pPr>
          </w:p>
        </w:tc>
      </w:tr>
      <w:tr>
        <w:trPr>
          <w:trHeight w:val="180"/>
        </w:trPr>
        <w:tc>
          <w:tcPr>
            <w:tcW w:w="5380" w:type="dxa"/>
            <w:vAlign w:val="bottom"/>
            <w:shd w:val="clear" w:color="auto" w:fill="CCEEFF"/>
          </w:tcPr>
          <w:p>
            <w:pPr>
              <w:ind w:left="120"/>
              <w:spacing w:after="0" w:line="181" w:lineRule="exact"/>
              <w:rPr>
                <w:sz w:val="20"/>
                <w:szCs w:val="20"/>
                <w:color w:val="auto"/>
              </w:rPr>
            </w:pPr>
            <w:r>
              <w:rPr>
                <w:rFonts w:ascii="Arial" w:cs="Arial" w:eastAsia="Arial" w:hAnsi="Arial"/>
                <w:sz w:val="13"/>
                <w:szCs w:val="13"/>
                <w:color w:val="auto"/>
              </w:rPr>
              <w:t>General and administrative</w:t>
            </w:r>
            <w:r>
              <w:rPr>
                <w:rFonts w:ascii="Arial" w:cs="Arial" w:eastAsia="Arial" w:hAnsi="Arial"/>
                <w:sz w:val="16"/>
                <w:szCs w:val="16"/>
                <w:color w:val="auto"/>
                <w:vertAlign w:val="superscript"/>
              </w:rPr>
              <w:t>(1)(2)</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w:t>
            </w:r>
          </w:p>
        </w:tc>
        <w:tc>
          <w:tcPr>
            <w:tcW w:w="0" w:type="dxa"/>
            <w:vAlign w:val="bottom"/>
          </w:tcPr>
          <w:p>
            <w:pPr>
              <w:spacing w:after="0"/>
              <w:rPr>
                <w:sz w:val="1"/>
                <w:szCs w:val="1"/>
                <w:color w:val="auto"/>
              </w:rPr>
            </w:pPr>
          </w:p>
        </w:tc>
      </w:tr>
      <w:tr>
        <w:trPr>
          <w:trHeight w:val="180"/>
        </w:trPr>
        <w:tc>
          <w:tcPr>
            <w:tcW w:w="5380" w:type="dxa"/>
            <w:vAlign w:val="bottom"/>
          </w:tcPr>
          <w:p>
            <w:pPr>
              <w:ind w:left="120"/>
              <w:spacing w:after="0" w:line="181" w:lineRule="exact"/>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(1)(2)</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r>
        <w:trPr>
          <w:trHeight w:val="178"/>
        </w:trPr>
        <w:tc>
          <w:tcPr>
            <w:tcW w:w="5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Impairment expense</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Total operating expenses</w:t>
            </w: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705.9</w:t>
            </w:r>
          </w:p>
        </w:tc>
        <w:tc>
          <w:tcPr>
            <w:tcW w:w="8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366.0</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1,328.3</w:t>
            </w: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625.8</w:t>
            </w:r>
          </w:p>
        </w:tc>
        <w:tc>
          <w:tcPr>
            <w:tcW w:w="0" w:type="dxa"/>
            <w:vAlign w:val="bottom"/>
          </w:tcPr>
          <w:p>
            <w:pPr>
              <w:spacing w:after="0"/>
              <w:rPr>
                <w:sz w:val="1"/>
                <w:szCs w:val="1"/>
                <w:color w:val="auto"/>
              </w:rPr>
            </w:pPr>
          </w:p>
        </w:tc>
      </w:tr>
      <w:tr>
        <w:trPr>
          <w:trHeight w:val="163"/>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income from operations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w:t>
            </w:r>
          </w:p>
        </w:tc>
        <w:tc>
          <w:tcPr>
            <w:tcW w:w="0" w:type="dxa"/>
            <w:vAlign w:val="bottom"/>
          </w:tcPr>
          <w:p>
            <w:pPr>
              <w:spacing w:after="0"/>
              <w:rPr>
                <w:sz w:val="1"/>
                <w:szCs w:val="1"/>
                <w:color w:val="auto"/>
              </w:rPr>
            </w:pPr>
          </w:p>
        </w:tc>
      </w:tr>
      <w:tr>
        <w:trPr>
          <w:trHeight w:val="16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(expense) income, net</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income before provision for income taxes</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(436.3)</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(809.9)</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16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(439.4)</w:t>
            </w: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(815.3)</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____________________</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20"/>
                <w:szCs w:val="20"/>
                <w:color w:val="auto"/>
              </w:rPr>
            </w:pPr>
            <w:r>
              <w:rPr>
                <w:rFonts w:ascii="Arial" w:cs="Arial" w:eastAsia="Arial" w:hAnsi="Arial"/>
                <w:sz w:val="10"/>
                <w:szCs w:val="10"/>
                <w:color w:val="auto"/>
              </w:rPr>
              <w:t>(1) Includes stock-based compensation expense as follows:</w:t>
            </w: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380" w:type="dxa"/>
            <w:vAlign w:val="bottom"/>
          </w:tcPr>
          <w:p>
            <w:pPr>
              <w:spacing w:after="0"/>
              <w:rPr>
                <w:sz w:val="16"/>
                <w:szCs w:val="16"/>
                <w:color w:val="auto"/>
              </w:rPr>
            </w:pPr>
          </w:p>
        </w:tc>
        <w:tc>
          <w:tcPr>
            <w:tcW w:w="30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7"/>
              </w:rPr>
              <w:t>Three Months Ended December 31,</w:t>
            </w:r>
          </w:p>
        </w:tc>
        <w:tc>
          <w:tcPr>
            <w:tcW w:w="280" w:type="dxa"/>
            <w:vAlign w:val="bottom"/>
          </w:tcPr>
          <w:p>
            <w:pPr>
              <w:spacing w:after="0"/>
              <w:rPr>
                <w:sz w:val="16"/>
                <w:szCs w:val="16"/>
                <w:color w:val="auto"/>
              </w:rPr>
            </w:pPr>
          </w:p>
        </w:tc>
        <w:tc>
          <w:tcPr>
            <w:tcW w:w="262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98"/>
              </w:rPr>
              <w:t>Six Months Ended December 31,</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gridSpan w:val="3"/>
          </w:tcPr>
          <w:p>
            <w:pPr>
              <w:jc w:val="center"/>
              <w:ind w:left="16"/>
              <w:spacing w:after="0"/>
              <w:rPr>
                <w:sz w:val="20"/>
                <w:szCs w:val="20"/>
                <w:color w:val="auto"/>
              </w:rPr>
            </w:pPr>
            <w:r>
              <w:rPr>
                <w:rFonts w:ascii="Arial" w:cs="Arial" w:eastAsia="Arial" w:hAnsi="Arial"/>
                <w:sz w:val="13"/>
                <w:szCs w:val="13"/>
                <w:b w:val="1"/>
                <w:bCs w:val="1"/>
                <w:color w:val="auto"/>
                <w:w w:val="98"/>
              </w:rPr>
              <w:t>(in millions)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616"/>
              <w:spacing w:after="0"/>
              <w:rPr>
                <w:sz w:val="20"/>
                <w:szCs w:val="20"/>
                <w:color w:val="auto"/>
              </w:rPr>
            </w:pPr>
            <w:r>
              <w:rPr>
                <w:rFonts w:ascii="Arial" w:cs="Arial" w:eastAsia="Arial" w:hAnsi="Arial"/>
                <w:sz w:val="13"/>
                <w:szCs w:val="13"/>
                <w:b w:val="1"/>
                <w:bCs w:val="1"/>
                <w:color w:val="auto"/>
                <w:w w:val="95"/>
              </w:rPr>
              <w:t>(in millions)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120"/>
              <w:spacing w:after="0"/>
              <w:rPr>
                <w:sz w:val="20"/>
                <w:szCs w:val="20"/>
                <w:color w:val="auto"/>
              </w:rPr>
            </w:pPr>
            <w:r>
              <w:rPr>
                <w:rFonts w:ascii="Arial" w:cs="Arial" w:eastAsia="Arial" w:hAnsi="Arial"/>
                <w:sz w:val="13"/>
                <w:szCs w:val="13"/>
                <w:color w:val="auto"/>
              </w:rPr>
              <w:t>Connected Fitness Products</w:t>
            </w:r>
          </w:p>
        </w:tc>
        <w:tc>
          <w:tcPr>
            <w:tcW w:w="900" w:type="dxa"/>
            <w:vAlign w:val="bottom"/>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0"/>
        </w:trPr>
        <w:tc>
          <w:tcPr>
            <w:tcW w:w="538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3"/>
        </w:trPr>
        <w:tc>
          <w:tcPr>
            <w:tcW w:w="5380" w:type="dxa"/>
            <w:vAlign w:val="bottom"/>
          </w:tcPr>
          <w:p>
            <w:pPr>
              <w:ind w:left="260"/>
              <w:spacing w:after="0"/>
              <w:rPr>
                <w:sz w:val="20"/>
                <w:szCs w:val="20"/>
                <w:color w:val="auto"/>
              </w:rPr>
            </w:pPr>
            <w:r>
              <w:rPr>
                <w:rFonts w:ascii="Arial" w:cs="Arial" w:eastAsia="Arial" w:hAnsi="Arial"/>
                <w:sz w:val="13"/>
                <w:szCs w:val="13"/>
                <w:color w:val="auto"/>
              </w:rPr>
              <w:t>Total stock-based compensation expense</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29" w:name="page30"/>
    <w:bookmarkEnd w:id="29"/>
    <w:p>
      <w:pPr>
        <w:spacing w:after="0"/>
        <w:rPr>
          <w:sz w:val="20"/>
          <w:szCs w:val="20"/>
          <w:color w:val="auto"/>
        </w:rPr>
      </w:pPr>
      <w:r>
        <w:rPr>
          <w:rFonts w:ascii="Arial" w:cs="Arial" w:eastAsia="Arial" w:hAnsi="Arial"/>
          <w:sz w:val="10"/>
          <w:szCs w:val="10"/>
          <w:color w:val="auto"/>
        </w:rPr>
        <w:t>(2) Includes depreciation and amortization expense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7"/>
          </w:tcPr>
          <w:p>
            <w:pPr>
              <w:ind w:left="220"/>
              <w:spacing w:after="0"/>
              <w:rPr>
                <w:sz w:val="20"/>
                <w:szCs w:val="20"/>
                <w:color w:val="auto"/>
              </w:rPr>
            </w:pPr>
            <w:r>
              <w:rPr>
                <w:rFonts w:ascii="Arial" w:cs="Arial" w:eastAsia="Arial" w:hAnsi="Arial"/>
                <w:sz w:val="13"/>
                <w:szCs w:val="13"/>
                <w:b w:val="1"/>
                <w:bCs w:val="1"/>
                <w:color w:val="auto"/>
              </w:rPr>
              <w:t>Three Months Ended December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396"/>
              <w:spacing w:after="0"/>
              <w:rPr>
                <w:sz w:val="20"/>
                <w:szCs w:val="20"/>
                <w:color w:val="auto"/>
              </w:rPr>
            </w:pPr>
            <w:r>
              <w:rPr>
                <w:rFonts w:ascii="Arial" w:cs="Arial" w:eastAsia="Arial" w:hAnsi="Arial"/>
                <w:sz w:val="13"/>
                <w:szCs w:val="13"/>
                <w:b w:val="1"/>
                <w:bCs w:val="1"/>
                <w:color w:val="auto"/>
              </w:rPr>
              <w:t>Six Months Ended December 31,</w:t>
            </w:r>
          </w:p>
        </w:tc>
      </w:tr>
      <w:tr>
        <w:trPr>
          <w:trHeight w:val="171"/>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r>
      <w:tr>
        <w:trPr>
          <w:trHeight w:val="171"/>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4"/>
                <w:szCs w:val="14"/>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246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0"/>
        </w:trPr>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60"/>
        </w:trPr>
        <w:tc>
          <w:tcPr>
            <w:tcW w:w="246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8"/>
        </w:trPr>
        <w:tc>
          <w:tcPr>
            <w:tcW w:w="2460" w:type="dxa"/>
            <w:vAlign w:val="bottom"/>
          </w:tcPr>
          <w:p>
            <w:pPr>
              <w:ind w:left="20"/>
              <w:spacing w:after="0"/>
              <w:rPr>
                <w:sz w:val="20"/>
                <w:szCs w:val="20"/>
                <w:color w:val="auto"/>
              </w:rPr>
            </w:pPr>
            <w:r>
              <w:rPr>
                <w:rFonts w:ascii="Arial" w:cs="Arial" w:eastAsia="Arial" w:hAnsi="Arial"/>
                <w:sz w:val="13"/>
                <w:szCs w:val="13"/>
                <w:color w:val="auto"/>
              </w:rPr>
              <w:t>General and administrative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8"/>
        </w:trPr>
        <w:tc>
          <w:tcPr>
            <w:tcW w:w="2820" w:type="dxa"/>
            <w:vAlign w:val="bottom"/>
            <w:gridSpan w:val="2"/>
          </w:tcPr>
          <w:p>
            <w:pPr>
              <w:ind w:left="260"/>
              <w:spacing w:after="0"/>
              <w:rPr>
                <w:sz w:val="20"/>
                <w:szCs w:val="20"/>
                <w:color w:val="auto"/>
              </w:rPr>
            </w:pPr>
            <w:r>
              <w:rPr>
                <w:rFonts w:ascii="Arial" w:cs="Arial" w:eastAsia="Arial" w:hAnsi="Arial"/>
                <w:sz w:val="13"/>
                <w:szCs w:val="13"/>
                <w:color w:val="auto"/>
                <w:w w:val="99"/>
              </w:rPr>
              <w:t>Total depreciation and amortization expense</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36.1</w:t>
            </w:r>
          </w:p>
        </w:tc>
        <w:tc>
          <w:tcPr>
            <w:tcW w:w="80" w:type="dxa"/>
            <w:vAlign w:val="bottom"/>
          </w:tcPr>
          <w:p>
            <w:pPr>
              <w:spacing w:after="0"/>
              <w:rPr>
                <w:sz w:val="13"/>
                <w:szCs w:val="13"/>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3"/>
                <w:szCs w:val="13"/>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403"/>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13"/>
          </w:tcPr>
          <w:p>
            <w:pPr>
              <w:ind w:left="480"/>
              <w:spacing w:after="0"/>
              <w:rPr>
                <w:sz w:val="20"/>
                <w:szCs w:val="20"/>
                <w:color w:val="auto"/>
              </w:rPr>
            </w:pPr>
            <w:r>
              <w:rPr>
                <w:rFonts w:ascii="Arial" w:cs="Arial" w:eastAsia="Arial" w:hAnsi="Arial"/>
                <w:sz w:val="13"/>
                <w:szCs w:val="13"/>
                <w:b w:val="1"/>
                <w:bCs w:val="1"/>
                <w:color w:val="auto"/>
              </w:rPr>
              <w:t>Comparison of the Three and Six Months Ended December 31, 2021 and 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2460" w:type="dxa"/>
            <w:vAlign w:val="bottom"/>
          </w:tcPr>
          <w:p>
            <w:pPr>
              <w:spacing w:after="0"/>
              <w:rPr>
                <w:sz w:val="20"/>
                <w:szCs w:val="20"/>
                <w:color w:val="auto"/>
              </w:rPr>
            </w:pPr>
            <w:r>
              <w:rPr>
                <w:rFonts w:ascii="Arial" w:cs="Arial" w:eastAsia="Arial" w:hAnsi="Arial"/>
                <w:sz w:val="13"/>
                <w:szCs w:val="13"/>
                <w:b w:val="1"/>
                <w:bCs w:val="1"/>
                <w:i w:val="1"/>
                <w:iCs w:val="1"/>
                <w:color w:val="auto"/>
              </w:rPr>
              <w:t>Revenue</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Three Months Ended December 31,</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80" w:type="dxa"/>
            <w:vAlign w:val="bottom"/>
            <w:gridSpan w:val="7"/>
          </w:tcPr>
          <w:p>
            <w:pPr>
              <w:jc w:val="center"/>
              <w:ind w:right="360"/>
              <w:spacing w:after="0"/>
              <w:rPr>
                <w:sz w:val="20"/>
                <w:szCs w:val="20"/>
                <w:color w:val="auto"/>
              </w:rPr>
            </w:pPr>
            <w:r>
              <w:rPr>
                <w:rFonts w:ascii="Arial" w:cs="Arial" w:eastAsia="Arial" w:hAnsi="Arial"/>
                <w:sz w:val="13"/>
                <w:szCs w:val="13"/>
                <w:b w:val="1"/>
                <w:bCs w:val="1"/>
                <w:color w:val="auto"/>
                <w:w w:val="98"/>
              </w:rPr>
              <w:t>Six Months Ended December 31,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24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 Change</w:t>
            </w:r>
          </w:p>
        </w:tc>
        <w:tc>
          <w:tcPr>
            <w:tcW w:w="2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 Change</w:t>
            </w:r>
          </w:p>
        </w:tc>
      </w:tr>
      <w:tr>
        <w:trPr>
          <w:trHeight w:val="162"/>
        </w:trPr>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(dollars in millions)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68"/>
        </w:trPr>
        <w:tc>
          <w:tcPr>
            <w:tcW w:w="246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796.4</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870.1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(8.5)%</w:t>
            </w:r>
          </w:p>
        </w:tc>
        <w:tc>
          <w:tcPr>
            <w:tcW w:w="80" w:type="dxa"/>
            <w:vAlign w:val="bottom"/>
          </w:tcPr>
          <w:p>
            <w:pPr>
              <w:spacing w:after="0"/>
              <w:rPr>
                <w:sz w:val="14"/>
                <w:szCs w:val="14"/>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1,297.4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1,471.5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ind w:right="196"/>
              <w:spacing w:after="0"/>
              <w:rPr>
                <w:sz w:val="20"/>
                <w:szCs w:val="20"/>
                <w:color w:val="auto"/>
              </w:rPr>
            </w:pPr>
            <w:r>
              <w:rPr>
                <w:rFonts w:ascii="Arial" w:cs="Arial" w:eastAsia="Arial" w:hAnsi="Arial"/>
                <w:sz w:val="13"/>
                <w:szCs w:val="13"/>
                <w:color w:val="auto"/>
                <w:w w:val="96"/>
              </w:rPr>
              <w:t>(11.8)%</w:t>
            </w:r>
          </w:p>
        </w:tc>
      </w:tr>
      <w:tr>
        <w:trPr>
          <w:trHeight w:val="170"/>
        </w:trPr>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337.5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194.7</w:t>
            </w:r>
          </w:p>
        </w:tc>
        <w:tc>
          <w:tcPr>
            <w:tcW w:w="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73.4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641.7</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351.2</w:t>
            </w: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196"/>
              <w:spacing w:after="0"/>
              <w:rPr>
                <w:sz w:val="20"/>
                <w:szCs w:val="20"/>
                <w:color w:val="auto"/>
              </w:rPr>
            </w:pPr>
            <w:r>
              <w:rPr>
                <w:rFonts w:ascii="Arial" w:cs="Arial" w:eastAsia="Arial" w:hAnsi="Arial"/>
                <w:sz w:val="13"/>
                <w:szCs w:val="13"/>
                <w:color w:val="auto"/>
                <w:w w:val="94"/>
              </w:rPr>
              <w:t>82.7</w:t>
            </w:r>
          </w:p>
        </w:tc>
      </w:tr>
      <w:tr>
        <w:trPr>
          <w:trHeight w:val="163"/>
        </w:trPr>
        <w:tc>
          <w:tcPr>
            <w:tcW w:w="246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1,133.9</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1,064.8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4"/>
                <w:szCs w:val="14"/>
                <w:color w:val="auto"/>
              </w:rPr>
            </w:pPr>
          </w:p>
        </w:tc>
        <w:tc>
          <w:tcPr>
            <w:tcW w:w="4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1,939.1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1,822.7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ind w:right="196"/>
              <w:spacing w:after="0"/>
              <w:rPr>
                <w:sz w:val="20"/>
                <w:szCs w:val="20"/>
                <w:color w:val="auto"/>
              </w:rPr>
            </w:pPr>
            <w:r>
              <w:rPr>
                <w:rFonts w:ascii="Arial" w:cs="Arial" w:eastAsia="Arial" w:hAnsi="Arial"/>
                <w:sz w:val="13"/>
                <w:szCs w:val="13"/>
                <w:color w:val="auto"/>
                <w:w w:val="94"/>
              </w:rPr>
              <w:t>6.4%</w:t>
            </w: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52"/>
        </w:trPr>
        <w:tc>
          <w:tcPr>
            <w:tcW w:w="2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Percentage of revenue</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9"/>
        </w:trPr>
        <w:tc>
          <w:tcPr>
            <w:tcW w:w="246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81.7 %</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66.9 %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color w:val="auto"/>
              </w:rPr>
              <w:t>80.7 %</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1"/>
        </w:trPr>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18.3</w:t>
            </w: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33.1</w:t>
            </w: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63"/>
        </w:trPr>
        <w:tc>
          <w:tcPr>
            <w:tcW w:w="2460" w:type="dxa"/>
            <w:vAlign w:val="bottom"/>
          </w:tcPr>
          <w:p>
            <w:pPr>
              <w:ind w:left="280"/>
              <w:spacing w:after="0"/>
              <w:rPr>
                <w:sz w:val="20"/>
                <w:szCs w:val="20"/>
                <w:color w:val="auto"/>
              </w:rPr>
            </w:pPr>
            <w:r>
              <w:rPr>
                <w:rFonts w:ascii="Arial" w:cs="Arial" w:eastAsia="Arial" w:hAnsi="Arial"/>
                <w:sz w:val="13"/>
                <w:szCs w:val="13"/>
                <w:color w:val="auto"/>
              </w:rPr>
              <w:t>Total</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100.0 %</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2021 and 2020</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Connected Fitness Products revenue decreased $73.7 million and $174.0 million for the three and six months ended December 31, 2021, respectively, compared to the three and six months ended December 31, 2020, respectively. This decrease was primarily attributable to fewer Bike and Tread+ deliveries, a price reduction on our Bike from $1,895 to $1,495 in August 2021, and charges associated with the voluntary product recalls, partially offset by increased Tread deliveries for the three and six months ended December 31, 2021. The decrease in Bike deliveries was primarily due to a return to our historical seasonality following the strong increase in demand for home fitness during the height of the COVID-19 pandemic during the three and six months ended December 31, 2020. The decrease was partially offset by revenues generated from Precor-branded commercial products of $71.3 million and $133.7 million for the three and six months ended December 31, 2021, respectively.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Subscription revenue increased $142.9 million and $290.5 million for the three and six months ended December 31, 2021, respectively, compared to the three and six months ended December 31, 2020, respectively. This increase was primarily attributable to the year-over-year growth in our Connected Fitness Subscriptions. The growth of our Connected Fitness Subscriptions was primarily driven by the number of Connected Fitness Products delivered over the past 12 months under new Subscriptions and our low Average Net Monthly Connected Fitness Churn of 0.79% and 0.81% for the three and six months ended December 31, 2021,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7"/>
        </w:trPr>
        <w:tc>
          <w:tcPr>
            <w:tcW w:w="386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Cost of Revenue, Gross Profit, and Gross Margin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52"/>
        </w:trPr>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Three Months Ended December 31,</w:t>
            </w:r>
          </w:p>
        </w:tc>
        <w:tc>
          <w:tcPr>
            <w:tcW w:w="1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3"/>
                <w:szCs w:val="13"/>
                <w:b w:val="1"/>
                <w:bCs w:val="1"/>
                <w:color w:val="auto"/>
              </w:rPr>
              <w:t>Six Months Ended December 31,</w:t>
            </w:r>
          </w:p>
        </w:tc>
        <w:tc>
          <w:tcPr>
            <w:tcW w:w="1440" w:type="dxa"/>
            <w:vAlign w:val="bottom"/>
          </w:tcPr>
          <w:p>
            <w:pPr>
              <w:spacing w:after="0"/>
              <w:rPr>
                <w:sz w:val="24"/>
                <w:szCs w:val="24"/>
                <w:color w:val="auto"/>
              </w:rPr>
            </w:pPr>
          </w:p>
        </w:tc>
      </w:tr>
      <w:tr>
        <w:trPr>
          <w:trHeight w:val="171"/>
        </w:trPr>
        <w:tc>
          <w:tcPr>
            <w:tcW w:w="2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 Change</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c>
          <w:tcPr>
            <w:tcW w:w="144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 Change</w:t>
            </w:r>
          </w:p>
        </w:tc>
      </w:tr>
      <w:tr>
        <w:trPr>
          <w:trHeight w:val="162"/>
        </w:trPr>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ind w:left="240"/>
              <w:spacing w:after="0"/>
              <w:rPr>
                <w:sz w:val="20"/>
                <w:szCs w:val="20"/>
                <w:color w:val="auto"/>
              </w:rPr>
            </w:pPr>
            <w:r>
              <w:rPr>
                <w:rFonts w:ascii="Arial" w:cs="Arial" w:eastAsia="Arial" w:hAnsi="Arial"/>
                <w:sz w:val="13"/>
                <w:szCs w:val="13"/>
                <w:b w:val="1"/>
                <w:bCs w:val="1"/>
                <w:color w:val="auto"/>
              </w:rPr>
              <w:t>(dollars in millions)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1"/>
        </w:trPr>
        <w:tc>
          <w:tcPr>
            <w:tcW w:w="2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6"/>
              <w:spacing w:after="0"/>
              <w:rPr>
                <w:sz w:val="20"/>
                <w:szCs w:val="20"/>
                <w:color w:val="auto"/>
              </w:rPr>
            </w:pPr>
            <w:r>
              <w:rPr>
                <w:rFonts w:ascii="Arial" w:cs="Arial" w:eastAsia="Arial" w:hAnsi="Arial"/>
                <w:sz w:val="13"/>
                <w:szCs w:val="13"/>
                <w:color w:val="auto"/>
              </w:rPr>
              <w:t>745.5</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562.8</w:t>
            </w:r>
          </w:p>
        </w:tc>
        <w:tc>
          <w:tcPr>
            <w:tcW w:w="1520" w:type="dxa"/>
            <w:vAlign w:val="bottom"/>
          </w:tcPr>
          <w:p>
            <w:pPr>
              <w:jc w:val="center"/>
              <w:spacing w:after="0"/>
              <w:rPr>
                <w:sz w:val="20"/>
                <w:szCs w:val="20"/>
                <w:color w:val="auto"/>
              </w:rPr>
            </w:pPr>
            <w:r>
              <w:rPr>
                <w:rFonts w:ascii="Arial" w:cs="Arial" w:eastAsia="Arial" w:hAnsi="Arial"/>
                <w:sz w:val="13"/>
                <w:szCs w:val="13"/>
                <w:color w:val="auto"/>
                <w:w w:val="97"/>
              </w:rPr>
              <w:t>32.4%</w:t>
            </w: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1,186.2</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927.0</w:t>
            </w:r>
          </w:p>
        </w:tc>
        <w:tc>
          <w:tcPr>
            <w:tcW w:w="1440" w:type="dxa"/>
            <w:vAlign w:val="bottom"/>
          </w:tcPr>
          <w:p>
            <w:pPr>
              <w:jc w:val="center"/>
              <w:ind w:left="16"/>
              <w:spacing w:after="0"/>
              <w:rPr>
                <w:sz w:val="20"/>
                <w:szCs w:val="20"/>
                <w:color w:val="auto"/>
              </w:rPr>
            </w:pPr>
            <w:r>
              <w:rPr>
                <w:rFonts w:ascii="Arial" w:cs="Arial" w:eastAsia="Arial" w:hAnsi="Arial"/>
                <w:sz w:val="13"/>
                <w:szCs w:val="13"/>
                <w:color w:val="auto"/>
                <w:w w:val="97"/>
              </w:rPr>
              <w:t>28.0%</w:t>
            </w:r>
          </w:p>
        </w:tc>
      </w:tr>
      <w:tr>
        <w:trPr>
          <w:trHeight w:val="170"/>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108.3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77.2</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40.2</w:t>
            </w: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210.0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142.2</w:t>
            </w:r>
          </w:p>
        </w:tc>
        <w:tc>
          <w:tcPr>
            <w:tcW w:w="144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4"/>
              </w:rPr>
              <w:t>47.7</w:t>
            </w:r>
          </w:p>
        </w:tc>
      </w:tr>
      <w:tr>
        <w:trPr>
          <w:trHeight w:val="163"/>
        </w:trPr>
        <w:tc>
          <w:tcPr>
            <w:tcW w:w="2320" w:type="dxa"/>
            <w:vAlign w:val="bottom"/>
          </w:tcPr>
          <w:p>
            <w:pPr>
              <w:ind w:left="180"/>
              <w:spacing w:after="0"/>
              <w:rPr>
                <w:sz w:val="20"/>
                <w:szCs w:val="20"/>
                <w:color w:val="auto"/>
              </w:rPr>
            </w:pPr>
            <w:r>
              <w:rPr>
                <w:rFonts w:ascii="Arial" w:cs="Arial" w:eastAsia="Arial" w:hAnsi="Arial"/>
                <w:sz w:val="13"/>
                <w:szCs w:val="13"/>
                <w:color w:val="auto"/>
              </w:rPr>
              <w:t>Total cost of revenue</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6"/>
              <w:spacing w:after="0"/>
              <w:rPr>
                <w:sz w:val="20"/>
                <w:szCs w:val="20"/>
                <w:color w:val="auto"/>
              </w:rPr>
            </w:pPr>
            <w:r>
              <w:rPr>
                <w:rFonts w:ascii="Arial" w:cs="Arial" w:eastAsia="Arial" w:hAnsi="Arial"/>
                <w:sz w:val="13"/>
                <w:szCs w:val="13"/>
                <w:color w:val="auto"/>
              </w:rPr>
              <w:t>853.7</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640.0</w:t>
            </w:r>
          </w:p>
        </w:tc>
        <w:tc>
          <w:tcPr>
            <w:tcW w:w="1520" w:type="dxa"/>
            <w:vAlign w:val="bottom"/>
          </w:tcPr>
          <w:p>
            <w:pPr>
              <w:jc w:val="center"/>
              <w:spacing w:after="0"/>
              <w:rPr>
                <w:sz w:val="20"/>
                <w:szCs w:val="20"/>
                <w:color w:val="auto"/>
              </w:rPr>
            </w:pPr>
            <w:r>
              <w:rPr>
                <w:rFonts w:ascii="Arial" w:cs="Arial" w:eastAsia="Arial" w:hAnsi="Arial"/>
                <w:sz w:val="13"/>
                <w:szCs w:val="13"/>
                <w:color w:val="auto"/>
                <w:w w:val="97"/>
              </w:rPr>
              <w:t>33.4%</w:t>
            </w: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1,396.2</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1,069.2</w:t>
            </w:r>
          </w:p>
        </w:tc>
        <w:tc>
          <w:tcPr>
            <w:tcW w:w="1440" w:type="dxa"/>
            <w:vAlign w:val="bottom"/>
          </w:tcPr>
          <w:p>
            <w:pPr>
              <w:jc w:val="center"/>
              <w:ind w:left="16"/>
              <w:spacing w:after="0"/>
              <w:rPr>
                <w:sz w:val="20"/>
                <w:szCs w:val="20"/>
                <w:color w:val="auto"/>
              </w:rPr>
            </w:pPr>
            <w:r>
              <w:rPr>
                <w:rFonts w:ascii="Arial" w:cs="Arial" w:eastAsia="Arial" w:hAnsi="Arial"/>
                <w:sz w:val="13"/>
                <w:szCs w:val="13"/>
                <w:color w:val="auto"/>
                <w:w w:val="97"/>
              </w:rPr>
              <w:t>30.6%</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31"/>
        </w:trPr>
        <w:tc>
          <w:tcPr>
            <w:tcW w:w="23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Gross Profit:</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168"/>
        </w:trPr>
        <w:tc>
          <w:tcPr>
            <w:tcW w:w="232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6"/>
              <w:spacing w:after="0"/>
              <w:rPr>
                <w:sz w:val="20"/>
                <w:szCs w:val="20"/>
                <w:color w:val="auto"/>
              </w:rPr>
            </w:pPr>
            <w:r>
              <w:rPr>
                <w:rFonts w:ascii="Arial" w:cs="Arial" w:eastAsia="Arial" w:hAnsi="Arial"/>
                <w:sz w:val="13"/>
                <w:szCs w:val="13"/>
                <w:color w:val="auto"/>
              </w:rPr>
              <w:t>51.0</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307.3</w:t>
            </w:r>
          </w:p>
        </w:tc>
        <w:tc>
          <w:tcPr>
            <w:tcW w:w="1520" w:type="dxa"/>
            <w:vAlign w:val="bottom"/>
          </w:tcPr>
          <w:p>
            <w:pPr>
              <w:jc w:val="center"/>
              <w:spacing w:after="0"/>
              <w:rPr>
                <w:sz w:val="20"/>
                <w:szCs w:val="20"/>
                <w:color w:val="auto"/>
              </w:rPr>
            </w:pPr>
            <w:r>
              <w:rPr>
                <w:rFonts w:ascii="Arial" w:cs="Arial" w:eastAsia="Arial" w:hAnsi="Arial"/>
                <w:sz w:val="13"/>
                <w:szCs w:val="13"/>
                <w:color w:val="auto"/>
                <w:w w:val="96"/>
              </w:rPr>
              <w:t>(83.4)%</w:t>
            </w: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111.3</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544.5</w:t>
            </w:r>
          </w:p>
        </w:tc>
        <w:tc>
          <w:tcPr>
            <w:tcW w:w="1440" w:type="dxa"/>
            <w:vAlign w:val="bottom"/>
          </w:tcPr>
          <w:p>
            <w:pPr>
              <w:jc w:val="center"/>
              <w:ind w:left="16"/>
              <w:spacing w:after="0"/>
              <w:rPr>
                <w:sz w:val="20"/>
                <w:szCs w:val="20"/>
                <w:color w:val="auto"/>
              </w:rPr>
            </w:pPr>
            <w:r>
              <w:rPr>
                <w:rFonts w:ascii="Arial" w:cs="Arial" w:eastAsia="Arial" w:hAnsi="Arial"/>
                <w:sz w:val="13"/>
                <w:szCs w:val="13"/>
                <w:color w:val="auto"/>
                <w:w w:val="96"/>
              </w:rPr>
              <w:t>(79.6)%</w:t>
            </w:r>
          </w:p>
        </w:tc>
      </w:tr>
      <w:tr>
        <w:trPr>
          <w:trHeight w:val="170"/>
        </w:trPr>
        <w:tc>
          <w:tcPr>
            <w:tcW w:w="2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229.3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117.5</w:t>
            </w: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95.2</w:t>
            </w: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431.7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209.0</w:t>
            </w:r>
          </w:p>
        </w:tc>
        <w:tc>
          <w:tcPr>
            <w:tcW w:w="1440" w:type="dxa"/>
            <w:vAlign w:val="bottom"/>
            <w:shd w:val="clear" w:color="auto" w:fill="CCEEFF"/>
          </w:tcPr>
          <w:p>
            <w:pPr>
              <w:jc w:val="center"/>
              <w:ind w:left="16"/>
              <w:spacing w:after="0"/>
              <w:rPr>
                <w:sz w:val="20"/>
                <w:szCs w:val="20"/>
                <w:color w:val="auto"/>
              </w:rPr>
            </w:pPr>
            <w:r>
              <w:rPr>
                <w:rFonts w:ascii="Arial" w:cs="Arial" w:eastAsia="Arial" w:hAnsi="Arial"/>
                <w:sz w:val="13"/>
                <w:szCs w:val="13"/>
                <w:color w:val="auto"/>
                <w:w w:val="98"/>
              </w:rPr>
              <w:t>106.5</w:t>
            </w:r>
          </w:p>
        </w:tc>
      </w:tr>
      <w:tr>
        <w:trPr>
          <w:trHeight w:val="163"/>
        </w:trPr>
        <w:tc>
          <w:tcPr>
            <w:tcW w:w="2320" w:type="dxa"/>
            <w:vAlign w:val="bottom"/>
          </w:tcPr>
          <w:p>
            <w:pPr>
              <w:ind w:left="180"/>
              <w:spacing w:after="0"/>
              <w:rPr>
                <w:sz w:val="20"/>
                <w:szCs w:val="20"/>
                <w:color w:val="auto"/>
              </w:rPr>
            </w:pPr>
            <w:r>
              <w:rPr>
                <w:rFonts w:ascii="Arial" w:cs="Arial" w:eastAsia="Arial" w:hAnsi="Arial"/>
                <w:sz w:val="13"/>
                <w:szCs w:val="13"/>
                <w:color w:val="auto"/>
              </w:rPr>
              <w:t>Total Gross profit</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16"/>
              <w:spacing w:after="0"/>
              <w:rPr>
                <w:sz w:val="20"/>
                <w:szCs w:val="20"/>
                <w:color w:val="auto"/>
              </w:rPr>
            </w:pPr>
            <w:r>
              <w:rPr>
                <w:rFonts w:ascii="Arial" w:cs="Arial" w:eastAsia="Arial" w:hAnsi="Arial"/>
                <w:sz w:val="13"/>
                <w:szCs w:val="13"/>
                <w:color w:val="auto"/>
              </w:rPr>
              <w:t>280.2</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96"/>
              <w:spacing w:after="0"/>
              <w:rPr>
                <w:sz w:val="20"/>
                <w:szCs w:val="20"/>
                <w:color w:val="auto"/>
              </w:rPr>
            </w:pPr>
            <w:r>
              <w:rPr>
                <w:rFonts w:ascii="Arial" w:cs="Arial" w:eastAsia="Arial" w:hAnsi="Arial"/>
                <w:sz w:val="13"/>
                <w:szCs w:val="13"/>
                <w:color w:val="auto"/>
              </w:rPr>
              <w:t>424.8</w:t>
            </w:r>
          </w:p>
        </w:tc>
        <w:tc>
          <w:tcPr>
            <w:tcW w:w="1520" w:type="dxa"/>
            <w:vAlign w:val="bottom"/>
          </w:tcPr>
          <w:p>
            <w:pPr>
              <w:jc w:val="center"/>
              <w:spacing w:after="0"/>
              <w:rPr>
                <w:sz w:val="20"/>
                <w:szCs w:val="20"/>
                <w:color w:val="auto"/>
              </w:rPr>
            </w:pPr>
            <w:r>
              <w:rPr>
                <w:rFonts w:ascii="Arial" w:cs="Arial" w:eastAsia="Arial" w:hAnsi="Arial"/>
                <w:sz w:val="13"/>
                <w:szCs w:val="13"/>
                <w:color w:val="auto"/>
                <w:w w:val="96"/>
              </w:rPr>
              <w:t>(34.0)%</w:t>
            </w: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543.0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753.5</w:t>
            </w:r>
          </w:p>
        </w:tc>
        <w:tc>
          <w:tcPr>
            <w:tcW w:w="1440" w:type="dxa"/>
            <w:vAlign w:val="bottom"/>
          </w:tcPr>
          <w:p>
            <w:pPr>
              <w:jc w:val="center"/>
              <w:ind w:left="16"/>
              <w:spacing w:after="0"/>
              <w:rPr>
                <w:sz w:val="20"/>
                <w:szCs w:val="20"/>
                <w:color w:val="auto"/>
              </w:rPr>
            </w:pPr>
            <w:r>
              <w:rPr>
                <w:rFonts w:ascii="Arial" w:cs="Arial" w:eastAsia="Arial" w:hAnsi="Arial"/>
                <w:sz w:val="13"/>
                <w:szCs w:val="13"/>
                <w:color w:val="auto"/>
                <w:w w:val="96"/>
              </w:rPr>
              <w:t>(27.9)%</w:t>
            </w:r>
          </w:p>
        </w:tc>
      </w:tr>
      <w:tr>
        <w:trPr>
          <w:trHeight w:val="20"/>
        </w:trPr>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2540" w:type="dxa"/>
            <w:vAlign w:val="bottom"/>
          </w:tcPr>
          <w:p>
            <w:pPr>
              <w:ind w:left="20"/>
              <w:spacing w:after="0"/>
              <w:rPr>
                <w:sz w:val="20"/>
                <w:szCs w:val="20"/>
                <w:color w:val="auto"/>
              </w:rPr>
            </w:pPr>
            <w:r>
              <w:rPr>
                <w:rFonts w:ascii="Arial" w:cs="Arial" w:eastAsia="Arial" w:hAnsi="Arial"/>
                <w:sz w:val="13"/>
                <w:szCs w:val="13"/>
                <w:color w:val="auto"/>
              </w:rPr>
              <w:t>Gross Margin:</w:t>
            </w:r>
          </w:p>
        </w:tc>
        <w:tc>
          <w:tcPr>
            <w:tcW w:w="17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2540" w:type="dxa"/>
            <w:vAlign w:val="bottom"/>
          </w:tcPr>
          <w:p>
            <w:pPr>
              <w:ind w:left="100"/>
              <w:spacing w:after="0"/>
              <w:rPr>
                <w:sz w:val="20"/>
                <w:szCs w:val="20"/>
                <w:color w:val="auto"/>
              </w:rPr>
            </w:pPr>
            <w:r>
              <w:rPr>
                <w:rFonts w:ascii="Arial" w:cs="Arial" w:eastAsia="Arial" w:hAnsi="Arial"/>
                <w:sz w:val="13"/>
                <w:szCs w:val="13"/>
                <w:color w:val="auto"/>
              </w:rPr>
              <w:t>Connected Fitness Products</w:t>
            </w:r>
          </w:p>
        </w:tc>
        <w:tc>
          <w:tcPr>
            <w:tcW w:w="1780" w:type="dxa"/>
            <w:vAlign w:val="bottom"/>
          </w:tcPr>
          <w:p>
            <w:pPr>
              <w:jc w:val="right"/>
              <w:ind w:right="496"/>
              <w:spacing w:after="0"/>
              <w:rPr>
                <w:sz w:val="20"/>
                <w:szCs w:val="20"/>
                <w:color w:val="auto"/>
              </w:rPr>
            </w:pPr>
            <w:r>
              <w:rPr>
                <w:rFonts w:ascii="Arial" w:cs="Arial" w:eastAsia="Arial" w:hAnsi="Arial"/>
                <w:sz w:val="13"/>
                <w:szCs w:val="13"/>
                <w:color w:val="auto"/>
              </w:rPr>
              <w:t>6.4 %</w:t>
            </w:r>
          </w:p>
        </w:tc>
        <w:tc>
          <w:tcPr>
            <w:tcW w:w="2260" w:type="dxa"/>
            <w:vAlign w:val="bottom"/>
          </w:tcPr>
          <w:p>
            <w:pPr>
              <w:jc w:val="right"/>
              <w:ind w:right="1216"/>
              <w:spacing w:after="0"/>
              <w:rPr>
                <w:sz w:val="20"/>
                <w:szCs w:val="20"/>
                <w:color w:val="auto"/>
              </w:rPr>
            </w:pPr>
            <w:r>
              <w:rPr>
                <w:rFonts w:ascii="Arial" w:cs="Arial" w:eastAsia="Arial" w:hAnsi="Arial"/>
                <w:sz w:val="13"/>
                <w:szCs w:val="13"/>
                <w:color w:val="auto"/>
              </w:rPr>
              <w:t>35.3 %</w:t>
            </w:r>
          </w:p>
        </w:tc>
        <w:tc>
          <w:tcPr>
            <w:tcW w:w="2280" w:type="dxa"/>
            <w:vAlign w:val="bottom"/>
          </w:tcPr>
          <w:p>
            <w:pPr>
              <w:jc w:val="right"/>
              <w:ind w:right="516"/>
              <w:spacing w:after="0"/>
              <w:rPr>
                <w:sz w:val="20"/>
                <w:szCs w:val="20"/>
                <w:color w:val="auto"/>
              </w:rPr>
            </w:pPr>
            <w:r>
              <w:rPr>
                <w:rFonts w:ascii="Arial" w:cs="Arial" w:eastAsia="Arial" w:hAnsi="Arial"/>
                <w:sz w:val="13"/>
                <w:szCs w:val="13"/>
                <w:color w:val="auto"/>
              </w:rPr>
              <w:t>8.6 %</w:t>
            </w:r>
          </w:p>
        </w:tc>
        <w:tc>
          <w:tcPr>
            <w:tcW w:w="2420" w:type="dxa"/>
            <w:vAlign w:val="bottom"/>
          </w:tcPr>
          <w:p>
            <w:pPr>
              <w:jc w:val="right"/>
              <w:ind w:right="1396"/>
              <w:spacing w:after="0"/>
              <w:rPr>
                <w:sz w:val="20"/>
                <w:szCs w:val="20"/>
                <w:color w:val="auto"/>
              </w:rPr>
            </w:pPr>
            <w:r>
              <w:rPr>
                <w:rFonts w:ascii="Arial" w:cs="Arial" w:eastAsia="Arial" w:hAnsi="Arial"/>
                <w:sz w:val="13"/>
                <w:szCs w:val="13"/>
                <w:color w:val="auto"/>
              </w:rPr>
              <w:t>37.0 %</w:t>
            </w:r>
          </w:p>
        </w:tc>
      </w:tr>
      <w:tr>
        <w:trPr>
          <w:trHeight w:val="193"/>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17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67.9 %</w:t>
            </w:r>
          </w:p>
        </w:tc>
        <w:tc>
          <w:tcPr>
            <w:tcW w:w="2260" w:type="dxa"/>
            <w:vAlign w:val="bottom"/>
            <w:shd w:val="clear" w:color="auto" w:fill="CCEEFF"/>
          </w:tcPr>
          <w:p>
            <w:pPr>
              <w:jc w:val="right"/>
              <w:ind w:right="1216"/>
              <w:spacing w:after="0"/>
              <w:rPr>
                <w:sz w:val="20"/>
                <w:szCs w:val="20"/>
                <w:color w:val="auto"/>
              </w:rPr>
            </w:pPr>
            <w:r>
              <w:rPr>
                <w:rFonts w:ascii="Arial" w:cs="Arial" w:eastAsia="Arial" w:hAnsi="Arial"/>
                <w:sz w:val="13"/>
                <w:szCs w:val="13"/>
                <w:color w:val="auto"/>
              </w:rPr>
              <w:t>60.3 %</w:t>
            </w:r>
          </w:p>
        </w:tc>
        <w:tc>
          <w:tcPr>
            <w:tcW w:w="2280" w:type="dxa"/>
            <w:vAlign w:val="bottom"/>
            <w:shd w:val="clear" w:color="auto" w:fill="CCEEFF"/>
          </w:tcPr>
          <w:p>
            <w:pPr>
              <w:jc w:val="right"/>
              <w:ind w:right="516"/>
              <w:spacing w:after="0"/>
              <w:rPr>
                <w:sz w:val="20"/>
                <w:szCs w:val="20"/>
                <w:color w:val="auto"/>
              </w:rPr>
            </w:pPr>
            <w:r>
              <w:rPr>
                <w:rFonts w:ascii="Arial" w:cs="Arial" w:eastAsia="Arial" w:hAnsi="Arial"/>
                <w:sz w:val="13"/>
                <w:szCs w:val="13"/>
                <w:color w:val="auto"/>
              </w:rPr>
              <w:t>67.3 %</w:t>
            </w:r>
          </w:p>
        </w:tc>
        <w:tc>
          <w:tcPr>
            <w:tcW w:w="2420" w:type="dxa"/>
            <w:vAlign w:val="bottom"/>
            <w:shd w:val="clear" w:color="auto" w:fill="CCEEFF"/>
          </w:tcPr>
          <w:p>
            <w:pPr>
              <w:jc w:val="right"/>
              <w:ind w:right="1396"/>
              <w:spacing w:after="0"/>
              <w:rPr>
                <w:sz w:val="20"/>
                <w:szCs w:val="20"/>
                <w:color w:val="auto"/>
              </w:rPr>
            </w:pPr>
            <w:r>
              <w:rPr>
                <w:rFonts w:ascii="Arial" w:cs="Arial" w:eastAsia="Arial" w:hAnsi="Arial"/>
                <w:sz w:val="13"/>
                <w:szCs w:val="13"/>
                <w:color w:val="auto"/>
              </w:rPr>
              <w:t>59.5 %</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Months Ended December 31, 2021 and 2020</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Connected Fitness Products cost of revenue for the three months ended December 31, 2021 increased $182.6 million, or 32.4%, compared to the three months ended December 31, 2020. This increase was primarily driven by costs associated with Precor-branded commercial products of $60.0 million, increased Tread costs of $53.9 million driven by our launch of the Tread in the first quarter of fiscal 2022, and increased shipping and delivery costs of $42.0 million, partially offset by fewer deliveries for the three months ended December 31, 2021 compared to the three months ended December 31, 2020.</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Connected Fitness Product Gross Margin decreased to 6.4% for the three months ended December 31, 2021, compared to 35.3% for the three months ended December 31, 2020, which was primarily driven by the price reduction on our Bike from $1,895 to $1,495, fixed logistics cost deleveraging, increased material and component part costs, and charges associated with the voluntary recalls of Tread+ and Tread.</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Subscription cost of revenue for the three months ended December 31, 2021 increased $31.1 million, or 40.2%, compared to the three months ended December 31, 2020. This increase was primarily driven by an increase of $25.0 million in music royalties and platform streaming costs and an increase of $4.4 million in personnel-related expenses, including stock-based compensation expense, due to increased headcount and employee stock grants.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Subscription Gross Margin increased by 758 basis points for the three months ended December 31, 2021 compared to the three months ended December 31, 2020, primarily driven by fixed cost leverage with more Connected Fitness Subscriptions as well as modest efficiencies associated with certain variable costs.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Six Months Ended December 31, 2021 and 2020</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Connected Fitness Products cost of revenue for the six months ended December 31, 2021 increased $259.2 million or 28.0%, compared to the six months ended December 31, 2020. This increase was primarily driven by costs of $103.7 million associated with Precor-branded commercial products, increased shipping and delivery costs of $87.4 million, and increased Tread costs of $45.8 million primarily driven by launch of Tread in the first quarter of fiscal 2022, partially offset by fewer deliveries for the six months ended December 31, 2021 compared to the six months ended December 31, 2020.</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Connected Fitness Product Gross Margin decreased to 8.6% from 37.0% for the six months ended December 31, 2021 compared to the six months ended December 31, 2020 primarily driven by the price reduction on our Bike from $1,895 to $1,495, fixed logistics cost deleveraging, charges associated with the voluntary recalls of Tread+ and Tread, and increased materials and component part costs.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Subscription cost of revenue for the six months ended December 31, 2021 increased $67.8 million, or 47.7%, compared to the six months ended December 31, 2020. This increase was primarily driven by an increase of $52.5 million in music royalties and platform streaming costs and an increase of $9.7 million in personnel-related expenses, excluding stock-based compensation expense, due to increased headcount.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Subscription Gross Margin increased by 776 basis points for the six months ended December 31, 2021 compared to the six months ended December 31, 2020, primarily driven by fixed cost leverage with more Connected Fitness Subscriptions as well as modest efficiencies associated with certain variable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20"/>
                <w:szCs w:val="20"/>
                <w:color w:val="auto"/>
              </w:rPr>
            </w:pPr>
            <w:r>
              <w:rPr>
                <w:rFonts w:ascii="Arial" w:cs="Arial" w:eastAsia="Arial" w:hAnsi="Arial"/>
                <w:sz w:val="13"/>
                <w:szCs w:val="13"/>
                <w:b w:val="1"/>
                <w:bCs w:val="1"/>
                <w:i w:val="1"/>
                <w:iCs w:val="1"/>
                <w:color w:val="auto"/>
              </w:rPr>
              <w:t>Operating Expenses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2"/>
        </w:trPr>
        <w:tc>
          <w:tcPr>
            <w:tcW w:w="2480" w:type="dxa"/>
            <w:vAlign w:val="bottom"/>
          </w:tcPr>
          <w:p>
            <w:pPr>
              <w:spacing w:after="0"/>
              <w:rPr>
                <w:sz w:val="20"/>
                <w:szCs w:val="20"/>
                <w:color w:val="auto"/>
              </w:rPr>
            </w:pPr>
            <w:r>
              <w:rPr>
                <w:rFonts w:ascii="Arial" w:cs="Arial" w:eastAsia="Arial" w:hAnsi="Arial"/>
                <w:sz w:val="13"/>
                <w:szCs w:val="13"/>
                <w:i w:val="1"/>
                <w:iCs w:val="1"/>
                <w:color w:val="auto"/>
              </w:rPr>
              <w:t>Sales and Marketing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4"/>
        </w:trPr>
        <w:tc>
          <w:tcPr>
            <w:tcW w:w="2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3"/>
                <w:szCs w:val="13"/>
                <w:b w:val="1"/>
                <w:bCs w:val="1"/>
                <w:color w:val="auto"/>
              </w:rPr>
              <w:t>Three Months Ended December 31,</w:t>
            </w:r>
          </w:p>
        </w:tc>
        <w:tc>
          <w:tcPr>
            <w:tcW w:w="1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50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171"/>
        </w:trPr>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Arial" w:cs="Arial" w:eastAsia="Arial" w:hAnsi="Arial"/>
                <w:sz w:val="13"/>
                <w:szCs w:val="13"/>
                <w:b w:val="1"/>
                <w:bCs w:val="1"/>
                <w:color w:val="auto"/>
              </w:rPr>
              <w:t>(dollars in millions)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349.6</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177.4</w:t>
            </w:r>
          </w:p>
        </w:tc>
        <w:tc>
          <w:tcPr>
            <w:tcW w:w="144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rPr>
              <w:t>97.0%</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633.9</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8"/>
              </w:rPr>
              <w:t>292.1</w:t>
            </w:r>
          </w:p>
        </w:tc>
        <w:tc>
          <w:tcPr>
            <w:tcW w:w="13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117.0%</w:t>
            </w:r>
          </w:p>
        </w:tc>
      </w:tr>
      <w:tr>
        <w:trPr>
          <w:trHeight w:val="187"/>
        </w:trPr>
        <w:tc>
          <w:tcPr>
            <w:tcW w:w="248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30.8 %</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16.7 %</w:t>
            </w: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32.7 %</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16.0 %</w:t>
            </w:r>
          </w:p>
        </w:tc>
        <w:tc>
          <w:tcPr>
            <w:tcW w:w="1380" w:type="dxa"/>
            <w:vAlign w:val="bottom"/>
          </w:tcPr>
          <w:p>
            <w:pPr>
              <w:spacing w:after="0"/>
              <w:rPr>
                <w:sz w:val="16"/>
                <w:szCs w:val="16"/>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2021 and 2020</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Sales and marketing expense increased $172.1 million and $341.9 million in the three and six months ended December 31, 2021, respectively, compared to the three and six months ended December 31, 2020. These increases were primarily due to an increase in spending on advertising and marketing programs of $146.6 million and $294.4 million during the three and six months ended December 31, 2021, respectively. We significantly reduced marketing spend in the three and six months ended December 31, 2020 due to the organic demand driven by the pandemic as well as ongoing supply chain challenges, and resumed in the second half of fiscal 2021 given our improved order-to-delivery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Pr>
          <w:p>
            <w:pPr>
              <w:spacing w:after="0"/>
              <w:rPr>
                <w:sz w:val="20"/>
                <w:szCs w:val="20"/>
                <w:color w:val="auto"/>
              </w:rPr>
            </w:pPr>
            <w:r>
              <w:rPr>
                <w:rFonts w:ascii="Arial" w:cs="Arial" w:eastAsia="Arial" w:hAnsi="Arial"/>
                <w:sz w:val="13"/>
                <w:szCs w:val="13"/>
                <w:i w:val="1"/>
                <w:iCs w:val="1"/>
                <w:color w:val="auto"/>
              </w:rPr>
              <w:t>General and Administrative</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4"/>
        </w:trPr>
        <w:tc>
          <w:tcPr>
            <w:tcW w:w="244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Three Months Ended December 31,</w:t>
            </w:r>
          </w:p>
        </w:tc>
        <w:tc>
          <w:tcPr>
            <w:tcW w:w="1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50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r>
      <w:tr>
        <w:trPr>
          <w:trHeight w:val="171"/>
        </w:trPr>
        <w:tc>
          <w:tcPr>
            <w:tcW w:w="24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18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3"/>
                <w:szCs w:val="13"/>
                <w:b w:val="1"/>
                <w:bCs w:val="1"/>
                <w:color w:val="auto"/>
              </w:rPr>
              <w:t>% Change</w:t>
            </w: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5"/>
              </w:rPr>
              <w:t>% Change</w:t>
            </w:r>
          </w:p>
        </w:tc>
      </w:tr>
      <w:tr>
        <w:trPr>
          <w:trHeight w:val="171"/>
        </w:trPr>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(dollars in millions)</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00" w:type="dxa"/>
            <w:vAlign w:val="bottom"/>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248.7</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141.1</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76.3 %  $</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489.0</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8"/>
              </w:rPr>
              <w:t>249.7</w:t>
            </w:r>
          </w:p>
        </w:tc>
        <w:tc>
          <w:tcPr>
            <w:tcW w:w="13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95.8%</w:t>
            </w:r>
          </w:p>
        </w:tc>
      </w:tr>
      <w:tr>
        <w:trPr>
          <w:trHeight w:val="187"/>
        </w:trPr>
        <w:tc>
          <w:tcPr>
            <w:tcW w:w="244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21.9 %</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13.2 %</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25.2 %</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13.7 %</w:t>
            </w:r>
          </w:p>
        </w:tc>
        <w:tc>
          <w:tcPr>
            <w:tcW w:w="1360" w:type="dxa"/>
            <w:vAlign w:val="bottom"/>
          </w:tcPr>
          <w:p>
            <w:pPr>
              <w:spacing w:after="0"/>
              <w:rPr>
                <w:sz w:val="16"/>
                <w:szCs w:val="16"/>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2021 and 2020</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General and administrative expense increased $107.6 million and $239.3 million in the three and six months ended December 31, 2021, respectively, when compared to the three and six months ended December 31, 2020. These increases were primarily due to an increase in professional services fees and IT costs associated with ongoing systems implementations of $48.2 million and $111.2 million during the three and six months ended December 31, 2021, respectively, which costs related primarily to the upgrading of our back-office systems and infrastructure as well as integration costs related to our acquisitions. These increases were also due to an increase in personnel-related expenses of $43.0 million and $90.5 million for the three and six months ended December 31, 2021, respectively, including stock-based compensation expense, due to increased headcount and employee stock grants,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Pr>
          <w:p>
            <w:pPr>
              <w:spacing w:after="0"/>
              <w:rPr>
                <w:sz w:val="20"/>
                <w:szCs w:val="20"/>
                <w:color w:val="auto"/>
              </w:rPr>
            </w:pPr>
            <w:r>
              <w:rPr>
                <w:rFonts w:ascii="Arial" w:cs="Arial" w:eastAsia="Arial" w:hAnsi="Arial"/>
                <w:sz w:val="13"/>
                <w:szCs w:val="13"/>
                <w:i w:val="1"/>
                <w:iCs w:val="1"/>
                <w:color w:val="auto"/>
              </w:rPr>
              <w:t>Research and Development</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4"/>
        </w:trPr>
        <w:tc>
          <w:tcPr>
            <w:tcW w:w="2460" w:type="dxa"/>
            <w:vAlign w:val="bottom"/>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42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Six Months Ended December 31,</w:t>
            </w:r>
          </w:p>
        </w:tc>
        <w:tc>
          <w:tcPr>
            <w:tcW w:w="46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171"/>
        </w:trPr>
        <w:tc>
          <w:tcPr>
            <w:tcW w:w="24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Arial" w:cs="Arial" w:eastAsia="Arial" w:hAnsi="Arial"/>
                <w:sz w:val="13"/>
                <w:szCs w:val="13"/>
                <w:b w:val="1"/>
                <w:bCs w:val="1"/>
                <w:color w:val="auto"/>
              </w:rPr>
              <w:t>(dollars in millions)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100.0</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4"/>
              </w:rPr>
              <w:t>47.5</w:t>
            </w:r>
          </w:p>
        </w:tc>
        <w:tc>
          <w:tcPr>
            <w:tcW w:w="146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110.5%</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197.7</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84.1</w:t>
            </w:r>
          </w:p>
        </w:tc>
        <w:tc>
          <w:tcPr>
            <w:tcW w:w="138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135.1%</w:t>
            </w:r>
          </w:p>
        </w:tc>
      </w:tr>
      <w:tr>
        <w:trPr>
          <w:trHeight w:val="187"/>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8.8 %</w:t>
            </w: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4.5 %</w:t>
            </w: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10.2 %</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4.6 %</w:t>
            </w:r>
          </w:p>
        </w:tc>
        <w:tc>
          <w:tcPr>
            <w:tcW w:w="1380" w:type="dxa"/>
            <w:vAlign w:val="bottom"/>
          </w:tcPr>
          <w:p>
            <w:pPr>
              <w:spacing w:after="0"/>
              <w:rPr>
                <w:sz w:val="16"/>
                <w:szCs w:val="16"/>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Three and Six Months Ended December 31, 2021 and 2020</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3"/>
          <w:szCs w:val="13"/>
          <w:color w:val="auto"/>
        </w:rPr>
        <w:t>Research and development expense increased $52.5 million and $113.6 million in the three and six months ended December 31, 2021, respectively, when comparing the three and six months ended December 31, 2020. This increase was primarily due to an increase in personnel-related expenses, which, including stock-based compensation expense, increased $32.8 million and $66.1 million in the three and six months ended December 31, 2021, respectively, due to increased headcount and employee stock grants, and an increase of $13.0 million and $33.3 million in product development and research costs in the three and six months ended December 31, 2021, respectively, associated with development of new software features and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1"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5"/>
        </w:trPr>
        <w:tc>
          <w:tcPr>
            <w:tcW w:w="2460" w:type="dxa"/>
            <w:vAlign w:val="bottom"/>
          </w:tcPr>
          <w:p>
            <w:pPr>
              <w:spacing w:after="0"/>
              <w:rPr>
                <w:sz w:val="20"/>
                <w:szCs w:val="20"/>
                <w:color w:val="auto"/>
              </w:rPr>
            </w:pPr>
            <w:r>
              <w:rPr>
                <w:rFonts w:ascii="Arial" w:cs="Arial" w:eastAsia="Arial" w:hAnsi="Arial"/>
                <w:sz w:val="13"/>
                <w:szCs w:val="13"/>
                <w:i w:val="1"/>
                <w:iCs w:val="1"/>
                <w:color w:val="auto"/>
              </w:rPr>
              <w:t>Impairment expense</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4"/>
        </w:trPr>
        <w:tc>
          <w:tcPr>
            <w:tcW w:w="2460" w:type="dxa"/>
            <w:vAlign w:val="bottom"/>
          </w:tcPr>
          <w:p>
            <w:pPr>
              <w:spacing w:after="0"/>
              <w:rPr>
                <w:sz w:val="18"/>
                <w:szCs w:val="18"/>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December 31,</w:t>
            </w:r>
          </w:p>
        </w:tc>
        <w:tc>
          <w:tcPr>
            <w:tcW w:w="36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Six Months Ended December 31,</w:t>
            </w:r>
          </w:p>
        </w:tc>
        <w:tc>
          <w:tcPr>
            <w:tcW w:w="40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171"/>
        </w:trPr>
        <w:tc>
          <w:tcPr>
            <w:tcW w:w="2460" w:type="dxa"/>
            <w:vAlign w:val="bottom"/>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Change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2021</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ind w:left="200"/>
              <w:spacing w:after="0"/>
              <w:rPr>
                <w:sz w:val="20"/>
                <w:szCs w:val="20"/>
                <w:color w:val="auto"/>
              </w:rPr>
            </w:pPr>
            <w:r>
              <w:rPr>
                <w:rFonts w:ascii="Arial" w:cs="Arial" w:eastAsia="Arial" w:hAnsi="Arial"/>
                <w:sz w:val="13"/>
                <w:szCs w:val="13"/>
                <w:b w:val="1"/>
                <w:bCs w:val="1"/>
                <w:color w:val="auto"/>
              </w:rPr>
              <w:t>(dollars in millions)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expense</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7.7</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NM</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ind w:left="800"/>
              <w:spacing w:after="0"/>
              <w:rPr>
                <w:sz w:val="20"/>
                <w:szCs w:val="20"/>
                <w:color w:val="auto"/>
              </w:rPr>
            </w:pPr>
            <w:r>
              <w:rPr>
                <w:rFonts w:ascii="Arial" w:cs="Arial" w:eastAsia="Arial" w:hAnsi="Arial"/>
                <w:sz w:val="13"/>
                <w:szCs w:val="13"/>
                <w:color w:val="auto"/>
              </w:rPr>
              <w:t>7.7</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r>
        <w:trPr>
          <w:trHeight w:val="187"/>
        </w:trPr>
        <w:tc>
          <w:tcPr>
            <w:tcW w:w="2460" w:type="dxa"/>
            <w:vAlign w:val="bottom"/>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980" w:type="dxa"/>
            <w:vAlign w:val="bottom"/>
          </w:tcPr>
          <w:p>
            <w:pPr>
              <w:spacing w:after="0"/>
              <w:rPr>
                <w:sz w:val="16"/>
                <w:szCs w:val="16"/>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0.7 %</w:t>
            </w:r>
          </w:p>
        </w:tc>
        <w:tc>
          <w:tcPr>
            <w:tcW w:w="1120" w:type="dxa"/>
            <w:vAlign w:val="bottom"/>
          </w:tcPr>
          <w:p>
            <w:pPr>
              <w:spacing w:after="0"/>
              <w:rPr>
                <w:sz w:val="16"/>
                <w:szCs w:val="16"/>
                <w:color w:val="auto"/>
              </w:rPr>
            </w:pPr>
          </w:p>
        </w:tc>
        <w:tc>
          <w:tcPr>
            <w:tcW w:w="360" w:type="dxa"/>
            <w:vAlign w:val="bottom"/>
          </w:tcPr>
          <w:p>
            <w:pPr>
              <w:ind w:left="80"/>
              <w:spacing w:after="0"/>
              <w:rPr>
                <w:sz w:val="20"/>
                <w:szCs w:val="20"/>
                <w:color w:val="auto"/>
              </w:rPr>
            </w:pPr>
            <w:r>
              <w:rPr>
                <w:rFonts w:ascii="Arial" w:cs="Arial" w:eastAsia="Arial" w:hAnsi="Arial"/>
                <w:sz w:val="13"/>
                <w:szCs w:val="13"/>
                <w:color w:val="auto"/>
                <w:w w:val="92"/>
              </w:rPr>
              <w:t>— %</w:t>
            </w: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ind w:left="800"/>
              <w:spacing w:after="0"/>
              <w:rPr>
                <w:sz w:val="20"/>
                <w:szCs w:val="20"/>
                <w:color w:val="auto"/>
              </w:rPr>
            </w:pPr>
            <w:r>
              <w:rPr>
                <w:rFonts w:ascii="Arial" w:cs="Arial" w:eastAsia="Arial" w:hAnsi="Arial"/>
                <w:sz w:val="13"/>
                <w:szCs w:val="13"/>
                <w:color w:val="auto"/>
              </w:rPr>
              <w:t>0.4 %</w:t>
            </w:r>
          </w:p>
        </w:tc>
        <w:tc>
          <w:tcPr>
            <w:tcW w:w="1100" w:type="dxa"/>
            <w:vAlign w:val="bottom"/>
          </w:tcPr>
          <w:p>
            <w:pPr>
              <w:spacing w:after="0"/>
              <w:rPr>
                <w:sz w:val="16"/>
                <w:szCs w:val="16"/>
                <w:color w:val="auto"/>
              </w:rPr>
            </w:pPr>
          </w:p>
        </w:tc>
        <w:tc>
          <w:tcPr>
            <w:tcW w:w="400" w:type="dxa"/>
            <w:vAlign w:val="bottom"/>
          </w:tcPr>
          <w:p>
            <w:pPr>
              <w:ind w:left="120"/>
              <w:spacing w:after="0"/>
              <w:rPr>
                <w:sz w:val="20"/>
                <w:szCs w:val="20"/>
                <w:color w:val="auto"/>
              </w:rPr>
            </w:pPr>
            <w:r>
              <w:rPr>
                <w:rFonts w:ascii="Arial" w:cs="Arial" w:eastAsia="Arial" w:hAnsi="Arial"/>
                <w:sz w:val="13"/>
                <w:szCs w:val="13"/>
                <w:color w:val="auto"/>
                <w:w w:val="92"/>
              </w:rPr>
              <w:t>— %</w:t>
            </w:r>
          </w:p>
        </w:tc>
        <w:tc>
          <w:tcPr>
            <w:tcW w:w="1380" w:type="dxa"/>
            <w:vAlign w:val="bottom"/>
          </w:tcPr>
          <w:p>
            <w:pPr>
              <w:spacing w:after="0"/>
              <w:rPr>
                <w:sz w:val="16"/>
                <w:szCs w:val="16"/>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Impairment expense comprised of the disposal of lease build out costs for the three and six months ended December 31, 2021.</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The Company reviews goodwill for impairment annually on April 1 of each fiscal year or whenever events or changes in circumstances indicate that an impairment may exist (“a triggering event”). Coming out of holiday season, management identified various qualitative factors that collectively, indicated we had a triggering event, including (i) softening demand; (ii) increased costs of inventory and logistics; and (iii) sustained decrease in stock price. The Company performed a quantitative assessment and the fair value of the Connected Fitness reporting unit was determined by analyzing the expected present value of future cash flows, incorporating forecasts and assumptions. These forecasts and assumptions are highly subjective. See </w:t>
      </w:r>
      <w:r>
        <w:rPr>
          <w:rFonts w:ascii="Arial" w:cs="Arial" w:eastAsia="Arial" w:hAnsi="Arial"/>
          <w:sz w:val="13"/>
          <w:szCs w:val="13"/>
          <w:i w:val="1"/>
          <w:iCs w:val="1"/>
          <w:color w:val="auto"/>
        </w:rPr>
        <w:t>“Risk Factors—General Risk Factors— If our</w:t>
      </w:r>
      <w:r>
        <w:rPr>
          <w:rFonts w:ascii="Arial" w:cs="Arial" w:eastAsia="Arial" w:hAnsi="Arial"/>
          <w:sz w:val="13"/>
          <w:szCs w:val="13"/>
          <w:color w:val="auto"/>
        </w:rPr>
        <w:t xml:space="preserve"> </w:t>
      </w:r>
      <w:r>
        <w:rPr>
          <w:rFonts w:ascii="Arial" w:cs="Arial" w:eastAsia="Arial" w:hAnsi="Arial"/>
          <w:sz w:val="13"/>
          <w:szCs w:val="13"/>
          <w:i w:val="1"/>
          <w:iCs w:val="1"/>
          <w:color w:val="auto"/>
        </w:rPr>
        <w:t>estimates or judgments relating to our critical accounting policies prove to be incorrect, our operating results could be adversely affected</w:t>
      </w:r>
      <w:r>
        <w:rPr>
          <w:rFonts w:ascii="Arial" w:cs="Arial" w:eastAsia="Arial" w:hAnsi="Arial"/>
          <w:sz w:val="13"/>
          <w:szCs w:val="13"/>
          <w:color w:val="auto"/>
        </w:rPr>
        <w:t>.” Although the quantitative assessment as of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2021 indicated goodwill was not impaired, </w:t>
      </w:r>
      <w:r>
        <w:rPr>
          <w:rFonts w:ascii="Arial" w:cs="Arial" w:eastAsia="Arial" w:hAnsi="Arial"/>
          <w:sz w:val="14"/>
          <w:szCs w:val="14"/>
          <w:color w:val="auto"/>
        </w:rPr>
        <w:t>g</w:t>
      </w:r>
      <w:r>
        <w:rPr>
          <w:rFonts w:ascii="Arial" w:cs="Arial" w:eastAsia="Arial" w:hAnsi="Arial"/>
          <w:sz w:val="13"/>
          <w:szCs w:val="13"/>
          <w:color w:val="auto"/>
        </w:rPr>
        <w:t>iven the results of our quantitative assessment, the Connected Fitness reporting unit is at risk for future goodwill impairment because it is reasonably possible that, among other factors, continued softening demand, increased costs of inventory and continual stock price volatility and downward pressure on the Company's market cap could have a material impact on one or more of the estimates and assumptions used to evaluate goodwill.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Other (Expense) Income, Net and Income Tax Expense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4"/>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3"/>
                <w:szCs w:val="13"/>
                <w:b w:val="1"/>
                <w:bCs w:val="1"/>
                <w:color w:val="auto"/>
              </w:rPr>
              <w:t>Three Months Ended December 31,</w:t>
            </w:r>
          </w:p>
        </w:tc>
        <w:tc>
          <w:tcPr>
            <w:tcW w:w="1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Six Months Ended December 31,</w:t>
            </w:r>
          </w:p>
        </w:tc>
        <w:tc>
          <w:tcPr>
            <w:tcW w:w="360" w:type="dxa"/>
            <w:vAlign w:val="bottom"/>
            <w:tcBorders>
              <w:bottom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171"/>
        </w:trPr>
        <w:tc>
          <w:tcPr>
            <w:tcW w:w="2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16"/>
              <w:spacing w:after="0"/>
              <w:rPr>
                <w:sz w:val="20"/>
                <w:szCs w:val="20"/>
                <w:color w:val="auto"/>
              </w:rPr>
            </w:pPr>
            <w:r>
              <w:rPr>
                <w:rFonts w:ascii="Arial" w:cs="Arial" w:eastAsia="Arial" w:hAnsi="Arial"/>
                <w:sz w:val="13"/>
                <w:szCs w:val="13"/>
                <w:b w:val="1"/>
                <w:bCs w:val="1"/>
                <w:color w:val="auto"/>
                <w:w w:val="98"/>
              </w:rPr>
              <w:t>% Change</w:t>
            </w:r>
          </w:p>
        </w:tc>
      </w:tr>
      <w:tr>
        <w:trPr>
          <w:trHeight w:val="171"/>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ind w:left="240"/>
              <w:spacing w:after="0"/>
              <w:rPr>
                <w:sz w:val="20"/>
                <w:szCs w:val="20"/>
                <w:color w:val="auto"/>
              </w:rPr>
            </w:pPr>
            <w:r>
              <w:rPr>
                <w:rFonts w:ascii="Arial" w:cs="Arial" w:eastAsia="Arial" w:hAnsi="Arial"/>
                <w:sz w:val="13"/>
                <w:szCs w:val="13"/>
                <w:b w:val="1"/>
                <w:bCs w:val="1"/>
                <w:color w:val="auto"/>
              </w:rPr>
              <w:t>(dollars in millions)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NM</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500" w:type="dxa"/>
            <w:vAlign w:val="bottom"/>
            <w:shd w:val="clear" w:color="auto" w:fill="CCEEFF"/>
          </w:tcPr>
          <w:p>
            <w:pPr>
              <w:jc w:val="center"/>
              <w:ind w:left="36"/>
              <w:spacing w:after="0"/>
              <w:rPr>
                <w:sz w:val="20"/>
                <w:szCs w:val="20"/>
                <w:color w:val="auto"/>
              </w:rPr>
            </w:pPr>
            <w:r>
              <w:rPr>
                <w:rFonts w:ascii="Arial" w:cs="Arial" w:eastAsia="Arial" w:hAnsi="Arial"/>
                <w:sz w:val="13"/>
                <w:szCs w:val="13"/>
                <w:color w:val="auto"/>
                <w:w w:val="98"/>
              </w:rPr>
              <w:t>NM</w:t>
            </w:r>
          </w:p>
        </w:tc>
      </w:tr>
      <w:tr>
        <w:trPr>
          <w:trHeight w:val="165"/>
        </w:trPr>
        <w:tc>
          <w:tcPr>
            <w:tcW w:w="246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36"/>
              <w:spacing w:after="0"/>
              <w:rPr>
                <w:sz w:val="20"/>
                <w:szCs w:val="20"/>
                <w:color w:val="auto"/>
              </w:rPr>
            </w:pPr>
            <w:r>
              <w:rPr>
                <w:rFonts w:ascii="Arial" w:cs="Arial" w:eastAsia="Arial" w:hAnsi="Arial"/>
                <w:sz w:val="13"/>
                <w:szCs w:val="13"/>
                <w:color w:val="auto"/>
              </w:rPr>
              <w:t>3.1</w:t>
            </w:r>
          </w:p>
        </w:tc>
        <w:tc>
          <w:tcPr>
            <w:tcW w:w="36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c>
          <w:tcPr>
            <w:tcW w:w="1560" w:type="dxa"/>
            <w:vAlign w:val="bottom"/>
          </w:tcPr>
          <w:p>
            <w:pPr>
              <w:jc w:val="center"/>
              <w:spacing w:after="0"/>
              <w:rPr>
                <w:sz w:val="20"/>
                <w:szCs w:val="20"/>
                <w:color w:val="auto"/>
              </w:rPr>
            </w:pPr>
            <w:r>
              <w:rPr>
                <w:rFonts w:ascii="Arial" w:cs="Arial" w:eastAsia="Arial" w:hAnsi="Arial"/>
                <w:sz w:val="13"/>
                <w:szCs w:val="13"/>
                <w:color w:val="auto"/>
                <w:w w:val="98"/>
              </w:rPr>
              <w:t>NM</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36"/>
              <w:spacing w:after="0"/>
              <w:rPr>
                <w:sz w:val="20"/>
                <w:szCs w:val="20"/>
                <w:color w:val="auto"/>
              </w:rPr>
            </w:pPr>
            <w:r>
              <w:rPr>
                <w:rFonts w:ascii="Arial" w:cs="Arial" w:eastAsia="Arial" w:hAnsi="Arial"/>
                <w:sz w:val="13"/>
                <w:szCs w:val="13"/>
                <w:color w:val="auto"/>
              </w:rPr>
              <w:t>5.4</w:t>
            </w:r>
          </w:p>
        </w:tc>
        <w:tc>
          <w:tcPr>
            <w:tcW w:w="1080" w:type="dxa"/>
            <w:vAlign w:val="bottom"/>
          </w:tcPr>
          <w:p>
            <w:pPr>
              <w:jc w:val="right"/>
              <w:ind w:right="876"/>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(1.7)</w:t>
            </w:r>
          </w:p>
        </w:tc>
        <w:tc>
          <w:tcPr>
            <w:tcW w:w="1500" w:type="dxa"/>
            <w:vAlign w:val="bottom"/>
          </w:tcPr>
          <w:p>
            <w:pPr>
              <w:jc w:val="center"/>
              <w:ind w:left="36"/>
              <w:spacing w:after="0"/>
              <w:rPr>
                <w:sz w:val="20"/>
                <w:szCs w:val="20"/>
                <w:color w:val="auto"/>
              </w:rPr>
            </w:pPr>
            <w:r>
              <w:rPr>
                <w:rFonts w:ascii="Arial" w:cs="Arial" w:eastAsia="Arial" w:hAnsi="Arial"/>
                <w:sz w:val="13"/>
                <w:szCs w:val="13"/>
                <w:color w:val="auto"/>
                <w:w w:val="98"/>
              </w:rPr>
              <w:t>NM</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0"/>
          <w:szCs w:val="10"/>
          <w:color w:val="auto"/>
        </w:rPr>
        <w:t>*NM - not meaningful</w:t>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Other (expense), net, was comprised of the following for the three and six months ended December 31, 2021:</w:t>
      </w:r>
    </w:p>
    <w:p>
      <w:pPr>
        <w:spacing w:after="0" w:line="221"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Interest expense primarily related to the amortization of the convertible notes discount and deferred financing costs of $(8.8) million and $(17.4) million;</w:t>
      </w: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Interest income from cash, cash equivalents, and short-term investments of $0.3 million and $0.9 million;</w:t>
      </w:r>
    </w:p>
    <w:p>
      <w:pPr>
        <w:ind w:left="520" w:hanging="260"/>
        <w:spacing w:after="0"/>
        <w:tabs>
          <w:tab w:leader="none" w:pos="520" w:val="left"/>
        </w:tabs>
        <w:numPr>
          <w:ilvl w:val="0"/>
          <w:numId w:val="13"/>
        </w:numPr>
        <w:rPr>
          <w:rFonts w:ascii="Arial" w:cs="Arial" w:eastAsia="Arial" w:hAnsi="Arial"/>
          <w:sz w:val="13"/>
          <w:szCs w:val="13"/>
          <w:i w:val="1"/>
          <w:iCs w:val="1"/>
          <w:color w:val="auto"/>
        </w:rPr>
      </w:pPr>
      <w:r>
        <w:rPr>
          <w:rFonts w:ascii="Arial" w:cs="Arial" w:eastAsia="Arial" w:hAnsi="Arial"/>
          <w:sz w:val="13"/>
          <w:szCs w:val="13"/>
          <w:color w:val="auto"/>
        </w:rPr>
        <w:t>Foreign exchange losses of $(1.7) million and $(7.6) million; and</w:t>
      </w: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Unrealized losses on short-term investments of $(0.4) million and $(0.4)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Other income, net, was comprised of the following for the three and six months ended December 31, 2020:</w:t>
      </w:r>
    </w:p>
    <w:p>
      <w:pPr>
        <w:spacing w:after="0" w:line="189"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Interest expense primarily related to the secured revolving credit facility of $(0.4) million and $(0.8) million;</w:t>
      </w: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Interest income from cash, cash equivalents, and short-term investments of $2.3 million and $5.1 million; and</w:t>
      </w:r>
    </w:p>
    <w:p>
      <w:pPr>
        <w:ind w:left="520" w:hanging="260"/>
        <w:spacing w:after="0"/>
        <w:tabs>
          <w:tab w:leader="none" w:pos="520" w:val="left"/>
        </w:tabs>
        <w:numPr>
          <w:ilvl w:val="0"/>
          <w:numId w:val="14"/>
        </w:numPr>
        <w:rPr>
          <w:rFonts w:ascii="Arial" w:cs="Arial" w:eastAsia="Arial" w:hAnsi="Arial"/>
          <w:sz w:val="13"/>
          <w:szCs w:val="13"/>
          <w:i w:val="1"/>
          <w:iCs w:val="1"/>
          <w:color w:val="auto"/>
        </w:rPr>
      </w:pPr>
      <w:r>
        <w:rPr>
          <w:rFonts w:ascii="Arial" w:cs="Arial" w:eastAsia="Arial" w:hAnsi="Arial"/>
          <w:sz w:val="13"/>
          <w:szCs w:val="13"/>
          <w:color w:val="auto"/>
        </w:rPr>
        <w:t>Foreign exchange losses of $(0.1) million and $(0.8) million.</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for the three and six months ended December 31, 2021 of $3.1 million and $5.4 million, respectively, was primarily due to state and international taxes.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Financial Measures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Adjusted EBITDA and Adjusted EBITDA Margin</w:t>
      </w:r>
    </w:p>
    <w:p>
      <w:pPr>
        <w:spacing w:after="0" w:line="47"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050505"/>
        </w:rPr>
        <w:t>We calculate Adjusted EBITDA as net (loss) income adjusted to exclude: other expense (income), net; income tax expense (benefit); depreciation and amortization expense; stock-based compensation expense; impairment expense; product recall costs; litigation and settlement expenses; transaction and integration costs; reorganization, severance, exit, disposal and other costs associated with restructuring plans; and other adjustment items that arise outside the ordinary course of our business. Adjusted EBITDA Margin is calculated by dividing Adjusted EBITDA by total revenue.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33" w:name="page34"/>
    <w:bookmarkEnd w:id="33"/>
    <w:p>
      <w:pPr>
        <w:spacing w:after="0" w:line="244" w:lineRule="auto"/>
        <w:rPr>
          <w:sz w:val="20"/>
          <w:szCs w:val="20"/>
          <w:color w:val="auto"/>
        </w:rPr>
      </w:pPr>
      <w:r>
        <w:rPr>
          <w:rFonts w:ascii="Arial" w:cs="Arial" w:eastAsia="Arial" w:hAnsi="Arial"/>
          <w:sz w:val="13"/>
          <w:szCs w:val="13"/>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84" w:lineRule="exact"/>
        <w:rPr>
          <w:sz w:val="20"/>
          <w:szCs w:val="20"/>
          <w:color w:val="auto"/>
        </w:rPr>
      </w:pPr>
    </w:p>
    <w:p>
      <w:pPr>
        <w:jc w:val="both"/>
        <w:ind w:left="520" w:hanging="260"/>
        <w:spacing w:after="0" w:line="241"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and Adjusted EBITDA Margin are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37"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Adjusted EBITDA and Adjusted EBITDA Margin provide consistency and comparability with our past financial performance, facilitate period-to-period comparisons of our core operating results, and may also facilitate comparisons with other peer companies, many of which use similar non-GAAP financial measures to supplement their GAAP results.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84" w:lineRule="exact"/>
        <w:rPr>
          <w:sz w:val="20"/>
          <w:szCs w:val="20"/>
          <w:color w:val="auto"/>
        </w:rPr>
      </w:pPr>
    </w:p>
    <w:p>
      <w:pPr>
        <w:ind w:left="520" w:hanging="260"/>
        <w:spacing w:after="0" w:line="244"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5" w:lineRule="exact"/>
        <w:rPr>
          <w:rFonts w:ascii="Arial" w:cs="Arial" w:eastAsia="Arial" w:hAnsi="Arial"/>
          <w:sz w:val="13"/>
          <w:szCs w:val="13"/>
          <w:color w:val="auto"/>
        </w:rPr>
      </w:pPr>
    </w:p>
    <w:p>
      <w:pPr>
        <w:jc w:val="both"/>
        <w:ind w:left="520" w:hanging="260"/>
        <w:spacing w:after="0"/>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38"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transaction and integration costs related to acquisitions;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incremental costs associated with COVID-19, which consist of hazard pay for field operations employees;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impairment charges, and gains (losses) on disposals for fixed assets;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the impact of purchase accounting adjustments to inventory related to the Precor acquisition;</w:t>
      </w:r>
    </w:p>
    <w:p>
      <w:pPr>
        <w:spacing w:after="0" w:line="41"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w:t>
      </w:r>
    </w:p>
    <w:p>
      <w:pPr>
        <w:spacing w:after="0" w:line="37"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 xml:space="preserve">Adjusted EBITDA and Adjusted EBITDA Margin do not reflect </w:t>
      </w:r>
      <w:r>
        <w:rPr>
          <w:rFonts w:ascii="Arial" w:cs="Arial" w:eastAsia="Arial" w:hAnsi="Arial"/>
          <w:sz w:val="13"/>
          <w:szCs w:val="13"/>
          <w:color w:val="050505"/>
        </w:rPr>
        <w:t>reorganization, severance, exit, disposal and other costs associated with restructuring plans; and</w:t>
      </w:r>
    </w:p>
    <w:p>
      <w:pPr>
        <w:spacing w:after="0" w:line="41" w:lineRule="exact"/>
        <w:rPr>
          <w:rFonts w:ascii="Arial" w:cs="Arial" w:eastAsia="Arial" w:hAnsi="Arial"/>
          <w:sz w:val="13"/>
          <w:szCs w:val="13"/>
          <w:b w:val="1"/>
          <w:bCs w:val="1"/>
          <w:color w:val="auto"/>
        </w:rPr>
      </w:pPr>
    </w:p>
    <w:p>
      <w:pPr>
        <w:jc w:val="both"/>
        <w:ind w:left="520" w:hanging="260"/>
        <w:spacing w:after="0" w:line="241" w:lineRule="auto"/>
        <w:tabs>
          <w:tab w:leader="none" w:pos="51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 Because companies in our industry may calculate such measures differently than we do, their usefulness as comparative measures can be limited.</w:t>
      </w:r>
    </w:p>
    <w:p>
      <w:pPr>
        <w:spacing w:after="0" w:line="186"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Because of these limitations, Adjusted EBITDA and Adjusted EBITDA Margin should be considered along with other operating and financial performance measures presented in accordance with GAAP.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34" w:name="page35"/>
    <w:bookmarkEnd w:id="34"/>
    <w:p>
      <w:pPr>
        <w:spacing w:after="0" w:line="244" w:lineRule="auto"/>
        <w:rPr>
          <w:sz w:val="20"/>
          <w:szCs w:val="20"/>
          <w:color w:val="auto"/>
        </w:rPr>
      </w:pPr>
      <w:r>
        <w:rPr>
          <w:rFonts w:ascii="Arial" w:cs="Arial" w:eastAsia="Arial" w:hAnsi="Arial"/>
          <w:sz w:val="13"/>
          <w:szCs w:val="13"/>
          <w:color w:val="auto"/>
        </w:rPr>
        <w:t>The following table presents a reconciliation of Adjusted EBITDA to Net (loss) income, the most directly comparable financial measure prepared in accordance with GAAP, for each of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20"/>
                <w:szCs w:val="20"/>
                <w:color w:val="auto"/>
              </w:rPr>
            </w:pPr>
            <w:r>
              <w:rPr>
                <w:rFonts w:ascii="Arial" w:cs="Arial" w:eastAsia="Arial" w:hAnsi="Arial"/>
                <w:sz w:val="13"/>
                <w:szCs w:val="13"/>
                <w:b w:val="1"/>
                <w:bCs w:val="1"/>
                <w:i w:val="1"/>
                <w:iCs w:val="1"/>
                <w:color w:val="auto"/>
              </w:rPr>
              <w:t>Adjusted EBITDA and Adjusted EBITDA Margin</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4"/>
        </w:trPr>
        <w:tc>
          <w:tcPr>
            <w:tcW w:w="5140" w:type="dxa"/>
            <w:vAlign w:val="bottom"/>
          </w:tcPr>
          <w:p>
            <w:pPr>
              <w:spacing w:after="0"/>
              <w:rPr>
                <w:sz w:val="18"/>
                <w:szCs w:val="18"/>
                <w:color w:val="auto"/>
              </w:rPr>
            </w:pPr>
          </w:p>
        </w:tc>
        <w:tc>
          <w:tcPr>
            <w:tcW w:w="3100" w:type="dxa"/>
            <w:vAlign w:val="bottom"/>
            <w:gridSpan w:val="6"/>
          </w:tcPr>
          <w:p>
            <w:pPr>
              <w:ind w:left="460"/>
              <w:spacing w:after="0"/>
              <w:rPr>
                <w:sz w:val="20"/>
                <w:szCs w:val="20"/>
                <w:color w:val="auto"/>
              </w:rPr>
            </w:pPr>
            <w:r>
              <w:rPr>
                <w:rFonts w:ascii="Arial" w:cs="Arial" w:eastAsia="Arial" w:hAnsi="Arial"/>
                <w:sz w:val="13"/>
                <w:szCs w:val="13"/>
                <w:b w:val="1"/>
                <w:bCs w:val="1"/>
                <w:color w:val="auto"/>
              </w:rPr>
              <w:t>Three Months Ended December 31,</w:t>
            </w:r>
          </w:p>
        </w:tc>
        <w:tc>
          <w:tcPr>
            <w:tcW w:w="320" w:type="dxa"/>
            <w:vAlign w:val="bottom"/>
          </w:tcPr>
          <w:p>
            <w:pPr>
              <w:spacing w:after="0"/>
              <w:rPr>
                <w:sz w:val="18"/>
                <w:szCs w:val="18"/>
                <w:color w:val="auto"/>
              </w:rPr>
            </w:pPr>
          </w:p>
        </w:tc>
        <w:tc>
          <w:tcPr>
            <w:tcW w:w="2720" w:type="dxa"/>
            <w:vAlign w:val="bottom"/>
            <w:gridSpan w:val="4"/>
          </w:tcPr>
          <w:p>
            <w:pPr>
              <w:jc w:val="right"/>
              <w:ind w:right="476"/>
              <w:spacing w:after="0"/>
              <w:rPr>
                <w:sz w:val="20"/>
                <w:szCs w:val="20"/>
                <w:color w:val="auto"/>
              </w:rPr>
            </w:pPr>
            <w:r>
              <w:rPr>
                <w:rFonts w:ascii="Arial" w:cs="Arial" w:eastAsia="Arial" w:hAnsi="Arial"/>
                <w:sz w:val="13"/>
                <w:szCs w:val="13"/>
                <w:b w:val="1"/>
                <w:bCs w:val="1"/>
                <w:color w:val="auto"/>
              </w:rPr>
              <w:t>Six Months Ended December 31,</w:t>
            </w:r>
          </w:p>
        </w:tc>
      </w:tr>
      <w:tr>
        <w:trPr>
          <w:trHeight w:val="171"/>
        </w:trPr>
        <w:tc>
          <w:tcPr>
            <w:tcW w:w="51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71"/>
        </w:trPr>
        <w:tc>
          <w:tcPr>
            <w:tcW w:w="5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ind w:left="580"/>
              <w:spacing w:after="0"/>
              <w:rPr>
                <w:sz w:val="20"/>
                <w:szCs w:val="20"/>
                <w:color w:val="auto"/>
              </w:rPr>
            </w:pPr>
            <w:r>
              <w:rPr>
                <w:rFonts w:ascii="Arial" w:cs="Arial" w:eastAsia="Arial" w:hAnsi="Arial"/>
                <w:sz w:val="13"/>
                <w:szCs w:val="13"/>
                <w:b w:val="1"/>
                <w:bCs w:val="1"/>
                <w:color w:val="auto"/>
              </w:rPr>
              <w:t>(dollars in millions)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97"/>
              </w:rPr>
              <w:t>(439.4)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63.6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(815.3)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132.8</w:t>
            </w:r>
          </w:p>
        </w:tc>
      </w:tr>
      <w:tr>
        <w:trPr>
          <w:trHeight w:val="168"/>
        </w:trPr>
        <w:tc>
          <w:tcPr>
            <w:tcW w:w="5140" w:type="dxa"/>
            <w:vAlign w:val="bottom"/>
          </w:tcPr>
          <w:p>
            <w:pPr>
              <w:ind w:left="20"/>
              <w:spacing w:after="0"/>
              <w:rPr>
                <w:sz w:val="20"/>
                <w:szCs w:val="20"/>
                <w:color w:val="auto"/>
              </w:rPr>
            </w:pPr>
            <w:r>
              <w:rPr>
                <w:rFonts w:ascii="Arial" w:cs="Arial" w:eastAsia="Arial" w:hAnsi="Arial"/>
                <w:sz w:val="13"/>
                <w:szCs w:val="13"/>
                <w:color w:val="auto"/>
              </w:rPr>
              <w:t>Adjusted to exclude the following:</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 (income), net</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r>
      <w:tr>
        <w:trPr>
          <w:trHeight w:val="168"/>
        </w:trPr>
        <w:tc>
          <w:tcPr>
            <w:tcW w:w="51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9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6"/>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(1.7)</w:t>
            </w:r>
          </w:p>
        </w:tc>
      </w:t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 expense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24.2</w:t>
            </w:r>
          </w:p>
        </w:tc>
      </w:tr>
      <w:tr>
        <w:trPr>
          <w:trHeight w:val="168"/>
        </w:trPr>
        <w:tc>
          <w:tcPr>
            <w:tcW w:w="51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124.8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67.1</w:t>
            </w:r>
          </w:p>
        </w:tc>
      </w:tr>
      <w:tr>
        <w:trPr>
          <w:trHeight w:val="172"/>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expense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140" w:type="dxa"/>
            <w:vAlign w:val="bottom"/>
          </w:tcPr>
          <w:p>
            <w:pPr>
              <w:ind w:left="20"/>
              <w:spacing w:after="0" w:line="170" w:lineRule="exact"/>
              <w:rPr>
                <w:sz w:val="20"/>
                <w:szCs w:val="20"/>
                <w:color w:val="auto"/>
              </w:rPr>
            </w:pPr>
            <w:r>
              <w:rPr>
                <w:rFonts w:ascii="Arial" w:cs="Arial" w:eastAsia="Arial" w:hAnsi="Arial"/>
                <w:sz w:val="13"/>
                <w:szCs w:val="13"/>
                <w:color w:val="auto"/>
              </w:rPr>
              <w:t>Product recalls</w:t>
            </w:r>
            <w:r>
              <w:rPr>
                <w:rFonts w:ascii="Arial" w:cs="Arial" w:eastAsia="Arial" w:hAnsi="Arial"/>
                <w:sz w:val="16"/>
                <w:szCs w:val="16"/>
                <w:color w:val="auto"/>
                <w:vertAlign w:val="superscript"/>
              </w:rPr>
              <w:t>(1)</w:t>
            </w:r>
          </w:p>
        </w:tc>
        <w:tc>
          <w:tcPr>
            <w:tcW w:w="9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27.5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0"/>
        </w:trPr>
        <w:tc>
          <w:tcPr>
            <w:tcW w:w="51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Litigation and settlement expenses </w:t>
            </w:r>
            <w:r>
              <w:rPr>
                <w:rFonts w:ascii="Arial" w:cs="Arial" w:eastAsia="Arial" w:hAnsi="Arial"/>
                <w:sz w:val="16"/>
                <w:szCs w:val="16"/>
                <w:color w:val="auto"/>
                <w:vertAlign w:val="superscript"/>
              </w:rPr>
              <w:t>(2)</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7.5</w:t>
            </w:r>
          </w:p>
        </w:tc>
      </w:tr>
      <w:tr>
        <w:trPr>
          <w:trHeight w:val="170"/>
        </w:trPr>
        <w:tc>
          <w:tcPr>
            <w:tcW w:w="51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Transaction and integration costs </w:t>
            </w:r>
            <w:r>
              <w:rPr>
                <w:rFonts w:ascii="Arial" w:cs="Arial" w:eastAsia="Arial" w:hAnsi="Arial"/>
                <w:sz w:val="16"/>
                <w:szCs w:val="16"/>
                <w:color w:val="auto"/>
                <w:vertAlign w:val="superscript"/>
              </w:rPr>
              <w:t>(3)</w:t>
            </w:r>
          </w:p>
        </w:tc>
        <w:tc>
          <w:tcPr>
            <w:tcW w:w="9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3.4</w:t>
            </w:r>
          </w:p>
        </w:tc>
      </w:tr>
      <w:tr>
        <w:trPr>
          <w:trHeight w:val="170"/>
        </w:trPr>
        <w:tc>
          <w:tcPr>
            <w:tcW w:w="51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adjustment items </w:t>
            </w:r>
            <w:r>
              <w:rPr>
                <w:rFonts w:ascii="Arial" w:cs="Arial" w:eastAsia="Arial" w:hAnsi="Arial"/>
                <w:sz w:val="16"/>
                <w:szCs w:val="16"/>
                <w:color w:val="auto"/>
                <w:vertAlign w:val="superscript"/>
              </w:rPr>
              <w:t>(4)</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5.9</w:t>
            </w:r>
          </w:p>
        </w:tc>
      </w:tr>
      <w:tr>
        <w:trPr>
          <w:trHeight w:val="160"/>
        </w:trPr>
        <w:tc>
          <w:tcPr>
            <w:tcW w:w="51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97"/>
              </w:rPr>
              <w:t>(266.5)</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116.9</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(500.1)</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rPr>
              <w:t>235.8</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w:t>
      </w:r>
    </w:p>
    <w:p>
      <w:pPr>
        <w:spacing w:after="0" w:line="35" w:lineRule="exact"/>
        <w:rPr>
          <w:sz w:val="20"/>
          <w:szCs w:val="20"/>
          <w:color w:val="auto"/>
        </w:rPr>
      </w:pPr>
    </w:p>
    <w:p>
      <w:pPr>
        <w:jc w:val="both"/>
        <w:ind w:firstLine="5"/>
        <w:spacing w:after="0" w:line="246" w:lineRule="auto"/>
        <w:tabs>
          <w:tab w:leader="none" w:pos="149" w:val="left"/>
        </w:tabs>
        <w:numPr>
          <w:ilvl w:val="0"/>
          <w:numId w:val="17"/>
        </w:numPr>
        <w:rPr>
          <w:rFonts w:ascii="Arial" w:cs="Arial" w:eastAsia="Arial" w:hAnsi="Arial"/>
          <w:sz w:val="10"/>
          <w:szCs w:val="10"/>
          <w:color w:val="auto"/>
        </w:rPr>
      </w:pPr>
      <w:r>
        <w:rPr>
          <w:rFonts w:ascii="Arial" w:cs="Arial" w:eastAsia="Arial" w:hAnsi="Arial"/>
          <w:sz w:val="10"/>
          <w:szCs w:val="10"/>
          <w:color w:val="auto"/>
        </w:rPr>
        <w:t>Represents adjustments and charges associated with the Tread and Tread+ product recall, as well as accrual adjustments. These include a reduction to Connected Fitness Products revenue for actual and estimated future returns of $7.4 million and $18.9 million, recorded costs in Connected Fitness Products cost of revenue associated with inventory write-downs and logistic costs of $5.2 million and $5.7 million, and operating expenses of $2.1 million and $3.0 million associated with recall-related hardware development costs, in each case for the three and six months ended December 31, 2021, respectively.</w:t>
      </w:r>
    </w:p>
    <w:p>
      <w:pPr>
        <w:spacing w:after="0" w:line="38" w:lineRule="exact"/>
        <w:rPr>
          <w:rFonts w:ascii="Arial" w:cs="Arial" w:eastAsia="Arial" w:hAnsi="Arial"/>
          <w:sz w:val="10"/>
          <w:szCs w:val="10"/>
          <w:color w:val="auto"/>
        </w:rPr>
      </w:pPr>
    </w:p>
    <w:p>
      <w:pPr>
        <w:ind w:left="160" w:hanging="155"/>
        <w:spacing w:after="0"/>
        <w:tabs>
          <w:tab w:leader="none" w:pos="1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litigation-related expenses for certain non-recurring patent infringement litigation, consumer arbitration, and product recalls for the three and six months ended December 31, 2021.</w:t>
      </w:r>
    </w:p>
    <w:p>
      <w:pPr>
        <w:spacing w:after="0" w:line="44" w:lineRule="exact"/>
        <w:rPr>
          <w:rFonts w:ascii="Arial" w:cs="Arial" w:eastAsia="Arial" w:hAnsi="Arial"/>
          <w:sz w:val="10"/>
          <w:szCs w:val="10"/>
          <w:color w:val="auto"/>
        </w:rPr>
      </w:pPr>
    </w:p>
    <w:p>
      <w:pPr>
        <w:ind w:left="160" w:hanging="155"/>
        <w:spacing w:after="0"/>
        <w:tabs>
          <w:tab w:leader="none" w:pos="160"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transaction and integration costs primarily associated with the acquisition and integration of Precor Fitness for the three and six months ended December 31, 2021 and December 31, 2020.</w:t>
      </w:r>
    </w:p>
    <w:p>
      <w:pPr>
        <w:spacing w:after="0" w:line="44" w:lineRule="exact"/>
        <w:rPr>
          <w:rFonts w:ascii="Arial" w:cs="Arial" w:eastAsia="Arial" w:hAnsi="Arial"/>
          <w:sz w:val="10"/>
          <w:szCs w:val="10"/>
          <w:color w:val="auto"/>
        </w:rPr>
      </w:pPr>
    </w:p>
    <w:p>
      <w:pPr>
        <w:jc w:val="both"/>
        <w:ind w:firstLine="5"/>
        <w:spacing w:after="0" w:line="246" w:lineRule="auto"/>
        <w:tabs>
          <w:tab w:leader="none" w:pos="152" w:val="left"/>
        </w:tabs>
        <w:numPr>
          <w:ilvl w:val="0"/>
          <w:numId w:val="17"/>
        </w:numPr>
        <w:rPr>
          <w:rFonts w:ascii="Arial" w:cs="Arial" w:eastAsia="Arial" w:hAnsi="Arial"/>
          <w:sz w:val="10"/>
          <w:szCs w:val="10"/>
          <w:color w:val="auto"/>
        </w:rPr>
      </w:pPr>
      <w:r>
        <w:rPr>
          <w:rFonts w:ascii="Arial" w:cs="Arial" w:eastAsia="Arial" w:hAnsi="Arial"/>
          <w:sz w:val="10"/>
          <w:szCs w:val="10"/>
          <w:color w:val="auto"/>
        </w:rPr>
        <w:t>Includes gains (losses) on disposal of fixed assets of $1.7 million and costs associated with restructuring plans of $1.0 million for the three months ended December 31, 2021 and gains (losses) on disposal of fixed assets of $2.3 million, short-term non-cash purchase accounting adjustment amortization of $1.9 million, and costs associated with restructuring plans of $1.0 million for the six months ended December 31, 2021. Includes $5.9 million of incremental costs associated with COVID-19 for the six months ended December 31, 2020.</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Subscription Contribution and Subscription Contribution Margin</w:t>
      </w:r>
    </w:p>
    <w:p>
      <w:pPr>
        <w:spacing w:after="0" w:line="4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84" w:lineRule="exact"/>
        <w:rPr>
          <w:sz w:val="20"/>
          <w:szCs w:val="20"/>
          <w:color w:val="auto"/>
        </w:rPr>
      </w:pPr>
    </w:p>
    <w:p>
      <w:pPr>
        <w:ind w:left="520" w:hanging="260"/>
        <w:spacing w:after="0" w:line="244"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Because of these limitations, Subscription Contribution and Subscription Contribution Margin should be considered along with other operating and financial performance measures presented in accordance with GAAP.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35" w:name="page36"/>
    <w:bookmarkEnd w:id="35"/>
    <w:p>
      <w:pPr>
        <w:jc w:val="both"/>
        <w:spacing w:after="0" w:line="244" w:lineRule="auto"/>
        <w:rPr>
          <w:sz w:val="20"/>
          <w:szCs w:val="20"/>
          <w:color w:val="auto"/>
        </w:rPr>
      </w:pPr>
      <w:r>
        <w:rPr>
          <w:rFonts w:ascii="Arial" w:cs="Arial" w:eastAsia="Arial" w:hAnsi="Arial"/>
          <w:sz w:val="13"/>
          <w:szCs w:val="13"/>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308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December 31,</w:t>
            </w:r>
          </w:p>
        </w:tc>
        <w:tc>
          <w:tcPr>
            <w:tcW w:w="320" w:type="dxa"/>
            <w:vAlign w:val="bottom"/>
          </w:tcPr>
          <w:p>
            <w:pPr>
              <w:spacing w:after="0"/>
              <w:rPr>
                <w:sz w:val="14"/>
                <w:szCs w:val="14"/>
                <w:color w:val="auto"/>
              </w:rPr>
            </w:pPr>
          </w:p>
        </w:tc>
        <w:tc>
          <w:tcPr>
            <w:tcW w:w="2700" w:type="dxa"/>
            <w:vAlign w:val="bottom"/>
            <w:gridSpan w:val="4"/>
          </w:tcPr>
          <w:p>
            <w:pPr>
              <w:jc w:val="right"/>
              <w:ind w:right="456"/>
              <w:spacing w:after="0"/>
              <w:rPr>
                <w:sz w:val="20"/>
                <w:szCs w:val="20"/>
                <w:color w:val="auto"/>
              </w:rPr>
            </w:pPr>
            <w:r>
              <w:rPr>
                <w:rFonts w:ascii="Arial" w:cs="Arial" w:eastAsia="Arial" w:hAnsi="Arial"/>
                <w:sz w:val="13"/>
                <w:szCs w:val="13"/>
                <w:b w:val="1"/>
                <w:bCs w:val="1"/>
                <w:color w:val="auto"/>
              </w:rPr>
              <w:t>Six Months Ended December 31,</w:t>
            </w:r>
          </w:p>
        </w:tc>
      </w:tr>
      <w:tr>
        <w:trPr>
          <w:trHeight w:val="168"/>
        </w:trPr>
        <w:tc>
          <w:tcPr>
            <w:tcW w:w="5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2020</w:t>
            </w:r>
          </w:p>
        </w:tc>
      </w:tr>
      <w:tr>
        <w:trPr>
          <w:trHeight w:val="174"/>
        </w:trPr>
        <w:tc>
          <w:tcPr>
            <w:tcW w:w="5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ind w:left="580"/>
              <w:spacing w:after="0"/>
              <w:rPr>
                <w:sz w:val="20"/>
                <w:szCs w:val="20"/>
                <w:color w:val="auto"/>
              </w:rPr>
            </w:pPr>
            <w:r>
              <w:rPr>
                <w:rFonts w:ascii="Arial" w:cs="Arial" w:eastAsia="Arial" w:hAnsi="Arial"/>
                <w:sz w:val="13"/>
                <w:szCs w:val="13"/>
                <w:b w:val="1"/>
                <w:bCs w:val="1"/>
                <w:color w:val="auto"/>
              </w:rPr>
              <w:t>(dollars in millions)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Revenue</w:t>
            </w: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337.5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641.7</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351.2</w:t>
            </w:r>
          </w:p>
        </w:tc>
      </w:tr>
      <w:tr>
        <w:trPr>
          <w:trHeight w:val="16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Cost of Subscription</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108.3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77.2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210.0</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142.2</w:t>
            </w:r>
          </w:p>
        </w:tc>
      </w:tr>
      <w:tr>
        <w:trPr>
          <w:trHeight w:val="18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Gross Profit</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229.3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117.5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431.7</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209.0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5180" w:type="dxa"/>
            <w:vAlign w:val="bottom"/>
          </w:tcPr>
          <w:p>
            <w:pPr>
              <w:ind w:left="20"/>
              <w:spacing w:after="0" w:line="133" w:lineRule="exact"/>
              <w:rPr>
                <w:sz w:val="20"/>
                <w:szCs w:val="20"/>
                <w:color w:val="auto"/>
              </w:rPr>
            </w:pPr>
            <w:r>
              <w:rPr>
                <w:rFonts w:ascii="Arial" w:cs="Arial" w:eastAsia="Arial" w:hAnsi="Arial"/>
                <w:sz w:val="13"/>
                <w:szCs w:val="13"/>
                <w:color w:val="auto"/>
              </w:rPr>
              <w:t>Subscription Gross Margin</w:t>
            </w: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67.9 %</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60.3 %</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67.3 %</w:t>
            </w: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59.5 %</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518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Add back:</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5180" w:type="dxa"/>
            <w:vAlign w:val="bottom"/>
          </w:tcPr>
          <w:p>
            <w:pPr>
              <w:ind w:left="100"/>
              <w:spacing w:after="0"/>
              <w:rPr>
                <w:sz w:val="20"/>
                <w:szCs w:val="20"/>
                <w:color w:val="auto"/>
              </w:rPr>
            </w:pPr>
            <w:r>
              <w:rPr>
                <w:rFonts w:ascii="Arial" w:cs="Arial" w:eastAsia="Arial" w:hAnsi="Arial"/>
                <w:sz w:val="13"/>
                <w:szCs w:val="13"/>
                <w:color w:val="auto"/>
              </w:rPr>
              <w:t>Depreciation and amortization expense</w:t>
            </w: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96"/>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32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96"/>
              <w:spacing w:after="0"/>
              <w:rPr>
                <w:sz w:val="20"/>
                <w:szCs w:val="20"/>
                <w:color w:val="auto"/>
              </w:rPr>
            </w:pPr>
            <w:r>
              <w:rPr>
                <w:rFonts w:ascii="Arial" w:cs="Arial" w:eastAsia="Arial" w:hAnsi="Arial"/>
                <w:sz w:val="13"/>
                <w:szCs w:val="13"/>
                <w:color w:val="auto"/>
              </w:rPr>
              <w:t>11.9</w:t>
            </w:r>
          </w:p>
        </w:tc>
        <w:tc>
          <w:tcPr>
            <w:tcW w:w="6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9.0</w:t>
            </w:r>
          </w:p>
        </w:tc>
      </w:tr>
      <w:tr>
        <w:trPr>
          <w:trHeight w:val="170"/>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compensation expense</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9.5</w:t>
            </w:r>
          </w:p>
        </w:tc>
      </w:tr>
      <w:tr>
        <w:trPr>
          <w:trHeight w:val="163"/>
        </w:trPr>
        <w:tc>
          <w:tcPr>
            <w:tcW w:w="5180" w:type="dxa"/>
            <w:vAlign w:val="bottom"/>
          </w:tcPr>
          <w:p>
            <w:pPr>
              <w:ind w:left="20"/>
              <w:spacing w:after="0"/>
              <w:rPr>
                <w:sz w:val="20"/>
                <w:szCs w:val="20"/>
                <w:color w:val="auto"/>
              </w:rPr>
            </w:pPr>
            <w:r>
              <w:rPr>
                <w:rFonts w:ascii="Arial" w:cs="Arial" w:eastAsia="Arial" w:hAnsi="Arial"/>
                <w:sz w:val="13"/>
                <w:szCs w:val="13"/>
                <w:color w:val="auto"/>
              </w:rPr>
              <w:t>Subscription Contribution</w:t>
            </w:r>
          </w:p>
        </w:tc>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240.9</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127.2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452.3</w:t>
            </w:r>
          </w:p>
        </w:tc>
        <w:tc>
          <w:tcPr>
            <w:tcW w:w="60" w:type="dxa"/>
            <w:vAlign w:val="bottom"/>
          </w:tcPr>
          <w:p>
            <w:pPr>
              <w:spacing w:after="0"/>
              <w:rPr>
                <w:sz w:val="14"/>
                <w:szCs w:val="14"/>
                <w:color w:val="auto"/>
              </w:rPr>
            </w:pP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227.6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Contribution Margin</w:t>
            </w:r>
          </w:p>
        </w:tc>
        <w:tc>
          <w:tcPr>
            <w:tcW w:w="9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71.4 %</w:t>
            </w: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65.3 %</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70.5 %</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Liquidity and Capital Resources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Our operations have been funded primarily through net proceeds from the sales of our equity and convertible debt securities, as well as cash flows from operating activities. As of December 31, 2021, we had cash and cash equivalents of approximately $1.6 billion.</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anticipate approximately $240 million to $280 million of capital expenditures over the next 12 months, which includes amounts related to the completion of the shell facility for our previously planned Peloton Output Park, as well as investments in product development and systems implementations.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believe our existing cash and cash equivalent balances, cash flow from operations,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February 2022 Restructuring Plan</w:t>
      </w:r>
    </w:p>
    <w:p>
      <w:pPr>
        <w:spacing w:after="0" w:line="45"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On February 1, 2022, following our previous disclosure regarding market factors impacting our business, our board of directors approved a restructuring plan to realign our operational focus to support our multi-year growth, scale our business, and improve costs (the “Restructuring Plan”). The Restructuring Plan includes: (i) reducing our headcount by approximately 2,800 global positions;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2024.</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connection with the Restructuring Plan, we estimate that we will incur total cash charges of approximately $190 million composed of: (i) approximately $90 million for severance and other related personnel reduction costs; (ii) approximately $40 million related to closing and consolidating several assembly and manufacturing plants and distribution facilities; and (iii) approximately $60 million in capital expenditures. We also intend to reduce our planned capital expenditures in fiscal 2022 by approximately $150 million (net of anticipated restructuring expenditures). Additionally, we expect to recognize approximately $80 million of asset impairment charges in the third fiscal quarter of 2022 in connection with the Restructuring Plan.</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We expect to achieve at least $800 million in annualized run-rate cost savings as a result of the Restructuring Plan, with the majority expected to be realized by the end of fiscal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36" w:name="page37"/>
    <w:bookmarkEnd w:id="36"/>
    <w:p>
      <w:pPr>
        <w:jc w:val="both"/>
        <w:spacing w:after="0" w:line="251" w:lineRule="auto"/>
        <w:rPr>
          <w:sz w:val="20"/>
          <w:szCs w:val="20"/>
          <w:color w:val="auto"/>
        </w:rPr>
      </w:pPr>
      <w:r>
        <w:rPr>
          <w:rFonts w:ascii="Arial" w:cs="Arial" w:eastAsia="Arial" w:hAnsi="Arial"/>
          <w:sz w:val="13"/>
          <w:szCs w:val="13"/>
          <w:color w:val="auto"/>
        </w:rPr>
        <w:t xml:space="preserve">We may not be able to realize the cost savings and benefits initially anticipated as a result of the Restructuring Plan, and the costs may be greater than expected. See </w:t>
      </w:r>
      <w:r>
        <w:rPr>
          <w:rFonts w:ascii="Arial" w:cs="Arial" w:eastAsia="Arial" w:hAnsi="Arial"/>
          <w:sz w:val="13"/>
          <w:szCs w:val="13"/>
          <w:i w:val="1"/>
          <w:iCs w:val="1"/>
          <w:color w:val="auto"/>
        </w:rPr>
        <w:t>“Risk Factors—Risks Related to</w:t>
      </w:r>
      <w:r>
        <w:rPr>
          <w:rFonts w:ascii="Arial" w:cs="Arial" w:eastAsia="Arial" w:hAnsi="Arial"/>
          <w:sz w:val="13"/>
          <w:szCs w:val="13"/>
          <w:color w:val="auto"/>
        </w:rPr>
        <w:t xml:space="preserve"> </w:t>
      </w:r>
      <w:r>
        <w:rPr>
          <w:rFonts w:ascii="Arial" w:cs="Arial" w:eastAsia="Arial" w:hAnsi="Arial"/>
          <w:sz w:val="13"/>
          <w:szCs w:val="13"/>
          <w:i w:val="1"/>
          <w:iCs w:val="1"/>
          <w:color w:val="auto"/>
        </w:rPr>
        <w:t>Our Business—We may not successfully execute or achieve the expected benefits of our restructuring initiative, and our efforts may result in further actions and/or additional asset impairment charges and adversely affect our business</w:t>
      </w:r>
      <w:r>
        <w:rPr>
          <w:rFonts w:ascii="Arial" w:cs="Arial" w:eastAsia="Arial" w:hAnsi="Arial"/>
          <w:sz w:val="13"/>
          <w:szCs w:val="13"/>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Convertible Notes</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Capped Call Transactions</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Class A Common Stock Offering</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On November 16, 2021, we entered into an underwriting agreement (the “Underwriting Agreement”) with Goldman Sachs &amp; Co. LLC and J.P. Morgan Securities LLC as representatives of the several underwriters named therein (collectively, the “Representatives”) relating to the offer and sale by the Company (the “Offering”) of 27,173,912 shares (the “Shares”) of the Company’s Class A common stock, par value $0.000025 per share, which includes 3,260,869 shares of Class A common stock issued and sold pursuant to the exercise in full by the underwriters of their option to purchase additional shares of Class A common stock pursuant to the Underwriting Agreement. We sold the Shares to the underwriters at the public offering price of $46.00 per share less underwriting discounts</w:t>
      </w:r>
      <w:r>
        <w:rPr>
          <w:rFonts w:ascii="Arial" w:cs="Arial" w:eastAsia="Arial" w:hAnsi="Arial"/>
          <w:sz w:val="13"/>
          <w:szCs w:val="13"/>
          <w:b w:val="1"/>
          <w:bCs w:val="1"/>
          <w:color w:val="auto"/>
        </w:rPr>
        <w:t>.</w:t>
      </w:r>
      <w:r>
        <w:rPr>
          <w:rFonts w:ascii="Arial" w:cs="Arial" w:eastAsia="Arial" w:hAnsi="Arial"/>
          <w:sz w:val="13"/>
          <w:szCs w:val="13"/>
          <w:color w:val="auto"/>
        </w:rPr>
        <w:t xml:space="preserve"> The net proceeds from the Offering were approximately $1.2 billion, after deducting the underwriters’ discounts and commissions and our offering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Amended and Restated Credit Agreement</w:t>
      </w:r>
    </w:p>
    <w:p>
      <w:pPr>
        <w:spacing w:after="0" w:line="4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June 2019, we entered into an amended and restated loan and security agreement (the “Amended and Restated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February 8, 2021, we entered into a First Amendment (the “First Amendment”) to the Amended and Restated Credit Agreement to revise certain covenants that restricted the incurrence of indebtedness to permit the Capped Call Transactions and issuance of the Notes.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On March 18, 2021, we entered into a Joinder Agreement (the "Joinder") to the Amended and Restated Credit Agreement, as amended by the First Amendment, to provide for an increase of the commitments available under the revolving credit facility from $250.0 million to $285.0 million.</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On December 10, 2021, we entered into a Second Amendment (the “Second Amendment”) to the Amended and Restated Revolving Credit Agreement (as amended by the First Amendment, the Joinder and the Second Amendment, the “Credit Agreement”). The Second Amendment amends certain provisions of the Credit Agreement to, among other changes, increase the lenders’ aggregate commitments to extend credit to us from an aggregate amount of $285.0 million in revolving loans to an aggregate amount of $500.0 million in revolving loans, extend the maturity date for $465.0 million of the commitments to December 10, 2026 with $35.0 million of the commitments expiring on June 20, 2024, and modify certain covenants contained therein.</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Credit Agreement provides for a $500.0 million secured revolving credit facility, including up to the lesser of $250.0 million and the aggregate unused amount of the facility for the issuance of letters of credit. Interest on the Amended Credit Agreement is paid based on SOFR plus 2.25% or an Alternative Base Rate plus 1.25% for revolving loans maturing on December 10, 2026, and is paid based on SOFR plus 2.75% or an Alternative Base Rate plus 1.75% for revolving loans maturing on June 20, 2024. We are required to pay an annual commitment fee of 0.325% and 0.375% on a quarterly basis based on the unused portion of the revolving credit facility for the revolving loans maturing on December 10, 2026 and June 20, 2024, respectively. As of December 31, 2021, we had not drawn on the credit facility and did not have outstanding borrowings under the Amended Credit Agreement. As of December 31, 2021, we had outstanding letters of credit totaling $4.8 million issued primarily to cover security deposits for an operating lease obligation.</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the option to repay our borrowings under the Credit Agreement without premium or penalty prior to maturity. The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37" w:name="page38"/>
    <w:bookmarkEnd w:id="37"/>
    <w:p>
      <w:pPr>
        <w:jc w:val="both"/>
        <w:spacing w:after="0" w:line="239" w:lineRule="auto"/>
        <w:rPr>
          <w:sz w:val="20"/>
          <w:szCs w:val="20"/>
          <w:color w:val="auto"/>
        </w:rPr>
      </w:pPr>
      <w:r>
        <w:rPr>
          <w:rFonts w:ascii="Arial" w:cs="Arial" w:eastAsia="Arial" w:hAnsi="Arial"/>
          <w:sz w:val="13"/>
          <w:szCs w:val="13"/>
          <w:color w:val="auto"/>
        </w:rPr>
        <w:t>total level of liquidity of not less than $250.0 million and maintaining a minimum total four-quarter revenue level of $3.0 billion (which are replaced with a covenant to maintain a minimum debt to adjusted EBITDA ratio upon the Company’s meeting a specified adjusted EBITDA threshold). As of December 31, 2021, we were in compliance with the covenants under the Credit Agreement. At December 31, 2021, we were contingently liable for approximately $4.8 million in standby letters of credit as security for an operating lease obligation. In addition, we are required to pledge or otherwise restrict a portion of cash and cash equivalents as collateral for standby letters of credit. As of December 31, 2021, we had $86.8 million in letters of credit, which are classified as Restricted cash on its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80" w:type="dxa"/>
            <w:vAlign w:val="bottom"/>
          </w:tcPr>
          <w:p>
            <w:pPr>
              <w:spacing w:after="0"/>
              <w:rPr>
                <w:sz w:val="20"/>
                <w:szCs w:val="20"/>
                <w:color w:val="auto"/>
              </w:rPr>
            </w:pPr>
            <w:r>
              <w:rPr>
                <w:rFonts w:ascii="Arial" w:cs="Arial" w:eastAsia="Arial" w:hAnsi="Arial"/>
                <w:sz w:val="13"/>
                <w:szCs w:val="13"/>
                <w:b w:val="1"/>
                <w:bCs w:val="1"/>
                <w:i w:val="1"/>
                <w:iCs w:val="1"/>
                <w:color w:val="auto"/>
              </w:rPr>
              <w:t>Cash Flows</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14"/>
        </w:trPr>
        <w:tc>
          <w:tcPr>
            <w:tcW w:w="7680" w:type="dxa"/>
            <w:vAlign w:val="bottom"/>
          </w:tcPr>
          <w:p>
            <w:pPr>
              <w:spacing w:after="0"/>
              <w:rPr>
                <w:sz w:val="18"/>
                <w:szCs w:val="18"/>
                <w:color w:val="auto"/>
              </w:rPr>
            </w:pPr>
          </w:p>
        </w:tc>
        <w:tc>
          <w:tcPr>
            <w:tcW w:w="30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3"/>
                <w:szCs w:val="13"/>
                <w:b w:val="1"/>
                <w:bCs w:val="1"/>
                <w:color w:val="auto"/>
                <w:w w:val="97"/>
              </w:rPr>
              <w:t>Six Months Ended December 31,</w:t>
            </w:r>
          </w:p>
        </w:tc>
        <w:tc>
          <w:tcPr>
            <w:tcW w:w="580" w:type="dxa"/>
            <w:vAlign w:val="bottom"/>
            <w:tcBorders>
              <w:bottom w:val="single" w:sz="8" w:color="auto"/>
            </w:tcBorders>
          </w:tcPr>
          <w:p>
            <w:pPr>
              <w:spacing w:after="0"/>
              <w:rPr>
                <w:sz w:val="18"/>
                <w:szCs w:val="18"/>
                <w:color w:val="auto"/>
              </w:rPr>
            </w:pPr>
          </w:p>
        </w:tc>
      </w:tr>
      <w:tr>
        <w:trPr>
          <w:trHeight w:val="171"/>
        </w:trPr>
        <w:tc>
          <w:tcPr>
            <w:tcW w:w="7680" w:type="dxa"/>
            <w:vAlign w:val="bottom"/>
          </w:tcPr>
          <w:p>
            <w:pPr>
              <w:spacing w:after="0"/>
              <w:rPr>
                <w:sz w:val="14"/>
                <w:szCs w:val="14"/>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4"/>
                <w:szCs w:val="14"/>
                <w:color w:val="auto"/>
              </w:rPr>
            </w:pPr>
          </w:p>
        </w:tc>
      </w:tr>
      <w:tr>
        <w:trPr>
          <w:trHeight w:val="171"/>
        </w:trPr>
        <w:tc>
          <w:tcPr>
            <w:tcW w:w="7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gridSpan w:val="2"/>
          </w:tcPr>
          <w:p>
            <w:pPr>
              <w:jc w:val="center"/>
              <w:ind w:right="476"/>
              <w:spacing w:after="0"/>
              <w:rPr>
                <w:sz w:val="20"/>
                <w:szCs w:val="20"/>
                <w:color w:val="auto"/>
              </w:rPr>
            </w:pPr>
            <w:r>
              <w:rPr>
                <w:rFonts w:ascii="Arial" w:cs="Arial" w:eastAsia="Arial" w:hAnsi="Arial"/>
                <w:sz w:val="13"/>
                <w:szCs w:val="13"/>
                <w:b w:val="1"/>
                <w:bCs w:val="1"/>
                <w:color w:val="auto"/>
                <w:w w:val="98"/>
              </w:rPr>
              <w:t>(in millions)</w:t>
            </w:r>
          </w:p>
        </w:tc>
        <w:tc>
          <w:tcPr>
            <w:tcW w:w="580" w:type="dxa"/>
            <w:vAlign w:val="bottom"/>
          </w:tcPr>
          <w:p>
            <w:pPr>
              <w:spacing w:after="0"/>
              <w:rPr>
                <w:sz w:val="14"/>
                <w:szCs w:val="14"/>
                <w:color w:val="auto"/>
              </w:rPr>
            </w:pP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 operating activities</w:t>
            </w:r>
          </w:p>
        </w:tc>
        <w:tc>
          <w:tcPr>
            <w:tcW w:w="1120" w:type="dxa"/>
            <w:vAlign w:val="bottom"/>
            <w:shd w:val="clear" w:color="auto" w:fill="CCEEFF"/>
          </w:tcPr>
          <w:p>
            <w:pPr>
              <w:jc w:val="right"/>
              <w:ind w:right="97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(1,007.6)</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510.5</w:t>
            </w:r>
          </w:p>
        </w:tc>
      </w:tr>
      <w:tr>
        <w:trPr>
          <w:trHeight w:val="168"/>
        </w:trPr>
        <w:tc>
          <w:tcPr>
            <w:tcW w:w="768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120" w:type="dxa"/>
            <w:vAlign w:val="bottom"/>
          </w:tcPr>
          <w:p>
            <w:pPr>
              <w:spacing w:after="0"/>
              <w:rPr>
                <w:sz w:val="14"/>
                <w:szCs w:val="14"/>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299.6</w:t>
            </w:r>
          </w:p>
        </w:tc>
        <w:tc>
          <w:tcPr>
            <w:tcW w:w="1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(346.7)</w:t>
            </w:r>
          </w:p>
        </w:tc>
      </w:tr>
      <w:tr>
        <w:trPr>
          <w:trHeight w:val="172"/>
        </w:trPr>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1,287.2</w:t>
            </w:r>
          </w:p>
        </w:tc>
        <w:tc>
          <w:tcPr>
            <w:tcW w:w="1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Net cash used in operating activities of $1,007.6 million for the six months ended December 31, 2021 was primarily due to a net loss of $815.3 million and a decrease in net change in operating assets and liabilities of $460.4 million, partially offset by an increase in non-cash adjustments of $265.7 million. The increase in net operating assets and liabilities was primarily due to a $601.5 million increase in inventory levels as we ramped up supply to support anticipated demand ahead of the holiday season and prepared for the relaunch of Tread in the United States, Canada, U.K. and Germany, partially offset by a $172.2 million increase in Accounts payable and accrued expenses related to increased inventory and other expenditures to support general business growth, and $75.8 million increase in Customer deposits and deferred revenue driven by timing of sales and deliveries in the quarter. Non-cash adjustments primarily consisted of stock-based compensation expense, depreciation and amortization, and non-cash operating lease expense.</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Net cash provided by investing activities for the six months ended December 31, 2021 of $299.6 million was primarily related to sales and maturities of marketable securities of $517.7 million, partially offset by $178.4 million used for capital expenditures primarily related to construction of Peloton Output Park in Troy Township, Ohio.</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Net cash provided by financing activities of $1,287.2 million for the six months ended December 31, 2021 was primarily related to proceeds of $1,218.8 million from the Offering, exercises of stock options of $54.2 million, and $15.2 million in net proceeds from withholdings under the 2019 Employee Stock Purchase Plan.</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Commitments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2021, our contractual obligations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Payments due by period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Less than</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5"/>
              </w:rPr>
              <w:t>1-3 years</w:t>
            </w:r>
          </w:p>
        </w:tc>
        <w:tc>
          <w:tcPr>
            <w:tcW w:w="240" w:type="dxa"/>
            <w:vAlign w:val="bottom"/>
          </w:tcPr>
          <w:p>
            <w:pPr>
              <w:spacing w:after="0"/>
              <w:rPr>
                <w:sz w:val="16"/>
                <w:szCs w:val="1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3-5 years</w:t>
            </w:r>
          </w:p>
        </w:tc>
        <w:tc>
          <w:tcPr>
            <w:tcW w:w="220" w:type="dxa"/>
            <w:vAlign w:val="bottom"/>
          </w:tcPr>
          <w:p>
            <w:pPr>
              <w:spacing w:after="0"/>
              <w:rPr>
                <w:sz w:val="16"/>
                <w:szCs w:val="16"/>
                <w:color w:val="auto"/>
              </w:rPr>
            </w:pPr>
          </w:p>
        </w:tc>
        <w:tc>
          <w:tcPr>
            <w:tcW w:w="1140" w:type="dxa"/>
            <w:vAlign w:val="bottom"/>
          </w:tcPr>
          <w:p>
            <w:pPr>
              <w:jc w:val="right"/>
              <w:ind w:right="316"/>
              <w:spacing w:after="0"/>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85"/>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Contractual obligations:</w:t>
            </w:r>
          </w:p>
        </w:tc>
        <w:tc>
          <w:tcPr>
            <w:tcW w:w="3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8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1 year</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restart"/>
          </w:tcPr>
          <w:p>
            <w:pPr>
              <w:jc w:val="right"/>
              <w:ind w:right="396"/>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30"/>
        </w:trPr>
        <w:tc>
          <w:tcPr>
            <w:tcW w:w="412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8"/>
              </w:rPr>
              <w:t>(in millions)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Lease obligations </w:t>
            </w:r>
            <w:r>
              <w:rPr>
                <w:rFonts w:ascii="Arial" w:cs="Arial" w:eastAsia="Arial" w:hAnsi="Arial"/>
                <w:sz w:val="16"/>
                <w:szCs w:val="16"/>
                <w:color w:val="auto"/>
                <w:vertAlign w:val="superscript"/>
              </w:rPr>
              <w:t>(1)</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1,125.9</w:t>
            </w:r>
          </w:p>
        </w:tc>
        <w:tc>
          <w:tcPr>
            <w:tcW w:w="100" w:type="dxa"/>
            <w:vAlign w:val="bottom"/>
          </w:tcPr>
          <w:p>
            <w:pPr>
              <w:spacing w:after="0"/>
              <w:rPr>
                <w:sz w:val="14"/>
                <w:szCs w:val="14"/>
                <w:color w:val="auto"/>
              </w:rPr>
            </w:pP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125.1</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249.1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214.1</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537.5</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Minimum guarantees </w:t>
            </w:r>
            <w:r>
              <w:rPr>
                <w:rFonts w:ascii="Arial" w:cs="Arial" w:eastAsia="Arial" w:hAnsi="Arial"/>
                <w:sz w:val="16"/>
                <w:szCs w:val="16"/>
                <w:color w:val="auto"/>
                <w:vertAlign w:val="superscript"/>
              </w:rPr>
              <w:t>(2)</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Unused credit facility fee payments </w:t>
            </w:r>
            <w:r>
              <w:rPr>
                <w:rFonts w:ascii="Arial" w:cs="Arial" w:eastAsia="Arial" w:hAnsi="Arial"/>
                <w:sz w:val="16"/>
                <w:szCs w:val="16"/>
                <w:color w:val="auto"/>
                <w:vertAlign w:val="superscript"/>
              </w:rPr>
              <w:t>(3)</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Other purchase obligations </w:t>
            </w:r>
            <w:r>
              <w:rPr>
                <w:rFonts w:ascii="Arial" w:cs="Arial" w:eastAsia="Arial" w:hAnsi="Arial"/>
                <w:sz w:val="16"/>
                <w:szCs w:val="16"/>
                <w:color w:val="auto"/>
                <w:vertAlign w:val="superscript"/>
              </w:rPr>
              <w:t>(4)</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Convertible senior notes </w:t>
            </w:r>
            <w:r>
              <w:rPr>
                <w:rFonts w:ascii="Arial" w:cs="Arial" w:eastAsia="Arial" w:hAnsi="Arial"/>
                <w:sz w:val="16"/>
                <w:szCs w:val="16"/>
                <w:color w:val="auto"/>
                <w:vertAlign w:val="superscript"/>
              </w:rPr>
              <w:t>(5)</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2,323.2</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228.2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537.6</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firstLine="5"/>
        <w:spacing w:after="0" w:line="246" w:lineRule="auto"/>
        <w:tabs>
          <w:tab w:leader="none" w:pos="156" w:val="left"/>
        </w:tabs>
        <w:numPr>
          <w:ilvl w:val="0"/>
          <w:numId w:val="19"/>
        </w:numPr>
        <w:rPr>
          <w:rFonts w:ascii="Arial" w:cs="Arial" w:eastAsia="Arial" w:hAnsi="Arial"/>
          <w:sz w:val="10"/>
          <w:szCs w:val="10"/>
          <w:color w:val="050505"/>
        </w:rPr>
      </w:pPr>
      <w:r>
        <w:rPr>
          <w:rFonts w:ascii="Arial" w:cs="Arial" w:eastAsia="Arial" w:hAnsi="Arial"/>
          <w:sz w:val="10"/>
          <w:szCs w:val="10"/>
          <w:color w:val="050505"/>
        </w:rPr>
        <w:t xml:space="preserve">Lease obligations relate to our office space, warehouses, production studios, equipment, and retail showrooms and microstores. As of </w:t>
      </w:r>
      <w:r>
        <w:rPr>
          <w:rFonts w:ascii="Arial" w:cs="Arial" w:eastAsia="Arial" w:hAnsi="Arial"/>
          <w:sz w:val="10"/>
          <w:szCs w:val="10"/>
          <w:color w:val="000000"/>
        </w:rPr>
        <w:t>December 31, 2021</w:t>
      </w:r>
      <w:r>
        <w:rPr>
          <w:rFonts w:ascii="Arial" w:cs="Arial" w:eastAsia="Arial" w:hAnsi="Arial"/>
          <w:sz w:val="10"/>
          <w:szCs w:val="10"/>
          <w:color w:val="050505"/>
        </w:rPr>
        <w:t>, the Company had additional operating leases for real estate that have not yet commenced of $41.9 million which has been included above. The lease terms are between one and twenty-one years, and the majority of the lease agreements are renewable at the end of the lease period. The Company has finance lease obligations of $3.7 million, also included above.</w:t>
      </w:r>
    </w:p>
    <w:p>
      <w:pPr>
        <w:spacing w:after="0" w:line="28" w:lineRule="exact"/>
        <w:rPr>
          <w:rFonts w:ascii="Arial" w:cs="Arial" w:eastAsia="Arial" w:hAnsi="Arial"/>
          <w:sz w:val="10"/>
          <w:szCs w:val="10"/>
          <w:color w:val="050505"/>
        </w:rPr>
      </w:pPr>
    </w:p>
    <w:p>
      <w:pPr>
        <w:ind w:firstLine="5"/>
        <w:spacing w:after="0" w:line="269" w:lineRule="auto"/>
        <w:tabs>
          <w:tab w:leader="none" w:pos="151" w:val="left"/>
        </w:tabs>
        <w:numPr>
          <w:ilvl w:val="0"/>
          <w:numId w:val="19"/>
        </w:numPr>
        <w:rPr>
          <w:rFonts w:ascii="Arial" w:cs="Arial" w:eastAsia="Arial" w:hAnsi="Arial"/>
          <w:sz w:val="10"/>
          <w:szCs w:val="10"/>
          <w:color w:val="050505"/>
        </w:rPr>
      </w:pPr>
      <w:r>
        <w:rPr>
          <w:rFonts w:ascii="Arial" w:cs="Arial" w:eastAsia="Arial" w:hAnsi="Arial"/>
          <w:sz w:val="10"/>
          <w:szCs w:val="10"/>
          <w:color w:val="050505"/>
        </w:rPr>
        <w:t xml:space="preserve">We are subject to minimum royalty payments associated with our license agreements for the use of licensed content. See </w:t>
      </w:r>
      <w:r>
        <w:rPr>
          <w:rFonts w:ascii="Arial" w:cs="Arial" w:eastAsia="Arial" w:hAnsi="Arial"/>
          <w:sz w:val="10"/>
          <w:szCs w:val="10"/>
          <w:i w:val="1"/>
          <w:iCs w:val="1"/>
          <w:color w:val="050505"/>
        </w:rPr>
        <w:t>“Risk Factors — Risks Related to Our Business—</w:t>
      </w:r>
      <w:r>
        <w:rPr>
          <w:rFonts w:ascii="Arial" w:cs="Arial" w:eastAsia="Arial" w:hAnsi="Arial"/>
          <w:sz w:val="10"/>
          <w:szCs w:val="10"/>
          <w:color w:val="050505"/>
        </w:rPr>
        <w:t xml:space="preserve"> </w:t>
      </w:r>
      <w:r>
        <w:rPr>
          <w:rFonts w:ascii="Arial" w:cs="Arial" w:eastAsia="Arial" w:hAnsi="Arial"/>
          <w:sz w:val="10"/>
          <w:szCs w:val="10"/>
          <w:i w:val="1"/>
          <w:iCs w:val="1"/>
          <w:color w:val="000000"/>
        </w:rPr>
        <w:t>We are a party to many music license agreements that are complex and impose</w:t>
      </w:r>
      <w:r>
        <w:rPr>
          <w:rFonts w:ascii="Arial" w:cs="Arial" w:eastAsia="Arial" w:hAnsi="Arial"/>
          <w:sz w:val="10"/>
          <w:szCs w:val="10"/>
          <w:color w:val="050505"/>
        </w:rPr>
        <w:t xml:space="preserve"> </w:t>
      </w:r>
      <w:r>
        <w:rPr>
          <w:rFonts w:ascii="Arial" w:cs="Arial" w:eastAsia="Arial" w:hAnsi="Arial"/>
          <w:sz w:val="10"/>
          <w:szCs w:val="10"/>
          <w:i w:val="1"/>
          <w:iCs w:val="1"/>
          <w:color w:val="000000"/>
        </w:rPr>
        <w:t>numerous obligations upon us that may make it difficult to operate our business, and a breach of such agreements could adversely affect our business, operating results, and financial condition.”</w:t>
      </w:r>
    </w:p>
    <w:p>
      <w:pPr>
        <w:spacing w:after="0" w:line="28" w:lineRule="exact"/>
        <w:rPr>
          <w:rFonts w:ascii="Arial" w:cs="Arial" w:eastAsia="Arial" w:hAnsi="Arial"/>
          <w:sz w:val="10"/>
          <w:szCs w:val="10"/>
          <w:color w:val="050505"/>
        </w:rPr>
      </w:pPr>
    </w:p>
    <w:p>
      <w:pPr>
        <w:ind w:firstLine="5"/>
        <w:spacing w:after="0" w:line="248" w:lineRule="auto"/>
        <w:tabs>
          <w:tab w:leader="none" w:pos="154" w:val="left"/>
        </w:tabs>
        <w:numPr>
          <w:ilvl w:val="0"/>
          <w:numId w:val="19"/>
        </w:numPr>
        <w:rPr>
          <w:rFonts w:ascii="Arial" w:cs="Arial" w:eastAsia="Arial" w:hAnsi="Arial"/>
          <w:sz w:val="10"/>
          <w:szCs w:val="10"/>
          <w:color w:val="auto"/>
        </w:rPr>
      </w:pPr>
      <w:r>
        <w:rPr>
          <w:rFonts w:ascii="Arial" w:cs="Arial" w:eastAsia="Arial" w:hAnsi="Arial"/>
          <w:sz w:val="10"/>
          <w:szCs w:val="10"/>
          <w:color w:val="auto"/>
        </w:rPr>
        <w:t>Pursuant to the Amended Credit Agreement, we are required to pay a commitment fee of 0.325% and 0.375% on a quarterly basis based on the unused portion of the revolving credit facility for the revolving loans maturing on December 10, 2026 and June 20, 2024, respectively. As of December 31, 2021, we were contingently liable for approximately $4.8 million in standby letters of credit for our operating lease obligations.</w:t>
      </w:r>
    </w:p>
    <w:p>
      <w:pPr>
        <w:spacing w:after="0" w:line="38" w:lineRule="exact"/>
        <w:rPr>
          <w:rFonts w:ascii="Arial" w:cs="Arial" w:eastAsia="Arial" w:hAnsi="Arial"/>
          <w:sz w:val="10"/>
          <w:szCs w:val="10"/>
          <w:color w:val="auto"/>
        </w:rPr>
      </w:pPr>
    </w:p>
    <w:p>
      <w:pPr>
        <w:ind w:left="160" w:hanging="155"/>
        <w:spacing w:after="0"/>
        <w:tabs>
          <w:tab w:leader="none" w:pos="1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Other purchase obligations include all other non-cancelable contractual obligations. These contracts are primarily related to cloud computing costs.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38" w:name="page39"/>
    <w:bookmarkEnd w:id="38"/>
    <w:p>
      <w:pPr>
        <w:spacing w:after="0"/>
        <w:rPr>
          <w:sz w:val="20"/>
          <w:szCs w:val="20"/>
          <w:color w:val="auto"/>
        </w:rPr>
      </w:pPr>
      <w:r>
        <w:rPr>
          <w:rFonts w:ascii="Arial" w:cs="Arial" w:eastAsia="Arial" w:hAnsi="Arial"/>
          <w:sz w:val="10"/>
          <w:szCs w:val="10"/>
          <w:color w:val="auto"/>
        </w:rPr>
        <w:t xml:space="preserve">(5) Refer to </w:t>
      </w:r>
      <w:r>
        <w:rPr>
          <w:rFonts w:ascii="Arial" w:cs="Arial" w:eastAsia="Arial" w:hAnsi="Arial"/>
          <w:sz w:val="10"/>
          <w:szCs w:val="10"/>
          <w:i w:val="1"/>
          <w:iCs w:val="1"/>
          <w:color w:val="auto"/>
        </w:rPr>
        <w:t>Note 7 - Debt</w:t>
      </w:r>
      <w:r>
        <w:rPr>
          <w:rFonts w:ascii="Arial" w:cs="Arial" w:eastAsia="Arial" w:hAnsi="Arial"/>
          <w:sz w:val="10"/>
          <w:szCs w:val="10"/>
          <w:color w:val="auto"/>
        </w:rPr>
        <w:t xml:space="preserve"> in the Notes to Condensed Consolidated Financial Statements in Part I, Item 1 of this Quarterly Report on Form 10-Q for further details regarding our convertible senior notes obligations.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We utilize contract manufacturers to build parts of our products.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ranging from 30 to 90 days. In certain instances, these agreements allow us the option to cancel, reschedule and/or adjust our requirements based on our business needs. While our purchase orders are legally cancellable in most situations, there are some which are not cancellable in the event of a demand plan change or other specific circumstances, such as the procurement of unique, Peloton-specific designs, and/or specific non-cancellable, non-returnable components by our suppliers based on our provided forecasts. As the Company materially reduced its demand plan, we are assessing whether to agree to acquire certain inventory purchased by our suppliers under the original demand plan schedule, where appropriate, in an effort to maintain long-term supply continuity, flexibility, and scalability perspective with our supply partners. As of December 31, 2021, our commitments to contract with third-party manufacturers for their inventory on-hand and component purchase commitments related to the manufacture of our products were estimated to be approximately $550.0 million. See </w:t>
      </w:r>
      <w:r>
        <w:rPr>
          <w:rFonts w:ascii="Arial" w:cs="Arial" w:eastAsia="Arial" w:hAnsi="Arial"/>
          <w:sz w:val="13"/>
          <w:szCs w:val="13"/>
          <w:i w:val="1"/>
          <w:iCs w:val="1"/>
          <w:color w:val="auto"/>
        </w:rPr>
        <w:t>“Risk Factors—Risks Related to Our Business—Our operating results could be adversely affected if we are unable</w:t>
      </w:r>
      <w:r>
        <w:rPr>
          <w:rFonts w:ascii="Arial" w:cs="Arial" w:eastAsia="Arial" w:hAnsi="Arial"/>
          <w:sz w:val="13"/>
          <w:szCs w:val="13"/>
          <w:color w:val="auto"/>
        </w:rPr>
        <w:t xml:space="preserve"> </w:t>
      </w:r>
      <w:r>
        <w:rPr>
          <w:rFonts w:ascii="Arial" w:cs="Arial" w:eastAsia="Arial" w:hAnsi="Arial"/>
          <w:sz w:val="13"/>
          <w:szCs w:val="13"/>
          <w:i w:val="1"/>
          <w:iCs w:val="1"/>
          <w:color w:val="auto"/>
        </w:rPr>
        <w:t>to accurately forecast consumer demand for our products and services and adequately manage our inventory.”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We did not have any undisclosed off-balance sheet arrangements as of December 31, 2021.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Arial" w:cs="Arial" w:eastAsia="Arial" w:hAnsi="Arial"/>
          <w:sz w:val="12"/>
          <w:szCs w:val="12"/>
          <w:i w:val="1"/>
          <w:iCs w:val="1"/>
          <w:color w:val="auto"/>
        </w:rPr>
        <w:t>Note 2—Summary of Significant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Accounting Policies </w:t>
      </w:r>
      <w:r>
        <w:rPr>
          <w:rFonts w:ascii="Arial" w:cs="Arial" w:eastAsia="Arial" w:hAnsi="Arial"/>
          <w:sz w:val="12"/>
          <w:szCs w:val="12"/>
          <w:color w:val="auto"/>
        </w:rPr>
        <w:t>in the Notes to Condensed Consolidated Financial Statements in Part I, Item 1 of this Quarterly Report on Form 10-Q and in our Form 10-K.</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Recent Accounting Pronouncements</w:t>
      </w:r>
    </w:p>
    <w:p>
      <w:pPr>
        <w:spacing w:after="0" w:line="162" w:lineRule="exact"/>
        <w:rPr>
          <w:sz w:val="20"/>
          <w:szCs w:val="20"/>
          <w:color w:val="auto"/>
        </w:rPr>
      </w:pPr>
    </w:p>
    <w:p>
      <w:pPr>
        <w:ind w:right="400"/>
        <w:spacing w:after="0" w:line="287" w:lineRule="auto"/>
        <w:rPr>
          <w:sz w:val="20"/>
          <w:szCs w:val="20"/>
          <w:color w:val="auto"/>
        </w:rPr>
      </w:pPr>
      <w:r>
        <w:rPr>
          <w:rFonts w:ascii="Arial" w:cs="Arial" w:eastAsia="Arial" w:hAnsi="Arial"/>
          <w:sz w:val="12"/>
          <w:szCs w:val="12"/>
          <w:color w:val="auto"/>
        </w:rPr>
        <w:t xml:space="preserve">See </w:t>
      </w:r>
      <w:r>
        <w:rPr>
          <w:rFonts w:ascii="Arial" w:cs="Arial" w:eastAsia="Arial" w:hAnsi="Arial"/>
          <w:sz w:val="12"/>
          <w:szCs w:val="12"/>
          <w:i w:val="1"/>
          <w:iCs w:val="1"/>
          <w:color w:val="auto"/>
        </w:rPr>
        <w:t>Note 2 - Summary of Significant Accounting Policies</w:t>
      </w:r>
      <w:r>
        <w:rPr>
          <w:rFonts w:ascii="Arial" w:cs="Arial" w:eastAsia="Arial" w:hAnsi="Arial"/>
          <w:sz w:val="12"/>
          <w:szCs w:val="12"/>
          <w:color w:val="auto"/>
        </w:rPr>
        <w:t xml:space="preserve"> in the Notes to Condensed Consolidated Financial Statements in Part I, Item 1 of this Quarterly Report on Form 10-Q under the heading </w:t>
      </w:r>
      <w:r>
        <w:rPr>
          <w:rFonts w:ascii="Arial" w:cs="Arial" w:eastAsia="Arial" w:hAnsi="Arial"/>
          <w:sz w:val="12"/>
          <w:szCs w:val="12"/>
          <w:i w:val="1"/>
          <w:iCs w:val="1"/>
          <w:color w:val="auto"/>
        </w:rPr>
        <w:t xml:space="preserve">“Recently Issued Accounting Pronouncements” </w:t>
      </w:r>
      <w:r>
        <w:rPr>
          <w:rFonts w:ascii="Arial" w:cs="Arial" w:eastAsia="Arial" w:hAnsi="Arial"/>
          <w:sz w:val="12"/>
          <w:szCs w:val="12"/>
          <w:color w:val="auto"/>
        </w:rPr>
        <w:t>for a discussion about new accounting pronouncements adopted and not yet adopted as of the date of this Quarterly Report on Form 10-Q.</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Item 3. Quantitative and Qualitative Disclosure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45"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had Cash and cash equivalents of $1.6 billion as of December 31, 2021.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consolidated financial statements.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Risk</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we purchased Tonic, a contract manufacturer, and our operating expenses incurred in manufacturing our products in Tonic’s facilities in Taiwan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Inflation Risk</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4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Under the supervision of our Chief Executive Officer and Chief Financial Officer, we evaluated the effectiveness of our disclosure controls and procedures (as defined in Rules 13a-15(e) and 15d-15(e) under the Exchange Act) as of December 31, 2021.</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December 31, 2021 due to the material weakness in our internal control over financial reporting described below. As permitted by related SEC staff interpretive guidance for newly acquired businesses, the internal control over financial reporting of Precor, Inc. was excluded from the evaluation of the effectiveness of our disclosure controls and procedures as of December 31, 2021. Precor, Inc., which we acquired in April 2021, represented approximately 11% of our consolidated total assets as of December 31, 2021, and 6% and 7% of our consolidated total revenue for the three and six months ended December 31, 2021,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Previously Reported Material Weakness</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As disclosed in Item 9A. “Controls and Procedures” of our Form 10-K, we previously identified material weakness in our internal control over financial reporting related to controls around the identification and valuation of inventory:</w:t>
      </w:r>
    </w:p>
    <w:p>
      <w:pPr>
        <w:spacing w:after="0" w:line="187" w:lineRule="exact"/>
        <w:rPr>
          <w:sz w:val="20"/>
          <w:szCs w:val="20"/>
          <w:color w:val="auto"/>
        </w:rPr>
      </w:pPr>
    </w:p>
    <w:p>
      <w:pPr>
        <w:jc w:val="both"/>
        <w:ind w:left="520" w:hanging="260"/>
        <w:spacing w:after="0" w:line="241" w:lineRule="auto"/>
        <w:tabs>
          <w:tab w:leader="none" w:pos="511" w:val="left"/>
        </w:tabs>
        <w:numPr>
          <w:ilvl w:val="0"/>
          <w:numId w:val="20"/>
        </w:numPr>
        <w:rPr>
          <w:rFonts w:ascii="Arial" w:cs="Arial" w:eastAsia="Arial" w:hAnsi="Arial"/>
          <w:sz w:val="13"/>
          <w:szCs w:val="13"/>
          <w:color w:val="auto"/>
        </w:rPr>
      </w:pPr>
      <w:r>
        <w:rPr>
          <w:rFonts w:ascii="Arial" w:cs="Arial" w:eastAsia="Arial" w:hAnsi="Arial"/>
          <w:sz w:val="13"/>
          <w:szCs w:val="13"/>
          <w:color w:val="auto"/>
        </w:rPr>
        <w:t>Controls were not effectively designed, documented, and maintained to verify that the existence of all inventories subject to physical inventory counts were correctly counted, and our process for compiling and communicating inventory data to ensure accurate reporting in our financial statements was not effective, including inadequate verification for completeness and accuracy of key reports used to review and monitor inventory balances.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This material weakness did not result in any material misstatement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Remediation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We have commenced measures to remediate the identified material weakness, which include:</w:t>
      </w:r>
    </w:p>
    <w:p>
      <w:pPr>
        <w:spacing w:after="0" w:line="178"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Evaluating the effectiveness of our current cycle count program and controls, including IT general controls over systems facilitating cycle counts, to automate inventory count and reporting.</w:t>
      </w:r>
    </w:p>
    <w:p>
      <w:pPr>
        <w:ind w:left="520" w:hanging="260"/>
        <w:spacing w:after="0" w:line="229" w:lineRule="auto"/>
        <w:tabs>
          <w:tab w:leader="none" w:pos="511"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Implementing a global inventory count policy and standard operating procedures to ensure consistent communication of the inventory count process and adherence to these policies at facilities managed by us and third party logistics service providers.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Providing training of standard operating procedures and internal controls to key stakeholders within the supply chain, logistics, and inventory processes.</w:t>
      </w:r>
    </w:p>
    <w:p>
      <w:pPr>
        <w:ind w:left="500" w:hanging="240"/>
        <w:spacing w:after="0"/>
        <w:tabs>
          <w:tab w:leader="none" w:pos="5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Implementing enhanced documentation associated with management review controls and validation of the completeness and accuracy of key reports used across the inventory process.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The actions that we are taking are subject to ongoing senior management review, as well as oversight of the audit committee of our board of directors. We may also conclude that additional measures may be required to remediate the material weakness. We will not be able to conclude that we have remediated the material weakness until the applicable controls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45"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Other than the remediation efforts described above, 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Limitations on the Effectiveness of Disclosure Controls and Procedures</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7"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PART II</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36" w:lineRule="exact"/>
        <w:rPr>
          <w:sz w:val="20"/>
          <w:szCs w:val="20"/>
          <w:color w:val="auto"/>
        </w:rPr>
      </w:pPr>
    </w:p>
    <w:p>
      <w:pPr>
        <w:ind w:right="3520"/>
        <w:spacing w:after="0" w:line="244" w:lineRule="auto"/>
        <w:rPr>
          <w:sz w:val="20"/>
          <w:szCs w:val="20"/>
          <w:color w:val="auto"/>
        </w:rPr>
      </w:pPr>
      <w:r>
        <w:rPr>
          <w:rFonts w:ascii="Arial" w:cs="Arial" w:eastAsia="Arial" w:hAnsi="Arial"/>
          <w:sz w:val="13"/>
          <w:szCs w:val="13"/>
          <w:color w:val="auto"/>
        </w:rPr>
        <w:t>From time to time, we may be involved in claims and proceedings arising in the ordinary course of our business. The outcome of any such claims or proceedings, regardless of the merits, is inherently uncertain.</w:t>
      </w:r>
    </w:p>
    <w:p>
      <w:pPr>
        <w:spacing w:after="0" w:line="172" w:lineRule="exact"/>
        <w:rPr>
          <w:sz w:val="20"/>
          <w:szCs w:val="20"/>
          <w:color w:val="auto"/>
        </w:rPr>
      </w:pPr>
    </w:p>
    <w:p>
      <w:pPr>
        <w:ind w:right="260"/>
        <w:spacing w:after="0" w:line="263" w:lineRule="auto"/>
        <w:rPr>
          <w:sz w:val="20"/>
          <w:szCs w:val="20"/>
          <w:color w:val="auto"/>
        </w:rPr>
      </w:pPr>
      <w:r>
        <w:rPr>
          <w:rFonts w:ascii="Arial" w:cs="Arial" w:eastAsia="Arial" w:hAnsi="Arial"/>
          <w:sz w:val="13"/>
          <w:szCs w:val="13"/>
          <w:color w:val="auto"/>
        </w:rPr>
        <w:t xml:space="preserve">For a discussion of legal proceedings in which we are involved, see </w:t>
      </w:r>
      <w:r>
        <w:rPr>
          <w:rFonts w:ascii="Arial" w:cs="Arial" w:eastAsia="Arial" w:hAnsi="Arial"/>
          <w:sz w:val="13"/>
          <w:szCs w:val="13"/>
          <w:i w:val="1"/>
          <w:iCs w:val="1"/>
          <w:color w:val="auto"/>
        </w:rPr>
        <w:t>Note 8 - Commitments and Contingencies</w:t>
      </w:r>
      <w:r>
        <w:rPr>
          <w:rFonts w:ascii="Arial" w:cs="Arial" w:eastAsia="Arial" w:hAnsi="Arial"/>
          <w:sz w:val="13"/>
          <w:szCs w:val="13"/>
          <w:color w:val="auto"/>
        </w:rPr>
        <w:t xml:space="preserve"> in the Notes to Condensed Consolidated Financial Statements in Part I, Item 1 of this Quarterly Report on Form 10-Q.</w:t>
      </w:r>
    </w:p>
    <w:p>
      <w:pPr>
        <w:spacing w:after="0" w:line="172" w:lineRule="exact"/>
        <w:rPr>
          <w:sz w:val="20"/>
          <w:szCs w:val="20"/>
          <w:color w:val="auto"/>
        </w:rPr>
      </w:pPr>
    </w:p>
    <w:p>
      <w:pPr>
        <w:ind w:right="220"/>
        <w:spacing w:after="0" w:line="239" w:lineRule="auto"/>
        <w:rPr>
          <w:sz w:val="20"/>
          <w:szCs w:val="20"/>
          <w:color w:val="auto"/>
        </w:rPr>
      </w:pPr>
      <w:r>
        <w:rPr>
          <w:rFonts w:ascii="Arial" w:cs="Arial" w:eastAsia="Arial" w:hAnsi="Arial"/>
          <w:sz w:val="13"/>
          <w:szCs w:val="13"/>
          <w:color w:val="auto"/>
        </w:rPr>
        <w:t>In addition, as previously disclosed, we have received reports of a number of injuries associated with our Tread+ product, one of which led to the death of a child. In April 2021, the U.S. Consumer Product Safety Commission (“CPSC”) issued a warning to consumers about the safety hazards associated with the Tread+ and is continuing to investigate the matter. We are also subject to investigations by the U.S. Department of Justice (“DOJ”), U.S. Department of Homeland Security (“DHS”), and the SEC related to this matter. We intend to cooperate fully with each of these investigations, and at this time, we are unable to predict the eventual scope, duration or outcome of the investigations. See also Part II, Item 1A. “Risk Factors — Risks Related to Laws, Regulation, and Legal Proceedings” for more information on these matters.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35" w:lineRule="exact"/>
        <w:rPr>
          <w:sz w:val="20"/>
          <w:szCs w:val="20"/>
          <w:color w:val="auto"/>
        </w:rPr>
      </w:pPr>
    </w:p>
    <w:p>
      <w:pPr>
        <w:jc w:val="both"/>
        <w:spacing w:after="0" w:line="243" w:lineRule="auto"/>
        <w:rPr>
          <w:sz w:val="20"/>
          <w:szCs w:val="20"/>
          <w:color w:val="auto"/>
        </w:rPr>
      </w:pPr>
      <w:r>
        <w:rPr>
          <w:rFonts w:ascii="Arial" w:cs="Arial" w:eastAsia="Arial" w:hAnsi="Arial"/>
          <w:sz w:val="13"/>
          <w:szCs w:val="13"/>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included elsewhere in this Quarterly Report on Form 10-Q and in our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operating losses in the past, may incur operating losses in the future, and may not achieve or maintain profitability in the future.</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had net (loss) income of $(439.4) million and $63.6 million for the three months ended December 31, 2021 and 2020, respectively, and we have incurred operating losses each year since our inception in 2012, including net losses of $(189.0) million, $(71.6) million</w:t>
      </w:r>
      <w:r>
        <w:rPr>
          <w:rFonts w:ascii="Arial" w:cs="Arial" w:eastAsia="Arial" w:hAnsi="Arial"/>
          <w:sz w:val="13"/>
          <w:szCs w:val="13"/>
          <w:color w:val="050505"/>
        </w:rPr>
        <w:t>, and $(195.6) million</w:t>
      </w:r>
      <w:r>
        <w:rPr>
          <w:rFonts w:ascii="Arial" w:cs="Arial" w:eastAsia="Arial" w:hAnsi="Arial"/>
          <w:sz w:val="13"/>
          <w:szCs w:val="13"/>
          <w:color w:val="auto"/>
        </w:rPr>
        <w:t xml:space="preserve"> for fiscal 2021, 2020, and 2019, respectively, and may continue to incur net losses in the future. We expect our operating expenses to increase in the future as we grow our business, including by continuing our sales and marketing efforts, continuing to invest in research and development, expanding our operating and retail infrastructure, adding content and software features to our platform, expanding into new geographies, developing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attract and retain Subscribers, which could have an adverse effect on our business and rate of growth.</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86" w:lineRule="exact"/>
        <w:rPr>
          <w:sz w:val="20"/>
          <w:szCs w:val="20"/>
          <w:color w:val="auto"/>
        </w:rPr>
      </w:pPr>
    </w:p>
    <w:p>
      <w:pPr>
        <w:ind w:left="520" w:hanging="260"/>
        <w:spacing w:after="0" w:line="244"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failure to introduce new features, products, or services that Members find engaging or our introduction of new products or services, or changes to existing products and services that are not favorably received;</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harm to our brand and reputation;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pricing and perceived value of our offerings;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inability to deliver quality products and functionality, content, and services;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actual or perceived safety concerns regarding our products;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2"/>
        </w:numPr>
        <w:rPr>
          <w:rFonts w:ascii="Arial" w:cs="Arial" w:eastAsia="Arial" w:hAnsi="Arial"/>
          <w:sz w:val="13"/>
          <w:szCs w:val="13"/>
          <w:color w:val="auto"/>
        </w:rPr>
      </w:pPr>
      <w:r>
        <w:rPr>
          <w:rFonts w:ascii="Arial" w:cs="Arial" w:eastAsia="Arial" w:hAnsi="Arial"/>
          <w:sz w:val="13"/>
          <w:szCs w:val="13"/>
          <w:color w:val="auto"/>
        </w:rPr>
        <w:t>unsatisfactory experiences with the delivery, installation, or servicing of our Connected Fitness Products, including due to delivery costs or prolonged delivery timelines and limitations on, cost of, or the suspension of, the in-home installation, return, and warranty servicing processes;</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Members engaging with competitive products and services;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technical or other problems preventing Members from accessing our content and services in a rapid and reliable manner or otherwise affecting the Member experience;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decline in the public’s interest in indoor cycling or running, or other fitness disciplines that we invest most heavily in;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4" w:right="319" w:bottom="1440" w:gutter="0" w:footer="0" w:header="0"/>
        </w:sectPr>
      </w:pPr>
    </w:p>
    <w:bookmarkStart w:id="42" w:name="page43"/>
    <w:bookmarkEnd w:id="42"/>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deteriorating general economic conditions or a change in consumer spending preferences or buying trends;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changes in consumer preferences regarding home fitness, whether as a result of the COVID-19 pandemic or otherwise;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interruptions in our ability to sell or deliver our Connected Fitness Products or to create content and services for our Members as a result of the COVID-19 pandemic or otherwise.</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Additionally, with our expansion into international markets such as Canada, the United Kingdom, Germany and Australia we can face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We have expanded our operations rapidly and have limited operating experience at our current size. As we mature and grow, our business becomes increasingly complex. During periods of rapid growth, we have had to manage costs while making investments such as expanding our sales and marketing, focusing on innovative product and content development, upgrading our management information systems and other processes, and obtaining more space, and in future periods of rapid growth we expect to have to similarly manage our costs while investing in the expansion of our business. Rapid growth strains our existing resources, and we could experience ongoing operating difficulties in managing our business across numerous jurisdictions, including difficulties in hiring, training, and managing a diffuse and at times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in some cases assemble, deliver, and service our Connected Fitness Products, exposes us to risk and disruption at many points that are critical to successfully operating our business and may make it more difficult for us to scale our business. For example, as a result of and at the onset of the COVID-19 pandemic, we experienced difficulties in meeting consumer demand for our Connected Fitness Products and services due to our employees becoming ill, being unable to travel to our facilities, and constraints within our supply chain. Conversely, we have recently experienced lower demand for our Connected Fitness Products and services, including through the restructuring initiative we announced in February 2022. As we continue to develop our infrastructure, and particularly in light of the reduction in headcount that was announced as a part of our restructuring initiative, we may find it difficult to maintain valuable aspects of our culture. If we do not adapt to meet these evolving challenges, or if our management team does not effectively scale with our growth while managing costs, we may experience erosion to our brand, the quality of our products and services may suffer, and our company culture may be harmed.</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 xml:space="preserve">Our growth strategy has at times contemplated and may in the future contemplate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retail showrooms, it has at times been under new operating limitations such as shorter operating hours, mask guidelines for employees and customers, and other constraints on our historical retail sales strategies. We have also had to temporarily close certain showrooms due to employee illness and public health and safety measures, and may need to do so in the future. We are unable to predict whether consumer shopping behaviors will change as we make these changes to adjust to the COVID-19 pandemic.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During periods of rapid growth, successful implementation of our growth strategy will require significant expenditures before any substantial associated revenue is generated and we cannot guarantee that these increased investments will result in corresponding and offsetting revenue growth. Additionally, we may not be able to realize the cost savings and benefits initially anticipated as a result of the restructuring initiative that we announced in February 2022 and the expected costs may be greater than expected. See </w:t>
      </w:r>
      <w:r>
        <w:rPr>
          <w:rFonts w:ascii="Arial" w:cs="Arial" w:eastAsia="Arial" w:hAnsi="Arial"/>
          <w:sz w:val="12"/>
          <w:szCs w:val="12"/>
          <w:i w:val="1"/>
          <w:iCs w:val="1"/>
          <w:color w:val="auto"/>
        </w:rPr>
        <w:t>“—We may not successfully</w:t>
      </w:r>
      <w:r>
        <w:rPr>
          <w:rFonts w:ascii="Arial" w:cs="Arial" w:eastAsia="Arial" w:hAnsi="Arial"/>
          <w:sz w:val="12"/>
          <w:szCs w:val="12"/>
          <w:color w:val="auto"/>
        </w:rPr>
        <w:t xml:space="preserve"> </w:t>
      </w:r>
      <w:r>
        <w:rPr>
          <w:rFonts w:ascii="Arial" w:cs="Arial" w:eastAsia="Arial" w:hAnsi="Arial"/>
          <w:sz w:val="12"/>
          <w:szCs w:val="12"/>
          <w:i w:val="1"/>
          <w:iCs w:val="1"/>
          <w:color w:val="auto"/>
        </w:rPr>
        <w:t>execute or achieve the expected benefits of our restructuring initiative, and our efforts may result in further actions and/or additional asset impairment charges and adversely affect our business</w:t>
      </w:r>
      <w:r>
        <w:rPr>
          <w:rFonts w:ascii="Arial" w:cs="Arial" w:eastAsia="Arial" w:hAnsi="Arial"/>
          <w:sz w:val="12"/>
          <w:szCs w:val="12"/>
          <w:color w:val="auto"/>
        </w:rPr>
        <w: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3"/>
          <w:szCs w:val="13"/>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operating results have been, and could in the future be, adversely affected if we are unable to accurately forecast consumer demand for our products and services and adequately manage our inventory.</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COVID-19 pandemic. This risk will be exacerbated by the fact that we may not carry a significant amount of inventory and may not be able to satisfy short-term demand increases, or at times will have an excess in inventory that we are unable to effectively utilize. For example, at the onset of the COVID-19 pandemic, we experienced an unexpected increase in demand for our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43" w:name="page44"/>
    <w:bookmarkEnd w:id="43"/>
    <w:p>
      <w:pPr>
        <w:jc w:val="both"/>
        <w:spacing w:after="0" w:line="244" w:lineRule="auto"/>
        <w:rPr>
          <w:sz w:val="20"/>
          <w:szCs w:val="20"/>
          <w:color w:val="auto"/>
        </w:rPr>
      </w:pPr>
      <w:r>
        <w:rPr>
          <w:rFonts w:ascii="Arial" w:cs="Arial" w:eastAsia="Arial" w:hAnsi="Arial"/>
          <w:sz w:val="13"/>
          <w:szCs w:val="13"/>
          <w:color w:val="auto"/>
        </w:rPr>
        <w:t>Connected Fitness Products as a result of government shelter-in-place orders and other stay-at-home dynamics, which resulted in inventory shortages, delayed delivery timelines and delays in fulfilling support requests. If we fail to accurately forecast consumer demand, we may experience excess inventory levels or a shortage of products available for sale.</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have recently experienced a decrease in consumer demand and an increase in our inventory levels. 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In periods when we experience a decrease in demand for our products and an increase in inventory, we may be unable to renegotiate our agreements with existing suppliers or partners on mutually acceptable terms and prevent us from fully utilizing firm purchase commitments. Although in certain instances our agreements allow us the option to cancel, reschedule, and adjust our requirements based on our business needs, our loss contingencies may include liabilities for contracts that we cannot cancel, reschedule or adjust with suppliers or partners. Further, we are required to evaluate goodwill impairment on an annual basis and between annual evaluations in certain circumstances, and future goodwill impairment evaluations may result in a charge to earnings. See “</w:t>
      </w:r>
      <w:r>
        <w:rPr>
          <w:rFonts w:ascii="Arial" w:cs="Arial" w:eastAsia="Arial" w:hAnsi="Arial"/>
          <w:sz w:val="13"/>
          <w:szCs w:val="13"/>
          <w:i w:val="1"/>
          <w:iCs w:val="1"/>
          <w:color w:val="auto"/>
        </w:rPr>
        <w:t>—We may not successfully execute or achieve the expected benefits of our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restructuring initiative, and our efforts may result in further actions and/or additional asset impairment charges and adversely affect our business.” </w:t>
      </w:r>
      <w:r>
        <w:rPr>
          <w:rFonts w:ascii="Arial" w:cs="Arial" w:eastAsia="Arial" w:hAnsi="Arial"/>
          <w:sz w:val="13"/>
          <w:szCs w:val="13"/>
          <w:color w:val="auto"/>
        </w:rPr>
        <w:t>Conversely, if we underestimate consumer demand,</w:t>
      </w:r>
      <w:r>
        <w:rPr>
          <w:rFonts w:ascii="Arial" w:cs="Arial" w:eastAsia="Arial" w:hAnsi="Arial"/>
          <w:sz w:val="13"/>
          <w:szCs w:val="13"/>
          <w:i w:val="1"/>
          <w:iCs w:val="1"/>
          <w:color w:val="auto"/>
        </w:rPr>
        <w:t xml:space="preserve"> </w:t>
      </w:r>
      <w:r>
        <w:rPr>
          <w:rFonts w:ascii="Arial" w:cs="Arial" w:eastAsia="Arial" w:hAnsi="Arial"/>
          <w:sz w:val="13"/>
          <w:szCs w:val="13"/>
          <w:color w:val="auto"/>
        </w:rPr>
        <w:t>our suppliers and manufacturers may not be able to deliver products to meet our requirements or we may be subject to higher costs in order to secure the necessary production capacity. See “</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Increases in component costs, long lead times, supply shortages, and supply changes could disrupt our supply chain and have an adverse effect on our business, financial condition, and operating results.</w:t>
      </w:r>
      <w:r>
        <w:rPr>
          <w:rFonts w:ascii="Arial" w:cs="Arial" w:eastAsia="Arial" w:hAnsi="Arial"/>
          <w:sz w:val="13"/>
          <w:szCs w:val="13"/>
          <w:color w:val="auto"/>
        </w:rPr>
        <w:t>” An inability to meet consumer demand and delays in the delivery of our products to our customers could result in reputational harm and damaged customer relationships and have an adverse</w:t>
      </w:r>
      <w:r>
        <w:rPr>
          <w:rFonts w:ascii="Arial" w:cs="Arial" w:eastAsia="Arial" w:hAnsi="Arial"/>
          <w:sz w:val="13"/>
          <w:szCs w:val="13"/>
          <w:i w:val="1"/>
          <w:iCs w:val="1"/>
          <w:color w:val="auto"/>
        </w:rPr>
        <w:t xml:space="preserve"> </w:t>
      </w:r>
      <w:r>
        <w:rPr>
          <w:rFonts w:ascii="Arial" w:cs="Arial" w:eastAsia="Arial" w:hAnsi="Arial"/>
          <w:sz w:val="13"/>
          <w:szCs w:val="13"/>
          <w:color w:val="auto"/>
        </w:rPr>
        <w:t>effect on our business, financial condition, and operating results.</w:t>
      </w:r>
    </w:p>
    <w:p>
      <w:pPr>
        <w:spacing w:after="0" w:line="162"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b w:val="1"/>
          <w:bCs w:val="1"/>
          <w:i w:val="1"/>
          <w:iCs w:val="1"/>
          <w:color w:val="auto"/>
        </w:rPr>
        <w:t>We may not successfully execute or achieve the expected benefits of our restructuring initiative and other cost saving measures we may take in the future, and our efforts may result in further actions and/or additional asset impairment charges and adversely affect our business.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 xml:space="preserve">In February 2022, we announced a restructuring plan, which primarily includes reducing our headcount, closing several assembly and manufacturing plants, including the completion and subsequent sale of the shell facility for our previously planned Peloton Output Park, closing and consolidating several distribution facilities, and shifting to third-party logistics providers in certain locations. Our restructuring initiative is intended to address the short-term health of our business as well as our long-term objectives and is based on our current estimates, assumptions and forecasts, which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intend to take under the restructuring initiative and that we may decide to take in the future may not be successful in yielding our intended results and may not appropriately address either or both of the short-term and long-term strategy for our business. Additionally, implementation of the restructuring initiative and any other cost-saving initiatives may be costly and disruptive to our business, the expected costs and charges may be greater than we have forecasted, and the estimated cost savings may be lower than we have forecasted. In addition, our initiatives could result in personnel attrition beyond our planned reduction in headcount or reduce employee morale, which could in turn adversely impact productivity, including through a loss of continuity, loss of accumulated knowledge and/or inefficiency during transitional periods, or our ability to attract highly skilled employees. Unfavorable publicity about us or any of our strategic initiatives, including our restructuring initiative, could result in reputation harm and could diminish confidence in, and the use of, our products and services. See </w:t>
      </w:r>
      <w:r>
        <w:rPr>
          <w:rFonts w:ascii="Arial" w:cs="Arial" w:eastAsia="Arial" w:hAnsi="Arial"/>
          <w:sz w:val="12"/>
          <w:szCs w:val="12"/>
          <w:i w:val="1"/>
          <w:iCs w:val="1"/>
          <w:color w:val="auto"/>
        </w:rPr>
        <w:t>“—Our success depends on our ability to maintain the value and reputation of the Peloton brand.</w:t>
      </w:r>
      <w:r>
        <w:rPr>
          <w:rFonts w:ascii="Arial" w:cs="Arial" w:eastAsia="Arial" w:hAnsi="Arial"/>
          <w:sz w:val="12"/>
          <w:szCs w:val="12"/>
          <w:color w:val="auto"/>
        </w:rPr>
        <w:t>” The restructuring initiative has required, and may continue to require, a significant amount of management’s and other employees’ time and focus, which may divert attention from effectively operating and growing our business.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experienced a significant increase in our Subscriber base at the onset of the COVID-19 pandemic, the rate of the increase has since slowed down and, over the longer term,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COVID-19 pandemic and other market constraints.</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44" w:name="page45"/>
    <w:bookmarkEnd w:id="44"/>
    <w:p>
      <w:pPr>
        <w:jc w:val="both"/>
        <w:spacing w:after="0" w:line="244" w:lineRule="auto"/>
        <w:rPr>
          <w:sz w:val="20"/>
          <w:szCs w:val="20"/>
          <w:color w:val="auto"/>
        </w:rPr>
      </w:pPr>
      <w:r>
        <w:rPr>
          <w:rFonts w:ascii="Arial" w:cs="Arial" w:eastAsia="Arial" w:hAnsi="Arial"/>
          <w:sz w:val="13"/>
          <w:szCs w:val="13"/>
          <w:color w:val="auto"/>
        </w:rPr>
        <w:t>addition, new or enhanced products or services may have varying selling prices and costs compared to legacy products and services, which could negatively impact our brand, gross margins and operating results.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connected fitness market is relatively new and, if the general market and specific demand for our products and services does not continue to grow, grows more slowly than we expect, or fails to grow as much as we expect, our business, financial condition, and operating results may be adversely affected.</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connected fitness and wellness market is relatively new, rapidly growing, and largely unproven, and it is uncertain whether it will sustain high levels of demand and achieve wide market acceptance. Our success depends substantially on the willingness of consumers to widely adopt our products and services. We have had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or be sustained at current levels,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or sustain market acceptance, our business, financial condition, and operating results could be adversely affected.</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have a limited operating history from which to predict our long-term performance, and our past financial results may not be indicative of our future performance. Further, our revenue growth rate is likely to slow as our business matures.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Additionally, we experienced a significant increase in our Subscriber base at the onset of the COVID-19 pandemic which slowed as consumers were able to resume activity outside the home, and, it remains uncertain how the COVID-19 pandemic and other market constraints will impact consumer demand for our products and services over the long term.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full impact of the COVID-19 pandemic is uncertain and cannot be predicted. The COVID-19 pandemic could worsen or its effects may be prolonged, including as a result of variants, which could have an adverse effect on our business, results of operations, and financial condition.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COVID-19 has caused significant volatility in financial markets and has caused what could be an extended global recession. Public health problems resulting from COVID-19 and precautionary measures instituted by governments and businesses to mitigate its spread, including travel restrictions and quarantines, have and could continue to contribute to a general slowdown in the global economy, adversely impact our Members, employees, third-party suppliers, contract manufacturers, logistics providers and other business partners, and otherwise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prevented or mitigated through succession and business continuity planning, employees working remotely or teleconferencing technologies.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COVID-19 and related reactions from governments and members of the public have had and may continue to have a negative impact on our business, liquidity, results of operations, and stock price due to the occurrence of some or all of the following events or circumstances, among others:</w:t>
      </w:r>
    </w:p>
    <w:p>
      <w:pPr>
        <w:spacing w:after="0" w:line="184"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inability to manage our business effectively due to employees, including key employees, becoming ill, working from home inefficiently, and being unable to travel to our facilities;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 or recommendations;</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temporary suspension in sales of our Tread due to the Tread installation process requiring our delivery teams to enter the residences of our Members;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prolonged delivery timelines and the implementation of curbside and “threshold” delivery, which requires our Members to self-install and set up their Bikes, due to work restrictions related to COVID-19;</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inability to meet consumer demand and delays in the delivery of our products to our customers, resulting in reputational harm and damaged customer relationships;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rates of post-purchase order cancellation, or consumer or consumer protection agency claims and litigation as a result of long delivery lead times and delivery reschedules;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45" w:name="page46"/>
    <w:bookmarkEnd w:id="45"/>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decreased sales and increased return rates due to a decrease in consumer discretionary spending or a decrease in consumer demand for our products;</w:t>
      </w:r>
    </w:p>
    <w:p>
      <w:pPr>
        <w:spacing w:after="0" w:line="41"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temporary inventory shortages caused by a combination of increased demand for our Connected Fitness Products that were difficult to predict with accuracy, and longer lead-times and component shortages in the manufacturing of our Connected Fitness Products, due to work restrictions related to COVID-19, import/export conditions such as port congestion, and local government orders;</w:t>
      </w:r>
    </w:p>
    <w:p>
      <w:pPr>
        <w:spacing w:after="0" w:line="37"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interruptions in our ability to offer live studio classes and produce new content;</w:t>
      </w:r>
    </w:p>
    <w:p>
      <w:pPr>
        <w:spacing w:after="0" w:line="41"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interruptions in manufacturing (including the sourcing of key components), shipment and delivery of our products; for example, in certain instances, we have temporarily closed certain of our field operations warehouses for short periods of time for the safety of our personnel and the implementation of safety measures such as deep cleanings following confirmed cases of COVID-19;</w:t>
      </w:r>
    </w:p>
    <w:p>
      <w:pPr>
        <w:spacing w:after="0" w:line="37"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disruptions of the operations of our third-party suppliers, which could impact our ability to purchase components at efficient prices and in sufficient amounts;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reduced demand for our Connected Fitness Products and services, including due to any prolonged economic downturn that may occur;</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inability to raise additional capital or the dilution of our common stock if we raise capital by issuing equity securities;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volatility in the market price of our Class A common stock;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incurrence of significant increases to employee health care and benefits costs.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Sales of our Connected Fitness Products increased with the onset of the pandemic as we saw consumers invest in at-home fitness equipment with the imposition of government mandated stay-at-home orders. As a result of our increased sales, the price of our Class A common stock increased significantly with the onset of the COVID-19 pandemic, but has also fluctuated based on developments surrounding COVID-19. For example, when the effectiveness of the first COVID-19 vaccination was announced in November 2020, the stock price of our Class A common stock dropped, and as reports of COVID-19 increased during the 2020 holiday season, the stock price of our Class A common stock rose. It remains uncertain how the COVID-19 pandemic will impact our stock price over the long term.</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full extent of the impact of COVID-19 on our business and financial results will depend largely on future developments, including, without limitation, the duration, severity and trajectory of the pandemic (including the potential impact of variants of the virus), the development, availability, distribution, uptake and effectiveness of vaccines and treatments, guidance regarding and the imposition of protective public safety measures, companies’ remote work policies, the impact on capital and financial markets and global supply chains, and the related impact on the financial circumstances of our Members (which may include consumer discretionary spending decreases, or upon the removal of lockdowns may cause consumers to go back to their pre-COVID routines), all of which are highly uncertain and cannot be predicted. See “</w:t>
      </w:r>
      <w:r>
        <w:rPr>
          <w:rFonts w:ascii="Arial" w:cs="Arial" w:eastAsia="Arial" w:hAnsi="Arial"/>
          <w:sz w:val="13"/>
          <w:szCs w:val="13"/>
          <w:i w:val="1"/>
          <w:iCs w:val="1"/>
          <w:color w:val="auto"/>
        </w:rPr>
        <w:t>—Our operating results could be adversely affected if we are unable to accurately forecast consumer demand for our products and services and adequately</w:t>
      </w:r>
      <w:r>
        <w:rPr>
          <w:rFonts w:ascii="Arial" w:cs="Arial" w:eastAsia="Arial" w:hAnsi="Arial"/>
          <w:sz w:val="13"/>
          <w:szCs w:val="13"/>
          <w:color w:val="auto"/>
        </w:rPr>
        <w:t xml:space="preserve"> </w:t>
      </w:r>
      <w:r>
        <w:rPr>
          <w:rFonts w:ascii="Arial" w:cs="Arial" w:eastAsia="Arial" w:hAnsi="Arial"/>
          <w:sz w:val="13"/>
          <w:szCs w:val="13"/>
          <w:i w:val="1"/>
          <w:iCs w:val="1"/>
          <w:color w:val="auto"/>
        </w:rPr>
        <w:t>manage our inventory</w:t>
      </w:r>
      <w:r>
        <w:rPr>
          <w:rFonts w:ascii="Arial" w:cs="Arial" w:eastAsia="Arial" w:hAnsi="Arial"/>
          <w:sz w:val="13"/>
          <w:szCs w:val="13"/>
          <w:color w:val="auto"/>
        </w:rPr>
        <w:t>.” This situation is changing rapidly, and additional impacts may arise that we currently view as immaterial or that we are not aware of currently.</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operate in a highly competitive market and we may be unable to compete successfully against existing and future competitors.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8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Our competitors may develop, or have already developed, products, features, content, services, or technologies that are similar to ours or that achieve greater acceptance, may undertake more successful product development efforts, be more efficient at meeting consumer demand,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music licensing rights, or be better positioned to withstand substantial price competition. Due to the highly volatile and competitive nature of the industry in which we compete, we may face pressure to continually introduce new products, services and technologies, enhance existing products and services, effectively stimulate customer demand for new and upgraded products and services, and successfully manage the transition to these new and upgraded products and services. If we are not able to compete effectively against our competitors, they may acquire, engage and retain customers or generate revenue at the expense of our efforts, which could have an adverse effect on our business, financial condition, and operating results.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We derive a significant majority of our revenue from sales of our Bike and Bike+. A decline in sales of our Bike and Bike+ would negatively affect our future revenue and operating results.</w:t>
      </w:r>
    </w:p>
    <w:p>
      <w:pPr>
        <w:spacing w:after="0" w:line="171" w:lineRule="exact"/>
        <w:rPr>
          <w:sz w:val="20"/>
          <w:szCs w:val="20"/>
          <w:color w:val="auto"/>
        </w:rPr>
      </w:pPr>
    </w:p>
    <w:p>
      <w:pPr>
        <w:ind w:right="80"/>
        <w:spacing w:after="0" w:line="267" w:lineRule="auto"/>
        <w:rPr>
          <w:sz w:val="20"/>
          <w:szCs w:val="20"/>
          <w:color w:val="auto"/>
        </w:rPr>
      </w:pPr>
      <w:r>
        <w:rPr>
          <w:rFonts w:ascii="Arial" w:cs="Arial" w:eastAsia="Arial" w:hAnsi="Arial"/>
          <w:sz w:val="12"/>
          <w:szCs w:val="12"/>
          <w:color w:val="auto"/>
        </w:rPr>
        <w:t>Our Connected Fitness Products are sold in highly competitive markets with limited barriers to entry. Changes to our price structure, including with respect to delivery and installation pricing, product mix, the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 financial condition, and operating results. Because we derive a significant majority of our revenue from the sales of our Bike and Bike+, any material decline in sales of our Bike would have a pronounced impact on our future revenue and operating results.</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46" w:name="page47"/>
    <w:bookmarkEnd w:id="46"/>
    <w:p>
      <w:pPr>
        <w:ind w:right="20"/>
        <w:spacing w:after="0" w:line="238" w:lineRule="auto"/>
        <w:rPr>
          <w:sz w:val="20"/>
          <w:szCs w:val="20"/>
          <w:color w:val="auto"/>
        </w:rPr>
      </w:pPr>
      <w:r>
        <w:rPr>
          <w:rFonts w:ascii="Arial" w:cs="Arial" w:eastAsia="Arial" w:hAnsi="Arial"/>
          <w:sz w:val="13"/>
          <w:szCs w:val="13"/>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also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a large portion of both our own and our contract manufacturers’ primary facilities are located in Taiwan and China. Thus, our business could be adversely affected if one or more of our suppliers is impacted by a natural disaster, an epidemic such as the current COVID-19 pandemic, or other interruption at a particular location. In particular, the current COVID-19 pandemic has caused, and will likely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or delays surrounding travel or the import/export of goods and services from certain ports that we use; and local quarantines or other public safety measures. Additionally, we may increase our reliance on third-party suppliers, manufacturers and other logistics partners. For example, in February 2022, we announced that, as part of our restructuring plan, we intend to close and consolidate several distribution facilities and shift to third-party logistics providers in certain locations. Our primary last mile partner currently relies on a network of independent contractors to perform last mile services for us in many markets. If any of these independent contractors, or the last mile partner as a whole, do not perform their obligations or meet the expectations of us or our Members, our brand, reputation and business could suffer. See “</w:t>
      </w:r>
      <w:r>
        <w:rPr>
          <w:rFonts w:ascii="Arial" w:cs="Arial" w:eastAsia="Arial" w:hAnsi="Arial"/>
          <w:sz w:val="13"/>
          <w:szCs w:val="13"/>
          <w:i w:val="1"/>
          <w:iCs w:val="1"/>
          <w:color w:val="auto"/>
        </w:rPr>
        <w:t>—We have limited control over our suppliers, contract manufacturers, and logistics partners, which may subject us to significant risks, including the potential inability to</w:t>
      </w:r>
      <w:r>
        <w:rPr>
          <w:rFonts w:ascii="Arial" w:cs="Arial" w:eastAsia="Arial" w:hAnsi="Arial"/>
          <w:sz w:val="13"/>
          <w:szCs w:val="13"/>
          <w:color w:val="auto"/>
        </w:rPr>
        <w:t xml:space="preserve"> </w:t>
      </w:r>
      <w:r>
        <w:rPr>
          <w:rFonts w:ascii="Arial" w:cs="Arial" w:eastAsia="Arial" w:hAnsi="Arial"/>
          <w:sz w:val="13"/>
          <w:szCs w:val="13"/>
          <w:i w:val="1"/>
          <w:iCs w:val="1"/>
          <w:color w:val="auto"/>
        </w:rPr>
        <w:t>produce or obtain quality products and services on a timely basis or in sufficient quantity.”</w:t>
      </w:r>
    </w:p>
    <w:p>
      <w:pPr>
        <w:spacing w:after="0" w:line="195"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 xml:space="preserve">If we experience a significant increase in demand for our Connected Fitness Products that cannot be satisfied adequately through our existing supply channels, if we need to replace an existing supplier, manufacturer or partner, or if we find we need to engage additional suppliers, manufacturers and partners to support our operations, we may be unable to supplement or replace them under our required timing, at a quality standard to our satisfaction, or on market terms that are acceptable to us, which may undermine our ability to deliver our products to Members in a timely manner and otherwise impact our Members’ experience. For example, if we require additional manufacturing support, it may take a significant amount of time to identify a manufacturer that has the capability and resources to build our products to our specifications in sufficient volume. See </w:t>
      </w:r>
      <w:r>
        <w:rPr>
          <w:rFonts w:ascii="Arial" w:cs="Arial" w:eastAsia="Arial" w:hAnsi="Arial"/>
          <w:sz w:val="13"/>
          <w:szCs w:val="13"/>
          <w:i w:val="1"/>
          <w:iCs w:val="1"/>
          <w:color w:val="auto"/>
        </w:rPr>
        <w:t>“—Our operating results could be adversely affected if we are unable to accurately forecast consumer demand for our</w:t>
      </w:r>
      <w:r>
        <w:rPr>
          <w:rFonts w:ascii="Arial" w:cs="Arial" w:eastAsia="Arial" w:hAnsi="Arial"/>
          <w:sz w:val="13"/>
          <w:szCs w:val="13"/>
          <w:color w:val="auto"/>
        </w:rPr>
        <w:t xml:space="preserve"> </w:t>
      </w:r>
      <w:r>
        <w:rPr>
          <w:rFonts w:ascii="Arial" w:cs="Arial" w:eastAsia="Arial" w:hAnsi="Arial"/>
          <w:sz w:val="13"/>
          <w:szCs w:val="13"/>
          <w:i w:val="1"/>
          <w:iCs w:val="1"/>
          <w:color w:val="auto"/>
        </w:rPr>
        <w:t>products and services and adequately manage our inventory</w:t>
      </w:r>
      <w:r>
        <w:rPr>
          <w:rFonts w:ascii="Arial" w:cs="Arial" w:eastAsia="Arial" w:hAnsi="Arial"/>
          <w:sz w:val="13"/>
          <w:szCs w:val="13"/>
          <w:color w:val="auto"/>
        </w:rPr>
        <w:t>.” Identifying suitable suppliers, manufacturers, and logistics partners is an extensive process that requires us to become satisfied with their</w:t>
      </w:r>
      <w:r>
        <w:rPr>
          <w:rFonts w:ascii="Arial" w:cs="Arial" w:eastAsia="Arial" w:hAnsi="Arial"/>
          <w:sz w:val="13"/>
          <w:szCs w:val="13"/>
          <w:i w:val="1"/>
          <w:iCs w:val="1"/>
          <w:color w:val="auto"/>
        </w:rPr>
        <w:t xml:space="preserve"> </w:t>
      </w:r>
      <w:r>
        <w:rPr>
          <w:rFonts w:ascii="Arial" w:cs="Arial" w:eastAsia="Arial" w:hAnsi="Arial"/>
          <w:sz w:val="13"/>
          <w:szCs w:val="13"/>
          <w:color w:val="auto"/>
        </w:rPr>
        <w:t>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We have limited control over our suppliers, contract manufacturers, and logistics partners, which subjects us to the following risks:</w:t>
      </w:r>
    </w:p>
    <w:p>
      <w:pPr>
        <w:spacing w:after="0" w:line="190"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inability to satisfy demand for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reduced control over delivery timing and related customer experience and product reliability;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reduced ability to monitor the manufacturing process and components used in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limited ability to develop comprehensive manufacturing specifications that take into account any materials shortages or substitutions;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variance in the manufacturing capability of our third-party manufacturers;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price increases;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failure of a significant supplier, manufacturer, or logistics partner to perform its obligations to us for technical, market, or other reasons;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variance in the quality of services provided by our third-party last mile partners;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difficulties in establishing additional supplier, manufacturer, or logistics partner relationships if we experience difficulties with our existing suppliers, manufacturers, or logistics partners;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shortages of materials or components;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misappropriation of our intellectual property;</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exposure to natural catastrophes, epidemics such as the COVID-19 pandemic, political unrest, terrorism, labor disputes, and economic instability resulting in the disruption of trade from foreign countries in which our Connected Fitness Products are manufactured or the components thereof are sourced;</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local economic conditions in the jurisdictions where our suppliers, manufacturers, and logistics partners are located;</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insufficient warranties and indemnities on components supplied to our manufacturers or performance by our partners.</w:t>
      </w:r>
    </w:p>
    <w:p>
      <w:pPr>
        <w:spacing w:after="0" w:line="232"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We also rely on our logistics partners, including last mile partners, to complete a substantial percentage of our deliveries to customers, with the rest of the deliveries handled by our own last mile team. The current COVID-19 pandemic has required us to rely more heavily on our last mile partners in certain markets where we have had to temporarily quarantine our in-house delivery teams due to employee illness or where our in-house delivery teams’ capacity is otherwise constrained, and we may in the future continue to increase our reliance on last mile partners. 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47" w:name="page48"/>
    <w:bookmarkEnd w:id="47"/>
    <w:p>
      <w:pPr>
        <w:ind w:right="200"/>
        <w:spacing w:after="0" w:line="241" w:lineRule="auto"/>
        <w:rPr>
          <w:sz w:val="20"/>
          <w:szCs w:val="20"/>
          <w:color w:val="auto"/>
        </w:rPr>
      </w:pPr>
      <w:r>
        <w:rPr>
          <w:rFonts w:ascii="Arial" w:cs="Arial" w:eastAsia="Arial" w:hAnsi="Arial"/>
          <w:sz w:val="13"/>
          <w:szCs w:val="13"/>
          <w:color w:val="auto"/>
        </w:rPr>
        <w:t>February 2022, we announced that, as part of our restructuring initiative, we intend to close and consolidate several distribution facilities and shift to third-party logistics providers in certain locations. Our primary last mile partner currently relies on a network of independent contractors to perform last mile services for us in many markets. If any of these independent contractors, or the last mile partner as a whole, do not perform their obligations or meet the expectations of us or our Members, our brand, reputation and business could suffer.</w:t>
      </w:r>
    </w:p>
    <w:p>
      <w:pPr>
        <w:spacing w:after="0" w:line="186" w:lineRule="exact"/>
        <w:rPr>
          <w:sz w:val="20"/>
          <w:szCs w:val="20"/>
          <w:color w:val="auto"/>
        </w:rPr>
      </w:pPr>
    </w:p>
    <w:p>
      <w:pPr>
        <w:ind w:right="620"/>
        <w:spacing w:after="0" w:line="244" w:lineRule="auto"/>
        <w:rPr>
          <w:sz w:val="20"/>
          <w:szCs w:val="20"/>
          <w:color w:val="auto"/>
        </w:rPr>
      </w:pPr>
      <w:r>
        <w:rPr>
          <w:rFonts w:ascii="Arial" w:cs="Arial" w:eastAsia="Arial" w:hAnsi="Arial"/>
          <w:sz w:val="13"/>
          <w:szCs w:val="13"/>
          <w:color w:val="auto"/>
        </w:rPr>
        <w:t>The occurrence of any of these risks, especially during seasons of peak demand, could cause us to experience a significant disruption in our ability to produce and deliver our products to our customers and could harm our brand and reputation.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international rights holders outside of North America. In addition, our music licenses may not contemplate some of the features and content that we may wish to add to our service, or new service offerings or revenue models that we may wish to launch. Rights holders also may attempt to take advantage of their market power to seek onerous financial terms from us. Our relationship with certain rights holders may deteriorate. We may elect not to renew certain agreements with rights holders for any number of reasons, or we may decide to explore different licensing schemes or economic structures with certain or all rights holders. Artists and/or artist groups may object and may exert public or private pressure on rights holders to discontinue or to modify license terms, or we may elect to discontinue use of an artist’s catalog based on a number of factors, including actual or perceived reputational damage.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89"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 xml:space="preserve">Although we expend significant resources to seek to comply with applicable contractual, statutory, regulatory, and judicial frameworks, we cannot guarantee that we currently hold, or will always hold, every necessary right to use all of the music that is used on our service now or that may be used in our products and services in the future, and we cannot assure you that we are not infringing or violating any third-party intellectual property rights, or that we will not do so in the future. See </w:t>
      </w:r>
      <w:r>
        <w:rPr>
          <w:rFonts w:ascii="Arial" w:cs="Arial" w:eastAsia="Arial" w:hAnsi="Arial"/>
          <w:sz w:val="13"/>
          <w:szCs w:val="13"/>
          <w:i w:val="1"/>
          <w:iCs w:val="1"/>
          <w:color w:val="auto"/>
        </w:rPr>
        <w:t>“—Risks Related to Intellectual Property.”</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These challenges, and others concerning the licensing of music on our platform, may subject us to significant liability for copyright infringement, breach of contract, or other claims. For additional information, see </w:t>
      </w:r>
      <w:r>
        <w:rPr>
          <w:rFonts w:ascii="Arial" w:cs="Arial" w:eastAsia="Arial" w:hAnsi="Arial"/>
          <w:sz w:val="13"/>
          <w:szCs w:val="13"/>
          <w:i w:val="1"/>
          <w:iCs w:val="1"/>
          <w:color w:val="auto"/>
        </w:rPr>
        <w:t>Note 8 - Commitments and Contingencies</w:t>
      </w:r>
      <w:r>
        <w:rPr>
          <w:rFonts w:ascii="Arial" w:cs="Arial" w:eastAsia="Arial" w:hAnsi="Arial"/>
          <w:sz w:val="13"/>
          <w:szCs w:val="13"/>
          <w:color w:val="auto"/>
        </w:rPr>
        <w:t xml:space="preserve"> in the Notes to Condensed Consolidated Financial Statements in Part I, Item 1 of this Quarterly Report on Form 10-Q and the section titled “Legal Proceedings” in Part II, Item 1 of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success depends on our ability to maintain the value and reputation of the Peloton brand.</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believe that our brand is important to attracting and retaining Members. Maintaining, protecting, and enhancing our brand depends on the success of a variety of factors, such as: our marketing efforts; our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our strategic initiatives, such as our restructuring initiative or our products, services, technology, customer service, content, personnel, and suppliers could diminish confidence in, and the use of, our products and services. For example, we have received reports of a number of injuries associated with our Tread+ product, and as a result, on May 5, 2021, we decided to issue a voluntary product recall of our Tread+, which we are conducting in collaboration with the CPSC. On the same day we also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13"/>
          <w:szCs w:val="13"/>
          <w:color w:val="auto"/>
        </w:rPr>
        <w:t>issued a voluntary product recall of our Tread. As discussed further in “</w:t>
      </w:r>
      <w:r>
        <w:rPr>
          <w:rFonts w:ascii="Arial" w:cs="Arial" w:eastAsia="Arial" w:hAnsi="Arial"/>
          <w:sz w:val="13"/>
          <w:szCs w:val="13"/>
          <w:i w:val="1"/>
          <w:iCs w:val="1"/>
          <w:color w:val="auto"/>
        </w:rPr>
        <w:t>— Risks Related to Our Connected Fitness Products and Members”</w:t>
      </w:r>
      <w:r>
        <w:rPr>
          <w:rFonts w:ascii="Arial" w:cs="Arial" w:eastAsia="Arial" w:hAnsi="Arial"/>
          <w:sz w:val="13"/>
          <w:szCs w:val="13"/>
          <w:color w:val="auto"/>
        </w:rPr>
        <w:t xml:space="preserve"> and “— Risks Related to Laws, Regulation, and Legal Proceedings,”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also could have an adverse effect on the size, engagement and loyalty of our Member base and result in decreased revenue, which could have an adverse effect on our business, financial condition, and operating results.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Accurately forecasting and 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or decreases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 Conversely, in periods when we experience a decrease in demand for our products and an increase in inventory, we may be unable to renegotiate our agreements or purchase commitments with existing suppliers or partners on mutually acceptable terms. See “</w:t>
      </w:r>
      <w:r>
        <w:rPr>
          <w:rFonts w:ascii="Arial" w:cs="Arial" w:eastAsia="Arial" w:hAnsi="Arial"/>
          <w:sz w:val="13"/>
          <w:szCs w:val="13"/>
          <w:i w:val="1"/>
          <w:iCs w:val="1"/>
          <w:color w:val="auto"/>
        </w:rPr>
        <w:t>—Our operating results could be adversely affected if we are</w:t>
      </w:r>
      <w:r>
        <w:rPr>
          <w:rFonts w:ascii="Arial" w:cs="Arial" w:eastAsia="Arial" w:hAnsi="Arial"/>
          <w:sz w:val="13"/>
          <w:szCs w:val="13"/>
          <w:color w:val="auto"/>
        </w:rPr>
        <w:t xml:space="preserve"> </w:t>
      </w:r>
      <w:r>
        <w:rPr>
          <w:rFonts w:ascii="Arial" w:cs="Arial" w:eastAsia="Arial" w:hAnsi="Arial"/>
          <w:sz w:val="13"/>
          <w:szCs w:val="13"/>
          <w:i w:val="1"/>
          <w:iCs w:val="1"/>
          <w:color w:val="auto"/>
        </w:rPr>
        <w:t>unable to accurately forecast consumer demand for our products and services and adequately manage our inventory</w:t>
      </w:r>
      <w:r>
        <w:rPr>
          <w:rFonts w:ascii="Arial" w:cs="Arial" w:eastAsia="Arial" w:hAnsi="Arial"/>
          <w:sz w:val="13"/>
          <w:szCs w:val="13"/>
          <w:color w:val="auto"/>
        </w:rPr>
        <w:t>.”</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Since the beginning of 2018, importing and exporting has involved more risk,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from where imports on specified products are subject to tariffs by the United States following the U.S. Trade Representative Section 301 Investigation. These issues appear to have been and could be further exacerbated by the continuation of the COVID-19 pandemic.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and other supply chain issues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could be adversely affected from an accident, safety incident, or workforce disruption.</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internal manufacturing processes and related activities, as well as our in-house warehousing and last-mile logistics activities, could expose us to significant personal injury claims that could subject us to substantial liability. Health pandemics increase our exposure to these risks. For example, in connection with the COVID-19 pandemic, we have had to secure personal protective equipment, such as face masks and gloves, for our delivery teams, institute vaccination and testing policies and otherwise implement new methods of monitoring employee health, such as temperature checks. Our inability to timely adapt to changing norms and requirements around maintaining a safe workplace could cause employee illness, accidents, may not successfully prevent outbreaks, or may result in team discontent if we fail or if it is perceived that we are failing to protect the health and safety of our employees. Our liability insurance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and reputational harm or other impacts that require attention by our management team and our employees. Negative publicity, work stoppages, or strikes by unions could have an adverse effect on our business, prospects,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affected by seasonality.</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3"/>
          <w:szCs w:val="13"/>
          <w:color w:val="050505"/>
        </w:rPr>
        <w:t>For example, in fiscal 2018 and 2019, our</w:t>
      </w:r>
      <w:r>
        <w:rPr>
          <w:rFonts w:ascii="Arial" w:cs="Arial" w:eastAsia="Arial" w:hAnsi="Arial"/>
          <w:sz w:val="13"/>
          <w:szCs w:val="13"/>
          <w:color w:val="auto"/>
        </w:rPr>
        <w:t xml:space="preserve"> </w:t>
      </w:r>
      <w:r>
        <w:rPr>
          <w:rFonts w:ascii="Arial" w:cs="Arial" w:eastAsia="Arial" w:hAnsi="Arial"/>
          <w:sz w:val="13"/>
          <w:szCs w:val="13"/>
          <w:color w:val="050505"/>
        </w:rPr>
        <w:t>second and third quarters combined each represented 63% of our total revenue. In fiscal 2020, we saw a significant increase in demand in the fourth quarter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49" w:name="page50"/>
    <w:bookmarkEnd w:id="49"/>
    <w:p>
      <w:pPr>
        <w:jc w:val="both"/>
        <w:spacing w:after="0" w:line="239" w:lineRule="auto"/>
        <w:rPr>
          <w:sz w:val="20"/>
          <w:szCs w:val="20"/>
          <w:color w:val="auto"/>
        </w:rPr>
      </w:pPr>
      <w:r>
        <w:rPr>
          <w:rFonts w:ascii="Arial" w:cs="Arial" w:eastAsia="Arial" w:hAnsi="Arial"/>
          <w:sz w:val="13"/>
          <w:szCs w:val="13"/>
          <w:color w:val="050505"/>
        </w:rPr>
        <w:t xml:space="preserve">related to the onset of COVID-19, and therefore only </w:t>
      </w:r>
      <w:r>
        <w:rPr>
          <w:rFonts w:ascii="Arial" w:cs="Arial" w:eastAsia="Arial" w:hAnsi="Arial"/>
          <w:sz w:val="13"/>
          <w:szCs w:val="13"/>
          <w:color w:val="000000"/>
        </w:rPr>
        <w:t>54%</w:t>
      </w:r>
      <w:r>
        <w:rPr>
          <w:rFonts w:ascii="Arial" w:cs="Arial" w:eastAsia="Arial" w:hAnsi="Arial"/>
          <w:sz w:val="13"/>
          <w:szCs w:val="13"/>
          <w:color w:val="050505"/>
        </w:rPr>
        <w:t xml:space="preserve"> of our total revenue was generated in our second and third quarters. In fiscal 2021, the ongoing COVID-19 pandemic and the recalls of our Tread products in the fourth quarter impacted our historical seasonal patterns, with the second and third fiscal quarters accounting for 58% of fiscal 2021 sales (excluding Precor sales which were consolidated beginning in the fourth fiscal quarter only of 2021). Over time, we expect the seasonality of our business to return, with pronounced increases in demand during our second and third quarters. </w:t>
      </w:r>
      <w:r>
        <w:rPr>
          <w:rFonts w:ascii="Arial" w:cs="Arial" w:eastAsia="Arial" w:hAnsi="Arial"/>
          <w:sz w:val="13"/>
          <w:szCs w:val="13"/>
          <w:color w:val="000000"/>
        </w:rPr>
        <w:t>Moreover, as a result of higher sales during the period from November through February, our working capital needs are typically greater during the second and third quarters of the fiscal year.</w:t>
      </w:r>
      <w:r>
        <w:rPr>
          <w:rFonts w:ascii="Arial" w:cs="Arial" w:eastAsia="Arial" w:hAnsi="Arial"/>
          <w:sz w:val="13"/>
          <w:szCs w:val="13"/>
          <w:color w:val="050505"/>
        </w:rPr>
        <w:t xml:space="preserve"> </w:t>
      </w:r>
      <w:r>
        <w:rPr>
          <w:rFonts w:ascii="Arial" w:cs="Arial" w:eastAsia="Arial" w:hAnsi="Arial"/>
          <w:sz w:val="13"/>
          <w:szCs w:val="13"/>
          <w:color w:val="000000"/>
        </w:rPr>
        <w:t xml:space="preserve">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See </w:t>
      </w:r>
      <w:r>
        <w:rPr>
          <w:rFonts w:ascii="Arial" w:cs="Arial" w:eastAsia="Arial" w:hAnsi="Arial"/>
          <w:sz w:val="13"/>
          <w:szCs w:val="13"/>
          <w:i w:val="1"/>
          <w:iCs w:val="1"/>
          <w:color w:val="000000"/>
        </w:rPr>
        <w:t>“—Our quarterly</w:t>
      </w:r>
      <w:r>
        <w:rPr>
          <w:rFonts w:ascii="Arial" w:cs="Arial" w:eastAsia="Arial" w:hAnsi="Arial"/>
          <w:sz w:val="13"/>
          <w:szCs w:val="13"/>
          <w:color w:val="000000"/>
        </w:rPr>
        <w:t xml:space="preserve"> </w:t>
      </w:r>
      <w:r>
        <w:rPr>
          <w:rFonts w:ascii="Arial" w:cs="Arial" w:eastAsia="Arial" w:hAnsi="Arial"/>
          <w:sz w:val="13"/>
          <w:szCs w:val="13"/>
          <w:i w:val="1"/>
          <w:iCs w:val="1"/>
          <w:color w:val="000000"/>
        </w:rPr>
        <w:t xml:space="preserve">operating results and other operating metrics may fluctuate from quarter to quarter, which makes these metrics difficult to predict.” </w:t>
      </w:r>
      <w:r>
        <w:rPr>
          <w:rFonts w:ascii="Arial" w:cs="Arial" w:eastAsia="Arial" w:hAnsi="Arial"/>
          <w:sz w:val="13"/>
          <w:szCs w:val="13"/>
          <w:color w:val="000000"/>
        </w:rPr>
        <w:t>Seasonality in our business can also be affected by introductions of</w:t>
      </w:r>
      <w:r>
        <w:rPr>
          <w:rFonts w:ascii="Arial" w:cs="Arial" w:eastAsia="Arial" w:hAnsi="Arial"/>
          <w:sz w:val="13"/>
          <w:szCs w:val="13"/>
          <w:i w:val="1"/>
          <w:iCs w:val="1"/>
          <w:color w:val="000000"/>
        </w:rPr>
        <w:t xml:space="preserve"> </w:t>
      </w:r>
      <w:r>
        <w:rPr>
          <w:rFonts w:ascii="Arial" w:cs="Arial" w:eastAsia="Arial" w:hAnsi="Arial"/>
          <w:sz w:val="13"/>
          <w:szCs w:val="13"/>
          <w:color w:val="000000"/>
        </w:rPr>
        <w:t>new or enhanced products and services, including the costs associated with such introductions, as well as external factors beyond our control, such as the duration and trajectory of the COVID-19 pandemic.</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quarterly operating results and other operating metrics may fluctuate from quarter to quarter, which makes these metrics difficult to predict.</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87"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continued market acceptance of, and the growth of the connected fitness and wellness market;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evolving consumer demand and our ability to maintain and attract new Subscribers;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development and improvement of the quality of the Peloton experience, including, enhancing existing and creating new Connected Fitness Products, services, technology, features, and content;</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continued development and upgrading of our proprietary technology platform;</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timing and success of new product, service, feature, and content introductions by us or our competitors or any other change in the competitive landscape of our market;</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pricing pressure as a result of competition or otherwise;</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timing and our ability to develop certain product solutions to enhance the safety of our Tread+ product to the satisfaction of the CPSC in connection with our voluntary product recall, which we are conducting in collaboration with the CPSC;</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delays or disruptions in our supply chain;</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errors in our forecasting of the demand for our products and services, which could lead to lower revenue or increased costs, or both;</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increases in marketing, sales, and other operating expenses that we may incur to grow and expand our operations and to remain competitive;</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short-term expenditures and initiatives we may undertake in furtherance of long-term cost savings, including our restructuring initiative announced in February 2022;</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ability to maintain and open new showrooms;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continued maintenance and expansion of last mile delivery and maintenance services for our Connected Fitness Products, including through our reliance on last mile partners;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successful expansion into international markets, including Canada, the United Kingdom, Germany, and Australia;</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seasonal fluctuations in subscriptions and usage of Connected Fitness Products by our Members, each of which may change as our products and services evolve or as our business grows;</w:t>
      </w:r>
    </w:p>
    <w:p>
      <w:pPr>
        <w:spacing w:after="0" w:line="52" w:lineRule="exact"/>
        <w:rPr>
          <w:rFonts w:ascii="Arial" w:cs="Arial" w:eastAsia="Arial" w:hAnsi="Arial"/>
          <w:sz w:val="12"/>
          <w:szCs w:val="12"/>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diversification and growth of our revenue sources;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ability to maintain gross margins and operating margins;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constraints on the availability of consumer financing or increased down payment requirements to finance purchases of our Connected Fitness Products;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system failures or breaches of security or privacy;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adverse litigation judgments, settlements, or other litigation-related costs, including content costs for past use;</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the legislative or regulatory environment, including with respect to privacy, consumer product safety, and advertising, or enforcement by government regulators, including fines, orders, or consent decrees;</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fluctuations in currency exchange rates and changes in the proportion of our revenue and expenses denominated in foreign currencies;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our effective tax rate, including as a result of potential changes in tax laws proposed by the Biden administration and Democratic controlled Congress;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 and</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7"/>
        </w:numPr>
        <w:rPr>
          <w:rFonts w:ascii="Arial" w:cs="Arial" w:eastAsia="Arial" w:hAnsi="Arial"/>
          <w:sz w:val="13"/>
          <w:szCs w:val="13"/>
          <w:color w:val="auto"/>
        </w:rPr>
      </w:pPr>
      <w:r>
        <w:rPr>
          <w:rFonts w:ascii="Arial" w:cs="Arial" w:eastAsia="Arial" w:hAnsi="Arial"/>
          <w:sz w:val="13"/>
          <w:szCs w:val="13"/>
          <w:color w:val="auto"/>
        </w:rPr>
        <w:t>changes in business or macroeconomic conditions, including the impact of the COVID-19 pandemic, lower consumer confidence, recessionary conditions, increased unemployment rates, or stagnant or declining wages.</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Any one of the factors above or the cumulative effect of some of the factors above may result in significant fluctuations in our operating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0" w:name="page51"/>
    <w:bookmarkEnd w:id="50"/>
    <w:p>
      <w:pPr>
        <w:ind w:right="120"/>
        <w:spacing w:after="0" w:line="241" w:lineRule="auto"/>
        <w:rPr>
          <w:sz w:val="20"/>
          <w:szCs w:val="20"/>
          <w:color w:val="auto"/>
        </w:rPr>
      </w:pPr>
      <w:r>
        <w:rPr>
          <w:rFonts w:ascii="Arial" w:cs="Arial" w:eastAsia="Arial" w:hAnsi="Arial"/>
          <w:sz w:val="13"/>
          <w:szCs w:val="13"/>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 See “</w:t>
      </w:r>
      <w:r>
        <w:rPr>
          <w:rFonts w:ascii="Arial" w:cs="Arial" w:eastAsia="Arial" w:hAnsi="Arial"/>
          <w:sz w:val="13"/>
          <w:szCs w:val="13"/>
          <w:i w:val="1"/>
          <w:iCs w:val="1"/>
          <w:color w:val="auto"/>
        </w:rPr>
        <w:t>Risks Related to the Ownership of our Class A Common Stock.</w:t>
      </w:r>
      <w:r>
        <w:rPr>
          <w:rFonts w:ascii="Arial" w:cs="Arial" w:eastAsia="Arial" w:hAnsi="Arial"/>
          <w:sz w:val="13"/>
          <w:szCs w:val="13"/>
          <w:color w:val="auto"/>
        </w:rPr>
        <w:t>”</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Additionally, in February</w:t>
      </w:r>
    </w:p>
    <w:p>
      <w:pPr>
        <w:spacing w:after="0" w:line="2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2022, we committed to a restructuring plan, which we anticipate will require short-term charges of approximately $270 million. These decisions may not be consistent with the expectations of our stockholders and may not produce the long-term benefits that we expect, in which case our membership growth and Member engagement, and our business, financial condition, and operating results could be harmed.</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Most of the fitness and wellness content offered on our platform is produced in one of our four production studios, three of which are located in New York City, with some content produced outdoors or in non-Peloton studios. Due to our reliance on a limited number of studios in a concentrated location, any incident involving our studios, or affecting New York City at-large, including COVID-19 related public health and safety measures or other restrictions,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health and safety precautions in doing so, there is no guarantee that the COVID-19 pandemic or other incidents beyond our control will not result in future pauses to live production from our studios or other locations.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engage them and who they can relate to, then our business, financial condition, and operating results may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acquisition of Precor presents risks, and we may not realize our anticipated strategic and financial goals from the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Risks we may face in connection with our acquisition and integration of Precor include:</w:t>
      </w:r>
    </w:p>
    <w:p>
      <w:pPr>
        <w:spacing w:after="0" w:line="190"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not realize the benefits we expect to receive from the transaction, such as anticipated synergies;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have difficulties managing Precor’s technologies and lines of business or retaining key personnel from Precor;</w:t>
      </w:r>
    </w:p>
    <w:p>
      <w:pPr>
        <w:spacing w:after="0" w:line="41"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acquisition may not further our business strategy as we expected, we may not successfully integrate Precor as planned, there could be unanticipated adverse impacts on Precor’s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37" w:lineRule="exact"/>
        <w:rPr>
          <w:rFonts w:ascii="Arial" w:cs="Arial" w:eastAsia="Arial" w:hAnsi="Arial"/>
          <w:sz w:val="13"/>
          <w:szCs w:val="13"/>
          <w:color w:val="auto"/>
        </w:rPr>
      </w:pPr>
    </w:p>
    <w:p>
      <w:pPr>
        <w:jc w:val="both"/>
        <w:ind w:left="520" w:hanging="260"/>
        <w:spacing w:after="0"/>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38"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Precor has not been required to maintain an internal control infrastructure that would meet the standards of a public company, including the requirements of the Sarbanes-Oxley Act of 2002 (the “Sarbanes Oxley Act”). The costs that we may incur to implement such controls and procedures may be substantial and we could encounter unexpected delays and challenges in this integration. In addition, we may discover significant deficiencies or material weaknesses in the quality of Precor’s financial and disclosure controls and procedures;</w:t>
      </w:r>
    </w:p>
    <w:p>
      <w:pPr>
        <w:spacing w:after="0" w:line="37"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As a result of the acquisition, we may have difficultly incorporating Precor’s manufacturing and supply chain operations into our existing manufacturing and supply chain infrastructure, potentially resulting in new and unexpected operational complexities and costs;</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Precor operates in segments of the commercial market that we have less experience with, including traditional gyms, multifamily residences, hotels and college and corporate campuses, and expansion of our operations in these segments through the acquisition could present various integration challenges and result in increased costs and other unforeseen challenges;</w:t>
      </w:r>
    </w:p>
    <w:p>
      <w:pPr>
        <w:spacing w:after="0" w:line="35"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Precor serves customers in more than 100 countries worldwide, and as a result of the acquisition our operations have expanded into new jurisdictions, which could present significant integration challenges and result in significant increased risks and costs inherent in doing business in international markets (see “—</w:t>
      </w:r>
      <w:r>
        <w:rPr>
          <w:rFonts w:ascii="Arial" w:cs="Arial" w:eastAsia="Arial" w:hAnsi="Arial"/>
          <w:sz w:val="13"/>
          <w:szCs w:val="13"/>
          <w:i w:val="1"/>
          <w:iCs w:val="1"/>
          <w:color w:val="auto"/>
        </w:rPr>
        <w:t>We plan to continue our expansion into international</w:t>
      </w:r>
      <w:r>
        <w:rPr>
          <w:rFonts w:ascii="Arial" w:cs="Arial" w:eastAsia="Arial" w:hAnsi="Arial"/>
          <w:sz w:val="13"/>
          <w:szCs w:val="13"/>
          <w:color w:val="auto"/>
        </w:rPr>
        <w:t xml:space="preserve"> </w:t>
      </w:r>
      <w:r>
        <w:rPr>
          <w:rFonts w:ascii="Arial" w:cs="Arial" w:eastAsia="Arial" w:hAnsi="Arial"/>
          <w:sz w:val="13"/>
          <w:szCs w:val="13"/>
          <w:i w:val="1"/>
          <w:iCs w:val="1"/>
          <w:color w:val="auto"/>
        </w:rPr>
        <w:t>markets, which will expose us to significant risks</w:t>
      </w:r>
      <w:r>
        <w:rPr>
          <w:rFonts w:ascii="Arial" w:cs="Arial" w:eastAsia="Arial" w:hAnsi="Arial"/>
          <w:sz w:val="13"/>
          <w:szCs w:val="13"/>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1" w:name="page52"/>
    <w:bookmarkEnd w:id="51"/>
    <w:p>
      <w:pPr>
        <w:jc w:val="both"/>
        <w:ind w:left="520" w:hanging="260"/>
        <w:spacing w:after="0" w:line="241"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Precor’s employees in a number of countries around the world are now Peloton employees, and we may face new and unanticipated challenges in employing this significant workforce, including integrating these employees into our existing business units, providing benefits and working conditions that comply with the laws in jurisdictions in which we haven’t operated before, and maintaining our One Peloton culture; and</w:t>
      </w:r>
    </w:p>
    <w:p>
      <w:pPr>
        <w:spacing w:after="0" w:line="37"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We may have failed to identify or assess the magnitude of certain liabilities, shortcomings or other risks in Precor’s business prior to closing our acquisition of Precor, which could result in unexpected litigation or regulatory exposure, unfavorable accounting treatment, a diversion of management’s attention and resources, and other adverse effects on our business, financial condition, and operating results.</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occurrence of any of these risks could have a material adverse effect on our business, financial condition, and operating results. See “—</w:t>
      </w:r>
      <w:r>
        <w:rPr>
          <w:rFonts w:ascii="Arial" w:cs="Arial" w:eastAsia="Arial" w:hAnsi="Arial"/>
          <w:sz w:val="13"/>
          <w:szCs w:val="13"/>
          <w:i w:val="1"/>
          <w:iCs w:val="1"/>
          <w:color w:val="auto"/>
        </w:rPr>
        <w:t>We have engaged and in the future may engage in</w:t>
      </w:r>
      <w:r>
        <w:rPr>
          <w:rFonts w:ascii="Arial" w:cs="Arial" w:eastAsia="Arial" w:hAnsi="Arial"/>
          <w:sz w:val="13"/>
          <w:szCs w:val="13"/>
          <w:color w:val="auto"/>
        </w:rPr>
        <w:t xml:space="preserve"> </w:t>
      </w:r>
      <w:r>
        <w:rPr>
          <w:rFonts w:ascii="Arial" w:cs="Arial" w:eastAsia="Arial" w:hAnsi="Arial"/>
          <w:sz w:val="13"/>
          <w:szCs w:val="13"/>
          <w:i w:val="1"/>
          <w:iCs w:val="1"/>
          <w:color w:val="auto"/>
        </w:rPr>
        <w:t>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3"/>
          <w:szCs w:val="13"/>
          <w:color w:val="auto"/>
        </w:rPr>
        <w: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may experience delays and disruptions in the development and construction of Peloton Output Park and, once complete, we may not be successful in selling the facility, which could adversely impact our business and financial condition.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May 2021, we announced our plans to build a U.S.-based manufacturing facility in Troy Township, Ohio, which we named “Peloton Output Park.” As of December 31, 2021, we have invested approximately $30 million to build the facility, which we previously intended to use to manufacture our Connected Fitness Products in addition to our existing manufacturing facilities in Taiwan and our recently acquired Precor manufacturing facilities in North Carolina and Washington state. We currently anticipate investing an additional $60 million to build the Peloton Output Park, which we intend to sell and currently expected to sell at a loss upon completion of the construction. The process of developing, constructing, and selling Peloton Output Park, is inherently complex. The development and construction of the new facility and its sale may cause significant disruption to our operations, divert management’s attention and resources and will require significant capital expenditure, all of which could have a material adverse effect on our business, financial condition and operating results. If we encounter significant delays, cost overruns, engineering problems, equipment supply constraints, difficulty obtaining licenses and permits, or other serious challenges in developing and constructing Peloton Output Park, we may be unable to sell it or may be forced to sell it at a greater loss than we currently expect. Additionally, we previously anticipated using Peloton Output Park to manufacture our Connected Fitness Products in addition to our other manufacturing facilities. If we sell Peloton Output Park upon its completion, in the future we may not be successful in producing the amount and quality of Connected Fitness Products we anticipate across our manufacturing facilities and our operating results may suffer as a result. Our experience operating and manufacturing Connected Fitness Products at scale continues to evolve, and any delays or disruptions could result in interruptions in the development, manufacturing, and shipment of our Connected Fitness Products. We can give no assurance that the development of Peloton Output Park will be completed as planned or within the anticipated timeframe, or that we will recoup any of our investment in its development or realize the expected benefits of its sale, if any, or any additional manufacturing facilities that we seek to develop, construct, sell, or open and operate.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plan to continue our expansion into international markets, which will expose us to significant risks.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are continuing to expand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84" w:lineRule="exact"/>
        <w:rPr>
          <w:sz w:val="20"/>
          <w:szCs w:val="20"/>
          <w:color w:val="auto"/>
        </w:rPr>
      </w:pPr>
    </w:p>
    <w:p>
      <w:pPr>
        <w:ind w:left="520" w:hanging="260"/>
        <w:spacing w:after="0" w:line="244"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to vary pricing and margins to effectively compete in international markets;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to adapt and localize products for specific countries, including obtaining rights to third-party intellectual property, including music, used in each country;</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increased competition from local providers of similar products and services;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ability to protect and enforce intellectual property rights abroad;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need to offer engaging content and customer support in various languages and across various cultures;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difficulties in understanding and complying with local laws, regulations, and customs in other jurisdictions;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compliance with anti-bribery laws, such as the U.S. Foreign Corrupt Practices Act (the “FCPA”), and the U.K. Bribery Act 2010 (the “U.K. Bribery Act”), by us, our employees, and our business partners;</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complexity and other risks associated with current and future legal requirements in other countries, including legal requirements related to consumer protection, consumer product safety, and data privacy frameworks, such as the General Data Protection Regulation 2016/679 (“GDPR”);</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varying levels of internet technology adoption and infrastructure, and increased or varying network and hosting service provider costs;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tariffs and other non-tariff barriers, such as quotas and local content rules, as well as tax consequences;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fluctuations in currency exchange rates and the requirements of currency control regulations, which might restrict or prohibit conversion of other currencies into U.S. dollars; and</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0"/>
        </w:numPr>
        <w:rPr>
          <w:rFonts w:ascii="Arial" w:cs="Arial" w:eastAsia="Arial" w:hAnsi="Arial"/>
          <w:sz w:val="13"/>
          <w:szCs w:val="13"/>
          <w:color w:val="auto"/>
        </w:rPr>
      </w:pPr>
      <w:r>
        <w:rPr>
          <w:rFonts w:ascii="Arial" w:cs="Arial" w:eastAsia="Arial" w:hAnsi="Arial"/>
          <w:sz w:val="13"/>
          <w:szCs w:val="13"/>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2" w:name="page53"/>
    <w:bookmarkEnd w:id="52"/>
    <w:p>
      <w:pPr>
        <w:jc w:val="both"/>
        <w:spacing w:after="0" w:line="239" w:lineRule="auto"/>
        <w:rPr>
          <w:sz w:val="20"/>
          <w:szCs w:val="20"/>
          <w:color w:val="auto"/>
        </w:rPr>
      </w:pPr>
      <w:r>
        <w:rPr>
          <w:rFonts w:ascii="Arial" w:cs="Arial" w:eastAsia="Arial" w:hAnsi="Arial"/>
          <w:sz w:val="13"/>
          <w:szCs w:val="13"/>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October 2019 acquisition of Tonic, one of our manufacturing partners and a Taiwanese entity, we own and are responsible for managing manufacturing plants in Taiwan. This acquisition has required us to, among other things, fulfill Tonic’s obligations under existing service contracts that are unrelated to our current business, address the difficulties of managing a workforce in a foreign country with different labor laws, customs, and language barriers, and successfully maintain relationships with Tonic’s current suppliers and contract partners. Additionally, in April 2021, we completed our acquisition of Precor which serves customers in more than 100 countries worldwide. As a result, we need to increase our operations and efforts abroad, which could result in various integration challenges and amplify the various risks and costs of doing business in international markets described above.</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In February 2022, we announced our restructuring initiative, pursuant to which we intend to further invest in our Tonic manufacturing facilities in Taiwan with the goal of increasing manufacturing efficiency of our core cardio products. We may not be able to realize the cost savings and benefits initially anticipated as a result of the restructuring initiative and the expected costs may be greater than expected. See </w:t>
      </w:r>
      <w:r>
        <w:rPr>
          <w:rFonts w:ascii="Arial" w:cs="Arial" w:eastAsia="Arial" w:hAnsi="Arial"/>
          <w:sz w:val="13"/>
          <w:szCs w:val="13"/>
          <w:i w:val="1"/>
          <w:iCs w:val="1"/>
          <w:color w:val="auto"/>
        </w:rPr>
        <w:t>“—We may not successfully execute or achieve the expected benefits of our</w:t>
      </w:r>
      <w:r>
        <w:rPr>
          <w:rFonts w:ascii="Arial" w:cs="Arial" w:eastAsia="Arial" w:hAnsi="Arial"/>
          <w:sz w:val="13"/>
          <w:szCs w:val="13"/>
          <w:color w:val="auto"/>
        </w:rPr>
        <w:t xml:space="preserve"> </w:t>
      </w:r>
      <w:r>
        <w:rPr>
          <w:rFonts w:ascii="Arial" w:cs="Arial" w:eastAsia="Arial" w:hAnsi="Arial"/>
          <w:sz w:val="13"/>
          <w:szCs w:val="13"/>
          <w:i w:val="1"/>
          <w:iCs w:val="1"/>
          <w:color w:val="auto"/>
        </w:rPr>
        <w:t>restructuring initiative, and our efforts may result in further actions and/or additional asset impairment charges and adversely affect our business.</w:t>
      </w:r>
      <w:r>
        <w:rPr>
          <w:rFonts w:ascii="Arial" w:cs="Arial" w:eastAsia="Arial" w:hAnsi="Arial"/>
          <w:sz w:val="13"/>
          <w:szCs w:val="13"/>
          <w:color w:val="auto"/>
        </w:rPr>
        <w:t>” We may face limited brand recognition in certain parts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our plans for expansion into international markets, and have an adverse effect on our business, financial condition, and operating results.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As part of our business strategy, we have made and, in the future, may make investments in other companies, products, or technologies, including acquisitions that may result in our entering markets or lines of business in which we do not currently have expertise. For example, in June 2018, we acquired Neurotic Media to develop a proprietary music platform that our instructors use to curate class playlists, and in October 2019, we acquired Tonic, one of our manufacturing partners. In addition, in April 2021, we acquired Precor in order to establish U.S. manufacturing capacity, boost research and development capabilities, and accelerate our penetration of the commercial market.</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 For example, in February 2022, we announced our restructuring initiative, pursuant to which intend to further invest in our Tonic manufacturing facilities in Taiwan with the goal of increasing manufacturing efficiency of our core cardio products. We may not be able to realize the cost savings and benefits initially anticipated as a result of the restructuring initiative and the expected costs may be greater than expected. See </w:t>
      </w:r>
      <w:r>
        <w:rPr>
          <w:rFonts w:ascii="Arial" w:cs="Arial" w:eastAsia="Arial" w:hAnsi="Arial"/>
          <w:sz w:val="13"/>
          <w:szCs w:val="13"/>
          <w:i w:val="1"/>
          <w:iCs w:val="1"/>
          <w:color w:val="auto"/>
        </w:rPr>
        <w:t>“—We may not successfully execute or achieve the expected benefits of our restructuring initiative, and our efforts may result in further</w:t>
      </w:r>
      <w:r>
        <w:rPr>
          <w:rFonts w:ascii="Arial" w:cs="Arial" w:eastAsia="Arial" w:hAnsi="Arial"/>
          <w:sz w:val="13"/>
          <w:szCs w:val="13"/>
          <w:color w:val="auto"/>
        </w:rPr>
        <w:t xml:space="preserve"> </w:t>
      </w:r>
      <w:r>
        <w:rPr>
          <w:rFonts w:ascii="Arial" w:cs="Arial" w:eastAsia="Arial" w:hAnsi="Arial"/>
          <w:sz w:val="13"/>
          <w:szCs w:val="13"/>
          <w:i w:val="1"/>
          <w:iCs w:val="1"/>
          <w:color w:val="auto"/>
        </w:rPr>
        <w:t>actions and/or additional asset impairment charges and adversely affect our business.</w:t>
      </w:r>
      <w:r>
        <w:rPr>
          <w:rFonts w:ascii="Arial" w:cs="Arial" w:eastAsia="Arial" w:hAnsi="Arial"/>
          <w:sz w:val="13"/>
          <w:szCs w:val="13"/>
          <w:color w:val="auto"/>
        </w:rPr>
        <w:t>”</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Further, in connection with our restructuring initiative we intend to divest some of our assets through site closures and the sale of Peloton Output Park. We may in the future decide to divest other</w:t>
      </w:r>
    </w:p>
    <w:p>
      <w:pPr>
        <w:spacing w:after="0" w:line="4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assets or a business. In connection with these activities, it may be difficult to find or complete divestiture opportunities or alternative exit strategies under the desired timeline and on acceptable terms, if at all. These circumstances could delay the achievement of our strategic objectives or cause us to incur additional expenses with respect to the desired divestiture, or the price or terms of the divestiture may be less favorable than we had anticipated. Even following a divestiture or other exit strategy, we may have certain continuing obligations to former employees, customers, vendors, landlords or other third parties. We may also have continuing liabilities related to former employees, assets or businesses. Such obligations may have a material adverse impact on our results of operations and financial condition.</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3" w:name="page54"/>
    <w:bookmarkEnd w:id="53"/>
    <w:p>
      <w:pPr>
        <w:jc w:val="both"/>
        <w:spacing w:after="0" w:line="239" w:lineRule="auto"/>
        <w:rPr>
          <w:sz w:val="20"/>
          <w:szCs w:val="20"/>
          <w:color w:val="auto"/>
        </w:rPr>
      </w:pPr>
      <w:r>
        <w:rPr>
          <w:rFonts w:ascii="Arial" w:cs="Arial" w:eastAsia="Arial" w:hAnsi="Arial"/>
          <w:sz w:val="13"/>
          <w:szCs w:val="13"/>
          <w:color w:val="auto"/>
        </w:rPr>
        <w:t>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Online sales of our Connected Fitness Products through www.onepeloton.com represented a majority of our units sold in the United States for fiscal 2021.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and enjoyment of our products and services may be damaged, our revenue could be reduced, our reputation could be harmed, and we may be required to issue credits or refunds, or risk losing Members.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payment processing risk</w:t>
      </w:r>
      <w:r>
        <w:rPr>
          <w:rFonts w:ascii="Arial" w:cs="Arial" w:eastAsia="Arial" w:hAnsi="Arial"/>
          <w:sz w:val="13"/>
          <w:szCs w:val="13"/>
          <w:color w:val="auto"/>
        </w:rPr>
        <w:t>.</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Cybersecurity risks could adversely affect our business and disrupt our operations.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 negative impact on our Members’ experience, and loss of consumer confidence. In addition, we may be the target of email scams that attempt to acquire personal data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for public health and safety reasons, including during government mandated shelter-in-place orders or otherwise as a result of pandemic conditions.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Member engagement on mobile devices depends upon effective operation with mobile and streaming device operating systems, networks, and standards that we do not control.</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app offering or give preferential treatment to competitors could adversely affect our platform’s usage on mobile devices and televisions. Additionally, in order to deliver high-quality content, it is important that the Peloton App offering is designed effectively and works well with a range of mobile and streaming technologies, systems, networks, and standards that we do not control. We may not be successful in developing relationships with</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4" w:name="page55"/>
    <w:bookmarkEnd w:id="54"/>
    <w:p>
      <w:pPr>
        <w:jc w:val="both"/>
        <w:spacing w:after="0"/>
        <w:rPr>
          <w:sz w:val="20"/>
          <w:szCs w:val="20"/>
          <w:color w:val="auto"/>
        </w:rPr>
      </w:pPr>
      <w:r>
        <w:rPr>
          <w:rFonts w:ascii="Arial" w:cs="Arial" w:eastAsia="Arial" w:hAnsi="Arial"/>
          <w:sz w:val="13"/>
          <w:szCs w:val="13"/>
          <w:color w:val="auto"/>
        </w:rPr>
        <w:t>key participants in the mobile and streaming industry or in developing products that operate effectively with these technologies, systems, networks, or standards. In the event that it is more difficult for our Members to access and use our platform on their mobile devices or televisions, or Members find the Peloton App does not effectively meet their needs, our competitors develop products and services that are perceived to operate more effectively on mobile devices or televisions, or if our Members choose not to access or use our platform on their mobile devices or televisions or use products that do not offer access to our platform, our Member growth and Member engagement could be adversely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anticipate appropriate pricing levels for our Connected Fitness Products and subscriptions, our business could be adversely affected.</w:t>
      </w: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we are unable to anticipate appropriate pricing levels for our portfolio of Connected Fitness Products and subscription services, whether due to consumer sentiment and spending power, brand perception, competitive pressure, or otherwise, our revenues and/or gross margins could be significantly reduced. Further, our decisions around the development of new products and services are in part based upon assumptions around pricing levels. If there is price compression in the market after these decisions are made, it could have a negative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how we market our products and services could adversely affect our marketing expenses and subscription levels.</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use these marketing tools in a cost effective manner,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economic downturn or economic uncertainty may adversely affect consumer discretionary spending and demand for our products and services.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color w:val="auto"/>
        </w:rPr>
        <w:t>Our products and services may be considered discretionary items for consumers. Factors affecting the level of consumer spending for such discretionary items include general economic conditions,</w:t>
      </w:r>
    </w:p>
    <w:p>
      <w:pPr>
        <w:spacing w:after="0" w:line="5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and other factors, such as consumer confidence in future economic conditions, fears of recession, the availability and cost of consumer credit and spending power,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pandemic, trends in consumer discretionary spending also remain unpredictable and subject to</w:t>
      </w:r>
    </w:p>
    <w:p>
      <w:pPr>
        <w:spacing w:after="0" w:line="3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reductions and fluctuations.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For example, in the quarter ended December 31, 2021, we experienced reduced consumer demand, partially contributing to a decrease in Connected Fitness Products revenue relative to the same period last year. Our sensitivity to economic cycles and any related fluctuation in consumer demand for our products and services could have an adverse effect on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revenue could decline due to changes in credit markets and decisions made by credit providers.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limited operating history with which to predict the profitability of our subscription model. Additionally, we may introduce new revenue models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The majority of our Subscribers are on month-to-month subscription terms and may cancel their subscriptions at any time. In addition, subscription renewals can fluctuate based on a variety of factors</w:t>
      </w:r>
    </w:p>
    <w:p>
      <w:pPr>
        <w:spacing w:after="0" w:line="42" w:lineRule="exact"/>
        <w:rPr>
          <w:sz w:val="20"/>
          <w:szCs w:val="20"/>
          <w:color w:val="auto"/>
        </w:rPr>
      </w:pPr>
    </w:p>
    <w:p>
      <w:pPr>
        <w:jc w:val="both"/>
        <w:spacing w:after="0" w:line="226" w:lineRule="auto"/>
        <w:rPr>
          <w:sz w:val="20"/>
          <w:szCs w:val="20"/>
          <w:color w:val="auto"/>
        </w:rPr>
      </w:pPr>
      <w:r>
        <w:rPr>
          <w:rFonts w:ascii="Arial" w:cs="Arial" w:eastAsia="Arial" w:hAnsi="Arial"/>
          <w:sz w:val="13"/>
          <w:szCs w:val="13"/>
          <w:color w:val="auto"/>
        </w:rPr>
        <w:t>such as consumer preferences, competitive products and services and macroeconomic conditions.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 significant increase in our Subscriber base since the outbreak of COVID-19, it remains uncertain how the COVID-19 pandemic will ultimately impact Subscriber renewal rates in the long-term.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5" w:name="page56"/>
    <w:bookmarkEnd w:id="55"/>
    <w:p>
      <w:pPr>
        <w:jc w:val="both"/>
        <w:spacing w:after="0" w:line="241" w:lineRule="auto"/>
        <w:rPr>
          <w:sz w:val="20"/>
          <w:szCs w:val="20"/>
          <w:color w:val="auto"/>
        </w:rPr>
      </w:pPr>
      <w:r>
        <w:rPr>
          <w:rFonts w:ascii="Arial" w:cs="Arial" w:eastAsia="Arial" w:hAnsi="Arial"/>
          <w:sz w:val="13"/>
          <w:szCs w:val="13"/>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track certain operational and business metrics, including Total Workouts and Average Monthly Workouts per Connected Fitness Subscription, with internal methods, which are not independently verified by any third party and, in particular for the Peloton App,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algorithmic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consumer demand and our success in implementing our business strategy, which are subject to many risks and uncertainties. See “</w:t>
      </w:r>
      <w:r>
        <w:rPr>
          <w:rFonts w:ascii="Arial" w:cs="Arial" w:eastAsia="Arial" w:hAnsi="Arial"/>
          <w:sz w:val="12"/>
          <w:szCs w:val="12"/>
          <w:i w:val="1"/>
          <w:iCs w:val="1"/>
          <w:color w:val="auto"/>
        </w:rPr>
        <w:t>—Our operating results could be adversely affected if we are unable to accurately forecast consumer demand for our products and services and adequately manage our inventory</w:t>
      </w:r>
      <w:r>
        <w:rPr>
          <w:rFonts w:ascii="Arial" w:cs="Arial" w:eastAsia="Arial" w:hAnsi="Arial"/>
          <w:sz w:val="12"/>
          <w:szCs w:val="12"/>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or our Subscribers may be subject to sales and other taxes, and we may be subject to liabilities on past sales for taxes, surcharges, and fees.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Our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In particular, in addition to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our credit agreement, as recently amended, requires us to maintain a total level of liquidity of not less than $250.0 million and maintain a minimum total four-quarter revenue level of $3.0 billion (which are replaced with a covenant to maintain a minimum debt to adjusted EBITDA ratio upon our meeting a specified adjusted EBITDA threshold).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in the Notes to Condensed Consolidated Financial Statements in Part I, Item 1 of this Quarterly Report on Form 10-Q and the section titled “</w:t>
      </w:r>
      <w:r>
        <w:rPr>
          <w:rFonts w:ascii="Arial" w:cs="Arial" w:eastAsia="Arial" w:hAnsi="Arial"/>
          <w:sz w:val="13"/>
          <w:szCs w:val="13"/>
          <w:i w:val="1"/>
          <w:iCs w:val="1"/>
          <w:color w:val="auto"/>
        </w:rPr>
        <w:t>Management’s Discussion and Analysis of Financial Condition and Results of Operations - Liquidity and Capital</w:t>
      </w:r>
      <w:r>
        <w:rPr>
          <w:rFonts w:ascii="Arial" w:cs="Arial" w:eastAsia="Arial" w:hAnsi="Arial"/>
          <w:sz w:val="13"/>
          <w:szCs w:val="13"/>
          <w:color w:val="auto"/>
        </w:rPr>
        <w:t xml:space="preserve"> </w:t>
      </w:r>
      <w:r>
        <w:rPr>
          <w:rFonts w:ascii="Arial" w:cs="Arial" w:eastAsia="Arial" w:hAnsi="Arial"/>
          <w:sz w:val="13"/>
          <w:szCs w:val="13"/>
          <w:i w:val="1"/>
          <w:iCs w:val="1"/>
          <w:color w:val="auto"/>
        </w:rPr>
        <w:t>Resources - Amended Credit Agreement</w:t>
      </w:r>
      <w:r>
        <w:rPr>
          <w:rFonts w:ascii="Arial" w:cs="Arial" w:eastAsia="Arial" w:hAnsi="Arial"/>
          <w:sz w:val="13"/>
          <w:szCs w:val="13"/>
          <w:color w:val="auto"/>
        </w:rPr>
        <w:t>” in Part I, Item 2 of this Quarterly Report on Form 10-Q.</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3"/>
          <w:szCs w:val="13"/>
          <w:b w:val="1"/>
          <w:bCs w:val="1"/>
          <w:i w:val="1"/>
          <w:iCs w:val="1"/>
          <w:color w:val="auto"/>
        </w:rPr>
        <w:t>We have identified a material weakness in our internal control over financial reporting,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56" w:name="page57"/>
    <w:bookmarkEnd w:id="56"/>
    <w:p>
      <w:pPr>
        <w:jc w:val="both"/>
        <w:spacing w:after="0" w:line="227" w:lineRule="auto"/>
        <w:rPr>
          <w:sz w:val="20"/>
          <w:szCs w:val="20"/>
          <w:color w:val="auto"/>
        </w:rPr>
      </w:pPr>
      <w:r>
        <w:rPr>
          <w:rFonts w:ascii="Arial" w:cs="Arial" w:eastAsia="Arial" w:hAnsi="Arial"/>
          <w:sz w:val="13"/>
          <w:szCs w:val="13"/>
          <w:color w:val="auto"/>
        </w:rPr>
        <w:t>In the course of preparing our financial statements for fiscal 2021, we identified a material weakness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related to reporting involving inventory. We have concluded that this material weakness arose because our controls were not effectively designed, documented and maintained to verify that our physical inventory counts were correctly counted and communicated for reporting in our financial statements.</w:t>
      </w:r>
    </w:p>
    <w:p>
      <w:pPr>
        <w:spacing w:after="0" w:line="177"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To address our material weakness, we have made changes to our program and controls to automate inventory count and reporting, implementing a global inventory count policy and standard operating procedures, training on these standard operating procedures and implementing enhanced document review for validating the accuracy of key reports used in the inventory process. We will not be able to fully remediate this material weakness until these steps have been completed and have been operating effectively for a sufficient period of time. See Part II, Item 9A “Controls and Procedures” for additional information about this material weakness and our remediation efforts.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For example, as we expand our reliance on last mile partners, we may face additional challenges in accurately verifying physical inventory counts.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exposed to foreign currency exchange rate fluctuations.</w:t>
      </w:r>
    </w:p>
    <w:p>
      <w:pPr>
        <w:spacing w:after="0" w:line="204"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Stockholder activism could disrupt our business, cause us to incur significant expenses, hinder execution of our business strategy, and impact our stock price.</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have been and may in the future be subject to stockholder activism, which can arise in a variety of predictable or unpredictable situations, and can result in substantial costs and divert management’s and our board’s attention and resources from our business. Additionally, such stockholder activism could give rise to perceived uncertainties as to our long-term business, financial forecasts, future operations and strategic planning, harm our reputation, adversely affect our relationships with our Members and business partners, and make it more difficult to attract and retain qualified personnel. We may also be required to incur significant fees and other expenses related to activist matters, including for third-party advisors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auto"/>
        </w:rPr>
        <w:t>Risks Related to Our Connected Fitness Products and Members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products and services may be affected from time to time by design and manufacturing defects, real or perceived, that could adversely affect our business and result in harm to our reputation.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or may arise from upgrades or changes to hardware that we or our third party manufacturing partners may make in the ordinary course of a product’s lifecycle. Actual or perceived defects may not be identified until after a product is in market. Any defects could impact or customer experience, tarnish our brand reputation or make our products and services unsafe and create a risk of environmental or property damage and/or personal injury. We may also become subject to the hazards and uncertainties of product liability claims and related litigation. For example, we have received reports of injuries associated with our Tread+ product, one of which led to the death of a child. As a result of the aforementioned injuries associated with these reported Tread+ incidents, in April 2021, the CPSC unilaterally issued a warning to consumers about the safety hazards associated with the Tread+ and is continuing to investigate the matter. While we do not agree with all of the assertions in the CPSC’s warning, we initiated a voluntary recall of our Tread+ product in collaboration with the CPSC. The recall, the possibility that the CPSC or other regulators could assess penalties or fines against us, and the risk that the CPSC or we could determine to recall any other product now or in the future, may adversely impact our operating results, brand reputation, and business. In connection with the voluntary recall of the Tread+, we developed and released additional safety features, such as a passcode to protect against unauthorized use, and we are working to develop additional physical hardware to further enhance the safety of the product. If we are unable to develop a product solution to further enhance the safety of our Tread+ product, we may not be able to sell that product for a significant period of time, if ever, and may face substantial costs associated with the development of such features and implementation of the recall. In addition to the CPSC investigation, we are presently subject to class action litigation, private personal injury claims, and regulatory proceedings related to the Tread+ and Tread recalls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stock price, business, results of operations, financial condition or cash flows. Furthermore, the occurrence of real or perceived defects in any of our products, now or in the future, could result in additional negative publicity, regulatory investigations, recalls, or lawsuits filed against us, particularly if Members or others who use or purchase our Connected Fitness Products are injured. Even if injuries are not the result of any defects, if they are perceived to be, we may incur expenses to defend or settle any claims or government inquiries and our brand and reputation may be harmed.</w:t>
      </w:r>
    </w:p>
    <w:p>
      <w:pPr>
        <w:spacing w:after="0" w:line="333"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timely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Design and manufacturing defects, real or perceived,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Strive Score, and, in the case of the Bike, cadence, resistance, and output, and, in the case of the Tread, pace, speed, and elevation. Taken together, these metrics assist our Members in tracking their fitness journey and understanding the effectiveness of their Peloton workouts, both during and after a workout. We anticipate introducing new metrics and features in the future. If the software used in our Connected Fitness Products or on our platform malfunctions and fails to accurately track, display, or record Member workouts and metrics, it could negatively impact our Members’ experience, and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our Members’ experience may be negatively impacted, we may become the subject of negative publicity, litigation, regulatory proceedings, and warranty claims, and our brand, operating results, and business could be harmed.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offer high-quality Member support, our business and reputation will suffer.</w:t>
      </w:r>
    </w:p>
    <w:p>
      <w:pPr>
        <w:spacing w:after="0" w:line="193"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8" w:name="page59"/>
    <w:bookmarkEnd w:id="58"/>
    <w:p>
      <w:pPr>
        <w:jc w:val="both"/>
        <w:spacing w:after="0" w:line="224" w:lineRule="auto"/>
        <w:rPr>
          <w:sz w:val="20"/>
          <w:szCs w:val="20"/>
          <w:color w:val="auto"/>
        </w:rPr>
      </w:pPr>
      <w:r>
        <w:rPr>
          <w:rFonts w:ascii="Arial" w:cs="Arial" w:eastAsia="Arial" w:hAnsi="Arial"/>
          <w:sz w:val="13"/>
          <w:szCs w:val="13"/>
          <w:color w:val="auto"/>
        </w:rPr>
        <w:t>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have been limited in some locations where we are unable to provide in-home delivery and set up services. Additionally, our increasing reliance on third-party last mile partners for in-home delivery and set up services may challenge our ability to control Members’ experience of such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We have experienced and may in the future experience higher product returns during periods where there are actual or perceived defects in our products or services or if there are changes in home fitness demand as consumers to go back to their pre-COVID routines. Moreover, in light of changes we made to our delivery procedures in connection with the COVID-19 pandemic, it is possible that warranty claims may increase above historical rates, and we may be unable to satisfactorily validate and resolve warranty claims where the COVID-19 pandemic or other factors prevent us from performing in-home deliveries and/or service appointments. For example, if we are unable to resolve warranty claims through in-home service appointments, in some cases we have sent the Member a replacement Bike frame and have requested that they hold the impaired Bike frame until a later date when we can safely retrieve it.</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we have received reports of a number of injuries associated with our Tread+ product, one of which led to the death of a child. As a result of the aforementioned injuries associated with these reported Tread+ incidents, in April 2021, the CPSC unilaterally issued a warning to consumers about the safety hazards associated with the Tread+ and is continuing to investigate the matter. After further discussion with the CPSC, in May 2021, we decided to issue a voluntary product recall of our Tread+, which we are conducting in collaboration with the CPSC. The Tread+ recall, the possibility that the CPSC could assess penalties or fines against us, and the risk that the CPSC or we could determine to recall any other product now or in the future, may adversely impact our operating results, brand reputation, and business. Furthermore,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 See “</w:t>
      </w:r>
      <w:r>
        <w:rPr>
          <w:rFonts w:ascii="Arial" w:cs="Arial" w:eastAsia="Arial" w:hAnsi="Arial"/>
          <w:sz w:val="13"/>
          <w:szCs w:val="13"/>
          <w:i w:val="1"/>
          <w:iCs w:val="1"/>
          <w:color w:val="auto"/>
        </w:rPr>
        <w:t>—Our products and services may be affected from time to time by design and</w:t>
      </w:r>
      <w:r>
        <w:rPr>
          <w:rFonts w:ascii="Arial" w:cs="Arial" w:eastAsia="Arial" w:hAnsi="Arial"/>
          <w:sz w:val="13"/>
          <w:szCs w:val="13"/>
          <w:color w:val="auto"/>
        </w:rPr>
        <w:t xml:space="preserve"> </w:t>
      </w:r>
      <w:r>
        <w:rPr>
          <w:rFonts w:ascii="Arial" w:cs="Arial" w:eastAsia="Arial" w:hAnsi="Arial"/>
          <w:sz w:val="13"/>
          <w:szCs w:val="13"/>
          <w:i w:val="1"/>
          <w:iCs w:val="1"/>
          <w:color w:val="auto"/>
        </w:rPr>
        <w:t>manufacturing defects, real or perceived, that could adversely affect our business and result in harm to our reputation.”</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60" w:lineRule="exact"/>
        <w:rPr>
          <w:sz w:val="20"/>
          <w:szCs w:val="20"/>
          <w:color w:val="auto"/>
        </w:rPr>
      </w:pPr>
    </w:p>
    <w:p>
      <w:pPr>
        <w:jc w:val="both"/>
        <w:spacing w:after="0" w:line="225" w:lineRule="auto"/>
        <w:rPr>
          <w:sz w:val="20"/>
          <w:szCs w:val="20"/>
          <w:color w:val="auto"/>
        </w:rPr>
      </w:pPr>
      <w:r>
        <w:rPr>
          <w:rFonts w:ascii="Arial" w:cs="Arial" w:eastAsia="Arial" w:hAnsi="Arial"/>
          <w:sz w:val="13"/>
          <w:szCs w:val="13"/>
          <w:color w:val="auto"/>
        </w:rPr>
        <w:t>We are subject to requirements under the Dodd-Frank Wall Street Reform and Consumer Protection Act of 2010, which will require us to conduct due diligence on and disclose whether or not conflict minerals originating from certain geographic regions are necessary for the manufacture or functionality of our products contain. The implementation of these requirements could adversely affect the sourcing, availability, and pricing of the materials used in the manufacture of components used in our products. In addition, we will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Laws, Regulation, and Legal Proceedings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From time to time, we may be subject to legal proceedings, regulatory investigations or disputes, and governmental inquiries that could cause us to incur significant expenses, divert our management’s attention, and materially harm our business, financial condition, and operating results.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59" w:name="page60"/>
    <w:bookmarkEnd w:id="59"/>
    <w:p>
      <w:pPr>
        <w:jc w:val="both"/>
        <w:spacing w:after="0" w:line="260" w:lineRule="auto"/>
        <w:rPr>
          <w:sz w:val="20"/>
          <w:szCs w:val="20"/>
          <w:color w:val="auto"/>
        </w:rPr>
      </w:pPr>
      <w:r>
        <w:rPr>
          <w:rFonts w:ascii="Arial" w:cs="Arial" w:eastAsia="Arial" w:hAnsi="Arial"/>
          <w:sz w:val="12"/>
          <w:szCs w:val="12"/>
          <w:color w:val="auto"/>
        </w:rPr>
        <w:t>other matters that could adversely affect our business operations and financial condition. As we have grown, we have seen a rise in the number and significance of these disputes and inquiries. Injuries sustained by Members or their friends and family members, or others who use or purchase our Connected Fitness Products, have, and could in the future, subject us to regulatory proceedings and litigation by governance agencies and private litigants brought against us, that regardless of their merits, could harm our reputation, divert management’s attention from our operations and result in substantial legal fees and other costs. Additionally, we have in the past been subject to intense media scrutiny, which exposes us to increasing regulation, government investigations, legal actions and penalties. For example, we are presently subject to a CPSC investigation and other litigation related to injuries sustained by Members and others who use or purchased the Tread+, and we have reporting obligations to safety regulators in all jurisdictions where we sell Connected Fitness Products, where reporting may trigger further regulatory investigations. See “</w:t>
      </w:r>
      <w:r>
        <w:rPr>
          <w:rFonts w:ascii="Arial" w:cs="Arial" w:eastAsia="Arial" w:hAnsi="Arial"/>
          <w:sz w:val="12"/>
          <w:szCs w:val="12"/>
          <w:i w:val="1"/>
          <w:iCs w:val="1"/>
          <w:color w:val="auto"/>
        </w:rPr>
        <w:t>—Risks Related to Our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Connected Fitness Products and Members—Our products and services may be affected from time to time by design and manufacturing defects, real or perceived, that could adversely affect our business and result in harm to our reputation.” </w:t>
      </w:r>
      <w:r>
        <w:rPr>
          <w:rFonts w:ascii="Arial" w:cs="Arial" w:eastAsia="Arial" w:hAnsi="Arial"/>
          <w:sz w:val="12"/>
          <w:szCs w:val="12"/>
          <w:color w:val="auto"/>
        </w:rPr>
        <w:t>In addition, the DOJ and DHS have subpoenaed us for documents and other information related to our reporting of the injuries associated with our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products and the SEC is also investigating our public disclosures concerning these matters. We have also been named in several lawsuits related to these recalls. For example, the Company and certain of its officers have been named in a consolidated securities class action on behalf of a class consisting of individuals who purchased or otherwise acquired our Class A common stock between September 11, 2020 and May 5, 2021, alleging that the defendants made false and/or misleading statements in violation of Sections 10(b) and 20(a) of the Exchange Act and Rule 10b-5 promulgated thereunder related to the Tread+ recall. In addition, between May and November 2021, four shareholders filed verified shareholder derivative action lawsuits purportedly on behalf of the Company against certain of our executive officers and the members of our board of directors alleging breaches of fiduciary duties and violations of Section 14(a) of the Securities Exchange Act, and, for certain of the lawsuits, unjust enrichment, abuse of control, gross mismanagement, waste, and a claim for contribution under Sections 10(b) and 21D of the Exchange Act against our Chief Executive Officer and Chief Financial Officer. See </w:t>
      </w:r>
      <w:r>
        <w:rPr>
          <w:rFonts w:ascii="Arial" w:cs="Arial" w:eastAsia="Arial" w:hAnsi="Arial"/>
          <w:sz w:val="12"/>
          <w:szCs w:val="12"/>
          <w:i w:val="1"/>
          <w:iCs w:val="1"/>
          <w:color w:val="auto"/>
        </w:rPr>
        <w:t>“—Risks Related to the Ownership of Our Class A Common Stock—The stock price of our Class A common stock has been, and will likely continue to be, volatile and you</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i w:val="1"/>
          <w:iCs w:val="1"/>
          <w:color w:val="auto"/>
        </w:rPr>
        <w:t xml:space="preserve">could lose all or part of your investment.” </w:t>
      </w:r>
      <w:r>
        <w:rPr>
          <w:rFonts w:ascii="Arial" w:cs="Arial" w:eastAsia="Arial" w:hAnsi="Arial"/>
          <w:sz w:val="13"/>
          <w:szCs w:val="13"/>
          <w:color w:val="auto"/>
        </w:rPr>
        <w:t>Separately, we have been named in putative securities class actions related to demand for our Connected Fitness Products. In particular, plaintiffs City of</w:t>
      </w:r>
      <w:r>
        <w:rPr>
          <w:rFonts w:ascii="Arial" w:cs="Arial" w:eastAsia="Arial" w:hAnsi="Arial"/>
          <w:sz w:val="13"/>
          <w:szCs w:val="13"/>
          <w:i w:val="1"/>
          <w:iCs w:val="1"/>
          <w:color w:val="auto"/>
        </w:rPr>
        <w:t xml:space="preserve"> </w:t>
      </w:r>
      <w:r>
        <w:rPr>
          <w:rFonts w:ascii="Arial" w:cs="Arial" w:eastAsia="Arial" w:hAnsi="Arial"/>
          <w:sz w:val="13"/>
          <w:szCs w:val="13"/>
          <w:color w:val="auto"/>
        </w:rPr>
        <w:t>Hialeah Employees’ Retirement System and Anastasia Deulina filed putative securities class action lawsuits purportedly on behalf of a class consisting of individuals who purchased or otherwise acquired our common stock between December 9, 2020 and November 4, 2021, alleging that the Company and certain of its officers made false and/or misleading statements in violation of Sections 10(b) and 20(a) of the Exchange Act and Rule 10b-5 promulgated thereunder.</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 xml:space="preserve">Litigation, regulatory proceedings, such as the investigations described above, as well as related personal injury or class action claims and lawsuits, and securities and intellectual property infringement matters that we are currently facing or could face, can be protracted and expensive, and have results that are difficult to predict. Certain of these matters include speculative claims for substantial or indeterminate amounts of damages and include claims for injunctive relief. Additionally, our legal costs for any of these matters, either alone or in the aggregate could be significant. Adverse outcomes with respect to any of these legal or regulatory proceedings may result in significant settlement costs or judgments, penalties and fines, or require us to modify our products or services, make content unavailable, or require us to stop offering certain products, components, or features, all of which could negatively affect our membership and revenue growth. Even if these proceedings are resolved in our favor, the time and resources necessary to resolve them could divert the resources of our management and require significant expenditures. See </w:t>
      </w:r>
      <w:r>
        <w:rPr>
          <w:rFonts w:ascii="Arial" w:cs="Arial" w:eastAsia="Arial" w:hAnsi="Arial"/>
          <w:sz w:val="13"/>
          <w:szCs w:val="13"/>
          <w:i w:val="1"/>
          <w:iCs w:val="1"/>
          <w:color w:val="auto"/>
        </w:rPr>
        <w:t>Note 8 - Commitments and Contingencies</w:t>
      </w:r>
      <w:r>
        <w:rPr>
          <w:rFonts w:ascii="Arial" w:cs="Arial" w:eastAsia="Arial" w:hAnsi="Arial"/>
          <w:sz w:val="13"/>
          <w:szCs w:val="13"/>
          <w:color w:val="auto"/>
        </w:rPr>
        <w:t xml:space="preserve"> in the Notes to Condensed Consolidated Financial Statements in Part I, Item 1 of this Quarterly Report on Form 10-Q and the section titled “—Legal Proceedings” in Part II, Item 1 of this Quarterly Report on Form 10-Q.</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collect, store, process, and use personal data and other Member data, which subjects us to legal obligations and laws and regulations related to security and privacy, and any actual or perceived failure to meet those obligations could harm our business.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collect, process, store, and use a wide variety of data from current and prospective Members, including personal data, such as home addresses and geolocation. U.S. Federal, state, and international laws and regulations governing privacy, data protection, and e-commerce transactions impose obligations on what we can do with our Members’ personal data. These obligations include heightened transparency about data collection, use and sharing practices, new data privacy rights, and rules in respect to cross-border data transfers, which carry significant enforcement penalties for non-compliance . These laws and regulations also require us to safeguard our Members’ personal data.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60" w:name="page61"/>
    <w:bookmarkEnd w:id="60"/>
    <w:p>
      <w:pPr>
        <w:jc w:val="both"/>
        <w:spacing w:after="0" w:line="239" w:lineRule="auto"/>
        <w:rPr>
          <w:sz w:val="20"/>
          <w:szCs w:val="20"/>
          <w:color w:val="auto"/>
        </w:rPr>
      </w:pPr>
      <w:r>
        <w:rPr>
          <w:rFonts w:ascii="Arial" w:cs="Arial" w:eastAsia="Arial" w:hAnsi="Arial"/>
          <w:sz w:val="13"/>
          <w:szCs w:val="13"/>
          <w:color w:val="auto"/>
        </w:rPr>
        <w:t>Furthermore, we may legally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Violations of applicable privacy laws or cybersecurity incidents could impact our business in a number of ways, such as a temporary suspension of some or all of our operating and/or information systems, damage our reputation, our relationships with customers, suppliers, vendors, and service providers and the Peloton brand and could result in lost data, lost sales, increased insurance premiums, substantial breach-notification and other remediation costs and lawsuits, as well as adversely affect results of operations. In addition, we may also face regulatory investigations with corresponding fines, civil claims including representative actions, and other class action type litigation (where individuals have suffered harm), potentially amounting to significant compensation or damages liabilities, as well as associated costs, diversion of internal resources, and reputational harm. We may also incur additional costs in the future related to the implementation of additional security measures to protect against new or enhanced data security and privacy threats, to comply with state, federal, and international laws that may be enacted to address personal data processing risks and data security threats, or to investigate or address potential or actual data security or privacy breaches.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United States and various foreign governments have imposed controls, export license requirements, and restrictions on the import or export of certain technologies. Our products may be subject to U.S. export controls and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3"/>
          <w:szCs w:val="13"/>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Our failure to comply with these laws and regulations could have negative consequences, including government investigations, penalties, reputational harm and could harm our international and domestic sales and adversely affect our revenue.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61" w:name="page62"/>
    <w:bookmarkEnd w:id="61"/>
    <w:p>
      <w:pPr>
        <w:jc w:val="both"/>
        <w:spacing w:after="0" w:line="266" w:lineRule="auto"/>
        <w:rPr>
          <w:sz w:val="20"/>
          <w:szCs w:val="20"/>
          <w:color w:val="auto"/>
        </w:rPr>
      </w:pPr>
      <w:r>
        <w:rPr>
          <w:rFonts w:ascii="Arial" w:cs="Arial" w:eastAsia="Arial" w:hAnsi="Arial"/>
          <w:sz w:val="13"/>
          <w:szCs w:val="13"/>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Recent or future changes to U.S., U.K. and other foreign tax laws could impact the tax treatment of our earnings. For example, the U.S. government may enact significant changes to the taxation of business entities including, among others, the imposition of minimum taxes or surtaxes on certain types of income.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U.S., U.K., or other jurisdictions’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Intellectual Property</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intellectual property rights are valuable, and any inability to protect them could reduce the value of our products, services, and brand.</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technology brand and other intellectual property. However, our efforts to protect our intellectual property rights may not be sufficient or effective, especially as incidents of infringement on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infringe on our rights or are substantially similar to ours and that compete with our business.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been, and in the future may be, sued by third parties for alleged infringement of their proprietary rights.</w:t>
      </w:r>
    </w:p>
    <w:p>
      <w:pPr>
        <w:spacing w:after="0" w:line="193" w:lineRule="exact"/>
        <w:rPr>
          <w:sz w:val="20"/>
          <w:szCs w:val="20"/>
          <w:color w:val="auto"/>
        </w:rPr>
      </w:pPr>
    </w:p>
    <w:p>
      <w:pPr>
        <w:ind w:right="20"/>
        <w:spacing w:after="0" w:line="224" w:lineRule="auto"/>
        <w:rPr>
          <w:sz w:val="20"/>
          <w:szCs w:val="20"/>
          <w:color w:val="auto"/>
        </w:rPr>
      </w:pPr>
      <w:r>
        <w:rPr>
          <w:rFonts w:ascii="Arial" w:cs="Arial" w:eastAsia="Arial" w:hAnsi="Arial"/>
          <w:sz w:val="13"/>
          <w:szCs w:val="13"/>
          <w:color w:val="auto"/>
        </w:rPr>
        <w:t xml:space="preserve">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For additional information, see </w:t>
      </w:r>
      <w:r>
        <w:rPr>
          <w:rFonts w:ascii="Arial" w:cs="Arial" w:eastAsia="Arial" w:hAnsi="Arial"/>
          <w:sz w:val="13"/>
          <w:szCs w:val="13"/>
          <w:i w:val="1"/>
          <w:iCs w:val="1"/>
          <w:color w:val="auto"/>
        </w:rPr>
        <w:t>Note 8 – Commitments and Contingencies</w:t>
      </w:r>
      <w:r>
        <w:rPr>
          <w:rFonts w:ascii="Arial" w:cs="Arial" w:eastAsia="Arial" w:hAnsi="Arial"/>
          <w:sz w:val="13"/>
          <w:szCs w:val="13"/>
          <w:color w:val="auto"/>
        </w:rPr>
        <w:t xml:space="preserve"> in the Notes to Condensed Consolidated Financial Statements in Part I, Item 1 of this Quarterly Report on Form 10-Q. Any claims or litigation could cause us to incur significant expenses and, if successfully asserted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62" w:name="page63"/>
    <w:bookmarkEnd w:id="62"/>
    <w:p>
      <w:pPr>
        <w:jc w:val="both"/>
        <w:ind w:right="40"/>
        <w:spacing w:after="0" w:line="239" w:lineRule="auto"/>
        <w:rPr>
          <w:sz w:val="20"/>
          <w:szCs w:val="20"/>
          <w:color w:val="auto"/>
        </w:rPr>
      </w:pPr>
      <w:r>
        <w:rPr>
          <w:rFonts w:ascii="Arial" w:cs="Arial" w:eastAsia="Arial" w:hAnsi="Arial"/>
          <w:sz w:val="12"/>
          <w:szCs w:val="12"/>
          <w:color w:val="auto"/>
        </w:rPr>
        <w:t>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w:t>
      </w:r>
    </w:p>
    <w:p>
      <w:pPr>
        <w:spacing w:after="0" w:line="2" w:lineRule="exact"/>
        <w:rPr>
          <w:sz w:val="20"/>
          <w:szCs w:val="20"/>
          <w:color w:val="auto"/>
        </w:rPr>
      </w:pPr>
    </w:p>
    <w:p>
      <w:pPr>
        <w:ind w:right="220"/>
        <w:spacing w:after="0" w:line="248" w:lineRule="auto"/>
        <w:rPr>
          <w:sz w:val="20"/>
          <w:szCs w:val="20"/>
          <w:color w:val="auto"/>
        </w:rPr>
      </w:pPr>
      <w:r>
        <w:rPr>
          <w:rFonts w:ascii="Arial" w:cs="Arial" w:eastAsia="Arial" w:hAnsi="Arial"/>
          <w:sz w:val="12"/>
          <w:szCs w:val="12"/>
          <w:color w:val="auto"/>
        </w:rPr>
        <w:t>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See “</w:t>
      </w:r>
      <w:r>
        <w:rPr>
          <w:rFonts w:ascii="Arial" w:cs="Arial" w:eastAsia="Arial" w:hAnsi="Arial"/>
          <w:sz w:val="12"/>
          <w:szCs w:val="12"/>
          <w:i w:val="1"/>
          <w:iCs w:val="1"/>
          <w:color w:val="auto"/>
        </w:rPr>
        <w:t>Risks Related to Laws, Regulation, and Legal</w:t>
      </w:r>
      <w:r>
        <w:rPr>
          <w:rFonts w:ascii="Arial" w:cs="Arial" w:eastAsia="Arial" w:hAnsi="Arial"/>
          <w:sz w:val="12"/>
          <w:szCs w:val="12"/>
          <w:color w:val="auto"/>
        </w:rPr>
        <w:t xml:space="preserve"> </w:t>
      </w:r>
      <w:r>
        <w:rPr>
          <w:rFonts w:ascii="Arial" w:cs="Arial" w:eastAsia="Arial" w:hAnsi="Arial"/>
          <w:sz w:val="12"/>
          <w:szCs w:val="12"/>
          <w:i w:val="1"/>
          <w:iCs w:val="1"/>
          <w:color w:val="auto"/>
        </w:rPr>
        <w:t>Proceedings.</w:t>
      </w:r>
      <w:r>
        <w:rPr>
          <w:rFonts w:ascii="Arial" w:cs="Arial" w:eastAsia="Arial" w:hAnsi="Arial"/>
          <w:sz w:val="12"/>
          <w:szCs w:val="12"/>
          <w:color w:val="auto"/>
        </w:rPr>
        <w:t>” Any of the foregoing could prevent us from competing effectively and could have an adverse effect on our business, financial condition, and operating results.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own administer, control or own all rights on a worldwide basis,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Given the high level of content concentration in the music industry, the market power of a few licensors, and the lack of transparent ownership information for compositions, including on a worldwide basis, we may be unable to license a large amount of music or the music of certain popular artists, and our business, financial condition, and operating results could be materially harmed.</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Our license agreements are complex and impose numerous obligations on us, including obligations to, among other things:</w:t>
      </w:r>
    </w:p>
    <w:p>
      <w:pPr>
        <w:spacing w:after="0" w:line="190" w:lineRule="exact"/>
        <w:rPr>
          <w:sz w:val="20"/>
          <w:szCs w:val="20"/>
          <w:color w:val="auto"/>
        </w:rPr>
      </w:pPr>
    </w:p>
    <w:p>
      <w:pPr>
        <w:ind w:left="520" w:hanging="260"/>
        <w:spacing w:after="0" w:line="244" w:lineRule="auto"/>
        <w:tabs>
          <w:tab w:leader="none" w:pos="511" w:val="left"/>
        </w:tabs>
        <w:numPr>
          <w:ilvl w:val="0"/>
          <w:numId w:val="31"/>
        </w:numPr>
        <w:rPr>
          <w:rFonts w:ascii="Arial" w:cs="Arial" w:eastAsia="Arial" w:hAnsi="Arial"/>
          <w:sz w:val="13"/>
          <w:szCs w:val="13"/>
          <w:color w:val="auto"/>
        </w:rPr>
      </w:pPr>
      <w:r>
        <w:rPr>
          <w:rFonts w:ascii="Arial" w:cs="Arial" w:eastAsia="Arial" w:hAnsi="Arial"/>
          <w:sz w:val="13"/>
          <w:szCs w:val="13"/>
          <w:color w:val="auto"/>
        </w:rPr>
        <w:t>calculate and make payments based on complex royalty structures, which requires tracking usage of content in our service that may have inaccurate or incomplete metadata necessary for such calculation;</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provide periodic reports on the exploitation of the content in specified formats;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 that we will obtain all necessary publishing licenses and consents and pay all associated fees, royalties, and other amounts due for the licensing of musical compositions;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comply with certain marketing and advertising restrictions;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grant the licensor the right to audit our compliance with the terms of such agreements;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comply with certain security and technical specifications.</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63" w:name="page64"/>
    <w:bookmarkEnd w:id="63"/>
    <w:p>
      <w:pPr>
        <w:jc w:val="both"/>
        <w:spacing w:after="0" w:line="241" w:lineRule="auto"/>
        <w:rPr>
          <w:sz w:val="20"/>
          <w:szCs w:val="20"/>
          <w:color w:val="auto"/>
        </w:rPr>
      </w:pPr>
      <w:r>
        <w:rPr>
          <w:rFonts w:ascii="Arial" w:cs="Arial" w:eastAsia="Arial" w:hAnsi="Arial"/>
          <w:sz w:val="13"/>
          <w:szCs w:val="13"/>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risks, such as unforeseen costs and potential liability in connection with content we produce, license, and distribute through our platform.</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Service Providers and Our Employees</w:t>
      </w:r>
    </w:p>
    <w:p>
      <w:pPr>
        <w:spacing w:after="0" w:line="192" w:lineRule="exact"/>
        <w:rPr>
          <w:sz w:val="20"/>
          <w:szCs w:val="20"/>
          <w:color w:val="auto"/>
        </w:rPr>
      </w:pPr>
    </w:p>
    <w:p>
      <w:pPr>
        <w:ind w:right="560"/>
        <w:spacing w:after="0" w:line="309" w:lineRule="auto"/>
        <w:rPr>
          <w:sz w:val="20"/>
          <w:szCs w:val="20"/>
          <w:color w:val="auto"/>
        </w:rPr>
      </w:pPr>
      <w:r>
        <w:rPr>
          <w:rFonts w:ascii="Arial" w:cs="Arial" w:eastAsia="Arial" w:hAnsi="Arial"/>
          <w:sz w:val="12"/>
          <w:szCs w:val="12"/>
          <w:b w:val="1"/>
          <w:bCs w:val="1"/>
          <w:i w:val="1"/>
          <w:iCs w:val="1"/>
          <w:color w:val="auto"/>
        </w:rPr>
        <w:t>We rely heavily on third parties for most of our computing, storage, processing, and similar services, and intend to increase our reliance on certain third parties such as last mile partners. Any disruption of or interference with our use of these third-party services could have an adverse effect on our business, financial condition, and operating results.</w:t>
      </w:r>
    </w:p>
    <w:p>
      <w:pPr>
        <w:spacing w:after="0" w:line="147" w:lineRule="exact"/>
        <w:rPr>
          <w:sz w:val="20"/>
          <w:szCs w:val="20"/>
          <w:color w:val="auto"/>
        </w:rPr>
      </w:pPr>
    </w:p>
    <w:p>
      <w:pPr>
        <w:ind w:right="160"/>
        <w:spacing w:after="0" w:line="267" w:lineRule="auto"/>
        <w:rPr>
          <w:sz w:val="20"/>
          <w:szCs w:val="20"/>
          <w:color w:val="auto"/>
        </w:rPr>
      </w:pPr>
      <w:r>
        <w:rPr>
          <w:rFonts w:ascii="Arial" w:cs="Arial" w:eastAsia="Arial" w:hAnsi="Arial"/>
          <w:sz w:val="12"/>
          <w:szCs w:val="12"/>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Additionally, we currently rely and expect to increase our reliance on last mile partners for the delivery and installation of our products. The</w:t>
      </w:r>
    </w:p>
    <w:p>
      <w:pPr>
        <w:spacing w:after="0" w:line="23"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level or quality of service provided by these providers and partners, or regular or prolonged delays or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64" w:name="page65"/>
    <w:bookmarkEnd w:id="64"/>
    <w:p>
      <w:pPr>
        <w:jc w:val="both"/>
        <w:spacing w:after="0" w:line="244" w:lineRule="auto"/>
        <w:rPr>
          <w:sz w:val="20"/>
          <w:szCs w:val="20"/>
          <w:color w:val="auto"/>
        </w:rPr>
      </w:pPr>
      <w:r>
        <w:rPr>
          <w:rFonts w:ascii="Arial" w:cs="Arial" w:eastAsia="Arial" w:hAnsi="Arial"/>
          <w:sz w:val="13"/>
          <w:szCs w:val="13"/>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success depends on the continuing efforts of our key employees and our ability to attract and retain highly skilled personnel and senior management.</w:t>
      </w:r>
    </w:p>
    <w:p>
      <w:pPr>
        <w:spacing w:after="0" w:line="193" w:lineRule="exact"/>
        <w:rPr>
          <w:sz w:val="20"/>
          <w:szCs w:val="20"/>
          <w:color w:val="auto"/>
        </w:rPr>
      </w:pPr>
    </w:p>
    <w:p>
      <w:pPr>
        <w:ind w:right="40"/>
        <w:spacing w:after="0" w:line="223" w:lineRule="auto"/>
        <w:rPr>
          <w:sz w:val="20"/>
          <w:szCs w:val="20"/>
          <w:color w:val="auto"/>
        </w:rPr>
      </w:pPr>
      <w:r>
        <w:rPr>
          <w:rFonts w:ascii="Arial" w:cs="Arial" w:eastAsia="Arial" w:hAnsi="Arial"/>
          <w:sz w:val="13"/>
          <w:szCs w:val="13"/>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our leadership team to the development of our business, future vision, and strategic direction. In February 2022, Barry McCarthy was appointed as our Chief Executive Officer and President, succeeding our co-founder John Foley, who became our Executive Chair. In addition, in connection with our restructuring plan, we announced the departure of other members of management. Our future performance will depend, in part, on the successful transition of the Chief Executive Officer position. If we do not successfully manage the transition, it could be viewed negatively by our customers, employees, investors, suppliers and other third-party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our business, including with respect to strategic initiatives such as our restructuring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3"/>
          <w:szCs w:val="13"/>
          <w:color w:val="auto"/>
        </w:rPr>
        <w:t>Also imperative to our success are our fitness instructors, who we rely on to bring new, exciting, and innovative fitness and wellness content to our platform, and who act as brand ambassadors. The loss of any key personnel could make it more difficult to manage our brand, operations and research and development activities, could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cannot maintain our “One Peloton” culture, we could lose the innovation, teamwork, and passion that we believe contribute to our success and our business may be harmed.</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we will need to maintain our “One Peloton” culture among our employees, dispersed across various geographic regions. Impacts resulting from the COVID-19 pandemic have also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As we continue to develop our infrastructure, and particularly in light of the reduction in headcount as part of our restructuring initiative that was announced in February 2022, we may find it difficult to maintain valuable aspects of our culture, to prevent a negative effect on employee morale or attrition beyond our planned reduction in headcount, and to attract competent personnel who are willing to embrace our culture. Any failure to preserve our culture could negatively affect our future success, including our ability to retain and recruit personnel and to effectively focus on and pursue our corporate objectives.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the Ownership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stock price of our Class A common stock has been, and will likely continue to be, volatile and you could lose all or part of your investment.</w:t>
      </w:r>
    </w:p>
    <w:p>
      <w:pPr>
        <w:spacing w:after="0" w:line="193"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The market price of our Class A common stock has been, and will likely continue to be, volatile. Since shares of our Class A common stock were sold in our IPO in September 2019 at a price of $29.00 per share, our stock price has ranged from $17.70 to $171.09 through January 31, 2022.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fluctuated and initially increased. There are no assurances that the trading price of our Class A common stock will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4" w:right="319" w:bottom="1440" w:gutter="0" w:footer="0" w:header="0"/>
        </w:sectPr>
      </w:pPr>
    </w:p>
    <w:bookmarkStart w:id="65" w:name="page66"/>
    <w:bookmarkEnd w:id="65"/>
    <w:p>
      <w:pPr>
        <w:jc w:val="both"/>
        <w:spacing w:after="0" w:line="229" w:lineRule="auto"/>
        <w:rPr>
          <w:sz w:val="20"/>
          <w:szCs w:val="20"/>
          <w:color w:val="auto"/>
        </w:rPr>
      </w:pPr>
      <w:r>
        <w:rPr>
          <w:rFonts w:ascii="Arial" w:cs="Arial" w:eastAsia="Arial" w:hAnsi="Arial"/>
          <w:sz w:val="13"/>
          <w:szCs w:val="13"/>
          <w:color w:val="auto"/>
        </w:rPr>
        <w:t>increase, decrease, or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 the public returns to their pre-COVID-19 pandemic routines, or due to other factors beyond our control.</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In addition to the factors discussed in this Quarterly Report on Form 10-Q, the market price of our Class A common stock may fluctuate significantly in response to numerous factors, many of which are beyond our control, including:</w:t>
      </w:r>
    </w:p>
    <w:p>
      <w:pPr>
        <w:spacing w:after="0" w:line="183"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ability to execute and realize the benefits of strategic plans, such as the restructuring initiative we announced in February 2022;</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impacts from the COVID-19 pandemic, for example, consumer demand and economic volatility or uncertainty;</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overall performance of the equity markets and the performance of technology companies in particular;</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variations in our operating results, cash flows, and other financial metrics and non-financial metrics, and how those results compare to analyst expectations;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changes in the financial projections we may provide to the public or our failure to meet these projections;</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timing and our ability to develop certain product solutions to enhance the safety of our Tread+ product to the satisfaction of the CPSC in connection with the Company’s voluntary safety recall, which it is conducting in collaboration with the CPSC;</w:t>
      </w:r>
    </w:p>
    <w:p>
      <w:pPr>
        <w:spacing w:after="0" w:line="35"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23"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recruitment, satisfaction or departure of key personnel;</w:t>
      </w: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economy as a whole and market conditions in our industry;</w:t>
      </w:r>
    </w:p>
    <w:p>
      <w:pPr>
        <w:spacing w:after="0" w:line="29"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acquisition of Precor or other future investments, acquisitions or dispositions;</w:t>
      </w:r>
    </w:p>
    <w:p>
      <w:pPr>
        <w:ind w:left="520" w:hanging="260"/>
        <w:spacing w:after="0" w:line="244"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negative publicity related to problems in our manufacturing or the real or perceived quality of our products, as well as the failure to timely launch new products or services that gain market acceptance;</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rumors and market speculation involving us or other companies in our industry;</w:t>
      </w:r>
    </w:p>
    <w:p>
      <w:pPr>
        <w:spacing w:after="0" w:line="41" w:lineRule="exact"/>
        <w:rPr>
          <w:rFonts w:ascii="Arial" w:cs="Arial" w:eastAsia="Arial" w:hAnsi="Arial"/>
          <w:sz w:val="13"/>
          <w:szCs w:val="13"/>
          <w:color w:val="auto"/>
        </w:rPr>
      </w:pPr>
    </w:p>
    <w:p>
      <w:pPr>
        <w:ind w:left="520" w:hanging="260"/>
        <w:spacing w:after="0" w:line="244" w:lineRule="auto"/>
        <w:tabs>
          <w:tab w:leader="none" w:pos="511"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announcements by us or our competitors of new products, services, features and content, significant technical innovations, acquisitions, dispositions, strategic partnerships, joint ventures, or capital commitments;</w:t>
      </w:r>
    </w:p>
    <w:p>
      <w:pPr>
        <w:spacing w:after="0" w:line="35"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existing laws or regulations applicable to our business;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lawsuits threatened or filed against us, litigation involving our industry, or both;</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developments or disputes concerning our or other parties’ products, services, or intellectual property rights;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other events or factors, including those resulting from war, incidents of terrorism, or responses to these events;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expiration of contractual lock-up or market standoff agreements;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sales of shares of our Class A common stock by us or our stockholders.</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In April and May 2021, two shareholders filed putative class actions against the Company, our Chief Executive Officer, and our Chief Financial Officer, purportedly on behalf of a class consisting of those individuals who purchased or otherwise acquired our Class A common stock between September 11, 2020 and May 5, 2021, alleging that the defendants made false and/or misleading statements in violations of Sections 10(b) and 20(a) of the Exchange Act and Rule 10b-5 promulgated thereunder. In addition, in May, August, and November 2021, four shareholders filed verified shareholder derivative action lawsuits purportedly on behalf of the Company against certain of our executive officers and the members of our board of directors alleging breaches of fiduciary duties and violations of Section 14(a) of the Securities Exchange Act, and, for three of the lawsuits, unjust enrichment, abuse of control, gross mismanagement, waste, and a claim for contribution under Sections 10(b) and 21D of the Exchange Act against our Chief Executive Officer and Chief Financial Officer. In November and December 2021, two purported shareholders filed putative class actions against the Company, our Chief Executive Officer, President, and Chief Financial Officer, purportedly on behalf of a class consisting of those individuals who purchased or otherwise acquired our common stock between December 9, 2020 and November 4, 2021, alleging that the defendants made false and/or misleading statements in violation of Sections 10(b) and 20(a) of the Exchange Act and Rule 10b-5 promulgated thereunder. These lawsuits and any other securities litigation actions could subject us to substantial costs, divert resources and the attention of management from our business, and adversely affect our business. See “</w:t>
      </w:r>
      <w:r>
        <w:rPr>
          <w:rFonts w:ascii="Arial" w:cs="Arial" w:eastAsia="Arial" w:hAnsi="Arial"/>
          <w:sz w:val="13"/>
          <w:szCs w:val="13"/>
          <w:i w:val="1"/>
          <w:iCs w:val="1"/>
          <w:color w:val="auto"/>
        </w:rPr>
        <w:t>Risks Related to Laws, Regulation, and Legal Proceedings.</w:t>
      </w:r>
      <w:r>
        <w:rPr>
          <w:rFonts w:ascii="Arial" w:cs="Arial" w:eastAsia="Arial" w:hAnsi="Arial"/>
          <w:sz w:val="13"/>
          <w:szCs w:val="13"/>
          <w:color w:val="auto"/>
        </w:rPr>
        <w:t>”</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There were a total of 331,447,145 shares of our Class A common stock and Class B common stock outstanding as of December 31, 2021. All shares of our Class A common stock and Class B common stock are freely tradable, except for certain limitations, including with respect to holding periods, on any shares purchased by our “affiliates” as defined in Rule 144 under the Securities Act of 1933, as amended, or the Securities Act.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66" w:name="page67"/>
    <w:bookmarkEnd w:id="66"/>
    <w:p>
      <w:pPr>
        <w:jc w:val="both"/>
        <w:spacing w:after="0"/>
        <w:rPr>
          <w:sz w:val="20"/>
          <w:szCs w:val="20"/>
          <w:color w:val="auto"/>
        </w:rPr>
      </w:pPr>
      <w:r>
        <w:rPr>
          <w:rFonts w:ascii="Arial" w:cs="Arial" w:eastAsia="Arial" w:hAnsi="Arial"/>
          <w:sz w:val="13"/>
          <w:szCs w:val="13"/>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addition, as of December 31, 2021, we had 3,656,180 shares of Class A common stock underlying restricted stock units that were awarded but not yet vested, and stock options outstanding that, if fully exercised, would result in the issuance of 40,724,871 shares of Class B common stock and 16,902,677 shares of Class A common stock. Subject to the satisfaction of applicable vesting requirements, and limitations applicable to shares held by our affiliates, the vested restricted stock and shares issued upon exercise of outstanding stock options will be available for immediate resale in the open market.</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Class B common stock has 20 votes per share and our Class A common stock has one vote per share. As of December 31, 2021,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dual class structure of our common stock may adversely affect the trading market for our Class A common stock.</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do not intend to pay dividends for the foreseeable future.</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3"/>
          <w:szCs w:val="13"/>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3"/>
          <w:szCs w:val="13"/>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187"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provide that our Board of Directors is classified into three classes of directors with staggered three-year terms;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permit the Board of Directors to establish the number of directors and fill any vacancies and newly-created directorships;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require super-majority voting to amend some provisions in our restated certificate of incorporation and restated bylaws;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our Board of Directors could use to implement a stockholder rights plan;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67" w:name="page68"/>
    <w:bookmarkEnd w:id="67"/>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provide that only the chairman of our Board of Directors, our chief executive officer, or a majority of our Board of Directors will be authorized to call a special meeting of stockholders;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eliminate the ability of our stockholders to call special meetings of stockholders;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prohibit cumulative voting;</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provide that directors may only be removed “for cause” and only with the approval of two-thirds of our stockholders;</w:t>
      </w:r>
    </w:p>
    <w:p>
      <w:pPr>
        <w:spacing w:after="0" w:line="41" w:lineRule="exact"/>
        <w:rPr>
          <w:rFonts w:ascii="Arial" w:cs="Arial" w:eastAsia="Arial" w:hAnsi="Arial"/>
          <w:sz w:val="13"/>
          <w:szCs w:val="13"/>
          <w:color w:val="auto"/>
        </w:rPr>
      </w:pPr>
    </w:p>
    <w:p>
      <w:pPr>
        <w:jc w:val="both"/>
        <w:ind w:left="520" w:hanging="260"/>
        <w:spacing w:after="0" w:line="24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37"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prohibit stockholder action by written consent, which requires all stockholder actions to be taken at a meeting of our stockholders;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provide that the Board of Directors is expressly authorized to make, alter, or repeal our bylaws;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 to our Board of Directors or for proposing matters that can be acted upon by stockholders at annual stockholder meetings.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3"/>
          <w:szCs w:val="13"/>
          <w:color w:val="212529"/>
        </w:rPr>
        <w:t>we amended and restated our restated bylaws to provide that the federal district courts of the United States of America will, to the fullest extent permitted by law,</w:t>
      </w:r>
      <w:r>
        <w:rPr>
          <w:rFonts w:ascii="Arial" w:cs="Arial" w:eastAsia="Arial" w:hAnsi="Arial"/>
          <w:sz w:val="13"/>
          <w:szCs w:val="13"/>
          <w:color w:val="auto"/>
        </w:rPr>
        <w:t xml:space="preserve"> </w:t>
      </w:r>
      <w:r>
        <w:rPr>
          <w:rFonts w:ascii="Arial" w:cs="Arial" w:eastAsia="Arial" w:hAnsi="Arial"/>
          <w:sz w:val="13"/>
          <w:szCs w:val="13"/>
          <w:color w:val="212529"/>
        </w:rPr>
        <w:t xml:space="preserve">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3"/>
          <w:szCs w:val="13"/>
          <w:color w:val="000000"/>
        </w:rPr>
        <w:t>the Federal Forum Provision means that suits brought by</w:t>
      </w:r>
      <w:r>
        <w:rPr>
          <w:rFonts w:ascii="Arial" w:cs="Arial" w:eastAsia="Arial" w:hAnsi="Arial"/>
          <w:sz w:val="13"/>
          <w:szCs w:val="13"/>
          <w:color w:val="212529"/>
        </w:rPr>
        <w:t xml:space="preserve"> </w:t>
      </w:r>
      <w:r>
        <w:rPr>
          <w:rFonts w:ascii="Arial" w:cs="Arial" w:eastAsia="Arial" w:hAnsi="Arial"/>
          <w:sz w:val="13"/>
          <w:szCs w:val="13"/>
          <w:color w:val="000000"/>
        </w:rPr>
        <w:t>our stockholders to enforce any duty or liability created by the Securities Act must be brought in federal court and cannot be brought in state court.</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Our stockholders will not be deemed to have waived our compliance with the federal securities laws and the regulations promulgated thereunder.</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3"/>
          <w:szCs w:val="13"/>
          <w:color w:val="000000"/>
        </w:rPr>
        <w:t>. Alternatively, if a court were to find the choice of forum provision contained in our restated certificate of incorporation and/or</w:t>
      </w:r>
      <w:r>
        <w:rPr>
          <w:rFonts w:ascii="Arial" w:cs="Arial" w:eastAsia="Arial" w:hAnsi="Arial"/>
          <w:sz w:val="13"/>
          <w:szCs w:val="13"/>
          <w:color w:val="212529"/>
        </w:rPr>
        <w:t xml:space="preserve"> </w:t>
      </w:r>
      <w:r>
        <w:rPr>
          <w:rFonts w:ascii="Arial" w:cs="Arial" w:eastAsia="Arial" w:hAnsi="Arial"/>
          <w:sz w:val="13"/>
          <w:szCs w:val="13"/>
          <w:color w:val="000000"/>
        </w:rPr>
        <w:t>amended and restated bylaws to be inapplicable or unenforceable in an action, we may incur additional costs associated with resolving such action in other jurisdictions, which could harm our business, financial condition,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 sellers of our stock may be manipulative and may drive down the market price of our Class A common stock.</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 financial condition, and reputation. There are no assurances that we will not face short sellers’ efforts or similar tactics in the future, and the market price of our Class A common stock may decline as a result of their 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auto"/>
        </w:rPr>
        <w:t>Risks Related to the Ownership of Our Convertible Senior Notes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Notes are effectively subordinated to our existing and future secured indebtedness and structurally subordinated to the liabilities of our subsidiaries.</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0% Convertible Senior Notes due 2026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December 31, 2021, we had approximately $1.0 billion in total indebtedness and approximately $495.2 million of available borrowing capacity under our Amended Credit Agreement (after deducting $4.8 million of outstanding letters of credit). Our subsidiaries had no outstanding indebtedness as of December 31, 2021. The indenture governing the Notes does not prohibit us or our subsidiaries from incurring additional indebtedness, including senior or secured indebtedness, in the future.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3"/>
          <w:szCs w:val="13"/>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Noteholders may require us to repurchase their Notes following a fundamental change at a cash repurchase price generally equal to the principal amount of the Notes to be repurchased, plus accrued and unpaid special interest, if any. In addition, upon conversion, we will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As of December 31, 2021, we had $1.0 billion of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4"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increasing our vulnerability to adverse economic and industry conditions;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requiring the dedication of a substantial portion of our cash flow from operations to service our indebtedness, which will reduce the amount of cash available for other purposes;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limiting our flexibility to plan for, or react to, changes in our business;</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diluting the interests of our existing stockholders as a result of issuing shares of our Class A common stock upon conversion of the notes; and</w:t>
      </w:r>
    </w:p>
    <w:p>
      <w:pPr>
        <w:spacing w:after="0" w:line="41" w:lineRule="exact"/>
        <w:rPr>
          <w:rFonts w:ascii="Arial" w:cs="Arial" w:eastAsia="Arial" w:hAnsi="Arial"/>
          <w:sz w:val="13"/>
          <w:szCs w:val="13"/>
          <w:color w:val="auto"/>
        </w:rPr>
      </w:pPr>
    </w:p>
    <w:p>
      <w:pPr>
        <w:ind w:left="500" w:hanging="240"/>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placing us at a possible competitive disadvantage with competitors that are less leveraged than us or have better access to capital.</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3"/>
          <w:szCs w:val="13"/>
          <w:color w:val="auto"/>
        </w:rPr>
        <w:t>Our business may not generate sufficient funds, and we may otherwise be unable to maintain sufficient cash reserves, to pay amounts due under our indebtedness, including the notes, and our cash needs may increase in the future. In addition, our existing $500.0 million revolving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i w:val="1"/>
          <w:iCs w:val="1"/>
          <w:color w:val="auto"/>
        </w:rPr>
        <w:t>The accounting method for the Notes could adversely affect our reported financial condition and results.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Under applicable accounting principles, the initial liability carrying amount of the Notes is the fair value of a similar debt instrument that does not have a conversion feature, valued using our cost of capital for straight, non-convertible debt. We reflected the difference between the net proceeds from our offering of the Notes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The lower reported income or higher reported loss resulting from this accounting treatment could depress the trading price of our Class A common stock and the Notes. However, in August 2020, the Financial Accounting Standards Board published an Accounting Standards Update, which we refer to as ASU 2020-06, that in certain cases will eliminate the separate accounting for the debt and equity components as described above.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When effective, we expect to qualify for the elimination of the separate accounting described above which, as a result, will reduce the interest expense that we expect to recognize for the Notes for accounting purposes.</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Under this method, if the conversion value of the Notes exceeds their principal amount for a reporting period, then we will calculate our diluted earnings per share assuming that all the Notes were converted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In addition, when accounting standards change in the future and we are not permitted to use the treasury stock method, then our diluted earnings per share may decline. ASU 2020-06 amends these accounting standards, effective as of the dates referred to above, to eliminate the treasury stock method for convertible instruments and instead require application of the “if-converted” method. Under that method, diluted earnings per share would generally be calculated assuming that all the Notes were converted solely into shares of Class A common stock at the beginning of the reporting period, unless the result would be anti-dilutive. The application of the if-converted method may reduce our reported diluted earnings per share.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capped call transactions may affect the value of the Notes and our Class A common stock.</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connection with the Notes, we entered into capped call transactions with certain financial institutions (the option counterparties). The capped call transactions are expected generally to reduce the potential dilution to our Class A common stock upon any conversion of the Notes and/or offset any potential cash payments we are required to make in excess of the principal amount upon conversion of any Notes, with such reduction and/or offset subject to a cap.</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connection with establishing their initial hedges of the capped call transactions, the option counterparties and/or their respective affiliates purchased shares of our Class A common stock and/or entered into various derivative transactions with respect to our Class A common stock. This activity could have increased (or reduced the size of any decrease in) the market price of our Class A common stock or the Notes at that time.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3"/>
          <w:szCs w:val="13"/>
          <w:color w:val="auto"/>
        </w:rPr>
        <w:t>In addition, the option counterparties and/or their respective affiliates may modify their hedge positions by entering into or unwinding various derivatives with respect to our Class A common stock and/or purchasing or selling our Class A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Class A common stock or the Notes.</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counterparty risk with respect to the capped call transactions, and the capped call may not operate as planned</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The option counterparties are financial institutions, and we will be subject to the risk that they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including the bankruptcy filing by</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Lehman Brothers Holdings Inc. and its various affiliates.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70" w:name="page71"/>
    <w:bookmarkEnd w:id="70"/>
    <w:p>
      <w:pPr>
        <w:spacing w:after="0"/>
        <w:rPr>
          <w:sz w:val="20"/>
          <w:szCs w:val="20"/>
          <w:color w:val="auto"/>
        </w:rPr>
      </w:pPr>
      <w:r>
        <w:rPr>
          <w:rFonts w:ascii="Arial" w:cs="Arial" w:eastAsia="Arial" w:hAnsi="Arial"/>
          <w:sz w:val="12"/>
          <w:szCs w:val="12"/>
          <w:color w:val="auto"/>
        </w:rPr>
        <w:t>volatility of our Class A common stock. In addition, upon a default by an option counterparty, we may suffer adverse tax consequences and more dilution than we currently anticipate with respect to our</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Class A common stock. We can provide no assurances as to the financial stability or</w:t>
      </w:r>
    </w:p>
    <w:p>
      <w:pPr>
        <w:spacing w:after="0"/>
        <w:rPr>
          <w:sz w:val="20"/>
          <w:szCs w:val="20"/>
          <w:color w:val="auto"/>
        </w:rPr>
      </w:pPr>
      <w:r>
        <w:rPr>
          <w:rFonts w:ascii="Arial" w:cs="Arial" w:eastAsia="Arial" w:hAnsi="Arial"/>
          <w:sz w:val="13"/>
          <w:szCs w:val="13"/>
          <w:color w:val="auto"/>
        </w:rPr>
        <w:t>viability of any option counterparty.</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General Risk Factors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net operating loss to offset future taxable income may be subject to certain limitations.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As of June 30, 2021, we had U.S. federal net operating loss carryforwards, or NOLs, and state NOLs of approximately $1,086.5 million and $706.2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For these reasons, we may not be able to realize a tax benefit from the use of our NOLs, whether or not we attain profitability.</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addition, future changes in our stock ownership, the causes of which may be outside of our control, could result in an additional ownership change under Section 382 of the Code. There is also a risk that due to regulatory changes, such as further limitations or suspensions on the use of NOLs, or other unforeseen reasons, our existing NOLs could expire or otherwise be unavailable to offset future income tax liabilities. Our NOLs may also be limited under state laws. For these reasons, we may not be able to realize a tax benefit from the use of our NOLs, whether or not we attain profitability.</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Failure to maintain effective internal control over our financial and management systems, may strain our resources, divert management’s attention, and impact our ability to attract and retain executive management and qualified board members.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We are subject to the reporting requirements of the Exchange Act, the Sarbanes-Oxley Act, the rules and regulations promulgated thereunder by the SEC and any rules and regulations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 xml:space="preserve">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in the future, improve our disclosure controls and procedures, and internal control over, financial reporting to meet this standard, significant resources and management oversight may be required. In the course of preparing our financial statements for fiscal 2021, we identified a material weakness in our internal control over financial reporting. If, in the future, we have a material weakness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 See </w:t>
      </w:r>
      <w:r>
        <w:rPr>
          <w:rFonts w:ascii="Arial" w:cs="Arial" w:eastAsia="Arial" w:hAnsi="Arial"/>
          <w:sz w:val="13"/>
          <w:szCs w:val="13"/>
          <w:i w:val="1"/>
          <w:iCs w:val="1"/>
          <w:color w:val="auto"/>
        </w:rPr>
        <w:t>“—We have identified a material weakness in our internal control over financial reporting, and if our remediation of such material weakness is not</w:t>
      </w:r>
      <w:r>
        <w:rPr>
          <w:rFonts w:ascii="Arial" w:cs="Arial" w:eastAsia="Arial" w:hAnsi="Arial"/>
          <w:sz w:val="13"/>
          <w:szCs w:val="13"/>
          <w:color w:val="auto"/>
        </w:rPr>
        <w:t xml:space="preserve"> </w:t>
      </w:r>
      <w:r>
        <w:rPr>
          <w:rFonts w:ascii="Arial" w:cs="Arial" w:eastAsia="Arial" w:hAnsi="Arial"/>
          <w:sz w:val="13"/>
          <w:szCs w:val="13"/>
          <w:i w:val="1"/>
          <w:iCs w:val="1"/>
          <w:color w:val="auto"/>
        </w:rPr>
        <w:t>effective, or if we fail to develop and maintain an effective system of disclosure controls and internal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23"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i w:val="1"/>
          <w:iCs w:val="1"/>
          <w:color w:val="auto"/>
        </w:rPr>
        <w:t>control over financial reporting, our ability to produce timely and accurate financial statements or comply with applicable laws and regulations could be impaired.</w:t>
      </w:r>
      <w:r>
        <w:rPr>
          <w:rFonts w:ascii="Arial" w:cs="Arial" w:eastAsia="Arial" w:hAnsi="Arial"/>
          <w:sz w:val="13"/>
          <w:szCs w:val="13"/>
          <w:color w:val="auto"/>
        </w:rPr>
        <w:t>”</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for a company of our size, and we may need to hire more employees in the future, or engage outside consultants, which will increase our 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operating results could be adversely affected.</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63" w:lineRule="exact"/>
        <w:rPr>
          <w:sz w:val="20"/>
          <w:szCs w:val="20"/>
          <w:color w:val="auto"/>
        </w:rPr>
      </w:pPr>
    </w:p>
    <w:p>
      <w:pPr>
        <w:ind w:right="420"/>
        <w:spacing w:after="0" w:line="249" w:lineRule="auto"/>
        <w:rPr>
          <w:sz w:val="20"/>
          <w:szCs w:val="20"/>
          <w:color w:val="auto"/>
        </w:rPr>
      </w:pPr>
      <w:r>
        <w:rPr>
          <w:rFonts w:ascii="Arial" w:cs="Arial" w:eastAsia="Arial" w:hAnsi="Arial"/>
          <w:sz w:val="13"/>
          <w:szCs w:val="13"/>
          <w:b w:val="1"/>
          <w:bCs w:val="1"/>
          <w:i w:val="1"/>
          <w:iCs w:val="1"/>
          <w:color w:val="auto"/>
        </w:rPr>
        <w:t>Our business is subject to the risk of earthquakes, fire, power outages, floods, public health crises, including the current COVID-19 pandemic, ransomware and other cybersecurity attacks, labor disputes, and other catastrophic events, and to interruption by man-made problems such as terrorism.</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3"/>
          <w:szCs w:val="13"/>
          <w:color w:val="auto"/>
        </w:rPr>
        <w:t>Our business is vulnerable to damage or interruption from earthquakes, fires, floods, power losses, telecommunications failures, ransomware and other cybersecurity attacks, labor disputes, terrorist attacks, acts of war, human errors, break-ins, industrial accidents, public health crises, including the COVID-19 pandemic, and other unforeseen events or events that we cannot control. The third-party providers,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were delayed due to local government orders. Acts of terrorism, which may be targeted at metropolitan areas that have higher population density than rural areas, could also cause disruptions to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206" w:lineRule="exact"/>
        <w:rPr>
          <w:sz w:val="20"/>
          <w:szCs w:val="20"/>
          <w:color w:val="auto"/>
        </w:rPr>
      </w:pPr>
    </w:p>
    <w:p>
      <w:pPr>
        <w:ind w:right="640"/>
        <w:spacing w:after="0" w:line="244" w:lineRule="auto"/>
        <w:rPr>
          <w:sz w:val="20"/>
          <w:szCs w:val="20"/>
          <w:color w:val="auto"/>
        </w:rPr>
      </w:pPr>
      <w:r>
        <w:rPr>
          <w:rFonts w:ascii="Arial" w:cs="Arial" w:eastAsia="Arial" w:hAnsi="Arial"/>
          <w:sz w:val="13"/>
          <w:szCs w:val="13"/>
          <w:color w:val="auto"/>
        </w:rPr>
        <w:t>We are reporting the following information in lieu of reporting on a Current Report on Form 8-K under Item 2.05 Costs Associated with Exit or Disposal Activities and under Item 2.06 Material Impairments.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February 2022 Restructuring Plan; Asset Impairments</w:t>
      </w:r>
    </w:p>
    <w:p>
      <w:pPr>
        <w:spacing w:after="0" w:line="195"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On February 1, 2022, following previous disclosure by Peloton Interactive, Inc. (the “Company”) regarding market factors impacting the business, the Company’s Board of Directors (the “Board”) approved a restructuring plan to realign the Company’s operational focus to support its multi-year growth, scale the business, and improve costs (the “Restructuring Plan”). The Restructuring Plan includes: (i) reducing the Company’s headcount by approximately 2,800 global positions; (ii) closing several assembly and manufacturing plants, including the completion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1" w:right="319" w:bottom="1440" w:gutter="0" w:footer="0" w:header="0"/>
        </w:sectPr>
      </w:pPr>
    </w:p>
    <w:bookmarkStart w:id="72" w:name="page73"/>
    <w:bookmarkEnd w:id="72"/>
    <w:p>
      <w:pPr>
        <w:jc w:val="both"/>
        <w:spacing w:after="0" w:line="233" w:lineRule="auto"/>
        <w:rPr>
          <w:sz w:val="20"/>
          <w:szCs w:val="20"/>
          <w:color w:val="auto"/>
        </w:rPr>
      </w:pPr>
      <w:r>
        <w:rPr>
          <w:rFonts w:ascii="Arial" w:cs="Arial" w:eastAsia="Arial" w:hAnsi="Arial"/>
          <w:sz w:val="13"/>
          <w:szCs w:val="13"/>
          <w:color w:val="auto"/>
        </w:rPr>
        <w:t>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2024.</w:t>
      </w:r>
    </w:p>
    <w:p>
      <w:pPr>
        <w:spacing w:after="0" w:line="177"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In connection with the Restructuring Plan, the Company estimates that it will incur total cash charges of approximately $190 million composed of: (i) approximately $90 million for severance and other related personnel reduction costs; (ii) approximately $40 million related to closing and consolidating several assembly and manufacturing plants and distribution facilities; and (iii) approximately $60 million in capital expenditures. Additionally, the Company expects to recognize approximately $80 million of asset impairment charges in the third fiscal quarter of 2022 in connection with the Restructuring Plan.</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Company expects to achieve at least $800 million in annualized cost savings as a result of the Restructuring Plan, with the majority expected to be realized by the end of fiscal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12"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143510</wp:posOffset>
            </wp:positionV>
            <wp:extent cx="6299200" cy="2842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9200" cy="28428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800" w:type="dxa"/>
            <w:vAlign w:val="bottom"/>
          </w:tcPr>
          <w:p>
            <w:pPr>
              <w:jc w:val="right"/>
              <w:ind w:right="276"/>
              <w:spacing w:after="0"/>
              <w:rPr>
                <w:sz w:val="20"/>
                <w:szCs w:val="20"/>
                <w:color w:val="auto"/>
              </w:rPr>
            </w:pPr>
            <w:r>
              <w:rPr>
                <w:rFonts w:ascii="Arial" w:cs="Arial" w:eastAsia="Arial" w:hAnsi="Arial"/>
                <w:sz w:val="13"/>
                <w:szCs w:val="13"/>
                <w:b w:val="1"/>
                <w:bCs w:val="1"/>
                <w:color w:val="auto"/>
              </w:rPr>
              <w:t>Exhibit</w:t>
            </w: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40" w:type="dxa"/>
            <w:vAlign w:val="bottom"/>
            <w:gridSpan w:val="10"/>
          </w:tcPr>
          <w:p>
            <w:pPr>
              <w:ind w:left="260"/>
              <w:spacing w:after="0"/>
              <w:rPr>
                <w:sz w:val="20"/>
                <w:szCs w:val="20"/>
                <w:color w:val="auto"/>
              </w:rPr>
            </w:pPr>
            <w:r>
              <w:rPr>
                <w:rFonts w:ascii="Arial" w:cs="Arial" w:eastAsia="Arial" w:hAnsi="Arial"/>
                <w:sz w:val="13"/>
                <w:szCs w:val="13"/>
                <w:b w:val="1"/>
                <w:bCs w:val="1"/>
                <w:color w:val="auto"/>
              </w:rPr>
              <w:t>Exhibit Title</w:t>
            </w:r>
          </w:p>
        </w:tc>
      </w:tr>
      <w:tr>
        <w:trPr>
          <w:trHeight w:val="169"/>
        </w:trPr>
        <w:tc>
          <w:tcPr>
            <w:tcW w:w="800" w:type="dxa"/>
            <w:vAlign w:val="bottom"/>
          </w:tcPr>
          <w:p>
            <w:pPr>
              <w:jc w:val="right"/>
              <w:ind w:right="256"/>
              <w:spacing w:after="0"/>
              <w:rPr>
                <w:sz w:val="20"/>
                <w:szCs w:val="20"/>
                <w:color w:val="auto"/>
              </w:rPr>
            </w:pPr>
            <w:r>
              <w:rPr>
                <w:rFonts w:ascii="Arial" w:cs="Arial" w:eastAsia="Arial" w:hAnsi="Arial"/>
                <w:sz w:val="13"/>
                <w:szCs w:val="13"/>
                <w:b w:val="1"/>
                <w:bCs w:val="1"/>
                <w:color w:val="auto"/>
                <w:w w:val="93"/>
              </w:rPr>
              <w:t>Number</w:t>
            </w: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w:t>
            </w:r>
          </w:p>
        </w:tc>
        <w:tc>
          <w:tcPr>
            <w:tcW w:w="4460" w:type="dxa"/>
            <w:vAlign w:val="bottom"/>
            <w:gridSpan w:val="12"/>
          </w:tcPr>
          <w:p>
            <w:pPr>
              <w:spacing w:after="0"/>
              <w:rPr>
                <w:rFonts w:ascii="Arial" w:cs="Arial" w:eastAsia="Arial" w:hAnsi="Arial"/>
                <w:sz w:val="13"/>
                <w:szCs w:val="13"/>
                <w:color w:val="0000FF"/>
              </w:rPr>
            </w:pPr>
            <w:hyperlink w:anchor="page76">
              <w:r>
                <w:rPr>
                  <w:rFonts w:ascii="Arial" w:cs="Arial" w:eastAsia="Arial" w:hAnsi="Arial"/>
                  <w:sz w:val="13"/>
                  <w:szCs w:val="13"/>
                  <w:color w:val="0000FF"/>
                </w:rPr>
                <w:t>Second Amendment to the Amended and Restated Revolving Credit</w:t>
              </w:r>
            </w:hyperlink>
          </w:p>
        </w:tc>
      </w:tr>
      <w:tr>
        <w:trPr>
          <w:trHeight w:val="20"/>
        </w:trPr>
        <w:tc>
          <w:tcPr>
            <w:tcW w:w="8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4180" w:type="dxa"/>
            <w:vAlign w:val="bottom"/>
            <w:tcBorders>
              <w:bottom w:val="single" w:sz="8" w:color="0000FF"/>
            </w:tcBorders>
            <w:gridSpan w:val="6"/>
          </w:tcPr>
          <w:p>
            <w:pPr>
              <w:spacing w:after="0" w:line="118" w:lineRule="exact"/>
              <w:rPr>
                <w:rFonts w:ascii="Arial" w:cs="Arial" w:eastAsia="Arial" w:hAnsi="Arial"/>
                <w:sz w:val="13"/>
                <w:szCs w:val="13"/>
                <w:color w:val="0000FF"/>
                <w:w w:val="97"/>
              </w:rPr>
            </w:pPr>
            <w:hyperlink w:anchor="page76">
              <w:r>
                <w:rPr>
                  <w:rFonts w:ascii="Arial" w:cs="Arial" w:eastAsia="Arial" w:hAnsi="Arial"/>
                  <w:sz w:val="13"/>
                  <w:szCs w:val="13"/>
                  <w:color w:val="0000FF"/>
                  <w:w w:val="97"/>
                </w:rPr>
                <w:t>Agreement, dated as of December 10, 2021 by and among the Registrant,</w:t>
              </w:r>
            </w:hyperlink>
          </w:p>
        </w:tc>
        <w:tc>
          <w:tcPr>
            <w:tcW w:w="280" w:type="dxa"/>
            <w:vAlign w:val="bottom"/>
            <w:gridSpan w:val="6"/>
          </w:tcPr>
          <w:p>
            <w:pPr>
              <w:spacing w:after="0"/>
              <w:rPr>
                <w:sz w:val="10"/>
                <w:szCs w:val="10"/>
                <w:color w:val="auto"/>
              </w:rPr>
            </w:pPr>
          </w:p>
        </w:tc>
      </w:tr>
      <w:tr>
        <w:trPr>
          <w:trHeight w:val="118"/>
        </w:trPr>
        <w:tc>
          <w:tcPr>
            <w:tcW w:w="800" w:type="dxa"/>
            <w:vAlign w:val="bottom"/>
          </w:tcPr>
          <w:p>
            <w:pPr>
              <w:spacing w:after="0"/>
              <w:rPr>
                <w:sz w:val="10"/>
                <w:szCs w:val="10"/>
                <w:color w:val="auto"/>
              </w:rPr>
            </w:pPr>
          </w:p>
        </w:tc>
        <w:tc>
          <w:tcPr>
            <w:tcW w:w="4240" w:type="dxa"/>
            <w:vAlign w:val="bottom"/>
            <w:tcBorders>
              <w:bottom w:val="single" w:sz="8" w:color="0000FF"/>
            </w:tcBorders>
            <w:gridSpan w:val="8"/>
          </w:tcPr>
          <w:p>
            <w:pPr>
              <w:spacing w:after="0" w:line="118" w:lineRule="exact"/>
              <w:rPr>
                <w:rFonts w:ascii="Arial" w:cs="Arial" w:eastAsia="Arial" w:hAnsi="Arial"/>
                <w:sz w:val="13"/>
                <w:szCs w:val="13"/>
                <w:color w:val="0000FF"/>
                <w:w w:val="97"/>
              </w:rPr>
            </w:pPr>
            <w:hyperlink w:anchor="page76">
              <w:r>
                <w:rPr>
                  <w:rFonts w:ascii="Arial" w:cs="Arial" w:eastAsia="Arial" w:hAnsi="Arial"/>
                  <w:sz w:val="13"/>
                  <w:szCs w:val="13"/>
                  <w:color w:val="0000FF"/>
                  <w:w w:val="97"/>
                </w:rPr>
                <w:t>JPMorgan Chase Bank, N.A., as administrative agent, and the other parties</w:t>
              </w:r>
            </w:hyperlink>
          </w:p>
        </w:tc>
        <w:tc>
          <w:tcPr>
            <w:tcW w:w="220" w:type="dxa"/>
            <w:vAlign w:val="bottom"/>
            <w:gridSpan w:val="4"/>
          </w:tcPr>
          <w:p>
            <w:pPr>
              <w:spacing w:after="0"/>
              <w:rPr>
                <w:sz w:val="10"/>
                <w:szCs w:val="10"/>
                <w:color w:val="auto"/>
              </w:rPr>
            </w:pPr>
          </w:p>
        </w:tc>
      </w:tr>
      <w:tr>
        <w:trPr>
          <w:trHeight w:val="118"/>
        </w:trPr>
        <w:tc>
          <w:tcPr>
            <w:tcW w:w="800" w:type="dxa"/>
            <w:vAlign w:val="bottom"/>
          </w:tcPr>
          <w:p>
            <w:pPr>
              <w:spacing w:after="0"/>
              <w:rPr>
                <w:sz w:val="10"/>
                <w:szCs w:val="10"/>
                <w:color w:val="auto"/>
              </w:rPr>
            </w:pPr>
          </w:p>
        </w:tc>
        <w:tc>
          <w:tcPr>
            <w:tcW w:w="4460" w:type="dxa"/>
            <w:vAlign w:val="bottom"/>
            <w:gridSpan w:val="12"/>
          </w:tcPr>
          <w:p>
            <w:pPr>
              <w:spacing w:after="0" w:line="118" w:lineRule="exact"/>
              <w:rPr>
                <w:rFonts w:ascii="Arial" w:cs="Arial" w:eastAsia="Arial" w:hAnsi="Arial"/>
                <w:sz w:val="13"/>
                <w:szCs w:val="13"/>
                <w:color w:val="0000FF"/>
              </w:rPr>
            </w:pPr>
            <w:hyperlink w:anchor="page76">
              <w:r>
                <w:rPr>
                  <w:rFonts w:ascii="Arial" w:cs="Arial" w:eastAsia="Arial" w:hAnsi="Arial"/>
                  <w:sz w:val="13"/>
                  <w:szCs w:val="13"/>
                  <w:color w:val="0000FF"/>
                </w:rPr>
                <w:t>thereto.</w:t>
              </w:r>
            </w:hyperlink>
          </w:p>
        </w:tc>
      </w:tr>
      <w:tr>
        <w:trPr>
          <w:trHeight w:val="20"/>
        </w:trPr>
        <w:tc>
          <w:tcPr>
            <w:tcW w:w="8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31.1</w:t>
            </w:r>
          </w:p>
        </w:tc>
        <w:tc>
          <w:tcPr>
            <w:tcW w:w="4460" w:type="dxa"/>
            <w:vAlign w:val="bottom"/>
            <w:gridSpan w:val="12"/>
          </w:tcPr>
          <w:p>
            <w:pPr>
              <w:spacing w:after="0"/>
              <w:rPr>
                <w:rFonts w:ascii="Arial" w:cs="Arial" w:eastAsia="Arial" w:hAnsi="Arial"/>
                <w:sz w:val="13"/>
                <w:szCs w:val="13"/>
                <w:color w:val="0000FF"/>
              </w:rPr>
            </w:pPr>
            <w:hyperlink w:anchor="page261">
              <w:r>
                <w:rPr>
                  <w:rFonts w:ascii="Arial" w:cs="Arial" w:eastAsia="Arial" w:hAnsi="Arial"/>
                  <w:sz w:val="13"/>
                  <w:szCs w:val="13"/>
                  <w:color w:val="0000FF"/>
                </w:rPr>
                <w:t>Certification of Principal Executive Officer Pursuant to Rules 13a-14(a) and</w:t>
              </w:r>
            </w:hyperlink>
          </w:p>
        </w:tc>
      </w:tr>
      <w:tr>
        <w:trPr>
          <w:trHeight w:val="20"/>
        </w:trPr>
        <w:tc>
          <w:tcPr>
            <w:tcW w:w="80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8"/>
        </w:trPr>
        <w:tc>
          <w:tcPr>
            <w:tcW w:w="800" w:type="dxa"/>
            <w:vAlign w:val="bottom"/>
          </w:tcPr>
          <w:p>
            <w:pPr>
              <w:spacing w:after="0"/>
              <w:rPr>
                <w:sz w:val="10"/>
                <w:szCs w:val="10"/>
                <w:color w:val="auto"/>
              </w:rPr>
            </w:pPr>
          </w:p>
        </w:tc>
        <w:tc>
          <w:tcPr>
            <w:tcW w:w="4460" w:type="dxa"/>
            <w:vAlign w:val="bottom"/>
            <w:gridSpan w:val="12"/>
          </w:tcPr>
          <w:p>
            <w:pPr>
              <w:spacing w:after="0" w:line="118" w:lineRule="exact"/>
              <w:rPr>
                <w:rFonts w:ascii="Arial" w:cs="Arial" w:eastAsia="Arial" w:hAnsi="Arial"/>
                <w:sz w:val="13"/>
                <w:szCs w:val="13"/>
                <w:color w:val="0000FF"/>
                <w:w w:val="98"/>
              </w:rPr>
            </w:pPr>
            <w:hyperlink w:anchor="page261">
              <w:r>
                <w:rPr>
                  <w:rFonts w:ascii="Arial" w:cs="Arial" w:eastAsia="Arial" w:hAnsi="Arial"/>
                  <w:sz w:val="13"/>
                  <w:szCs w:val="13"/>
                  <w:color w:val="0000FF"/>
                  <w:w w:val="98"/>
                </w:rPr>
                <w:t>15d-14(a) under the Exchange Act, as Adopted Pursuant to Section 302 of the</w:t>
              </w:r>
            </w:hyperlink>
          </w:p>
        </w:tc>
      </w:tr>
      <w:tr>
        <w:trPr>
          <w:trHeight w:val="118"/>
        </w:trPr>
        <w:tc>
          <w:tcPr>
            <w:tcW w:w="800" w:type="dxa"/>
            <w:vAlign w:val="bottom"/>
          </w:tcPr>
          <w:p>
            <w:pPr>
              <w:spacing w:after="0"/>
              <w:rPr>
                <w:sz w:val="10"/>
                <w:szCs w:val="10"/>
                <w:color w:val="auto"/>
              </w:rPr>
            </w:pPr>
          </w:p>
        </w:tc>
        <w:tc>
          <w:tcPr>
            <w:tcW w:w="16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w:anchor="page261">
              <w:r>
                <w:rPr>
                  <w:rFonts w:ascii="Arial" w:cs="Arial" w:eastAsia="Arial" w:hAnsi="Arial"/>
                  <w:sz w:val="13"/>
                  <w:szCs w:val="13"/>
                  <w:color w:val="0000FF"/>
                  <w:w w:val="96"/>
                </w:rPr>
                <w:t>Sarbanes-Oxley Act of 2002.</w:t>
              </w:r>
            </w:hyperlink>
          </w:p>
        </w:tc>
        <w:tc>
          <w:tcPr>
            <w:tcW w:w="2780" w:type="dxa"/>
            <w:vAlign w:val="bottom"/>
            <w:tcBorders>
              <w:top w:val="single" w:sz="8" w:color="0000FF"/>
            </w:tcBorders>
            <w:gridSpan w:val="8"/>
          </w:tcPr>
          <w:p>
            <w:pPr>
              <w:spacing w:after="0"/>
              <w:rPr>
                <w:sz w:val="10"/>
                <w:szCs w:val="10"/>
                <w:color w:val="auto"/>
              </w:rPr>
            </w:pPr>
          </w:p>
        </w:tc>
        <w:tc>
          <w:tcPr>
            <w:tcW w:w="60" w:type="dxa"/>
            <w:vAlign w:val="bottom"/>
            <w:gridSpan w:val="2"/>
          </w:tcPr>
          <w:p>
            <w:pPr>
              <w:spacing w:after="0"/>
              <w:rPr>
                <w:sz w:val="10"/>
                <w:szCs w:val="10"/>
                <w:color w:val="auto"/>
              </w:rPr>
            </w:pPr>
          </w:p>
        </w:tc>
      </w:tr>
      <w:tr>
        <w:trPr>
          <w:trHeight w:val="16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31.2</w:t>
            </w:r>
          </w:p>
        </w:tc>
        <w:tc>
          <w:tcPr>
            <w:tcW w:w="4460" w:type="dxa"/>
            <w:vAlign w:val="bottom"/>
            <w:tcBorders>
              <w:bottom w:val="single" w:sz="8" w:color="0000FF"/>
            </w:tcBorders>
            <w:gridSpan w:val="12"/>
          </w:tcPr>
          <w:p>
            <w:pPr>
              <w:spacing w:after="0"/>
              <w:rPr>
                <w:rFonts w:ascii="Arial" w:cs="Arial" w:eastAsia="Arial" w:hAnsi="Arial"/>
                <w:sz w:val="13"/>
                <w:szCs w:val="13"/>
                <w:color w:val="0000FF"/>
                <w:w w:val="97"/>
              </w:rPr>
            </w:pPr>
            <w:hyperlink w:anchor="page262">
              <w:r>
                <w:rPr>
                  <w:rFonts w:ascii="Arial" w:cs="Arial" w:eastAsia="Arial" w:hAnsi="Arial"/>
                  <w:sz w:val="13"/>
                  <w:szCs w:val="13"/>
                  <w:color w:val="0000FF"/>
                  <w:w w:val="97"/>
                </w:rPr>
                <w:t>Certification of Principal Financial Officer Pursuant to Rules 13a-14(a) and 15d-</w:t>
              </w:r>
            </w:hyperlink>
          </w:p>
        </w:tc>
      </w:tr>
      <w:tr>
        <w:trPr>
          <w:trHeight w:val="118"/>
        </w:trPr>
        <w:tc>
          <w:tcPr>
            <w:tcW w:w="800" w:type="dxa"/>
            <w:vAlign w:val="bottom"/>
          </w:tcPr>
          <w:p>
            <w:pPr>
              <w:spacing w:after="0"/>
              <w:rPr>
                <w:sz w:val="10"/>
                <w:szCs w:val="10"/>
                <w:color w:val="auto"/>
              </w:rPr>
            </w:pPr>
          </w:p>
        </w:tc>
        <w:tc>
          <w:tcPr>
            <w:tcW w:w="4460" w:type="dxa"/>
            <w:vAlign w:val="bottom"/>
            <w:gridSpan w:val="12"/>
          </w:tcPr>
          <w:p>
            <w:pPr>
              <w:spacing w:after="0" w:line="118" w:lineRule="exact"/>
              <w:rPr>
                <w:rFonts w:ascii="Arial" w:cs="Arial" w:eastAsia="Arial" w:hAnsi="Arial"/>
                <w:sz w:val="13"/>
                <w:szCs w:val="13"/>
                <w:color w:val="0000FF"/>
              </w:rPr>
            </w:pPr>
            <w:hyperlink w:anchor="page262">
              <w:r>
                <w:rPr>
                  <w:rFonts w:ascii="Arial" w:cs="Arial" w:eastAsia="Arial" w:hAnsi="Arial"/>
                  <w:sz w:val="13"/>
                  <w:szCs w:val="13"/>
                  <w:color w:val="0000FF"/>
                </w:rPr>
                <w:t>14(a) under the Exchange Act, as Adopted Pursuant to Section 302 of the</w:t>
              </w:r>
            </w:hyperlink>
          </w:p>
        </w:tc>
      </w:tr>
      <w:tr>
        <w:trPr>
          <w:trHeight w:val="118"/>
        </w:trPr>
        <w:tc>
          <w:tcPr>
            <w:tcW w:w="800" w:type="dxa"/>
            <w:vAlign w:val="bottom"/>
          </w:tcPr>
          <w:p>
            <w:pPr>
              <w:spacing w:after="0"/>
              <w:rPr>
                <w:sz w:val="10"/>
                <w:szCs w:val="10"/>
                <w:color w:val="auto"/>
              </w:rPr>
            </w:pPr>
          </w:p>
        </w:tc>
        <w:tc>
          <w:tcPr>
            <w:tcW w:w="16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6"/>
              </w:rPr>
            </w:pPr>
            <w:hyperlink w:anchor="page262">
              <w:r>
                <w:rPr>
                  <w:rFonts w:ascii="Arial" w:cs="Arial" w:eastAsia="Arial" w:hAnsi="Arial"/>
                  <w:sz w:val="13"/>
                  <w:szCs w:val="13"/>
                  <w:color w:val="0000FF"/>
                  <w:w w:val="96"/>
                </w:rPr>
                <w:t>Sarbanes-Oxley Act of 2002.</w:t>
              </w:r>
            </w:hyperlink>
          </w:p>
        </w:tc>
        <w:tc>
          <w:tcPr>
            <w:tcW w:w="2520" w:type="dxa"/>
            <w:vAlign w:val="bottom"/>
            <w:tcBorders>
              <w:top w:val="single" w:sz="8" w:color="0000FF"/>
            </w:tcBorders>
            <w:gridSpan w:val="3"/>
          </w:tcPr>
          <w:p>
            <w:pPr>
              <w:spacing w:after="0"/>
              <w:rPr>
                <w:sz w:val="10"/>
                <w:szCs w:val="10"/>
                <w:color w:val="auto"/>
              </w:rPr>
            </w:pPr>
          </w:p>
        </w:tc>
        <w:tc>
          <w:tcPr>
            <w:tcW w:w="320" w:type="dxa"/>
            <w:vAlign w:val="bottom"/>
            <w:gridSpan w:val="7"/>
          </w:tcPr>
          <w:p>
            <w:pPr>
              <w:spacing w:after="0"/>
              <w:rPr>
                <w:sz w:val="10"/>
                <w:szCs w:val="10"/>
                <w:color w:val="auto"/>
              </w:rPr>
            </w:pPr>
          </w:p>
        </w:tc>
      </w:tr>
      <w:tr>
        <w:trPr>
          <w:trHeight w:val="16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32.1</w:t>
            </w:r>
          </w:p>
        </w:tc>
        <w:tc>
          <w:tcPr>
            <w:tcW w:w="4420" w:type="dxa"/>
            <w:vAlign w:val="bottom"/>
            <w:tcBorders>
              <w:bottom w:val="single" w:sz="8" w:color="0000FF"/>
            </w:tcBorders>
            <w:gridSpan w:val="11"/>
          </w:tcPr>
          <w:p>
            <w:pPr>
              <w:spacing w:after="0"/>
              <w:rPr>
                <w:rFonts w:ascii="Arial" w:cs="Arial" w:eastAsia="Arial" w:hAnsi="Arial"/>
                <w:sz w:val="13"/>
                <w:szCs w:val="13"/>
                <w:color w:val="0000FF"/>
                <w:w w:val="97"/>
              </w:rPr>
            </w:pPr>
            <w:hyperlink w:anchor="page263">
              <w:r>
                <w:rPr>
                  <w:rFonts w:ascii="Arial" w:cs="Arial" w:eastAsia="Arial" w:hAnsi="Arial"/>
                  <w:sz w:val="13"/>
                  <w:szCs w:val="13"/>
                  <w:color w:val="0000FF"/>
                  <w:w w:val="97"/>
                </w:rPr>
                <w:t>Certification of Principal Executive Officer Pursuant to 18 U.S.C. Section 1350,</w:t>
              </w:r>
            </w:hyperlink>
          </w:p>
        </w:tc>
        <w:tc>
          <w:tcPr>
            <w:tcW w:w="40" w:type="dxa"/>
            <w:vAlign w:val="bottom"/>
          </w:tcPr>
          <w:p>
            <w:pPr>
              <w:spacing w:after="0"/>
              <w:rPr>
                <w:sz w:val="13"/>
                <w:szCs w:val="13"/>
                <w:color w:val="auto"/>
              </w:rPr>
            </w:pPr>
          </w:p>
        </w:tc>
      </w:tr>
      <w:tr>
        <w:trPr>
          <w:trHeight w:val="118"/>
        </w:trPr>
        <w:tc>
          <w:tcPr>
            <w:tcW w:w="800" w:type="dxa"/>
            <w:vAlign w:val="bottom"/>
          </w:tcPr>
          <w:p>
            <w:pPr>
              <w:spacing w:after="0"/>
              <w:rPr>
                <w:sz w:val="10"/>
                <w:szCs w:val="10"/>
                <w:color w:val="auto"/>
              </w:rPr>
            </w:pPr>
          </w:p>
        </w:tc>
        <w:tc>
          <w:tcPr>
            <w:tcW w:w="4460" w:type="dxa"/>
            <w:vAlign w:val="bottom"/>
            <w:gridSpan w:val="12"/>
          </w:tcPr>
          <w:p>
            <w:pPr>
              <w:spacing w:after="0" w:line="118" w:lineRule="exact"/>
              <w:rPr>
                <w:rFonts w:ascii="Arial" w:cs="Arial" w:eastAsia="Arial" w:hAnsi="Arial"/>
                <w:sz w:val="13"/>
                <w:szCs w:val="13"/>
                <w:color w:val="0000FF"/>
              </w:rPr>
            </w:pPr>
            <w:hyperlink w:anchor="page263">
              <w:r>
                <w:rPr>
                  <w:rFonts w:ascii="Arial" w:cs="Arial" w:eastAsia="Arial" w:hAnsi="Arial"/>
                  <w:sz w:val="13"/>
                  <w:szCs w:val="13"/>
                  <w:color w:val="0000FF"/>
                </w:rPr>
                <w:t>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32.2</w:t>
            </w:r>
          </w:p>
        </w:tc>
        <w:tc>
          <w:tcPr>
            <w:tcW w:w="4380" w:type="dxa"/>
            <w:vAlign w:val="bottom"/>
            <w:tcBorders>
              <w:bottom w:val="single" w:sz="8" w:color="0000FF"/>
            </w:tcBorders>
            <w:gridSpan w:val="9"/>
          </w:tcPr>
          <w:p>
            <w:pPr>
              <w:spacing w:after="0"/>
              <w:rPr>
                <w:rFonts w:ascii="Arial" w:cs="Arial" w:eastAsia="Arial" w:hAnsi="Arial"/>
                <w:sz w:val="13"/>
                <w:szCs w:val="13"/>
                <w:color w:val="0000FF"/>
                <w:w w:val="97"/>
              </w:rPr>
            </w:pPr>
            <w:hyperlink w:anchor="page264">
              <w:r>
                <w:rPr>
                  <w:rFonts w:ascii="Arial" w:cs="Arial" w:eastAsia="Arial" w:hAnsi="Arial"/>
                  <w:sz w:val="13"/>
                  <w:szCs w:val="13"/>
                  <w:color w:val="0000FF"/>
                  <w:w w:val="97"/>
                </w:rPr>
                <w:t>Certification of Principal Financial Officer Pursuant to 18 U.S.C. Section 1350,</w:t>
              </w:r>
            </w:hyperlink>
          </w:p>
        </w:tc>
        <w:tc>
          <w:tcPr>
            <w:tcW w:w="80" w:type="dxa"/>
            <w:vAlign w:val="bottom"/>
            <w:gridSpan w:val="3"/>
          </w:tcPr>
          <w:p>
            <w:pPr>
              <w:spacing w:after="0"/>
              <w:rPr>
                <w:sz w:val="13"/>
                <w:szCs w:val="13"/>
                <w:color w:val="auto"/>
              </w:rPr>
            </w:pPr>
          </w:p>
        </w:tc>
      </w:tr>
      <w:tr>
        <w:trPr>
          <w:trHeight w:val="118"/>
        </w:trPr>
        <w:tc>
          <w:tcPr>
            <w:tcW w:w="800" w:type="dxa"/>
            <w:vAlign w:val="bottom"/>
          </w:tcPr>
          <w:p>
            <w:pPr>
              <w:spacing w:after="0"/>
              <w:rPr>
                <w:sz w:val="10"/>
                <w:szCs w:val="10"/>
                <w:color w:val="auto"/>
              </w:rPr>
            </w:pPr>
          </w:p>
        </w:tc>
        <w:tc>
          <w:tcPr>
            <w:tcW w:w="4460" w:type="dxa"/>
            <w:vAlign w:val="bottom"/>
            <w:gridSpan w:val="12"/>
          </w:tcPr>
          <w:p>
            <w:pPr>
              <w:spacing w:after="0" w:line="118" w:lineRule="exact"/>
              <w:rPr>
                <w:rFonts w:ascii="Arial" w:cs="Arial" w:eastAsia="Arial" w:hAnsi="Arial"/>
                <w:sz w:val="13"/>
                <w:szCs w:val="13"/>
                <w:color w:val="0000FF"/>
              </w:rPr>
            </w:pPr>
            <w:hyperlink w:anchor="page264">
              <w:r>
                <w:rPr>
                  <w:rFonts w:ascii="Arial" w:cs="Arial" w:eastAsia="Arial" w:hAnsi="Arial"/>
                  <w:sz w:val="13"/>
                  <w:szCs w:val="13"/>
                  <w:color w:val="0000FF"/>
                </w:rPr>
                <w:t>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4040" w:type="dxa"/>
            <w:vAlign w:val="bottom"/>
            <w:gridSpan w:val="4"/>
            <w:shd w:val="clear" w:color="auto" w:fill="0000FF"/>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r>
      <w:tr>
        <w:trPr>
          <w:trHeight w:val="172"/>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101.INS</w:t>
            </w:r>
          </w:p>
        </w:tc>
        <w:tc>
          <w:tcPr>
            <w:tcW w:w="4460" w:type="dxa"/>
            <w:vAlign w:val="bottom"/>
            <w:gridSpan w:val="12"/>
          </w:tcPr>
          <w:p>
            <w:pPr>
              <w:spacing w:after="0"/>
              <w:rPr>
                <w:sz w:val="20"/>
                <w:szCs w:val="20"/>
                <w:color w:val="auto"/>
              </w:rPr>
            </w:pPr>
            <w:r>
              <w:rPr>
                <w:rFonts w:ascii="Arial" w:cs="Arial" w:eastAsia="Arial" w:hAnsi="Arial"/>
                <w:sz w:val="13"/>
                <w:szCs w:val="13"/>
                <w:color w:val="auto"/>
              </w:rPr>
              <w:t>Inline XBRL Instance Document - the instance document does not appear in</w:t>
            </w:r>
          </w:p>
        </w:tc>
      </w:tr>
      <w:tr>
        <w:trPr>
          <w:trHeight w:val="138"/>
        </w:trPr>
        <w:tc>
          <w:tcPr>
            <w:tcW w:w="800" w:type="dxa"/>
            <w:vAlign w:val="bottom"/>
          </w:tcPr>
          <w:p>
            <w:pPr>
              <w:spacing w:after="0"/>
              <w:rPr>
                <w:sz w:val="11"/>
                <w:szCs w:val="11"/>
                <w:color w:val="auto"/>
              </w:rPr>
            </w:pPr>
          </w:p>
        </w:tc>
        <w:tc>
          <w:tcPr>
            <w:tcW w:w="4460" w:type="dxa"/>
            <w:vAlign w:val="bottom"/>
            <w:gridSpan w:val="12"/>
          </w:tcPr>
          <w:p>
            <w:pPr>
              <w:spacing w:after="0" w:line="138" w:lineRule="exact"/>
              <w:rPr>
                <w:sz w:val="20"/>
                <w:szCs w:val="20"/>
                <w:color w:val="auto"/>
              </w:rPr>
            </w:pPr>
            <w:r>
              <w:rPr>
                <w:rFonts w:ascii="Arial" w:cs="Arial" w:eastAsia="Arial" w:hAnsi="Arial"/>
                <w:sz w:val="13"/>
                <w:szCs w:val="13"/>
                <w:color w:val="auto"/>
                <w:w w:val="97"/>
              </w:rPr>
              <w:t>the Interactive Data File because its XBRL tags are embedded within the Inline</w:t>
            </w:r>
          </w:p>
        </w:tc>
      </w:tr>
      <w:tr>
        <w:trPr>
          <w:trHeight w:val="153"/>
        </w:trPr>
        <w:tc>
          <w:tcPr>
            <w:tcW w:w="800" w:type="dxa"/>
            <w:vAlign w:val="bottom"/>
          </w:tcPr>
          <w:p>
            <w:pPr>
              <w:spacing w:after="0"/>
              <w:rPr>
                <w:sz w:val="13"/>
                <w:szCs w:val="13"/>
                <w:color w:val="auto"/>
              </w:rPr>
            </w:pPr>
          </w:p>
        </w:tc>
        <w:tc>
          <w:tcPr>
            <w:tcW w:w="4460" w:type="dxa"/>
            <w:vAlign w:val="bottom"/>
            <w:gridSpan w:val="12"/>
          </w:tcPr>
          <w:p>
            <w:pPr>
              <w:spacing w:after="0"/>
              <w:rPr>
                <w:sz w:val="20"/>
                <w:szCs w:val="20"/>
                <w:color w:val="auto"/>
              </w:rPr>
            </w:pPr>
            <w:r>
              <w:rPr>
                <w:rFonts w:ascii="Arial" w:cs="Arial" w:eastAsia="Arial" w:hAnsi="Arial"/>
                <w:sz w:val="13"/>
                <w:szCs w:val="13"/>
                <w:color w:val="auto"/>
              </w:rPr>
              <w:t>XBRL document.</w:t>
            </w:r>
          </w:p>
        </w:tc>
      </w:tr>
      <w:tr>
        <w:trPr>
          <w:trHeight w:val="18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101.SCH</w:t>
            </w:r>
          </w:p>
        </w:tc>
        <w:tc>
          <w:tcPr>
            <w:tcW w:w="4460" w:type="dxa"/>
            <w:vAlign w:val="bottom"/>
            <w:gridSpan w:val="12"/>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18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101.CAL</w:t>
            </w:r>
          </w:p>
        </w:tc>
        <w:tc>
          <w:tcPr>
            <w:tcW w:w="4460" w:type="dxa"/>
            <w:vAlign w:val="bottom"/>
            <w:gridSpan w:val="12"/>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18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101.DEF</w:t>
            </w:r>
          </w:p>
        </w:tc>
        <w:tc>
          <w:tcPr>
            <w:tcW w:w="4460" w:type="dxa"/>
            <w:vAlign w:val="bottom"/>
            <w:gridSpan w:val="12"/>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18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101.LAB</w:t>
            </w:r>
          </w:p>
        </w:tc>
        <w:tc>
          <w:tcPr>
            <w:tcW w:w="4460" w:type="dxa"/>
            <w:vAlign w:val="bottom"/>
            <w:gridSpan w:val="12"/>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180"/>
        </w:trPr>
        <w:tc>
          <w:tcPr>
            <w:tcW w:w="800" w:type="dxa"/>
            <w:vAlign w:val="bottom"/>
          </w:tcPr>
          <w:p>
            <w:pPr>
              <w:jc w:val="right"/>
              <w:ind w:right="96"/>
              <w:spacing w:after="0"/>
              <w:rPr>
                <w:sz w:val="20"/>
                <w:szCs w:val="20"/>
                <w:color w:val="auto"/>
              </w:rPr>
            </w:pPr>
            <w:r>
              <w:rPr>
                <w:rFonts w:ascii="Arial" w:cs="Arial" w:eastAsia="Arial" w:hAnsi="Arial"/>
                <w:sz w:val="13"/>
                <w:szCs w:val="13"/>
                <w:color w:val="auto"/>
              </w:rPr>
              <w:t>101.PRE</w:t>
            </w:r>
          </w:p>
        </w:tc>
        <w:tc>
          <w:tcPr>
            <w:tcW w:w="4460" w:type="dxa"/>
            <w:vAlign w:val="bottom"/>
            <w:gridSpan w:val="12"/>
          </w:tcPr>
          <w:p>
            <w:pPr>
              <w:spacing w:after="0"/>
              <w:rPr>
                <w:sz w:val="20"/>
                <w:szCs w:val="20"/>
                <w:color w:val="auto"/>
              </w:rPr>
            </w:pPr>
            <w:r>
              <w:rPr>
                <w:rFonts w:ascii="Arial" w:cs="Arial" w:eastAsia="Arial" w:hAnsi="Arial"/>
                <w:sz w:val="13"/>
                <w:szCs w:val="13"/>
                <w:color w:val="auto"/>
              </w:rPr>
              <w:t>Inline XBRL Taxonomy Extension Presentation Linkbase Document.</w:t>
            </w:r>
          </w:p>
        </w:tc>
      </w:tr>
    </w:tbl>
    <w:p>
      <w:pPr>
        <w:spacing w:after="0" w:line="27" w:lineRule="exact"/>
        <w:rPr>
          <w:sz w:val="20"/>
          <w:szCs w:val="20"/>
          <w:color w:val="auto"/>
        </w:rPr>
      </w:pPr>
    </w:p>
    <w:p>
      <w:pPr>
        <w:ind w:left="1040" w:right="100" w:hanging="365"/>
        <w:spacing w:after="0" w:line="233" w:lineRule="auto"/>
        <w:tabs>
          <w:tab w:leader="none" w:pos="10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Cover Page Interactive Data File (formatted in iXBRL and contained in Exhibit 101).</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X Filed herewith.</w:t>
      </w:r>
    </w:p>
    <w:p>
      <w:pPr>
        <w:spacing w:after="0"/>
        <w:rPr>
          <w:sz w:val="20"/>
          <w:szCs w:val="20"/>
          <w:color w:val="auto"/>
        </w:rPr>
      </w:pPr>
      <w:r>
        <w:rPr>
          <w:rFonts w:ascii="Arial" w:cs="Arial" w:eastAsia="Arial" w:hAnsi="Arial"/>
          <w:sz w:val="13"/>
          <w:szCs w:val="13"/>
          <w:color w:val="auto"/>
        </w:rPr>
        <w:t>XX Furnished herewith.</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Filed or Furnished</w:t>
            </w:r>
          </w:p>
        </w:tc>
      </w:tr>
      <w:tr>
        <w:trPr>
          <w:trHeight w:val="193"/>
        </w:trPr>
        <w:tc>
          <w:tcPr>
            <w:tcW w:w="8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rPr>
              <w:t>Incorporated by Reference</w:t>
            </w:r>
          </w:p>
        </w:tc>
        <w:tc>
          <w:tcPr>
            <w:tcW w:w="1180" w:type="dxa"/>
            <w:vAlign w:val="bottom"/>
            <w:tcBorders>
              <w:bottom w:val="single" w:sz="8" w:color="auto"/>
            </w:tcBorders>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Herewith</w:t>
            </w:r>
          </w:p>
        </w:tc>
      </w:tr>
      <w:tr>
        <w:trPr>
          <w:trHeight w:val="162"/>
        </w:trPr>
        <w:tc>
          <w:tcPr>
            <w:tcW w:w="860" w:type="dxa"/>
            <w:vAlign w:val="bottom"/>
          </w:tcPr>
          <w:p>
            <w:pPr>
              <w:ind w:left="240"/>
              <w:spacing w:after="0"/>
              <w:rPr>
                <w:sz w:val="20"/>
                <w:szCs w:val="20"/>
                <w:color w:val="auto"/>
              </w:rPr>
            </w:pPr>
            <w:r>
              <w:rPr>
                <w:rFonts w:ascii="Arial" w:cs="Arial" w:eastAsia="Arial" w:hAnsi="Arial"/>
                <w:sz w:val="13"/>
                <w:szCs w:val="13"/>
                <w:b w:val="1"/>
                <w:bCs w:val="1"/>
                <w:color w:val="auto"/>
              </w:rPr>
              <w:t>Form</w:t>
            </w:r>
          </w:p>
        </w:tc>
        <w:tc>
          <w:tcPr>
            <w:tcW w:w="1120" w:type="dxa"/>
            <w:vAlign w:val="bottom"/>
          </w:tcPr>
          <w:p>
            <w:pPr>
              <w:ind w:left="280"/>
              <w:spacing w:after="0"/>
              <w:rPr>
                <w:sz w:val="20"/>
                <w:szCs w:val="20"/>
                <w:color w:val="auto"/>
              </w:rPr>
            </w:pPr>
            <w:r>
              <w:rPr>
                <w:rFonts w:ascii="Arial" w:cs="Arial" w:eastAsia="Arial" w:hAnsi="Arial"/>
                <w:sz w:val="13"/>
                <w:szCs w:val="13"/>
                <w:b w:val="1"/>
                <w:bCs w:val="1"/>
                <w:color w:val="auto"/>
              </w:rPr>
              <w:t>File No.</w:t>
            </w:r>
          </w:p>
        </w:tc>
        <w:tc>
          <w:tcPr>
            <w:tcW w:w="1300" w:type="dxa"/>
            <w:vAlign w:val="bottom"/>
          </w:tcPr>
          <w:p>
            <w:pPr>
              <w:ind w:left="380"/>
              <w:spacing w:after="0"/>
              <w:rPr>
                <w:sz w:val="20"/>
                <w:szCs w:val="20"/>
                <w:color w:val="auto"/>
              </w:rPr>
            </w:pPr>
            <w:r>
              <w:rPr>
                <w:rFonts w:ascii="Arial" w:cs="Arial" w:eastAsia="Arial" w:hAnsi="Arial"/>
                <w:sz w:val="13"/>
                <w:szCs w:val="13"/>
                <w:b w:val="1"/>
                <w:bCs w:val="1"/>
                <w:color w:val="auto"/>
              </w:rPr>
              <w:t>Exhibit</w:t>
            </w:r>
          </w:p>
        </w:tc>
        <w:tc>
          <w:tcPr>
            <w:tcW w:w="1180" w:type="dxa"/>
            <w:vAlign w:val="bottom"/>
          </w:tcPr>
          <w:p>
            <w:pPr>
              <w:ind w:left="240"/>
              <w:spacing w:after="0"/>
              <w:rPr>
                <w:sz w:val="20"/>
                <w:szCs w:val="20"/>
                <w:color w:val="auto"/>
              </w:rPr>
            </w:pPr>
            <w:r>
              <w:rPr>
                <w:rFonts w:ascii="Arial" w:cs="Arial" w:eastAsia="Arial" w:hAnsi="Arial"/>
                <w:sz w:val="13"/>
                <w:szCs w:val="13"/>
                <w:b w:val="1"/>
                <w:bCs w:val="1"/>
                <w:color w:val="auto"/>
              </w:rPr>
              <w:t>Filing Date</w:t>
            </w:r>
          </w:p>
        </w:tc>
        <w:tc>
          <w:tcPr>
            <w:tcW w:w="11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-322580</wp:posOffset>
            </wp:positionV>
            <wp:extent cx="774700" cy="2842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0" cy="2842895"/>
                    </a:xfrm>
                    <a:prstGeom prst="rect">
                      <a:avLst/>
                    </a:prstGeom>
                    <a:noFill/>
                  </pic:spPr>
                </pic:pic>
              </a:graphicData>
            </a:graphic>
          </wp:anchor>
        </w:drawing>
      </w:r>
    </w:p>
    <w:p>
      <w:pPr>
        <w:spacing w:after="0" w:line="141"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200" w:lineRule="exact"/>
        <w:rPr>
          <w:sz w:val="20"/>
          <w:szCs w:val="20"/>
          <w:color w:val="auto"/>
        </w:rPr>
      </w:pPr>
    </w:p>
    <w:p>
      <w:pPr>
        <w:spacing w:after="0" w:line="245"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07"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07" w:lineRule="exact"/>
        <w:rPr>
          <w:sz w:val="20"/>
          <w:szCs w:val="20"/>
          <w:color w:val="auto"/>
        </w:rPr>
      </w:pPr>
    </w:p>
    <w:p>
      <w:pPr>
        <w:jc w:val="right"/>
        <w:ind w:right="480"/>
        <w:spacing w:after="0"/>
        <w:rPr>
          <w:sz w:val="20"/>
          <w:szCs w:val="20"/>
          <w:color w:val="auto"/>
        </w:rPr>
      </w:pPr>
      <w:r>
        <w:rPr>
          <w:rFonts w:ascii="Arial" w:cs="Arial" w:eastAsia="Arial" w:hAnsi="Arial"/>
          <w:sz w:val="13"/>
          <w:szCs w:val="13"/>
          <w:color w:val="auto"/>
        </w:rPr>
        <w:t>XX</w:t>
      </w:r>
    </w:p>
    <w:p>
      <w:pPr>
        <w:spacing w:after="0" w:line="169" w:lineRule="exact"/>
        <w:rPr>
          <w:sz w:val="20"/>
          <w:szCs w:val="20"/>
          <w:color w:val="auto"/>
        </w:rPr>
      </w:pPr>
    </w:p>
    <w:p>
      <w:pPr>
        <w:jc w:val="right"/>
        <w:ind w:right="480"/>
        <w:spacing w:after="0"/>
        <w:rPr>
          <w:sz w:val="20"/>
          <w:szCs w:val="20"/>
          <w:color w:val="auto"/>
        </w:rPr>
      </w:pPr>
      <w:r>
        <w:rPr>
          <w:rFonts w:ascii="Arial" w:cs="Arial" w:eastAsia="Arial" w:hAnsi="Arial"/>
          <w:sz w:val="13"/>
          <w:szCs w:val="13"/>
          <w:color w:val="auto"/>
        </w:rPr>
        <w:t>XX</w:t>
      </w:r>
    </w:p>
    <w:p>
      <w:pPr>
        <w:spacing w:after="0" w:line="169"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07"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39370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500" w:space="40"/>
            <w:col w:w="5620"/>
          </w:cols>
          <w:pgMar w:left="300" w:top="507" w:right="439" w:bottom="1440" w:gutter="0" w:footer="0" w:header="0"/>
        </w:sectPr>
      </w:pPr>
    </w:p>
    <w:bookmarkStart w:id="74" w:name="page75"/>
    <w:bookmarkEnd w:id="74"/>
    <w:p>
      <w:pPr>
        <w:jc w:val="center"/>
        <w:ind w:right="-399"/>
        <w:spacing w:after="0"/>
        <w:rPr>
          <w:sz w:val="20"/>
          <w:szCs w:val="20"/>
          <w:color w:val="auto"/>
        </w:rPr>
      </w:pPr>
      <w:r>
        <w:rPr>
          <w:rFonts w:ascii="Arial" w:cs="Arial" w:eastAsia="Arial" w:hAnsi="Arial"/>
          <w:sz w:val="13"/>
          <w:szCs w:val="13"/>
          <w:b w:val="1"/>
          <w:bCs w:val="1"/>
          <w:color w:val="auto"/>
        </w:rPr>
        <w:t>SIGNATURES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6" w:lineRule="exact"/>
        <w:rPr>
          <w:sz w:val="20"/>
          <w:szCs w:val="20"/>
          <w:color w:val="auto"/>
        </w:rPr>
      </w:pPr>
    </w:p>
    <w:p>
      <w:pPr>
        <w:ind w:left="6660"/>
        <w:spacing w:after="0"/>
        <w:rPr>
          <w:sz w:val="20"/>
          <w:szCs w:val="20"/>
          <w:color w:val="auto"/>
        </w:rPr>
      </w:pPr>
      <w:r>
        <w:rPr>
          <w:rFonts w:ascii="Arial" w:cs="Arial" w:eastAsia="Arial" w:hAnsi="Arial"/>
          <w:sz w:val="13"/>
          <w:szCs w:val="13"/>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640" w:val="left"/>
          <w:tab w:leader="none" w:pos="7100" w:val="left"/>
        </w:tabs>
        <w:rPr>
          <w:sz w:val="20"/>
          <w:szCs w:val="20"/>
          <w:color w:val="auto"/>
        </w:rPr>
      </w:pPr>
      <w:r>
        <w:rPr>
          <w:rFonts w:ascii="Arial" w:cs="Arial" w:eastAsia="Arial" w:hAnsi="Arial"/>
          <w:sz w:val="13"/>
          <w:szCs w:val="13"/>
          <w:color w:val="auto"/>
        </w:rPr>
        <w:t>Date: February 8,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12065</wp:posOffset>
            </wp:positionV>
            <wp:extent cx="254698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6985" cy="698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John Foley</w:t>
      </w:r>
    </w:p>
    <w:p>
      <w:pPr>
        <w:ind w:left="7120"/>
        <w:spacing w:after="0" w:line="221" w:lineRule="auto"/>
        <w:rPr>
          <w:sz w:val="20"/>
          <w:szCs w:val="20"/>
          <w:color w:val="auto"/>
        </w:rPr>
      </w:pPr>
      <w:r>
        <w:rPr>
          <w:rFonts w:ascii="Arial" w:cs="Arial" w:eastAsia="Arial" w:hAnsi="Arial"/>
          <w:sz w:val="13"/>
          <w:szCs w:val="13"/>
          <w:color w:val="auto"/>
        </w:rPr>
        <w:t>Chief Executive Officer</w:t>
      </w:r>
    </w:p>
    <w:p>
      <w:pPr>
        <w:ind w:left="7120"/>
        <w:spacing w:after="0"/>
        <w:rPr>
          <w:sz w:val="20"/>
          <w:szCs w:val="20"/>
          <w:color w:val="auto"/>
        </w:rPr>
      </w:pPr>
      <w:r>
        <w:rPr>
          <w:rFonts w:ascii="Arial" w:cs="Arial" w:eastAsia="Arial" w:hAnsi="Arial"/>
          <w:sz w:val="13"/>
          <w:szCs w:val="13"/>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12065</wp:posOffset>
            </wp:positionV>
            <wp:extent cx="254698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46985" cy="698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Arial" w:cs="Arial" w:eastAsia="Arial" w:hAnsi="Arial"/>
          <w:sz w:val="13"/>
          <w:szCs w:val="13"/>
          <w:color w:val="auto"/>
        </w:rPr>
        <w:t>Jill Woodworth</w:t>
      </w:r>
    </w:p>
    <w:p>
      <w:pPr>
        <w:ind w:left="7120"/>
        <w:spacing w:after="0" w:line="221" w:lineRule="auto"/>
        <w:rPr>
          <w:sz w:val="20"/>
          <w:szCs w:val="20"/>
          <w:color w:val="auto"/>
        </w:rPr>
      </w:pPr>
      <w:r>
        <w:rPr>
          <w:rFonts w:ascii="Arial" w:cs="Arial" w:eastAsia="Arial" w:hAnsi="Arial"/>
          <w:sz w:val="13"/>
          <w:szCs w:val="13"/>
          <w:color w:val="auto"/>
        </w:rPr>
        <w:t>Chief Financial Officer</w:t>
      </w:r>
    </w:p>
    <w:p>
      <w:pPr>
        <w:ind w:left="7120"/>
        <w:spacing w:after="0"/>
        <w:rPr>
          <w:sz w:val="20"/>
          <w:szCs w:val="20"/>
          <w:color w:val="auto"/>
        </w:rPr>
      </w:pPr>
      <w:r>
        <w:rPr>
          <w:rFonts w:ascii="Arial" w:cs="Arial" w:eastAsia="Arial" w:hAnsi="Arial"/>
          <w:sz w:val="13"/>
          <w:szCs w:val="13"/>
          <w:i w:val="1"/>
          <w:iCs w:val="1"/>
          <w:color w:val="auto"/>
        </w:rPr>
        <w:t>(Principal Financial Officer)</w:t>
      </w:r>
    </w:p>
    <w:p>
      <w:pPr>
        <w:spacing w:after="0" w:line="200" w:lineRule="exact"/>
        <w:rPr>
          <w:sz w:val="20"/>
          <w:szCs w:val="20"/>
          <w:color w:val="auto"/>
        </w:rPr>
      </w:pPr>
    </w:p>
    <w:p>
      <w:pPr>
        <w:spacing w:after="0" w:line="319"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0840"/>
          </w:cols>
          <w:pgMar w:left="320" w:top="507" w:right="73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570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9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05650" cy="5702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36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05650" cy="573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9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05650" cy="572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89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05650" cy="568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826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05650"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0" w:name="page261"/>
    <w:bookmarkEnd w:id="260"/>
    <w:p>
      <w:pPr>
        <w:jc w:val="center"/>
        <w:spacing w:after="0" w:line="264" w:lineRule="auto"/>
        <w:rPr>
          <w:sz w:val="20"/>
          <w:szCs w:val="20"/>
          <w:color w:val="auto"/>
        </w:rPr>
      </w:pPr>
      <w:r>
        <w:rPr>
          <w:rFonts w:ascii="Arial" w:cs="Arial" w:eastAsia="Arial" w:hAnsi="Arial"/>
          <w:sz w:val="17"/>
          <w:szCs w:val="17"/>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I, John Foley, certify that:</w:t>
      </w:r>
    </w:p>
    <w:p>
      <w:pPr>
        <w:spacing w:after="0" w:line="190" w:lineRule="exact"/>
        <w:rPr>
          <w:sz w:val="20"/>
          <w:szCs w:val="20"/>
          <w:color w:val="auto"/>
        </w:rPr>
      </w:pPr>
    </w:p>
    <w:p>
      <w:pPr>
        <w:ind w:left="520" w:hanging="515"/>
        <w:spacing w:after="0"/>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Peloton Interactive, Inc.;</w:t>
      </w:r>
    </w:p>
    <w:p>
      <w:pPr>
        <w:spacing w:after="0" w:line="190" w:lineRule="exact"/>
        <w:rPr>
          <w:rFonts w:ascii="Arial" w:cs="Arial" w:eastAsia="Arial" w:hAnsi="Arial"/>
          <w:sz w:val="13"/>
          <w:szCs w:val="13"/>
          <w:color w:val="auto"/>
        </w:rPr>
      </w:pPr>
    </w:p>
    <w:p>
      <w:pPr>
        <w:ind w:firstLine="5"/>
        <w:spacing w:after="0" w:line="244" w:lineRule="auto"/>
        <w:tabs>
          <w:tab w:leader="none" w:pos="509"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3"/>
          <w:szCs w:val="13"/>
          <w:color w:val="auto"/>
        </w:rPr>
      </w:pPr>
    </w:p>
    <w:p>
      <w:pPr>
        <w:ind w:firstLine="5"/>
        <w:spacing w:after="0" w:line="244" w:lineRule="auto"/>
        <w:tabs>
          <w:tab w:leader="none" w:pos="509"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3"/>
          <w:szCs w:val="13"/>
          <w:color w:val="auto"/>
        </w:rPr>
      </w:pPr>
    </w:p>
    <w:p>
      <w:pPr>
        <w:ind w:firstLine="5"/>
        <w:spacing w:after="0" w:line="244" w:lineRule="auto"/>
        <w:tabs>
          <w:tab w:leader="none" w:pos="509"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3"/>
          <w:szCs w:val="13"/>
          <w:color w:val="auto"/>
        </w:rPr>
      </w:pPr>
    </w:p>
    <w:p>
      <w:pPr>
        <w:ind w:left="520" w:hanging="260"/>
        <w:spacing w:after="0" w:line="244"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3"/>
          <w:szCs w:val="13"/>
          <w:color w:val="auto"/>
        </w:rPr>
      </w:pPr>
    </w:p>
    <w:p>
      <w:pPr>
        <w:ind w:left="520" w:hanging="260"/>
        <w:spacing w:after="0" w:line="244"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3"/>
          <w:szCs w:val="13"/>
          <w:color w:val="auto"/>
        </w:rPr>
      </w:pPr>
    </w:p>
    <w:p>
      <w:pPr>
        <w:ind w:left="520" w:hanging="260"/>
        <w:spacing w:after="0" w:line="244" w:lineRule="auto"/>
        <w:tabs>
          <w:tab w:leader="none" w:pos="513" w:val="left"/>
        </w:tabs>
        <w:numPr>
          <w:ilvl w:val="1"/>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3"/>
          <w:szCs w:val="13"/>
          <w:color w:val="auto"/>
        </w:rPr>
      </w:pPr>
    </w:p>
    <w:p>
      <w:pPr>
        <w:ind w:left="520" w:hanging="260"/>
        <w:spacing w:after="0" w:line="244"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3"/>
          <w:szCs w:val="13"/>
          <w:color w:val="auto"/>
        </w:rPr>
      </w:pPr>
    </w:p>
    <w:p>
      <w:pPr>
        <w:ind w:firstLine="5"/>
        <w:spacing w:after="0" w:line="238" w:lineRule="auto"/>
        <w:tabs>
          <w:tab w:leader="none" w:pos="509"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60" w:hanging="260"/>
        <w:spacing w:after="0" w:line="244" w:lineRule="auto"/>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3"/>
          <w:szCs w:val="13"/>
          <w:color w:val="auto"/>
        </w:rPr>
      </w:pPr>
    </w:p>
    <w:p>
      <w:pPr>
        <w:ind w:left="520" w:hanging="260"/>
        <w:spacing w:after="0"/>
        <w:tabs>
          <w:tab w:leader="none" w:pos="5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February 8,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John Foley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John Foley</w:t>
      </w:r>
    </w:p>
    <w:p>
      <w:pPr>
        <w:spacing w:after="0"/>
        <w:rPr>
          <w:sz w:val="20"/>
          <w:szCs w:val="20"/>
          <w:color w:val="auto"/>
        </w:rPr>
      </w:pPr>
      <w:r>
        <w:rPr>
          <w:rFonts w:ascii="Arial" w:cs="Arial" w:eastAsia="Arial" w:hAnsi="Arial"/>
          <w:sz w:val="13"/>
          <w:szCs w:val="13"/>
          <w:color w:val="auto"/>
        </w:rPr>
        <w:t>Chief Executive Officer</w:t>
      </w: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261" w:name="page262"/>
    <w:bookmarkEnd w:id="261"/>
    <w:p>
      <w:pPr>
        <w:jc w:val="center"/>
        <w:spacing w:after="0" w:line="264" w:lineRule="auto"/>
        <w:rPr>
          <w:sz w:val="20"/>
          <w:szCs w:val="20"/>
          <w:color w:val="auto"/>
        </w:rPr>
      </w:pPr>
      <w:r>
        <w:rPr>
          <w:rFonts w:ascii="Arial" w:cs="Arial" w:eastAsia="Arial" w:hAnsi="Arial"/>
          <w:sz w:val="17"/>
          <w:szCs w:val="17"/>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I, Jill Woodworth, certify that:</w:t>
      </w:r>
    </w:p>
    <w:p>
      <w:pPr>
        <w:spacing w:after="0" w:line="190" w:lineRule="exact"/>
        <w:rPr>
          <w:sz w:val="20"/>
          <w:szCs w:val="20"/>
          <w:color w:val="auto"/>
        </w:rPr>
      </w:pPr>
    </w:p>
    <w:p>
      <w:pPr>
        <w:ind w:left="520" w:hanging="515"/>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Peloton Interactive, Inc.;</w:t>
      </w:r>
    </w:p>
    <w:p>
      <w:pPr>
        <w:spacing w:after="0" w:line="190" w:lineRule="exact"/>
        <w:rPr>
          <w:rFonts w:ascii="Arial" w:cs="Arial" w:eastAsia="Arial" w:hAnsi="Arial"/>
          <w:sz w:val="13"/>
          <w:szCs w:val="13"/>
          <w:color w:val="auto"/>
        </w:rPr>
      </w:pPr>
    </w:p>
    <w:p>
      <w:pPr>
        <w:ind w:firstLine="5"/>
        <w:spacing w:after="0" w:line="244" w:lineRule="auto"/>
        <w:tabs>
          <w:tab w:leader="none" w:pos="509"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3"/>
          <w:szCs w:val="13"/>
          <w:color w:val="auto"/>
        </w:rPr>
      </w:pPr>
    </w:p>
    <w:p>
      <w:pPr>
        <w:ind w:firstLine="5"/>
        <w:spacing w:after="0" w:line="244" w:lineRule="auto"/>
        <w:tabs>
          <w:tab w:leader="none" w:pos="509" w:val="left"/>
        </w:tabs>
        <w:numPr>
          <w:ilvl w:val="0"/>
          <w:numId w:val="3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3"/>
          <w:szCs w:val="13"/>
          <w:color w:val="auto"/>
        </w:rPr>
      </w:pPr>
    </w:p>
    <w:p>
      <w:pPr>
        <w:ind w:firstLine="5"/>
        <w:spacing w:after="0" w:line="244" w:lineRule="auto"/>
        <w:tabs>
          <w:tab w:leader="none" w:pos="509"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3"/>
          <w:szCs w:val="13"/>
          <w:color w:val="auto"/>
        </w:rPr>
      </w:pPr>
    </w:p>
    <w:p>
      <w:pPr>
        <w:ind w:left="520" w:hanging="260"/>
        <w:spacing w:after="0" w:line="244"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3"/>
          <w:szCs w:val="13"/>
          <w:color w:val="auto"/>
        </w:rPr>
      </w:pPr>
    </w:p>
    <w:p>
      <w:pPr>
        <w:ind w:left="520" w:hanging="260"/>
        <w:spacing w:after="0" w:line="244"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3"/>
          <w:szCs w:val="13"/>
          <w:color w:val="auto"/>
        </w:rPr>
      </w:pPr>
    </w:p>
    <w:p>
      <w:pPr>
        <w:ind w:left="520" w:hanging="260"/>
        <w:spacing w:after="0" w:line="244" w:lineRule="auto"/>
        <w:tabs>
          <w:tab w:leader="none" w:pos="513" w:val="left"/>
        </w:tabs>
        <w:numPr>
          <w:ilvl w:val="1"/>
          <w:numId w:val="3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3"/>
          <w:szCs w:val="13"/>
          <w:color w:val="auto"/>
        </w:rPr>
      </w:pPr>
    </w:p>
    <w:p>
      <w:pPr>
        <w:ind w:left="520" w:hanging="260"/>
        <w:spacing w:after="0" w:line="244"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3"/>
          <w:szCs w:val="13"/>
          <w:color w:val="auto"/>
        </w:rPr>
      </w:pPr>
    </w:p>
    <w:p>
      <w:pPr>
        <w:ind w:firstLine="5"/>
        <w:spacing w:after="0" w:line="238" w:lineRule="auto"/>
        <w:tabs>
          <w:tab w:leader="none" w:pos="509"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right="60" w:hanging="260"/>
        <w:spacing w:after="0" w:line="244" w:lineRule="auto"/>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3"/>
          <w:szCs w:val="13"/>
          <w:color w:val="auto"/>
        </w:rPr>
      </w:pPr>
    </w:p>
    <w:p>
      <w:pPr>
        <w:ind w:left="520" w:hanging="260"/>
        <w:spacing w:after="0"/>
        <w:tabs>
          <w:tab w:leader="none" w:pos="52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Date: February 8,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Jill Woodworth</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Jill Woodworth</w:t>
      </w:r>
    </w:p>
    <w:p>
      <w:pPr>
        <w:spacing w:after="0"/>
        <w:rPr>
          <w:sz w:val="20"/>
          <w:szCs w:val="20"/>
          <w:color w:val="auto"/>
        </w:rPr>
      </w:pPr>
      <w:r>
        <w:rPr>
          <w:rFonts w:ascii="Arial" w:cs="Arial" w:eastAsia="Arial" w:hAnsi="Arial"/>
          <w:sz w:val="13"/>
          <w:szCs w:val="13"/>
          <w:color w:val="auto"/>
        </w:rPr>
        <w:t>Chief Financial Officer</w:t>
      </w:r>
    </w:p>
    <w:p>
      <w:pPr>
        <w:spacing w:after="0"/>
        <w:rPr>
          <w:sz w:val="20"/>
          <w:szCs w:val="20"/>
          <w:color w:val="auto"/>
        </w:rPr>
      </w:pPr>
      <w:r>
        <w:rPr>
          <w:rFonts w:ascii="Arial" w:cs="Arial" w:eastAsia="Arial" w:hAnsi="Arial"/>
          <w:sz w:val="13"/>
          <w:szCs w:val="13"/>
          <w:i w:val="1"/>
          <w:iCs w:val="1"/>
          <w:color w:val="auto"/>
        </w:rPr>
        <w:t>(Principal Financial Officer)</w:t>
      </w:r>
    </w:p>
    <w:p>
      <w:pPr>
        <w:sectPr>
          <w:pgSz w:w="11900" w:h="16838" w:orient="portrait"/>
          <w:cols w:equalWidth="0" w:num="1">
            <w:col w:w="11280"/>
          </w:cols>
          <w:pgMar w:left="300" w:top="125" w:right="31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7"/>
          <w:szCs w:val="17"/>
          <w:b w:val="1"/>
          <w:bCs w:val="1"/>
          <w:color w:val="auto"/>
        </w:rPr>
        <w:t>CERTIFICATION OF PRINCIPAL EXECUTIVE OFFICER PURSUANT TO</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520" w:hanging="260"/>
        <w:spacing w:after="0" w:line="244" w:lineRule="auto"/>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fiscal quarter ended December 31, 2021 (the “Report”) fully complies with the requirements of Section 13(a) or 15(d) of the Securities Exchange Act of 1934, as amended; and</w:t>
      </w:r>
    </w:p>
    <w:p>
      <w:pPr>
        <w:spacing w:after="0" w:line="184" w:lineRule="exact"/>
        <w:rPr>
          <w:rFonts w:ascii="Arial" w:cs="Arial" w:eastAsia="Arial" w:hAnsi="Arial"/>
          <w:sz w:val="13"/>
          <w:szCs w:val="13"/>
          <w:color w:val="auto"/>
        </w:rPr>
      </w:pPr>
    </w:p>
    <w:p>
      <w:pPr>
        <w:ind w:left="520" w:hanging="260"/>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February 8,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John Foley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John Foley</w:t>
      </w:r>
    </w:p>
    <w:p>
      <w:pPr>
        <w:spacing w:after="0"/>
        <w:rPr>
          <w:sz w:val="20"/>
          <w:szCs w:val="20"/>
          <w:color w:val="auto"/>
        </w:rPr>
      </w:pPr>
      <w:r>
        <w:rPr>
          <w:rFonts w:ascii="Arial" w:cs="Arial" w:eastAsia="Arial" w:hAnsi="Arial"/>
          <w:sz w:val="13"/>
          <w:szCs w:val="13"/>
          <w:color w:val="auto"/>
        </w:rPr>
        <w:t>Chief Executive Officer</w:t>
      </w:r>
    </w:p>
    <w:p>
      <w:pPr>
        <w:spacing w:after="0"/>
        <w:rPr>
          <w:sz w:val="20"/>
          <w:szCs w:val="20"/>
          <w:color w:val="auto"/>
        </w:rPr>
      </w:pPr>
      <w:r>
        <w:rPr>
          <w:rFonts w:ascii="Arial" w:cs="Arial" w:eastAsia="Arial" w:hAnsi="Arial"/>
          <w:sz w:val="13"/>
          <w:szCs w:val="13"/>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7"/>
          <w:szCs w:val="17"/>
          <w:b w:val="1"/>
          <w:bCs w:val="1"/>
          <w:color w:val="auto"/>
        </w:rPr>
        <w:t>CERTIFICATION OF PRINCIPAL FINANCIAL OFFICER PURSUANT TO</w:t>
      </w:r>
    </w:p>
    <w:p>
      <w:pPr>
        <w:spacing w:after="0" w:line="26"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520" w:hanging="260"/>
        <w:spacing w:after="0" w:line="244" w:lineRule="auto"/>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Quarterly Report on Form 10-Q of the Company for the fiscal quarter ended December 31, 2021 (the “Report”) fully complies with the requirements of Section 13(a) or 15(d) of the Securities Exchange Act of 1934, as amended; and</w:t>
      </w:r>
    </w:p>
    <w:p>
      <w:pPr>
        <w:spacing w:after="0" w:line="184" w:lineRule="exact"/>
        <w:rPr>
          <w:rFonts w:ascii="Arial" w:cs="Arial" w:eastAsia="Arial" w:hAnsi="Arial"/>
          <w:sz w:val="13"/>
          <w:szCs w:val="13"/>
          <w:color w:val="auto"/>
        </w:rPr>
      </w:pPr>
    </w:p>
    <w:p>
      <w:pPr>
        <w:ind w:left="520" w:hanging="260"/>
        <w:spacing w:after="0"/>
        <w:tabs>
          <w:tab w:leader="none" w:pos="5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Date: February 8, 2022</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/s/ Jill Woodworth</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Jill Woodworth</w:t>
      </w:r>
    </w:p>
    <w:p>
      <w:pPr>
        <w:spacing w:after="0"/>
        <w:rPr>
          <w:sz w:val="20"/>
          <w:szCs w:val="20"/>
          <w:color w:val="auto"/>
        </w:rPr>
      </w:pPr>
      <w:r>
        <w:rPr>
          <w:rFonts w:ascii="Arial" w:cs="Arial" w:eastAsia="Arial" w:hAnsi="Arial"/>
          <w:sz w:val="13"/>
          <w:szCs w:val="13"/>
          <w:color w:val="auto"/>
        </w:rPr>
        <w:t>Chief Financial Officer</w:t>
      </w:r>
    </w:p>
    <w:p>
      <w:pPr>
        <w:spacing w:after="0"/>
        <w:rPr>
          <w:sz w:val="20"/>
          <w:szCs w:val="20"/>
          <w:color w:val="auto"/>
        </w:rPr>
      </w:pPr>
      <w:r>
        <w:rPr>
          <w:rFonts w:ascii="Arial" w:cs="Arial" w:eastAsia="Arial" w:hAnsi="Arial"/>
          <w:sz w:val="13"/>
          <w:szCs w:val="13"/>
          <w:i w:val="1"/>
          <w:iCs w:val="1"/>
          <w:color w:val="auto"/>
        </w:rPr>
        <w:t>(Principal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Roman"/>
      <w:start w:val="2"/>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2022-02-08T16:27:25Z</dcterms:created>
  <dcterms:modified xsi:type="dcterms:W3CDTF">2022-02-08T16:27:25Z</dcterms:modified>
</cp:coreProperties>
</file>