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hanging="396"/>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02" w:lineRule="exact"/>
        <w:rPr>
          <w:sz w:val="24"/>
          <w:szCs w:val="24"/>
          <w:color w:val="auto"/>
        </w:rPr>
      </w:pPr>
    </w:p>
    <w:p>
      <w:pPr>
        <w:ind w:left="580" w:hanging="396"/>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44450</wp:posOffset>
            </wp:positionV>
            <wp:extent cx="1063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94"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8"/>
              </w:rPr>
              <w:t>Delaware</w:t>
            </w:r>
          </w:p>
        </w:tc>
        <w:tc>
          <w:tcPr>
            <w:tcW w:w="5640" w:type="dxa"/>
            <w:vAlign w:val="bottom"/>
            <w:gridSpan w:val="3"/>
          </w:tcPr>
          <w:p>
            <w:pPr>
              <w:jc w:val="center"/>
              <w:ind w:left="4394"/>
              <w:spacing w:after="0"/>
              <w:rPr>
                <w:sz w:val="20"/>
                <w:szCs w:val="20"/>
                <w:color w:val="auto"/>
              </w:rPr>
            </w:pPr>
            <w:r>
              <w:rPr>
                <w:rFonts w:ascii="Arial" w:cs="Arial" w:eastAsia="Arial" w:hAnsi="Arial"/>
                <w:sz w:val="18"/>
                <w:szCs w:val="18"/>
                <w:b w:val="1"/>
                <w:bCs w:val="1"/>
                <w:color w:val="auto"/>
                <w:w w:val="99"/>
              </w:rPr>
              <w:t>47-3533761</w:t>
            </w:r>
          </w:p>
        </w:tc>
      </w:tr>
      <w:tr>
        <w:trPr>
          <w:trHeight w:val="166"/>
        </w:trPr>
        <w:tc>
          <w:tcPr>
            <w:tcW w:w="284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jc w:val="center"/>
              <w:ind w:left="17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840" w:type="dxa"/>
            <w:vAlign w:val="bottom"/>
          </w:tcPr>
          <w:p>
            <w:pPr>
              <w:jc w:val="center"/>
              <w:ind w:right="59"/>
              <w:spacing w:after="0"/>
              <w:rPr>
                <w:sz w:val="20"/>
                <w:szCs w:val="20"/>
                <w:color w:val="auto"/>
              </w:rPr>
            </w:pPr>
            <w:r>
              <w:rPr>
                <w:rFonts w:ascii="Arial" w:cs="Arial" w:eastAsia="Arial" w:hAnsi="Arial"/>
                <w:sz w:val="14"/>
                <w:szCs w:val="14"/>
                <w:i w:val="1"/>
                <w:iCs w:val="1"/>
                <w:color w:val="auto"/>
              </w:rPr>
              <w:t>incorporation or organization)</w:t>
            </w:r>
          </w:p>
        </w:tc>
        <w:tc>
          <w:tcPr>
            <w:tcW w:w="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jc w:val="center"/>
              <w:ind w:left="1788"/>
              <w:spacing w:after="0"/>
              <w:rPr>
                <w:sz w:val="20"/>
                <w:szCs w:val="20"/>
                <w:color w:val="auto"/>
              </w:rPr>
            </w:pPr>
            <w:r>
              <w:rPr>
                <w:rFonts w:ascii="Arial" w:cs="Arial" w:eastAsia="Arial" w:hAnsi="Arial"/>
                <w:sz w:val="14"/>
                <w:szCs w:val="14"/>
                <w:i w:val="1"/>
                <w:iCs w:val="1"/>
                <w:color w:val="auto"/>
              </w:rPr>
              <w:t>Identification No.)</w:t>
            </w:r>
          </w:p>
        </w:tc>
      </w:tr>
      <w:tr>
        <w:trPr>
          <w:trHeight w:val="269"/>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rPr>
              <w:t>125 West 25th Street, 11th Floor</w:t>
            </w:r>
          </w:p>
        </w:tc>
        <w:tc>
          <w:tcPr>
            <w:tcW w:w="5640" w:type="dxa"/>
            <w:vAlign w:val="bottom"/>
            <w:gridSpan w:val="3"/>
          </w:tcPr>
          <w:p>
            <w:pPr>
              <w:jc w:val="center"/>
              <w:ind w:left="4454"/>
              <w:spacing w:after="0"/>
              <w:rPr>
                <w:sz w:val="20"/>
                <w:szCs w:val="20"/>
                <w:color w:val="auto"/>
              </w:rPr>
            </w:pPr>
            <w:r>
              <w:rPr>
                <w:rFonts w:ascii="Arial" w:cs="Arial" w:eastAsia="Arial" w:hAnsi="Arial"/>
                <w:sz w:val="18"/>
                <w:szCs w:val="18"/>
                <w:b w:val="1"/>
                <w:bCs w:val="1"/>
                <w:color w:val="auto"/>
                <w:w w:val="99"/>
              </w:rPr>
              <w:t>10001</w:t>
            </w:r>
          </w:p>
        </w:tc>
      </w:tr>
      <w:tr>
        <w:trPr>
          <w:trHeight w:val="243"/>
        </w:trPr>
        <w:tc>
          <w:tcPr>
            <w:tcW w:w="2840" w:type="dxa"/>
            <w:vAlign w:val="bottom"/>
          </w:tcPr>
          <w:p>
            <w:pPr>
              <w:jc w:val="center"/>
              <w:ind w:right="19"/>
              <w:spacing w:after="0"/>
              <w:rPr>
                <w:sz w:val="20"/>
                <w:szCs w:val="20"/>
                <w:color w:val="auto"/>
              </w:rPr>
            </w:pPr>
            <w:r>
              <w:rPr>
                <w:rFonts w:ascii="Arial" w:cs="Arial" w:eastAsia="Arial" w:hAnsi="Arial"/>
                <w:sz w:val="18"/>
                <w:szCs w:val="18"/>
                <w:b w:val="1"/>
                <w:bCs w:val="1"/>
                <w:color w:val="auto"/>
                <w:w w:val="97"/>
              </w:rPr>
              <w:t>New York, New York</w:t>
            </w:r>
          </w:p>
        </w:tc>
        <w:tc>
          <w:tcPr>
            <w:tcW w:w="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980" w:type="dxa"/>
            <w:vAlign w:val="bottom"/>
          </w:tcPr>
          <w:p>
            <w:pPr>
              <w:jc w:val="center"/>
              <w:ind w:left="1788"/>
              <w:spacing w:after="0"/>
              <w:rPr>
                <w:sz w:val="20"/>
                <w:szCs w:val="20"/>
                <w:color w:val="auto"/>
              </w:rPr>
            </w:pPr>
            <w:r>
              <w:rPr>
                <w:rFonts w:ascii="Arial" w:cs="Arial" w:eastAsia="Arial" w:hAnsi="Arial"/>
                <w:sz w:val="14"/>
                <w:szCs w:val="14"/>
                <w:i w:val="1"/>
                <w:iCs w:val="1"/>
                <w:color w:val="auto"/>
              </w:rPr>
              <w:t>(Zip Code)</w:t>
            </w:r>
          </w:p>
        </w:tc>
      </w:tr>
      <w:tr>
        <w:trPr>
          <w:trHeight w:val="204"/>
        </w:trPr>
        <w:tc>
          <w:tcPr>
            <w:tcW w:w="2840" w:type="dxa"/>
            <w:vAlign w:val="bottom"/>
          </w:tcPr>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tc>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2"/>
        </w:trPr>
        <w:tc>
          <w:tcPr>
            <w:tcW w:w="2840" w:type="dxa"/>
            <w:vAlign w:val="bottom"/>
          </w:tcPr>
          <w:p>
            <w:pPr>
              <w:spacing w:after="0"/>
              <w:rPr>
                <w:sz w:val="16"/>
                <w:szCs w:val="16"/>
                <w:color w:val="auto"/>
              </w:rPr>
            </w:pPr>
          </w:p>
        </w:tc>
        <w:tc>
          <w:tcPr>
            <w:tcW w:w="2660" w:type="dxa"/>
            <w:vAlign w:val="bottom"/>
            <w:gridSpan w:val="2"/>
          </w:tcPr>
          <w:p>
            <w:pPr>
              <w:jc w:val="right"/>
              <w:ind w:right="260"/>
              <w:spacing w:after="0" w:line="192" w:lineRule="exact"/>
              <w:rPr>
                <w:sz w:val="20"/>
                <w:szCs w:val="20"/>
                <w:color w:val="auto"/>
              </w:rPr>
            </w:pPr>
            <w:r>
              <w:rPr>
                <w:rFonts w:ascii="Arial" w:cs="Arial" w:eastAsia="Arial" w:hAnsi="Arial"/>
                <w:sz w:val="18"/>
                <w:szCs w:val="18"/>
                <w:b w:val="1"/>
                <w:bCs w:val="1"/>
                <w:color w:val="auto"/>
              </w:rPr>
              <w:t>(866) 679-9129</w:t>
            </w:r>
          </w:p>
        </w:tc>
        <w:tc>
          <w:tcPr>
            <w:tcW w:w="2980" w:type="dxa"/>
            <w:vAlign w:val="bottom"/>
          </w:tcPr>
          <w:p>
            <w:pPr>
              <w:spacing w:after="0"/>
              <w:rPr>
                <w:sz w:val="16"/>
                <w:szCs w:val="16"/>
                <w:color w:val="auto"/>
              </w:rPr>
            </w:pPr>
          </w:p>
        </w:tc>
      </w:tr>
      <w:tr>
        <w:trPr>
          <w:trHeight w:val="186"/>
        </w:trPr>
        <w:tc>
          <w:tcPr>
            <w:tcW w:w="2840" w:type="dxa"/>
            <w:vAlign w:val="bottom"/>
          </w:tcPr>
          <w:p>
            <w:pPr>
              <w:spacing w:after="0"/>
              <w:rPr>
                <w:sz w:val="16"/>
                <w:szCs w:val="16"/>
                <w:color w:val="auto"/>
              </w:rPr>
            </w:pPr>
          </w:p>
        </w:tc>
        <w:tc>
          <w:tcPr>
            <w:tcW w:w="5640" w:type="dxa"/>
            <w:vAlign w:val="bottom"/>
            <w:gridSpan w:val="3"/>
          </w:tcPr>
          <w:p>
            <w:pPr>
              <w:jc w:val="center"/>
              <w:ind w:right="1988"/>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53"/>
        </w:trPr>
        <w:tc>
          <w:tcPr>
            <w:tcW w:w="2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980" w:type="dxa"/>
            <w:vAlign w:val="bottom"/>
          </w:tcPr>
          <w:p>
            <w:pPr>
              <w:spacing w:after="0"/>
              <w:rPr>
                <w:sz w:val="4"/>
                <w:szCs w:val="4"/>
                <w:color w:val="auto"/>
              </w:rPr>
            </w:pPr>
          </w:p>
        </w:tc>
      </w:tr>
    </w:tbl>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70" w:type="dxa"/>
        <w:tblCellMar>
          <w:top w:w="0" w:type="dxa"/>
          <w:left w:w="0" w:type="dxa"/>
          <w:bottom w:w="0" w:type="dxa"/>
          <w:right w:w="0" w:type="dxa"/>
        </w:tblCellMar>
      </w:tblPr>
      <w:tr>
        <w:trPr>
          <w:trHeight w:val="244"/>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9"/>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$0.000025 par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09"/>
        </w:trPr>
        <w:tc>
          <w:tcPr>
            <w:tcW w:w="3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40" w:type="dxa"/>
            <w:vAlign w:val="bottom"/>
            <w:tcBorders>
              <w:right w:val="single" w:sz="8" w:color="auto"/>
            </w:tcBorders>
            <w:vMerge w:val="continue"/>
          </w:tcPr>
          <w:p>
            <w:pPr>
              <w:spacing w:after="0"/>
              <w:rPr>
                <w:sz w:val="9"/>
                <w:szCs w:val="9"/>
                <w:color w:val="auto"/>
              </w:rPr>
            </w:pPr>
          </w:p>
        </w:tc>
        <w:tc>
          <w:tcPr>
            <w:tcW w:w="4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5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4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jc w:val="both"/>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1700" w:type="dxa"/>
        <w:tblCellMar>
          <w:top w:w="0" w:type="dxa"/>
          <w:left w:w="0" w:type="dxa"/>
          <w:bottom w:w="0" w:type="dxa"/>
          <w:right w:w="0" w:type="dxa"/>
        </w:tblCellMar>
      </w:tblPr>
      <w:tr>
        <w:trPr>
          <w:trHeight w:val="243"/>
        </w:trPr>
        <w:tc>
          <w:tcPr>
            <w:tcW w:w="2220" w:type="dxa"/>
            <w:vAlign w:val="bottom"/>
          </w:tcPr>
          <w:p>
            <w:pPr>
              <w:jc w:val="center"/>
              <w:ind w:right="350"/>
              <w:spacing w:after="0"/>
              <w:rPr>
                <w:sz w:val="20"/>
                <w:szCs w:val="20"/>
                <w:color w:val="auto"/>
              </w:rPr>
            </w:pPr>
            <w:r>
              <w:rPr>
                <w:rFonts w:ascii="Arial" w:cs="Arial" w:eastAsia="Arial" w:hAnsi="Arial"/>
                <w:sz w:val="18"/>
                <w:szCs w:val="18"/>
                <w:color w:val="auto"/>
                <w:w w:val="99"/>
              </w:rPr>
              <w:t>Large accelerated filer</w:t>
            </w:r>
          </w:p>
        </w:tc>
        <w:tc>
          <w:tcPr>
            <w:tcW w:w="11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8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43"/>
        </w:trPr>
        <w:tc>
          <w:tcPr>
            <w:tcW w:w="2220" w:type="dxa"/>
            <w:vAlign w:val="bottom"/>
          </w:tcPr>
          <w:p>
            <w:pPr>
              <w:jc w:val="center"/>
              <w:ind w:right="390"/>
              <w:spacing w:after="0"/>
              <w:rPr>
                <w:sz w:val="20"/>
                <w:szCs w:val="20"/>
                <w:color w:val="auto"/>
              </w:rPr>
            </w:pPr>
            <w:r>
              <w:rPr>
                <w:rFonts w:ascii="Arial" w:cs="Arial" w:eastAsia="Arial" w:hAnsi="Arial"/>
                <w:sz w:val="18"/>
                <w:szCs w:val="18"/>
                <w:color w:val="auto"/>
                <w:w w:val="99"/>
              </w:rPr>
              <w:t>Non-accelerated filer</w:t>
            </w:r>
          </w:p>
        </w:tc>
        <w:tc>
          <w:tcPr>
            <w:tcW w:w="11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8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36" w:lineRule="exact"/>
        <w:rPr>
          <w:sz w:val="24"/>
          <w:szCs w:val="24"/>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301" w:lineRule="exact"/>
        <w:rPr>
          <w:sz w:val="24"/>
          <w:szCs w:val="24"/>
          <w:color w:val="auto"/>
        </w:rPr>
      </w:pPr>
    </w:p>
    <w:p>
      <w:pPr>
        <w:ind w:right="60"/>
        <w:spacing w:after="0" w:line="227" w:lineRule="auto"/>
        <w:rPr>
          <w:sz w:val="20"/>
          <w:szCs w:val="20"/>
          <w:color w:val="auto"/>
        </w:rPr>
      </w:pPr>
      <w:r>
        <w:rPr>
          <w:rFonts w:ascii="Arial" w:cs="Arial" w:eastAsia="Arial" w:hAnsi="Arial"/>
          <w:sz w:val="18"/>
          <w:szCs w:val="18"/>
          <w:color w:val="auto"/>
        </w:rPr>
        <w:t>As of January 31, 2020, the number of shares of the registrant's Class A common stock outstanding was 43,848,484 and the number of shares of the registrant's Class B common stock outstanding was 236,819,934.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6"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1"/>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5"/>
          </w:tcPr>
          <w:p>
            <w:pPr>
              <w:ind w:left="5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260" w:type="dxa"/>
            <w:vAlign w:val="bottom"/>
            <w:gridSpan w:val="12"/>
          </w:tcPr>
          <w:p>
            <w:pPr>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Special Note Regarding Forward Looking Statements</w:t>
              </w:r>
            </w:hyperlink>
          </w:p>
        </w:tc>
        <w:tc>
          <w:tcPr>
            <w:tcW w:w="4860" w:type="dxa"/>
            <w:vAlign w:val="bottom"/>
            <w:gridSpan w:val="10"/>
          </w:tcPr>
          <w:p>
            <w:pPr>
              <w:spacing w:after="0"/>
              <w:rPr>
                <w:sz w:val="17"/>
                <w:szCs w:val="17"/>
                <w:color w:val="auto"/>
              </w:rPr>
            </w:pPr>
          </w:p>
        </w:tc>
        <w:tc>
          <w:tcPr>
            <w:tcW w:w="700" w:type="dxa"/>
            <w:vAlign w:val="bottom"/>
            <w:gridSpan w:val="2"/>
          </w:tcPr>
          <w:p>
            <w:pPr>
              <w:spacing w:after="0"/>
              <w:rPr>
                <w:sz w:val="17"/>
                <w:szCs w:val="17"/>
                <w:color w:val="auto"/>
              </w:rPr>
            </w:pPr>
          </w:p>
        </w:tc>
        <w:tc>
          <w:tcPr>
            <w:tcW w:w="160" w:type="dxa"/>
            <w:vAlign w:val="bottom"/>
            <w:gridSpan w:val="2"/>
          </w:tcPr>
          <w:p>
            <w:pPr>
              <w:jc w:val="center"/>
              <w:ind w:right="6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40" w:type="dxa"/>
            <w:vAlign w:val="bottom"/>
            <w:gridSpan w:val="11"/>
          </w:tcPr>
          <w:p>
            <w:pPr>
              <w:jc w:val="center"/>
              <w:ind w:right="1420"/>
              <w:spacing w:after="0"/>
              <w:rPr>
                <w:sz w:val="20"/>
                <w:szCs w:val="20"/>
                <w:color w:val="auto"/>
              </w:rPr>
            </w:pPr>
            <w:r>
              <w:rPr>
                <w:rFonts w:ascii="Arial" w:cs="Arial" w:eastAsia="Arial" w:hAnsi="Arial"/>
                <w:sz w:val="18"/>
                <w:szCs w:val="18"/>
                <w:b w:val="1"/>
                <w:bCs w:val="1"/>
                <w:color w:val="auto"/>
              </w:rPr>
              <w:t>Part I. Financial Information</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00" w:type="dxa"/>
            <w:vAlign w:val="bottom"/>
            <w:gridSpan w:val="3"/>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220" w:type="dxa"/>
            <w:vAlign w:val="bottom"/>
            <w:gridSpan w:val="19"/>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860" w:type="dxa"/>
            <w:vAlign w:val="bottom"/>
            <w:gridSpan w:val="4"/>
          </w:tcPr>
          <w:p>
            <w:pPr>
              <w:jc w:val="center"/>
              <w:ind w:left="550"/>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December 31, 2019 and June 30, 2019 </w:t>
              </w:r>
            </w:hyperlink>
            <w:r>
              <w:rPr>
                <w:rFonts w:ascii="Arial" w:cs="Arial" w:eastAsia="Arial" w:hAnsi="Arial"/>
                <w:sz w:val="18"/>
                <w:szCs w:val="18"/>
                <w:color w:val="0000FF"/>
              </w:rPr>
              <w:t>(unaudited)</w:t>
            </w:r>
          </w:p>
        </w:tc>
        <w:tc>
          <w:tcPr>
            <w:tcW w:w="860" w:type="dxa"/>
            <w:vAlign w:val="bottom"/>
            <w:gridSpan w:val="4"/>
          </w:tcPr>
          <w:p>
            <w:pPr>
              <w:jc w:val="center"/>
              <w:ind w:left="5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and Comprehensive Loss for the Three and Six</w:t>
              </w:r>
            </w:hyperlink>
          </w:p>
        </w:tc>
        <w:tc>
          <w:tcPr>
            <w:tcW w:w="860" w:type="dxa"/>
            <w:vAlign w:val="bottom"/>
            <w:gridSpan w:val="4"/>
            <w:vMerge w:val="restart"/>
          </w:tcPr>
          <w:p>
            <w:pPr>
              <w:jc w:val="center"/>
              <w:ind w:left="5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Months Ended December 31, 2019 and 2018 (unaudited)</w:t>
              </w:r>
            </w:hyperlink>
          </w:p>
        </w:tc>
        <w:tc>
          <w:tcPr>
            <w:tcW w:w="28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2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 for the Six Months Ended December 31, 2019 and</w:t>
              </w:r>
            </w:hyperlink>
          </w:p>
        </w:tc>
        <w:tc>
          <w:tcPr>
            <w:tcW w:w="700" w:type="dxa"/>
            <w:vAlign w:val="bottom"/>
            <w:gridSpan w:val="2"/>
            <w:vMerge w:val="restart"/>
          </w:tcPr>
          <w:p>
            <w:pPr>
              <w:spacing w:after="0"/>
              <w:rPr>
                <w:sz w:val="18"/>
                <w:szCs w:val="18"/>
                <w:color w:val="auto"/>
              </w:rPr>
            </w:pPr>
          </w:p>
        </w:tc>
        <w:tc>
          <w:tcPr>
            <w:tcW w:w="160" w:type="dxa"/>
            <w:vAlign w:val="bottom"/>
            <w:gridSpan w:val="2"/>
            <w:vMerge w:val="restart"/>
          </w:tcPr>
          <w:p>
            <w:pPr>
              <w:jc w:val="center"/>
              <w:ind w:right="6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5"/>
          </w:tcPr>
          <w:p>
            <w:pPr>
              <w:spacing w:after="0" w:line="15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2018 (unaudited)</w:t>
              </w:r>
            </w:hyperlink>
          </w:p>
        </w:tc>
        <w:tc>
          <w:tcPr>
            <w:tcW w:w="6860" w:type="dxa"/>
            <w:vAlign w:val="bottom"/>
            <w:gridSpan w:val="14"/>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2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Redeemable Convertible Preferred Stock and</w:t>
              </w:r>
            </w:hyperlink>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Stockholders’ Equity (Deficit) for the Three and Six Months Ended December 31, 2019 and 2018</w:t>
              </w:r>
            </w:hyperlink>
          </w:p>
        </w:tc>
        <w:tc>
          <w:tcPr>
            <w:tcW w:w="400" w:type="dxa"/>
            <w:vAlign w:val="bottom"/>
            <w:gridSpan w:val="3"/>
          </w:tcPr>
          <w:p>
            <w:pPr>
              <w:spacing w:after="0"/>
              <w:rPr>
                <w:sz w:val="13"/>
                <w:szCs w:val="13"/>
                <w:color w:val="auto"/>
              </w:rPr>
            </w:pPr>
          </w:p>
        </w:tc>
        <w:tc>
          <w:tcPr>
            <w:tcW w:w="860" w:type="dxa"/>
            <w:vAlign w:val="bottom"/>
            <w:gridSpan w:val="4"/>
            <w:vMerge w:val="restart"/>
          </w:tcPr>
          <w:p>
            <w:pPr>
              <w:jc w:val="center"/>
              <w:ind w:left="5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(unaudited)</w:t>
              </w:r>
            </w:hyperlink>
          </w:p>
        </w:tc>
        <w:tc>
          <w:tcPr>
            <w:tcW w:w="560" w:type="dxa"/>
            <w:vAlign w:val="bottom"/>
            <w:gridSpan w:val="4"/>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2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860" w:type="dxa"/>
            <w:vAlign w:val="bottom"/>
            <w:gridSpan w:val="4"/>
          </w:tcPr>
          <w:p>
            <w:pPr>
              <w:jc w:val="center"/>
              <w:ind w:left="55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w:t>
              </w:r>
            </w:hyperlink>
          </w:p>
        </w:tc>
        <w:tc>
          <w:tcPr>
            <w:tcW w:w="8220" w:type="dxa"/>
            <w:vAlign w:val="bottom"/>
            <w:gridSpan w:val="1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22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822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822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240" w:type="dxa"/>
            <w:vAlign w:val="bottom"/>
            <w:gridSpan w:val="11"/>
          </w:tcPr>
          <w:p>
            <w:pPr>
              <w:jc w:val="center"/>
              <w:ind w:right="1400"/>
              <w:spacing w:after="0"/>
              <w:rPr>
                <w:sz w:val="20"/>
                <w:szCs w:val="20"/>
                <w:color w:val="auto"/>
              </w:rPr>
            </w:pPr>
            <w:r>
              <w:rPr>
                <w:rFonts w:ascii="Arial" w:cs="Arial" w:eastAsia="Arial" w:hAnsi="Arial"/>
                <w:sz w:val="18"/>
                <w:szCs w:val="18"/>
                <w:b w:val="1"/>
                <w:bCs w:val="1"/>
                <w:color w:val="auto"/>
                <w:w w:val="99"/>
              </w:rPr>
              <w:t>Part II. Other Information</w:t>
            </w:r>
          </w:p>
        </w:tc>
        <w:tc>
          <w:tcPr>
            <w:tcW w:w="660" w:type="dxa"/>
            <w:vAlign w:val="bottom"/>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20" w:type="dxa"/>
            <w:vAlign w:val="bottom"/>
            <w:gridSpan w:val="2"/>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280" w:type="dxa"/>
            <w:vAlign w:val="bottom"/>
          </w:tcPr>
          <w:p>
            <w:pPr>
              <w:spacing w:after="0"/>
              <w:rPr>
                <w:sz w:val="17"/>
                <w:szCs w:val="17"/>
                <w:color w:val="auto"/>
              </w:rPr>
            </w:pPr>
          </w:p>
        </w:tc>
        <w:tc>
          <w:tcPr>
            <w:tcW w:w="8220" w:type="dxa"/>
            <w:vAlign w:val="bottom"/>
            <w:gridSpan w:val="19"/>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80" w:type="dxa"/>
            <w:vAlign w:val="bottom"/>
            <w:gridSpan w:val="5"/>
          </w:tcPr>
          <w:p>
            <w:pPr>
              <w:jc w:val="center"/>
              <w:ind w:right="360"/>
              <w:spacing w:after="0" w:line="202"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1A</w:t>
              </w:r>
            </w:hyperlink>
          </w:p>
        </w:tc>
        <w:tc>
          <w:tcPr>
            <w:tcW w:w="822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37</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62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280" w:type="dxa"/>
            <w:vAlign w:val="bottom"/>
          </w:tcPr>
          <w:p>
            <w:pPr>
              <w:spacing w:after="0"/>
              <w:rPr>
                <w:sz w:val="18"/>
                <w:szCs w:val="18"/>
                <w:color w:val="auto"/>
              </w:rPr>
            </w:pPr>
          </w:p>
        </w:tc>
        <w:tc>
          <w:tcPr>
            <w:tcW w:w="822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58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20" w:type="dxa"/>
            <w:vAlign w:val="bottom"/>
            <w:gridSpan w:val="10"/>
            <w:shd w:val="clear" w:color="auto" w:fill="0000FF"/>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0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6</w:t>
              </w:r>
            </w:hyperlink>
          </w:p>
        </w:tc>
        <w:tc>
          <w:tcPr>
            <w:tcW w:w="8220" w:type="dxa"/>
            <w:vAlign w:val="bottom"/>
            <w:gridSpan w:val="1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59</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912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1880" w:type="dxa"/>
            <w:vAlign w:val="bottom"/>
            <w:gridSpan w:val="5"/>
          </w:tcPr>
          <w:p>
            <w:pPr>
              <w:jc w:val="center"/>
              <w:ind w:right="360"/>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60</w:t>
              </w:r>
            </w:hyperlink>
          </w:p>
        </w:tc>
        <w:tc>
          <w:tcPr>
            <w:tcW w:w="0" w:type="dxa"/>
            <w:vAlign w:val="bottom"/>
          </w:tcPr>
          <w:p>
            <w:pPr>
              <w:spacing w:after="0"/>
              <w:rPr>
                <w:sz w:val="1"/>
                <w:szCs w:val="1"/>
                <w:color w:val="auto"/>
              </w:rPr>
            </w:pPr>
          </w:p>
        </w:tc>
      </w:tr>
      <w:tr>
        <w:trPr>
          <w:trHeight w:val="1243"/>
        </w:trPr>
        <w:tc>
          <w:tcPr>
            <w:tcW w:w="4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Quarterly Report on Form 10-Q include, but are not limited to, statements about:</w:t>
      </w:r>
    </w:p>
    <w:p>
      <w:pPr>
        <w:spacing w:after="0" w:line="248" w:lineRule="exact"/>
        <w:rPr>
          <w:sz w:val="20"/>
          <w:szCs w:val="20"/>
          <w:color w:val="auto"/>
        </w:rPr>
      </w:pPr>
    </w:p>
    <w:p>
      <w:pPr>
        <w:jc w:val="both"/>
        <w:ind w:firstLine="74"/>
        <w:spacing w:after="0" w:line="253" w:lineRule="auto"/>
        <w:tabs>
          <w:tab w:leader="none" w:pos="189"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22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Subscriber base and maintain and expand our Subscriber base;</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firstLine="87"/>
        <w:spacing w:after="0" w:line="260" w:lineRule="auto"/>
        <w:tabs>
          <w:tab w:leader="none" w:pos="214" w:val="left"/>
        </w:tabs>
        <w:numPr>
          <w:ilvl w:val="2"/>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160" w:hanging="107"/>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ectPr>
          <w:pgSz w:w="11900" w:h="16838" w:orient="portrait"/>
          <w:cols w:equalWidth="0" w:num="1">
            <w:col w:w="11420"/>
          </w:cols>
          <w:pgMar w:left="240" w:top="603" w:right="2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type w:val="continuous"/>
        </w:sectPr>
      </w:pPr>
    </w:p>
    <w:bookmarkStart w:id="3" w:name="page4"/>
    <w:bookmarkEnd w:id="3"/>
    <w:p>
      <w:pPr>
        <w:ind w:left="4240"/>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120" w:type="dxa"/>
            <w:vAlign w:val="bottom"/>
          </w:tcPr>
          <w:p>
            <w:pPr>
              <w:jc w:val="center"/>
              <w:ind w:left="3498"/>
              <w:spacing w:after="0"/>
              <w:rPr>
                <w:sz w:val="20"/>
                <w:szCs w:val="20"/>
                <w:color w:val="auto"/>
              </w:rPr>
            </w:pPr>
            <w:r>
              <w:rPr>
                <w:rFonts w:ascii="Arial" w:cs="Arial" w:eastAsia="Arial" w:hAnsi="Arial"/>
                <w:sz w:val="18"/>
                <w:szCs w:val="18"/>
                <w:b w:val="1"/>
                <w:bCs w:val="1"/>
                <w:color w:val="auto"/>
                <w:w w:val="99"/>
              </w:rPr>
              <w:t>PELOTON INTERACTIVE, INC.</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gridSpan w:val="3"/>
          </w:tcPr>
          <w:p>
            <w:pPr>
              <w:jc w:val="center"/>
              <w:ind w:left="1758"/>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0" w:type="dxa"/>
            <w:vAlign w:val="bottom"/>
          </w:tcPr>
          <w:p>
            <w:pPr>
              <w:spacing w:after="0"/>
              <w:rPr>
                <w:sz w:val="1"/>
                <w:szCs w:val="1"/>
                <w:color w:val="auto"/>
              </w:rPr>
            </w:pPr>
          </w:p>
        </w:tc>
      </w:tr>
      <w:tr>
        <w:trPr>
          <w:trHeight w:val="239"/>
        </w:trPr>
        <w:tc>
          <w:tcPr>
            <w:tcW w:w="7480" w:type="dxa"/>
            <w:vAlign w:val="bottom"/>
            <w:gridSpan w:val="2"/>
          </w:tcPr>
          <w:p>
            <w:pPr>
              <w:jc w:val="center"/>
              <w:ind w:left="3158"/>
              <w:spacing w:after="0"/>
              <w:rPr>
                <w:sz w:val="20"/>
                <w:szCs w:val="20"/>
                <w:color w:val="auto"/>
              </w:rPr>
            </w:pPr>
            <w:r>
              <w:rPr>
                <w:rFonts w:ascii="Arial" w:cs="Arial" w:eastAsia="Arial" w:hAnsi="Arial"/>
                <w:sz w:val="18"/>
                <w:szCs w:val="18"/>
                <w:b w:val="1"/>
                <w:bCs w:val="1"/>
                <w:color w:val="auto"/>
                <w:w w:val="99"/>
              </w:rPr>
              <w:t>(in millions, except share and per share amounts)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7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7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center"/>
              <w:ind w:right="27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57"/>
        </w:trPr>
        <w:tc>
          <w:tcPr>
            <w:tcW w:w="712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22"/>
                <w:szCs w:val="22"/>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954.3</w:t>
            </w: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Accounts receivable, net of allowances</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Inventories, net</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46"/>
        </w:trPr>
        <w:tc>
          <w:tcPr>
            <w:tcW w:w="712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37"/>
        </w:trPr>
        <w:tc>
          <w:tcPr>
            <w:tcW w:w="712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1,857.1</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6"/>
                <w:szCs w:val="16"/>
                <w:color w:val="auto"/>
              </w:rPr>
              <w:t>Right-of-use asset</w:t>
            </w:r>
          </w:p>
        </w:tc>
        <w:tc>
          <w:tcPr>
            <w:tcW w:w="3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260"/>
        </w:trPr>
        <w:tc>
          <w:tcPr>
            <w:tcW w:w="7120" w:type="dxa"/>
            <w:vAlign w:val="bottom"/>
          </w:tcPr>
          <w:p>
            <w:pPr>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40"/>
        </w:trPr>
        <w:tc>
          <w:tcPr>
            <w:tcW w:w="7120" w:type="dxa"/>
            <w:vAlign w:val="bottom"/>
          </w:tcPr>
          <w:p>
            <w:pPr>
              <w:ind w:left="76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2,584.2</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880" w:type="dxa"/>
            <w:vAlign w:val="bottom"/>
            <w:gridSpan w:val="3"/>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0" w:type="dxa"/>
            <w:vAlign w:val="bottom"/>
          </w:tcPr>
          <w:p>
            <w:pPr>
              <w:spacing w:after="0"/>
              <w:rPr>
                <w:sz w:val="1"/>
                <w:szCs w:val="1"/>
                <w:color w:val="auto"/>
              </w:rPr>
            </w:pPr>
          </w:p>
        </w:tc>
      </w:tr>
      <w:tr>
        <w:trPr>
          <w:trHeight w:val="211"/>
        </w:trPr>
        <w:tc>
          <w:tcPr>
            <w:tcW w:w="712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Customer deposits and deferred revenue</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246"/>
        </w:trPr>
        <w:tc>
          <w:tcPr>
            <w:tcW w:w="712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712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535.8</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0"/>
                <w:szCs w:val="20"/>
                <w:color w:val="auto"/>
              </w:rPr>
            </w:pPr>
            <w:r>
              <w:rPr>
                <w:rFonts w:ascii="Arial" w:cs="Arial" w:eastAsia="Arial" w:hAnsi="Arial"/>
                <w:sz w:val="16"/>
                <w:szCs w:val="16"/>
                <w:color w:val="auto"/>
              </w:rPr>
              <w:t>Build-to-suit liability</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6"/>
                <w:szCs w:val="16"/>
                <w:color w:val="auto"/>
              </w:rPr>
              <w:t>Long term lease liability</w:t>
            </w:r>
          </w:p>
        </w:tc>
        <w:tc>
          <w:tcPr>
            <w:tcW w:w="3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7120" w:type="dxa"/>
            <w:vAlign w:val="bottom"/>
          </w:tcPr>
          <w:p>
            <w:pPr>
              <w:ind w:left="7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1,039.0</w:t>
            </w:r>
          </w:p>
        </w:tc>
        <w:tc>
          <w:tcPr>
            <w:tcW w:w="0" w:type="dxa"/>
            <w:vAlign w:val="bottom"/>
          </w:tcPr>
          <w:p>
            <w:pPr>
              <w:spacing w:after="0"/>
              <w:rPr>
                <w:sz w:val="1"/>
                <w:szCs w:val="1"/>
                <w:color w:val="auto"/>
              </w:rPr>
            </w:pPr>
          </w:p>
        </w:tc>
      </w:tr>
      <w:tr>
        <w:trPr>
          <w:trHeight w:val="196"/>
        </w:trPr>
        <w:tc>
          <w:tcPr>
            <w:tcW w:w="712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20" w:type="dxa"/>
            <w:vAlign w:val="bottom"/>
          </w:tcPr>
          <w:p>
            <w:pPr>
              <w:spacing w:after="0"/>
              <w:rPr>
                <w:sz w:val="20"/>
                <w:szCs w:val="20"/>
                <w:color w:val="auto"/>
              </w:rPr>
            </w:pPr>
            <w:r>
              <w:rPr>
                <w:rFonts w:ascii="Arial" w:cs="Arial" w:eastAsia="Arial" w:hAnsi="Arial"/>
                <w:sz w:val="16"/>
                <w:szCs w:val="16"/>
                <w:color w:val="auto"/>
              </w:rPr>
              <w:t>Redeemable convertible preferred stock, $0.000025 par value, zero and 215,443,468 shares</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20" w:type="dxa"/>
            <w:vAlign w:val="bottom"/>
          </w:tcPr>
          <w:p>
            <w:pPr>
              <w:spacing w:after="0" w:line="162" w:lineRule="exact"/>
              <w:rPr>
                <w:sz w:val="20"/>
                <w:szCs w:val="20"/>
                <w:color w:val="auto"/>
              </w:rPr>
            </w:pPr>
            <w:r>
              <w:rPr>
                <w:rFonts w:ascii="Arial" w:cs="Arial" w:eastAsia="Arial" w:hAnsi="Arial"/>
                <w:sz w:val="16"/>
                <w:szCs w:val="16"/>
                <w:color w:val="auto"/>
              </w:rPr>
              <w:t>authorized; zero and 210,640,629 shares issued and outstanding as of December 31, 2019 and</w:t>
            </w:r>
          </w:p>
        </w:tc>
        <w:tc>
          <w:tcPr>
            <w:tcW w:w="360" w:type="dxa"/>
            <w:vAlign w:val="bottom"/>
          </w:tcPr>
          <w:p>
            <w:pPr>
              <w:spacing w:after="0"/>
              <w:rPr>
                <w:sz w:val="14"/>
                <w:szCs w:val="14"/>
                <w:color w:val="auto"/>
              </w:rPr>
            </w:pP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June 30, 2019, respectively.</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120" w:type="dxa"/>
            <w:vAlign w:val="bottom"/>
          </w:tcPr>
          <w:p>
            <w:pPr>
              <w:ind w:left="320"/>
              <w:spacing w:after="0"/>
              <w:rPr>
                <w:sz w:val="20"/>
                <w:szCs w:val="20"/>
                <w:color w:val="auto"/>
              </w:rPr>
            </w:pPr>
            <w:r>
              <w:rPr>
                <w:rFonts w:ascii="Arial" w:cs="Arial" w:eastAsia="Arial" w:hAnsi="Arial"/>
                <w:sz w:val="16"/>
                <w:szCs w:val="16"/>
                <w:color w:val="auto"/>
              </w:rPr>
              <w:t>Common stock, $0.000025 par value; 2,500,000,000 and zero Class A shares authorized,</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320"/>
              <w:spacing w:after="0" w:line="162" w:lineRule="exact"/>
              <w:rPr>
                <w:sz w:val="20"/>
                <w:szCs w:val="20"/>
                <w:color w:val="auto"/>
              </w:rPr>
            </w:pPr>
            <w:r>
              <w:rPr>
                <w:rFonts w:ascii="Arial" w:cs="Arial" w:eastAsia="Arial" w:hAnsi="Arial"/>
                <w:sz w:val="16"/>
                <w:szCs w:val="16"/>
                <w:color w:val="auto"/>
              </w:rPr>
              <w:t>43,794,644 and zero shares issued and outstanding as of December 31, 2019 and June 30,</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320"/>
              <w:spacing w:after="0" w:line="162" w:lineRule="exact"/>
              <w:rPr>
                <w:sz w:val="20"/>
                <w:szCs w:val="20"/>
                <w:color w:val="auto"/>
              </w:rPr>
            </w:pPr>
            <w:r>
              <w:rPr>
                <w:rFonts w:ascii="Arial" w:cs="Arial" w:eastAsia="Arial" w:hAnsi="Arial"/>
                <w:sz w:val="16"/>
                <w:szCs w:val="16"/>
                <w:color w:val="auto"/>
              </w:rPr>
              <w:t>2019, respectively; 2,500,000,000 and 400,000,000 Class B shares authorized, 236,819,934</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320"/>
              <w:spacing w:after="0" w:line="162" w:lineRule="exact"/>
              <w:rPr>
                <w:sz w:val="20"/>
                <w:szCs w:val="20"/>
                <w:color w:val="auto"/>
              </w:rPr>
            </w:pPr>
            <w:r>
              <w:rPr>
                <w:rFonts w:ascii="Arial" w:cs="Arial" w:eastAsia="Arial" w:hAnsi="Arial"/>
                <w:sz w:val="16"/>
                <w:szCs w:val="16"/>
                <w:color w:val="auto"/>
              </w:rPr>
              <w:t>and 25,301,604 shares issued and outstanding as of December 31, 2019 and June 30, 2019,</w:t>
            </w:r>
          </w:p>
        </w:tc>
        <w:tc>
          <w:tcPr>
            <w:tcW w:w="360" w:type="dxa"/>
            <w:vAlign w:val="bottom"/>
          </w:tcPr>
          <w:p>
            <w:pPr>
              <w:spacing w:after="0"/>
              <w:rPr>
                <w:sz w:val="14"/>
                <w:szCs w:val="14"/>
                <w:color w:val="auto"/>
              </w:rPr>
            </w:pP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7120" w:type="dxa"/>
            <w:vAlign w:val="bottom"/>
          </w:tcPr>
          <w:p>
            <w:pPr>
              <w:ind w:left="32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2,269.3</w:t>
            </w:r>
          </w:p>
        </w:tc>
        <w:tc>
          <w:tcPr>
            <w:tcW w:w="0" w:type="dxa"/>
            <w:vAlign w:val="bottom"/>
          </w:tcPr>
          <w:p>
            <w:pPr>
              <w:spacing w:after="0"/>
              <w:rPr>
                <w:sz w:val="1"/>
                <w:szCs w:val="1"/>
                <w:color w:val="auto"/>
              </w:rPr>
            </w:pPr>
          </w:p>
        </w:tc>
      </w:tr>
      <w:tr>
        <w:trPr>
          <w:trHeight w:val="230"/>
        </w:trPr>
        <w:tc>
          <w:tcPr>
            <w:tcW w:w="7120" w:type="dxa"/>
            <w:vAlign w:val="bottom"/>
          </w:tcPr>
          <w:p>
            <w:pPr>
              <w:ind w:left="46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0"/>
        </w:trPr>
        <w:tc>
          <w:tcPr>
            <w:tcW w:w="712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(727.4)</w:t>
            </w:r>
          </w:p>
        </w:tc>
        <w:tc>
          <w:tcPr>
            <w:tcW w:w="0" w:type="dxa"/>
            <w:vAlign w:val="bottom"/>
          </w:tcPr>
          <w:p>
            <w:pPr>
              <w:spacing w:after="0"/>
              <w:rPr>
                <w:sz w:val="1"/>
                <w:szCs w:val="1"/>
                <w:color w:val="auto"/>
              </w:rPr>
            </w:pPr>
          </w:p>
        </w:tc>
      </w:tr>
      <w:tr>
        <w:trPr>
          <w:trHeight w:val="237"/>
        </w:trPr>
        <w:tc>
          <w:tcPr>
            <w:tcW w:w="7120" w:type="dxa"/>
            <w:vAlign w:val="bottom"/>
          </w:tcPr>
          <w:p>
            <w:pPr>
              <w:ind w:left="74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1,545.2</w:t>
            </w:r>
          </w:p>
        </w:tc>
        <w:tc>
          <w:tcPr>
            <w:tcW w:w="0" w:type="dxa"/>
            <w:vAlign w:val="bottom"/>
          </w:tcPr>
          <w:p>
            <w:pPr>
              <w:spacing w:after="0"/>
              <w:rPr>
                <w:sz w:val="1"/>
                <w:szCs w:val="1"/>
                <w:color w:val="auto"/>
              </w:rPr>
            </w:pPr>
          </w:p>
        </w:tc>
      </w:tr>
      <w:tr>
        <w:trPr>
          <w:trHeight w:val="240"/>
        </w:trPr>
        <w:tc>
          <w:tcPr>
            <w:tcW w:w="7120" w:type="dxa"/>
            <w:vAlign w:val="bottom"/>
          </w:tcPr>
          <w:p>
            <w:pPr>
              <w:ind w:left="4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2,584.2</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-6174105</wp:posOffset>
            </wp:positionV>
            <wp:extent cx="68179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-5899785</wp:posOffset>
            </wp:positionV>
            <wp:extent cx="681799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-5590540</wp:posOffset>
            </wp:positionV>
            <wp:extent cx="681799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-5281930</wp:posOffset>
            </wp:positionV>
            <wp:extent cx="681799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-4647565</wp:posOffset>
            </wp:positionV>
            <wp:extent cx="681799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-4338955</wp:posOffset>
            </wp:positionV>
            <wp:extent cx="681799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-3695700</wp:posOffset>
            </wp:positionV>
            <wp:extent cx="68179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7995"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-3404235</wp:posOffset>
            </wp:positionV>
            <wp:extent cx="681799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-3094990</wp:posOffset>
            </wp:positionV>
            <wp:extent cx="681799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-2460625</wp:posOffset>
            </wp:positionV>
            <wp:extent cx="681799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-1851660</wp:posOffset>
            </wp:positionV>
            <wp:extent cx="681799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7995" cy="34290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-1371600</wp:posOffset>
            </wp:positionV>
            <wp:extent cx="681799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7995" cy="54864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-668020</wp:posOffset>
            </wp:positionV>
            <wp:extent cx="68179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7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-359410</wp:posOffset>
            </wp:positionV>
            <wp:extent cx="68179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7995" cy="16319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-2152015</wp:posOffset>
            </wp:positionV>
            <wp:extent cx="68179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7995" cy="16319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-2778125</wp:posOffset>
            </wp:positionV>
            <wp:extent cx="68179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7995" cy="16319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-4029710</wp:posOffset>
            </wp:positionV>
            <wp:extent cx="681799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7995" cy="18034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-4965065</wp:posOffset>
            </wp:positionV>
            <wp:extent cx="681799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7995" cy="163195"/>
                    </a:xfrm>
                    <a:prstGeom prst="rect">
                      <a:avLst/>
                    </a:prstGeom>
                    <a:noFill/>
                  </pic:spPr>
                </pic:pic>
              </a:graphicData>
            </a:graphic>
          </wp:anchor>
        </w:drawing>
      </w:r>
    </w:p>
    <w:p>
      <w:pPr>
        <w:spacing w:after="0" w:line="128" w:lineRule="exact"/>
        <w:rPr>
          <w:sz w:val="20"/>
          <w:szCs w:val="20"/>
          <w:color w:val="auto"/>
        </w:rPr>
      </w:pPr>
    </w:p>
    <w:p>
      <w:pPr>
        <w:ind w:left="246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June 30,</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hanging="1175"/>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162.1</w:t>
      </w:r>
    </w:p>
    <w:p>
      <w:pPr>
        <w:spacing w:after="0" w:line="59"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216.0</w:t>
      </w:r>
    </w:p>
    <w:p>
      <w:pPr>
        <w:spacing w:after="0" w:line="59"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18.5</w:t>
      </w:r>
    </w:p>
    <w:p>
      <w:pPr>
        <w:spacing w:after="0" w:line="59"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136.6</w:t>
      </w:r>
    </w:p>
    <w:p>
      <w:pPr>
        <w:spacing w:after="0" w:line="59"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48.4</w:t>
      </w:r>
    </w:p>
    <w:p>
      <w:pPr>
        <w:spacing w:after="0" w:line="7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581.7</w:t>
      </w:r>
    </w:p>
    <w:p>
      <w:pPr>
        <w:spacing w:after="0" w:line="7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249.7</w:t>
      </w:r>
    </w:p>
    <w:p>
      <w:pPr>
        <w:spacing w:after="0" w:line="59"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19.5</w:t>
      </w:r>
    </w:p>
    <w:p>
      <w:pPr>
        <w:spacing w:after="0" w:line="5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4.3</w:t>
      </w:r>
    </w:p>
    <w:p>
      <w:pPr>
        <w:spacing w:after="0" w:line="5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0.8</w:t>
      </w:r>
    </w:p>
    <w:p>
      <w:pPr>
        <w:spacing w:after="0" w:line="59"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-1077595</wp:posOffset>
            </wp:positionV>
            <wp:extent cx="1106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53" w:lineRule="exact"/>
        <w:rPr>
          <w:sz w:val="20"/>
          <w:szCs w:val="20"/>
          <w:color w:val="auto"/>
        </w:rPr>
      </w:pPr>
    </w:p>
    <w:p>
      <w:pPr>
        <w:ind w:left="1180" w:hanging="1175"/>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864.5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92.2</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104.5</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90.8</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6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5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290.8</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23.7</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147.1</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0.4</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462.0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941.1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90.7</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0.2</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(629.5)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6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53" w:lineRule="exact"/>
        <w:rPr>
          <w:sz w:val="20"/>
          <w:szCs w:val="20"/>
          <w:color w:val="auto"/>
        </w:rPr>
      </w:pPr>
    </w:p>
    <w:p>
      <w:pPr>
        <w:ind w:left="1180" w:hanging="1175"/>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864.5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45085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9240" w:space="100"/>
            <w:col w:w="1640"/>
          </w:cols>
          <w:pgMar w:left="240" w:top="643" w:right="6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40" w:top="643" w:right="67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9"/>
                <w:szCs w:val="19"/>
                <w:color w:val="auto"/>
              </w:rPr>
            </w:pPr>
          </w:p>
        </w:tc>
        <w:tc>
          <w:tcPr>
            <w:tcW w:w="27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760" w:type="dxa"/>
            <w:vAlign w:val="bottom"/>
          </w:tcPr>
          <w:p>
            <w:pPr>
              <w:ind w:left="34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381.1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221.3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538.7</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40"/>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466.3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262.9</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694.3</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193"/>
        </w:trPr>
        <w:tc>
          <w:tcPr>
            <w:tcW w:w="4760" w:type="dxa"/>
            <w:vAlign w:val="bottom"/>
          </w:tcPr>
          <w:p>
            <w:pPr>
              <w:ind w:left="6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Connected Fitness Products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40"/>
        </w:trPr>
        <w:tc>
          <w:tcPr>
            <w:tcW w:w="4760" w:type="dxa"/>
            <w:vAlign w:val="bottom"/>
          </w:tcPr>
          <w:p>
            <w:pPr>
              <w:ind w:left="340"/>
              <w:spacing w:after="0"/>
              <w:rPr>
                <w:sz w:val="20"/>
                <w:szCs w:val="20"/>
                <w:color w:val="auto"/>
              </w:rPr>
            </w:pPr>
            <w:r>
              <w:rPr>
                <w:rFonts w:ascii="Arial" w:cs="Arial" w:eastAsia="Arial" w:hAnsi="Arial"/>
                <w:sz w:val="16"/>
                <w:szCs w:val="16"/>
                <w:color w:val="auto"/>
              </w:rPr>
              <w:t>Subscription</w:t>
            </w:r>
          </w:p>
        </w:tc>
        <w:tc>
          <w:tcPr>
            <w:tcW w:w="1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151.5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302.2</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40"/>
        </w:trPr>
        <w:tc>
          <w:tcPr>
            <w:tcW w:w="476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167.3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414.6</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net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0"/>
        </w:trPr>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expense, net</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income, net</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c>
          <w:tcPr>
            <w:tcW w:w="14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0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Class A and Class B common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760" w:type="dxa"/>
            <w:vAlign w:val="bottom"/>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(4.83)</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(0.66)</w:t>
            </w:r>
          </w:p>
        </w:tc>
        <w:tc>
          <w:tcPr>
            <w:tcW w:w="18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6"/>
                <w:szCs w:val="16"/>
                <w:color w:val="auto"/>
              </w:rPr>
              <w:t>stockholders, basic and diluted</w:t>
            </w:r>
          </w:p>
        </w:tc>
        <w:tc>
          <w:tcPr>
            <w:tcW w:w="1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Class A and Class B common shares</w:t>
            </w:r>
          </w:p>
        </w:tc>
        <w:tc>
          <w:tcPr>
            <w:tcW w:w="1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279,974,823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21,780,927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159,214,343</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23,390,001</w:t>
            </w:r>
          </w:p>
        </w:tc>
        <w:tc>
          <w:tcPr>
            <w:tcW w:w="0" w:type="dxa"/>
            <w:vAlign w:val="bottom"/>
          </w:tcPr>
          <w:p>
            <w:pPr>
              <w:spacing w:after="0"/>
              <w:rPr>
                <w:sz w:val="1"/>
                <w:szCs w:val="1"/>
                <w:color w:val="auto"/>
              </w:rPr>
            </w:pPr>
          </w:p>
        </w:tc>
      </w:tr>
      <w:tr>
        <w:trPr>
          <w:trHeight w:val="20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unrealized gain (loss) on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 in foreign currency translation adjustment</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(54.4)</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57785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80"/>
          </w:cols>
          <w:pgMar w:left="580" w:top="118" w:right="5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Six Months Ended December 31,</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Amortization of premium from marketable securities</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Non-cash operating lease expense</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0"/>
        </w:trPr>
        <w:tc>
          <w:tcPr>
            <w:tcW w:w="7020" w:type="dxa"/>
            <w:vAlign w:val="bottom"/>
          </w:tcPr>
          <w:p>
            <w:pPr>
              <w:ind w:left="740"/>
              <w:spacing w:after="0"/>
              <w:rPr>
                <w:sz w:val="20"/>
                <w:szCs w:val="20"/>
                <w:color w:val="auto"/>
              </w:rPr>
            </w:pPr>
            <w:r>
              <w:rPr>
                <w:rFonts w:ascii="Arial" w:cs="Arial" w:eastAsia="Arial" w:hAnsi="Arial"/>
                <w:sz w:val="18"/>
                <w:szCs w:val="18"/>
                <w:color w:val="auto"/>
              </w:rPr>
              <w:t>Customer deposits and deferred revenue</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Operating lease liabilities, net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20"/>
              <w:spacing w:after="0"/>
              <w:rPr>
                <w:sz w:val="20"/>
                <w:szCs w:val="20"/>
                <w:color w:val="auto"/>
              </w:rPr>
            </w:pPr>
            <w:r>
              <w:rPr>
                <w:rFonts w:ascii="Arial" w:cs="Arial" w:eastAsia="Arial" w:hAnsi="Arial"/>
                <w:sz w:val="18"/>
                <w:szCs w:val="18"/>
                <w:color w:val="auto"/>
              </w:rPr>
              <w:t>Maturities of marketable securities</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of marketable securities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20"/>
              <w:spacing w:after="0"/>
              <w:rPr>
                <w:sz w:val="20"/>
                <w:szCs w:val="20"/>
                <w:color w:val="auto"/>
              </w:rPr>
            </w:pPr>
            <w:r>
              <w:rPr>
                <w:rFonts w:ascii="Arial" w:cs="Arial" w:eastAsia="Arial" w:hAnsi="Arial"/>
                <w:sz w:val="18"/>
                <w:szCs w:val="18"/>
                <w:color w:val="auto"/>
              </w:rPr>
              <w:t>Proceeds from issuance of common stock upon initial public offering, net of</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20" w:type="dxa"/>
            <w:vAlign w:val="bottom"/>
          </w:tcPr>
          <w:p>
            <w:pPr>
              <w:ind w:left="320"/>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 of common and convertible preferred stock, including issuance costs</w:t>
            </w:r>
          </w:p>
        </w:tc>
        <w:tc>
          <w:tcPr>
            <w:tcW w:w="2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9"/>
        </w:trPr>
        <w:tc>
          <w:tcPr>
            <w:tcW w:w="7020" w:type="dxa"/>
            <w:vAlign w:val="bottom"/>
          </w:tcPr>
          <w:p>
            <w:pPr>
              <w:ind w:left="320"/>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20" w:type="dxa"/>
            <w:vAlign w:val="bottom"/>
          </w:tcPr>
          <w:p>
            <w:pPr>
              <w:ind w:left="320"/>
              <w:spacing w:after="0"/>
              <w:rPr>
                <w:sz w:val="20"/>
                <w:szCs w:val="20"/>
                <w:color w:val="auto"/>
              </w:rPr>
            </w:pPr>
            <w:r>
              <w:rPr>
                <w:rFonts w:ascii="Arial" w:cs="Arial" w:eastAsia="Arial" w:hAnsi="Arial"/>
                <w:sz w:val="18"/>
                <w:szCs w:val="18"/>
                <w:color w:val="auto"/>
              </w:rPr>
              <w:t>issuance costs</w:t>
            </w:r>
          </w:p>
        </w:tc>
        <w:tc>
          <w:tcPr>
            <w:tcW w:w="2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 withholdings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1,201.9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8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Non-Cash Investing and Financing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Conversion of convertible preferred stock to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020" w:type="dxa"/>
            <w:vAlign w:val="bottom"/>
          </w:tcPr>
          <w:p>
            <w:pPr>
              <w:ind w:left="320"/>
              <w:spacing w:after="0"/>
              <w:rPr>
                <w:sz w:val="20"/>
                <w:szCs w:val="20"/>
                <w:color w:val="auto"/>
              </w:rPr>
            </w:pPr>
            <w:r>
              <w:rPr>
                <w:rFonts w:ascii="Arial" w:cs="Arial" w:eastAsia="Arial" w:hAnsi="Arial"/>
                <w:sz w:val="18"/>
                <w:szCs w:val="18"/>
                <w:color w:val="auto"/>
              </w:rPr>
              <w:t>Property and equipment accrued but unpaid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Building - build-to-suit asset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020" w:type="dxa"/>
            <w:vAlign w:val="bottom"/>
          </w:tcPr>
          <w:p>
            <w:pPr>
              <w:ind w:left="320"/>
              <w:spacing w:after="0"/>
              <w:rPr>
                <w:sz w:val="20"/>
                <w:szCs w:val="20"/>
                <w:color w:val="auto"/>
              </w:rPr>
            </w:pPr>
            <w:r>
              <w:rPr>
                <w:rFonts w:ascii="Arial" w:cs="Arial" w:eastAsia="Arial" w:hAnsi="Arial"/>
                <w:sz w:val="18"/>
                <w:szCs w:val="18"/>
                <w:color w:val="auto"/>
              </w:rPr>
              <w:t>Stock-based compensation capitalized for software development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ectPr>
          <w:pgSz w:w="11900" w:h="16838" w:orient="portrait"/>
          <w:cols w:equalWidth="0" w:num="1">
            <w:col w:w="10620"/>
          </w:cols>
          <w:pgMar w:left="580" w:top="118" w:right="6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57785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580" w:top="118" w:right="699" w:bottom="1440" w:gutter="0" w:footer="0" w:header="0"/>
          <w:type w:val="continuous"/>
        </w:sectPr>
      </w:pPr>
    </w:p>
    <w:bookmarkStart w:id="6" w:name="page7"/>
    <w:bookmarkEnd w:id="6"/>
    <w:p>
      <w:pPr>
        <w:jc w:val="center"/>
        <w:ind w:right="16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Redeemable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82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Convertible</w:t>
            </w:r>
          </w:p>
        </w:tc>
        <w:tc>
          <w:tcPr>
            <w:tcW w:w="180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7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5"/>
                <w:szCs w:val="5"/>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line="147" w:lineRule="exact"/>
              <w:rPr>
                <w:sz w:val="20"/>
                <w:szCs w:val="20"/>
                <w:color w:val="auto"/>
              </w:rPr>
            </w:pPr>
            <w:r>
              <w:rPr>
                <w:rFonts w:ascii="Arial" w:cs="Arial" w:eastAsia="Arial" w:hAnsi="Arial"/>
                <w:sz w:val="16"/>
                <w:szCs w:val="16"/>
                <w:b w:val="1"/>
                <w:bCs w:val="1"/>
                <w:color w:val="auto"/>
              </w:rPr>
              <w:t>Paid-In</w:t>
            </w:r>
          </w:p>
        </w:tc>
        <w:tc>
          <w:tcPr>
            <w:tcW w:w="1320" w:type="dxa"/>
            <w:vAlign w:val="bottom"/>
            <w:gridSpan w:val="3"/>
          </w:tcPr>
          <w:p>
            <w:pPr>
              <w:ind w:left="20"/>
              <w:spacing w:after="0" w:line="147" w:lineRule="exact"/>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ind w:left="20"/>
              <w:spacing w:after="0" w:line="147"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tcPr>
          <w:p>
            <w:pPr>
              <w:jc w:val="center"/>
              <w:ind w:right="119"/>
              <w:spacing w:after="0" w:line="147"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30, 2018</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214.4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945.4</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18"/>
        </w:trPr>
        <w:tc>
          <w:tcPr>
            <w:tcW w:w="2740" w:type="dxa"/>
            <w:vAlign w:val="bottom"/>
          </w:tcPr>
          <w:p>
            <w:pPr>
              <w:ind w:left="200"/>
              <w:spacing w:after="0"/>
              <w:rPr>
                <w:sz w:val="20"/>
                <w:szCs w:val="20"/>
                <w:color w:val="auto"/>
              </w:rPr>
            </w:pPr>
            <w:r>
              <w:rPr>
                <w:rFonts w:ascii="Arial" w:cs="Arial" w:eastAsia="Arial" w:hAnsi="Arial"/>
                <w:sz w:val="16"/>
                <w:szCs w:val="16"/>
                <w:color w:val="auto"/>
              </w:rPr>
              <w:t>Repurchase of common and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200"/>
              <w:spacing w:after="0"/>
              <w:rPr>
                <w:sz w:val="20"/>
                <w:szCs w:val="20"/>
                <w:color w:val="auto"/>
              </w:rPr>
            </w:pPr>
            <w:r>
              <w:rPr>
                <w:rFonts w:ascii="Arial" w:cs="Arial" w:eastAsia="Arial" w:hAnsi="Arial"/>
                <w:sz w:val="16"/>
                <w:szCs w:val="16"/>
                <w:color w:val="auto"/>
              </w:rPr>
              <w:t>redeemable preferred stock</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8"/>
        </w:trPr>
        <w:tc>
          <w:tcPr>
            <w:tcW w:w="27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200"/>
              <w:spacing w:after="0"/>
              <w:rPr>
                <w:sz w:val="20"/>
                <w:szCs w:val="20"/>
                <w:color w:val="auto"/>
              </w:rPr>
            </w:pPr>
            <w:r>
              <w:rPr>
                <w:rFonts w:ascii="Arial" w:cs="Arial" w:eastAsia="Arial" w:hAnsi="Arial"/>
                <w:sz w:val="16"/>
                <w:szCs w:val="16"/>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6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2018</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30, 2019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280.3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2,249.1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1,576.0</w:t>
            </w:r>
          </w:p>
        </w:tc>
        <w:tc>
          <w:tcPr>
            <w:tcW w:w="0" w:type="dxa"/>
            <w:vAlign w:val="bottom"/>
          </w:tcPr>
          <w:p>
            <w:pPr>
              <w:spacing w:after="0"/>
              <w:rPr>
                <w:sz w:val="1"/>
                <w:szCs w:val="1"/>
                <w:color w:val="auto"/>
              </w:rPr>
            </w:pPr>
          </w:p>
        </w:tc>
      </w:tr>
      <w:tr>
        <w:trPr>
          <w:trHeight w:val="233"/>
        </w:trPr>
        <w:tc>
          <w:tcPr>
            <w:tcW w:w="274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3"/>
        </w:trPr>
        <w:tc>
          <w:tcPr>
            <w:tcW w:w="274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6"/>
                <w:szCs w:val="16"/>
                <w:color w:val="auto"/>
              </w:rPr>
              <w:t>Balance – December 31, 2019</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280.6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2,269.3</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(727.4)</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1,545.2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57785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00"/>
          </w:cols>
          <w:pgMar w:left="580" w:top="118" w:right="419" w:bottom="1440" w:gutter="0" w:footer="0" w:header="0"/>
        </w:sectPr>
      </w:pPr>
    </w:p>
    <w:bookmarkStart w:id="7" w:name="page8"/>
    <w:bookmarkEnd w:id="7"/>
    <w:p>
      <w:pPr>
        <w:jc w:val="center"/>
        <w:ind w:right="16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Redeemable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82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Convertible</w:t>
            </w:r>
          </w:p>
        </w:tc>
        <w:tc>
          <w:tcPr>
            <w:tcW w:w="180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0"/>
                <w:szCs w:val="10"/>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7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5"/>
                <w:szCs w:val="5"/>
                <w:color w:val="auto"/>
              </w:rPr>
            </w:pPr>
          </w:p>
        </w:tc>
        <w:tc>
          <w:tcPr>
            <w:tcW w:w="170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line="147"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tcPr>
          <w:p>
            <w:pPr>
              <w:ind w:left="20"/>
              <w:spacing w:after="0" w:line="147" w:lineRule="exact"/>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tcPr>
          <w:p>
            <w:pPr>
              <w:ind w:left="20"/>
              <w:spacing w:after="0" w:line="147"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tcPr>
          <w:p>
            <w:pPr>
              <w:jc w:val="center"/>
              <w:ind w:right="119"/>
              <w:spacing w:after="0" w:line="147"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2018</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406.3</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Issuance of Series F redeemable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convertible preferred stock, net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539.1</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common and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6"/>
                <w:szCs w:val="16"/>
                <w:color w:val="auto"/>
              </w:rPr>
              <w:t>Balance – December 31, 2018</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(543.5)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20"/>
              <w:spacing w:after="0"/>
              <w:rPr>
                <w:sz w:val="20"/>
                <w:szCs w:val="20"/>
                <w:color w:val="auto"/>
              </w:rPr>
            </w:pPr>
            <w:r>
              <w:rPr>
                <w:rFonts w:ascii="Arial" w:cs="Arial" w:eastAsia="Arial" w:hAnsi="Arial"/>
                <w:sz w:val="16"/>
                <w:szCs w:val="16"/>
                <w:color w:val="auto"/>
              </w:rPr>
              <w:t>Balance – June 30, 2019</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(629.5)</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Initial public offering, net of</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1,195.7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costs of $6.3 million</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Conversion of redeemable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6"/>
                <w:szCs w:val="16"/>
                <w:color w:val="auto"/>
              </w:rPr>
              <w:t>convertible preferred stock to</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941.1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53"/>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Exercise of stock warrants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33"/>
        </w:trPr>
        <w:tc>
          <w:tcPr>
            <w:tcW w:w="270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3"/>
        </w:trPr>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8"/>
        </w:trPr>
        <w:tc>
          <w:tcPr>
            <w:tcW w:w="2700" w:type="dxa"/>
            <w:vAlign w:val="bottom"/>
          </w:tcPr>
          <w:p>
            <w:pPr>
              <w:ind w:left="200"/>
              <w:spacing w:after="0"/>
              <w:rPr>
                <w:sz w:val="20"/>
                <w:szCs w:val="20"/>
                <w:color w:val="auto"/>
              </w:rPr>
            </w:pPr>
            <w:r>
              <w:rPr>
                <w:rFonts w:ascii="Arial" w:cs="Arial" w:eastAsia="Arial" w:hAnsi="Arial"/>
                <w:sz w:val="16"/>
                <w:szCs w:val="16"/>
                <w:color w:val="auto"/>
              </w:rPr>
              <w:t>Cumulative effect adjustment in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6"/>
                <w:szCs w:val="16"/>
                <w:color w:val="auto"/>
              </w:rPr>
              <w:t>connection with adoption of ASU</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2016-02</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280.6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1,545.2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57785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00"/>
          </w:cols>
          <w:pgMar w:left="580" w:top="118"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0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organizes its business into the following three reportable segments: Connected Fitness Products, Subscription and Other. See Note 15 of the notes to the condensed consolidated financial statements in Part I, Item 1 of this Quarterly Report on Form 10-Q for further discussion of the Company's segment reporting structure.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Initial Public Offering and Concurrent Private Placement</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September 2019, the Company closed its initial public offering ("IPO") and a concurrent private placement, in which it issued and sold 43,448,275 shares of its Class A common stock. The price per share to the public in the IPO and in the concurrent private placement was $29.00 per share. The Company received aggregate proceeds of $1.2 billion from the IPO and the concurrent private placement, net of the underwriting discount and before deducting offering costs of approximately $6.3 million. Prior to the closing of the IPO, all shares of the Company's common stock then outstanding were reclassified into 25,301,604 shares of Class B common stock, and upon the closing of the IPO, all shares of the Company's then outstanding preferred stock automatically converted into 210,640,629 shares of Class B common stock on a one-to-one basis.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final prospectus dated September 25, 2019 and filed with the SEC pursuant to Rule 424(b) under the Securities Act of 1933, as amended, (the "Securities Act"), on September 26, 2019 (the "Prospectus"). However, the Company believes that the disclosures provided herein are adequate to prevent the information presented from being misleading.</w:t>
      </w:r>
    </w:p>
    <w:p>
      <w:pPr>
        <w:spacing w:after="0" w:line="209"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wholly-owned subsidiaries. All significant intercompany balances and transactions have been eliminated in consolidation.</w:t>
      </w:r>
    </w:p>
    <w:p>
      <w:pPr>
        <w:spacing w:after="0" w:line="223"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condensed consolidated balance sheet as of June 30, 2019, included herein, was derived from the audited financial statements as of that date, but does not include all disclosures including certain notes required by GAAP on an annual reporting basis.</w:t>
      </w:r>
    </w:p>
    <w:p>
      <w:pPr>
        <w:spacing w:after="0" w:line="22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December 31, 2019 are not necessarily indicative of the results to be expected for any subsequent quarter, the fiscal year ending June 30, 2020, or any other period.</w:t>
      </w:r>
    </w:p>
    <w:p>
      <w:pPr>
        <w:spacing w:after="0" w:line="23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6" w:lineRule="exact"/>
        <w:rPr>
          <w:sz w:val="20"/>
          <w:szCs w:val="20"/>
          <w:color w:val="auto"/>
        </w:rPr>
      </w:pPr>
    </w:p>
    <w:p>
      <w:pPr>
        <w:ind w:left="340" w:right="200"/>
        <w:spacing w:after="0" w:line="237" w:lineRule="auto"/>
        <w:rPr>
          <w:sz w:val="20"/>
          <w:szCs w:val="20"/>
          <w:color w:val="auto"/>
        </w:rPr>
      </w:pPr>
      <w:r>
        <w:rPr>
          <w:rFonts w:ascii="Arial" w:cs="Arial" w:eastAsia="Arial" w:hAnsi="Arial"/>
          <w:sz w:val="16"/>
          <w:szCs w:val="16"/>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elsewhere in the Prospectus.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66" w:lineRule="exact"/>
        <w:rPr>
          <w:sz w:val="20"/>
          <w:szCs w:val="20"/>
          <w:color w:val="auto"/>
        </w:rPr>
      </w:pPr>
    </w:p>
    <w:p>
      <w:pPr>
        <w:jc w:val="both"/>
        <w:ind w:left="340" w:right="160"/>
        <w:spacing w:after="0" w:line="248"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 related reserves, content costs for past use reserve, fair value measurements, the fair values of assets acquired and liabilities assumed in business combinations, the incremental borrowing rate associated with lease liabilities, useful lives of property and equipment as well as intangible assets,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6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In August 2019, the Board of Directors adopted the 2019 Employee Stock Purchase Plan ("ESPP"), which was subsequently approved by the Company’s stockholders in September 2019. The Company recognizes stock-based compensation expenses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2016-02</w:t>
      </w:r>
    </w:p>
    <w:p>
      <w:pPr>
        <w:spacing w:after="0" w:line="21" w:lineRule="exact"/>
        <w:rPr>
          <w:sz w:val="20"/>
          <w:szCs w:val="20"/>
          <w:color w:val="auto"/>
        </w:rPr>
      </w:pPr>
    </w:p>
    <w:p>
      <w:pPr>
        <w:jc w:val="both"/>
        <w:ind w:left="340" w:right="160"/>
        <w:spacing w:after="0" w:line="248"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introduced and codified new lease accounting guidance under ASC 842.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The Company adopted this ASU and related amendments as of July 1, 2019 under the modified retrospective approach, whereby all prior periods continue to be reported under previous lease accounting guidance. The Company elected the package of practical expedients and, as permitted, the Company did not assess whether existing contracts are or contain leases, the lease classification for any existing leases, and identification of initial direct costs for any existing leases. Adoption of the new standard resulted in the recognition of right-of-use assets and operating lease liabilities on the Company's condensed consolidated balance sheet. In addition, the Company de-recognized a build-to-suit arrangement in accordance with the transition requirements, which resulted in an adjustment to retained earnings. The standard did not materially impact the Company's condensed consolidated statements of operations. See Note 8 for further discussion of the Company's accounting for leases under ASC 842.</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2018-07</w:t>
      </w:r>
    </w:p>
    <w:p>
      <w:pPr>
        <w:spacing w:after="0" w:line="21" w:lineRule="exact"/>
        <w:rPr>
          <w:sz w:val="20"/>
          <w:szCs w:val="20"/>
          <w:color w:val="auto"/>
        </w:rPr>
      </w:pPr>
    </w:p>
    <w:p>
      <w:pPr>
        <w:jc w:val="both"/>
        <w:ind w:left="340" w:right="160"/>
        <w:spacing w:after="0" w:line="251" w:lineRule="auto"/>
        <w:rPr>
          <w:sz w:val="20"/>
          <w:szCs w:val="20"/>
          <w:color w:val="auto"/>
        </w:rPr>
      </w:pPr>
      <w:r>
        <w:rPr>
          <w:rFonts w:ascii="Arial" w:cs="Arial" w:eastAsia="Arial" w:hAnsi="Arial"/>
          <w:sz w:val="16"/>
          <w:szCs w:val="16"/>
          <w:color w:val="auto"/>
        </w:rPr>
        <w:t xml:space="preserve">In June 2018, the FASB issued ASU 2018-07 to expand the scope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The pronouncement is effective for fiscal years, and for interim periods within those fiscal years, beginning after December 15, 2018, with early adoption permitted. The Company adopted this ASU on July 1, 2019. The standard did not materially impact the Company's condensed consolidated statements of operations.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ASU 2016-13</w:t>
      </w:r>
    </w:p>
    <w:p>
      <w:pPr>
        <w:spacing w:after="0" w:line="21" w:lineRule="exact"/>
        <w:rPr>
          <w:sz w:val="20"/>
          <w:szCs w:val="20"/>
          <w:color w:val="auto"/>
        </w:rPr>
      </w:pPr>
    </w:p>
    <w:p>
      <w:pPr>
        <w:jc w:val="both"/>
        <w:ind w:left="340" w:right="16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expects to adopt this standard on July 1, 2020. The Company is currently evaluating the potential impact of adopting this new accounting guidance on its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 w:name="page11"/>
    <w:bookmarkEnd w:id="10"/>
    <w:p>
      <w:pPr>
        <w:jc w:val="both"/>
        <w:spacing w:after="0" w:line="249"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The Company estimates its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Products include the Company’s Bike and Tread, related accessories, associated fees for delivery and installation,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selling and marketing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are recorded as a reduction to subscription revenue. The Company terminated both programs in July 2018.</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Amounts paid for subscription fees are included within customer deposits and deferred revenue and recognized ratably on a month-to-month basis. The Company records payment processing fees for its monthly subscription charges within cost of revenue.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both in-house and by contract manufacturers, and in certain cases, the Company may have recourse to such contract manufacturers.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consolidated statement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15 under the heading "Segment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based on ship-to address, were as follows:</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57785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628" w:right="239" w:bottom="1440" w:gutter="0" w:footer="0" w:header="0"/>
        </w:sectPr>
      </w:pPr>
    </w:p>
    <w:bookmarkStart w:id="11" w:name="page12"/>
    <w:bookmarkEnd w:id="11"/>
    <w:tbl>
      <w:tblPr>
        <w:tblLayout w:type="fixed"/>
        <w:tblInd w:w="34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33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December 31,</w:t>
            </w:r>
          </w:p>
        </w:tc>
        <w:tc>
          <w:tcPr>
            <w:tcW w:w="220" w:type="dxa"/>
            <w:vAlign w:val="bottom"/>
          </w:tcPr>
          <w:p>
            <w:pPr>
              <w:spacing w:after="0"/>
              <w:rPr>
                <w:sz w:val="19"/>
                <w:szCs w:val="19"/>
                <w:color w:val="auto"/>
              </w:rPr>
            </w:pPr>
          </w:p>
        </w:tc>
        <w:tc>
          <w:tcPr>
            <w:tcW w:w="29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33"/>
        </w:trPr>
        <w:tc>
          <w:tcPr>
            <w:tcW w:w="3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5"/>
          </w:tcPr>
          <w:p>
            <w:pPr>
              <w:ind w:left="82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370.6</w:t>
            </w:r>
          </w:p>
        </w:tc>
      </w:tr>
      <w:tr>
        <w:trPr>
          <w:trHeight w:val="243"/>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International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r>
      <w:tr>
        <w:trPr>
          <w:trHeight w:val="262"/>
        </w:trPr>
        <w:tc>
          <w:tcPr>
            <w:tcW w:w="3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694.3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375.0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_________________________</w:t>
      </w:r>
    </w:p>
    <w:p>
      <w:pPr>
        <w:spacing w:after="0" w:line="71"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Consists of United States and Canada.</w:t>
      </w:r>
    </w:p>
    <w:p>
      <w:pPr>
        <w:spacing w:after="0" w:line="53" w:lineRule="exact"/>
        <w:rPr>
          <w:rFonts w:ascii="Arial" w:cs="Arial" w:eastAsia="Arial" w:hAnsi="Arial"/>
          <w:sz w:val="13"/>
          <w:szCs w:val="13"/>
          <w:color w:val="auto"/>
        </w:rPr>
      </w:pPr>
    </w:p>
    <w:p>
      <w:pPr>
        <w:ind w:left="680" w:hanging="186"/>
        <w:spacing w:after="0"/>
        <w:tabs>
          <w:tab w:leader="none" w:pos="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Consists of United Kingdom and Germany.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228"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As of December 31, 2019 and June 30, 2019, customer deposits of $146.7 million and $81.3 million, respectively, and deferred revenue of $12.9 million and $9.5 million, respectively, were included in customer deposits and deferred revenue on the Company's condensed consolidated balance sheet.</w:t>
      </w:r>
    </w:p>
    <w:p>
      <w:pPr>
        <w:spacing w:after="0" w:line="223"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the six months ended December 31, 2019, the Company recognized $9.5 million of revenue that was included in the deferred revenue balance as of June 30,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spacing w:after="0"/>
              <w:rPr>
                <w:sz w:val="20"/>
                <w:szCs w:val="20"/>
                <w:color w:val="auto"/>
              </w:rPr>
            </w:pPr>
            <w:r>
              <w:rPr>
                <w:rFonts w:ascii="Arial" w:cs="Arial" w:eastAsia="Arial" w:hAnsi="Arial"/>
                <w:sz w:val="16"/>
                <w:szCs w:val="16"/>
                <w:b w:val="1"/>
                <w:bCs w:val="1"/>
                <w:color w:val="auto"/>
              </w:rPr>
              <w:t>4. Investments in Marketable Securities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05"/>
        </w:trPr>
        <w:tc>
          <w:tcPr>
            <w:tcW w:w="340" w:type="dxa"/>
            <w:vAlign w:val="bottom"/>
          </w:tcPr>
          <w:p>
            <w:pPr>
              <w:spacing w:after="0"/>
              <w:rPr>
                <w:sz w:val="24"/>
                <w:szCs w:val="24"/>
                <w:color w:val="auto"/>
              </w:rPr>
            </w:pPr>
          </w:p>
        </w:tc>
        <w:tc>
          <w:tcPr>
            <w:tcW w:w="6800" w:type="dxa"/>
            <w:vAlign w:val="bottom"/>
            <w:gridSpan w:val="4"/>
          </w:tcPr>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3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Amortized</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Gains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Fair Value</w:t>
            </w:r>
          </w:p>
        </w:tc>
      </w:tr>
      <w:tr>
        <w:trPr>
          <w:trHeight w:val="233"/>
        </w:trPr>
        <w:tc>
          <w:tcPr>
            <w:tcW w:w="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340" w:type="dxa"/>
            <w:vAlign w:val="bottom"/>
          </w:tcPr>
          <w:p>
            <w:pPr>
              <w:spacing w:after="0"/>
              <w:rPr>
                <w:sz w:val="21"/>
                <w:szCs w:val="21"/>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449.1</w:t>
            </w:r>
          </w:p>
        </w:tc>
      </w:tr>
      <w:tr>
        <w:trPr>
          <w:trHeight w:val="233"/>
        </w:trPr>
        <w:tc>
          <w:tcPr>
            <w:tcW w:w="34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265.4</w:t>
            </w:r>
          </w:p>
        </w:tc>
      </w:tr>
      <w:tr>
        <w:trPr>
          <w:trHeight w:val="253"/>
        </w:trPr>
        <w:tc>
          <w:tcPr>
            <w:tcW w:w="340" w:type="dxa"/>
            <w:vAlign w:val="bottom"/>
          </w:tcPr>
          <w:p>
            <w:pPr>
              <w:spacing w:after="0"/>
              <w:rPr>
                <w:sz w:val="21"/>
                <w:szCs w:val="21"/>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r>
      <w:tr>
        <w:trPr>
          <w:trHeight w:val="233"/>
        </w:trPr>
        <w:tc>
          <w:tcPr>
            <w:tcW w:w="34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109.9</w:t>
            </w:r>
          </w:p>
        </w:tc>
      </w:tr>
      <w:tr>
        <w:trPr>
          <w:trHeight w:val="246"/>
        </w:trPr>
        <w:tc>
          <w:tcPr>
            <w:tcW w:w="340" w:type="dxa"/>
            <w:vAlign w:val="bottom"/>
          </w:tcPr>
          <w:p>
            <w:pPr>
              <w:spacing w:after="0"/>
              <w:rPr>
                <w:sz w:val="21"/>
                <w:szCs w:val="21"/>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Certificate of deposits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r>
      <w:tr>
        <w:trPr>
          <w:trHeight w:val="237"/>
        </w:trPr>
        <w:tc>
          <w:tcPr>
            <w:tcW w:w="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992.7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992.7</w:t>
            </w:r>
          </w:p>
        </w:tc>
      </w:tr>
      <w:tr>
        <w:trPr>
          <w:trHeight w:val="21"/>
        </w:trPr>
        <w:tc>
          <w:tcPr>
            <w:tcW w:w="340" w:type="dxa"/>
            <w:vAlign w:val="bottom"/>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340" w:type="dxa"/>
            <w:vAlign w:val="bottom"/>
          </w:tcPr>
          <w:p>
            <w:pPr>
              <w:spacing w:after="0"/>
              <w:rPr>
                <w:sz w:val="21"/>
                <w:szCs w:val="21"/>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38.4</w:t>
            </w:r>
          </w:p>
        </w:tc>
      </w:tr>
      <w:tr>
        <w:trPr>
          <w:trHeight w:val="237"/>
        </w:trPr>
        <w:tc>
          <w:tcPr>
            <w:tcW w:w="34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6"/>
                <w:szCs w:val="16"/>
                <w:color w:val="auto"/>
              </w:rPr>
              <w:t>Total marketable securities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954.3</w:t>
            </w:r>
          </w:p>
        </w:tc>
      </w:tr>
      <w:tr>
        <w:trPr>
          <w:trHeight w:val="21"/>
        </w:trPr>
        <w:tc>
          <w:tcPr>
            <w:tcW w:w="3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left="500" w:right="120" w:hanging="6"/>
        <w:spacing w:after="0"/>
        <w:tabs>
          <w:tab w:leader="none" w:pos="689" w:val="left"/>
        </w:tabs>
        <w:numPr>
          <w:ilvl w:val="1"/>
          <w:numId w:val="9"/>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cash, cash equivalents, and marketable securities with use restrictions of less than twelve months as "Prepaid expenses and other assets" and of twelve months or longer as non-current "Other assets" on its condensed consolidated balance sheets.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14" w:lineRule="exact"/>
        <w:rPr>
          <w:rFonts w:ascii="Arial" w:cs="Arial" w:eastAsia="Arial" w:hAnsi="Arial"/>
          <w:sz w:val="13"/>
          <w:szCs w:val="13"/>
          <w:color w:val="auto"/>
        </w:rPr>
      </w:pPr>
    </w:p>
    <w:p>
      <w:pPr>
        <w:ind w:left="180" w:hanging="172"/>
        <w:spacing w:after="0"/>
        <w:tabs>
          <w:tab w:leader="none" w:pos="1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41"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ectPr>
          <w:pgSz w:w="11900" w:h="16838" w:orient="portrait"/>
          <w:cols w:equalWidth="0" w:num="1">
            <w:col w:w="11420"/>
          </w:cols>
          <w:pgMar w:left="240" w:top="6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type w:val="continuous"/>
        </w:sectPr>
      </w:pPr>
    </w:p>
    <w:bookmarkStart w:id="12" w:name="page13"/>
    <w:bookmarkEnd w:id="12"/>
    <w:tbl>
      <w:tblPr>
        <w:tblLayout w:type="fixed"/>
        <w:tblInd w:w="34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As of December 31, 2019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7"/>
        </w:trPr>
        <w:tc>
          <w:tcPr>
            <w:tcW w:w="5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80" w:type="dxa"/>
            <w:vAlign w:val="bottom"/>
            <w:gridSpan w:val="5"/>
            <w:shd w:val="clear" w:color="auto" w:fill="CCEEFF"/>
          </w:tcPr>
          <w:p>
            <w:pPr>
              <w:ind w:left="6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4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 bonds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449.1</w:t>
            </w:r>
          </w:p>
        </w:tc>
      </w:tr>
      <w:tr>
        <w:trPr>
          <w:trHeight w:val="233"/>
        </w:trPr>
        <w:tc>
          <w:tcPr>
            <w:tcW w:w="5440" w:type="dxa"/>
            <w:vAlign w:val="bottom"/>
          </w:tcPr>
          <w:p>
            <w:pPr>
              <w:ind w:left="200"/>
              <w:spacing w:after="0"/>
              <w:rPr>
                <w:sz w:val="20"/>
                <w:szCs w:val="20"/>
                <w:color w:val="auto"/>
              </w:rPr>
            </w:pPr>
            <w:r>
              <w:rPr>
                <w:rFonts w:ascii="Arial" w:cs="Arial" w:eastAsia="Arial" w:hAnsi="Arial"/>
                <w:sz w:val="16"/>
                <w:szCs w:val="16"/>
                <w:color w:val="auto"/>
              </w:rPr>
              <w:t>U.S. treasury securities</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265.4</w:t>
            </w:r>
          </w:p>
        </w:tc>
      </w:tr>
      <w:tr>
        <w:trPr>
          <w:trHeight w:val="253"/>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r>
      <w:tr>
        <w:trPr>
          <w:trHeight w:val="233"/>
        </w:trPr>
        <w:tc>
          <w:tcPr>
            <w:tcW w:w="5440" w:type="dxa"/>
            <w:vAlign w:val="bottom"/>
          </w:tcPr>
          <w:p>
            <w:pPr>
              <w:ind w:left="20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109.9</w:t>
            </w:r>
          </w:p>
        </w:tc>
      </w:tr>
      <w:tr>
        <w:trPr>
          <w:trHeight w:val="253"/>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6"/>
        </w:trPr>
        <w:tc>
          <w:tcPr>
            <w:tcW w:w="5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Cost-method investments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r>
      <w:tr>
        <w:trPr>
          <w:trHeight w:val="243"/>
        </w:trPr>
        <w:tc>
          <w:tcPr>
            <w:tcW w:w="5440" w:type="dxa"/>
            <w:vAlign w:val="bottom"/>
          </w:tcPr>
          <w:p>
            <w:pPr>
              <w:ind w:left="42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1,005.7</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1,006.4</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3"/>
        </w:trPr>
        <w:tc>
          <w:tcPr>
            <w:tcW w:w="5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Contingent consideration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(1) Included in cash and cash equivalents.</w:t>
      </w:r>
    </w:p>
    <w:p>
      <w:pPr>
        <w:spacing w:after="0" w:line="250"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condensed consolidated balance sheets. The Company’s investments classified as Level 1 are based on quoted prices that are available in active markets.</w:t>
      </w:r>
    </w:p>
    <w:p>
      <w:pPr>
        <w:spacing w:after="0" w:line="20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 recent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costs in the unaudited condensed consolidated statement of operations and comprehensive loss. See Note 7 for further discussion of the Company's accounting for the contingent consideration.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702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69"/>
        </w:trPr>
        <w:tc>
          <w:tcPr>
            <w:tcW w:w="7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24"/>
                <w:szCs w:val="24"/>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33"/>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20"/>
                <w:szCs w:val="20"/>
                <w:color w:val="auto"/>
              </w:rPr>
            </w:pPr>
          </w:p>
        </w:tc>
      </w:tr>
      <w:tr>
        <w:trPr>
          <w:trHeight w:val="25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152.0</w:t>
            </w: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4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152.0</w:t>
            </w:r>
          </w:p>
        </w:tc>
      </w:tr>
      <w:tr>
        <w:trPr>
          <w:trHeight w:val="24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43"/>
        </w:trPr>
        <w:tc>
          <w:tcPr>
            <w:tcW w:w="7020" w:type="dxa"/>
            <w:vAlign w:val="bottom"/>
          </w:tcPr>
          <w:p>
            <w:pPr>
              <w:ind w:left="200"/>
              <w:spacing w:after="0"/>
              <w:rPr>
                <w:sz w:val="20"/>
                <w:szCs w:val="20"/>
                <w:color w:val="auto"/>
              </w:rPr>
            </w:pPr>
            <w:r>
              <w:rPr>
                <w:rFonts w:ascii="Arial" w:cs="Arial" w:eastAsia="Arial" w:hAnsi="Arial"/>
                <w:sz w:val="16"/>
                <w:szCs w:val="16"/>
                <w:color w:val="auto"/>
              </w:rPr>
              <w:t>Total inventories,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136.6</w:t>
            </w:r>
          </w:p>
        </w:tc>
      </w:tr>
      <w:tr>
        <w:trPr>
          <w:trHeight w:val="21"/>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 of Tonic Fitness Technology</w:t>
      </w:r>
    </w:p>
    <w:p>
      <w:pPr>
        <w:spacing w:after="0" w:line="26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October 2019, the Company completed its previously announced acquisition of Tonic Fitness Technology ("Tonic"), a manufacturing company located in Taiwan, for a purchase price of approximately $45.2 million, net of cash acquired, which was paid in cash. On the acquisition date, Tonic became a wholly-owned subsidiary of the Company. The Company acquired Tonic in order to have more control over its supply chain and to help the Company scale its production. The Company agreed to pay consideration if certain future production</w:t>
      </w:r>
    </w:p>
    <w:p>
      <w:pPr>
        <w:sectPr>
          <w:pgSz w:w="11900" w:h="16838" w:orient="portrait"/>
          <w:cols w:equalWidth="0" w:num="1">
            <w:col w:w="11420"/>
          </w:cols>
          <w:pgMar w:left="240" w:top="662"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type w:val="continuous"/>
        </w:sectPr>
      </w:pPr>
    </w:p>
    <w:bookmarkStart w:id="13" w:name="page14"/>
    <w:bookmarkEnd w:id="13"/>
    <w:p>
      <w:pPr>
        <w:jc w:val="both"/>
        <w:ind w:left="340"/>
        <w:spacing w:after="0" w:line="260" w:lineRule="auto"/>
        <w:rPr>
          <w:sz w:val="20"/>
          <w:szCs w:val="20"/>
          <w:color w:val="auto"/>
        </w:rPr>
      </w:pPr>
      <w:r>
        <w:rPr>
          <w:rFonts w:ascii="Arial" w:cs="Arial" w:eastAsia="Arial" w:hAnsi="Arial"/>
          <w:sz w:val="16"/>
          <w:szCs w:val="16"/>
          <w:color w:val="auto"/>
        </w:rPr>
        <w:t>milestones are met over the next four years. This contingent consideration was recorded as an earn-out liability on the condensed consolidated balance sheets at its fair value of $6.8 million and is included within the purchase price. The maximum payout of this contingent consideration is $7.5 million.</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operating results of Tonic have been included in the Company's condensed consolidated statements of operations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20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recognized $0.1 million and $0.3 million of acquisition-related costs that were expensed as incurred during the three and six months ended December 31, 2019, respectively. These costs are included in general and administrative costs in the unaudited condensed consolidated statement of operations and comprehensive loss.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Preliminary Purchase Price Allocation</w:t>
      </w:r>
    </w:p>
    <w:p>
      <w:pPr>
        <w:spacing w:after="0" w:line="23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acquisition was accounted for under the acquisition method. The following table summarizes the initial estimate of the fair values of assets acquired and liabilities assumed at the closing date:</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8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of October 16, 2019</w:t>
            </w:r>
          </w:p>
        </w:tc>
      </w:tr>
      <w:tr>
        <w:trPr>
          <w:trHeight w:val="230"/>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jc w:val="right"/>
              <w:ind w:right="719"/>
              <w:spacing w:after="0"/>
              <w:rPr>
                <w:sz w:val="20"/>
                <w:szCs w:val="20"/>
                <w:color w:val="auto"/>
              </w:rPr>
            </w:pPr>
            <w:r>
              <w:rPr>
                <w:rFonts w:ascii="Arial" w:cs="Arial" w:eastAsia="Arial" w:hAnsi="Arial"/>
                <w:sz w:val="16"/>
                <w:szCs w:val="16"/>
                <w:b w:val="1"/>
                <w:bCs w:val="1"/>
                <w:color w:val="auto"/>
              </w:rPr>
              <w:t>(in millions)</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0"/>
                <w:szCs w:val="20"/>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29.1</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60" w:type="dxa"/>
            <w:vAlign w:val="bottom"/>
            <w:shd w:val="clear" w:color="auto" w:fill="CCEEFF"/>
          </w:tcPr>
          <w:p>
            <w:pPr>
              <w:spacing w:after="0"/>
              <w:rPr>
                <w:sz w:val="21"/>
                <w:szCs w:val="21"/>
                <w:color w:val="auto"/>
              </w:rPr>
            </w:pPr>
          </w:p>
        </w:tc>
        <w:tc>
          <w:tcPr>
            <w:tcW w:w="2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20.4</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32.5</w:t>
            </w:r>
          </w:p>
        </w:tc>
      </w:tr>
      <w:tr>
        <w:trPr>
          <w:trHeight w:val="24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37"/>
        </w:trPr>
        <w:tc>
          <w:tcPr>
            <w:tcW w:w="8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95.9</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8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43"/>
        </w:trPr>
        <w:tc>
          <w:tcPr>
            <w:tcW w:w="8180" w:type="dxa"/>
            <w:vAlign w:val="bottom"/>
          </w:tcPr>
          <w:p>
            <w:pPr>
              <w:ind w:left="200"/>
              <w:spacing w:after="0"/>
              <w:rPr>
                <w:sz w:val="20"/>
                <w:szCs w:val="20"/>
                <w:color w:val="auto"/>
              </w:rPr>
            </w:pPr>
            <w:r>
              <w:rPr>
                <w:rFonts w:ascii="Arial" w:cs="Arial" w:eastAsia="Arial" w:hAnsi="Arial"/>
                <w:sz w:val="16"/>
                <w:szCs w:val="16"/>
                <w:color w:val="auto"/>
              </w:rPr>
              <w:t>Net assets acquired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The preliminary purchase price allocation resulted in the recognition of $32.5 million of goodwill. Goodwill represents the future economic benefits expected to arise from other intangible assets acquired that do not qualify for separate recognition, including an experienced workforce and expected future synergies. The Company allocated the goodwill to its Connected Fitness reporting segment. None of the goodwill is expected to be deductible for tax purposes.</w:t>
      </w:r>
    </w:p>
    <w:p>
      <w:pPr>
        <w:spacing w:after="0" w:line="200" w:lineRule="exact"/>
        <w:rPr>
          <w:sz w:val="20"/>
          <w:szCs w:val="20"/>
          <w:color w:val="auto"/>
        </w:rPr>
      </w:pPr>
    </w:p>
    <w:p>
      <w:pPr>
        <w:spacing w:after="0" w:line="220"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Leases</w:t>
      </w:r>
    </w:p>
    <w:p>
      <w:pPr>
        <w:spacing w:after="0" w:line="24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Company’s corporate headquarters are located in New York, New York. The Company also leases space for the operation of its production studio facilities, retail showrooms, microstores, warehouses, and office spaces.</w:t>
      </w:r>
    </w:p>
    <w:p>
      <w:pPr>
        <w:spacing w:after="0" w:line="20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Right-of-use assets and lease liabilities are established on the unaudited condensed consolidated balance sheets for leases with an expected term greater than one year. As the rate implicit in the lease is not determinable, the Company uses its secured incremental borrowing rate to determine the present value of the lease payments.</w:t>
      </w:r>
    </w:p>
    <w:p>
      <w:pPr>
        <w:spacing w:after="0" w:line="201"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Leases with an initial term of 12 months or less are not recorded on the unaudited condensed consolidated balance sheets. The Company recognizes lease expense for these leases on a straight-line basis over the term of the lease. The Company has elected to not separate lease and non-lease components.</w:t>
      </w:r>
    </w:p>
    <w:p>
      <w:pPr>
        <w:spacing w:after="0" w:line="38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ectPr>
          <w:pgSz w:w="11900" w:h="16838" w:orient="portrait"/>
          <w:cols w:equalWidth="0" w:num="1">
            <w:col w:w="11420"/>
          </w:cols>
          <w:pgMar w:left="240" w:top="628"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type w:val="continuous"/>
        </w:sectPr>
      </w:pPr>
    </w:p>
    <w:bookmarkStart w:id="14" w:name="page15"/>
    <w:bookmarkEnd w:id="14"/>
    <w:p>
      <w:pPr>
        <w:jc w:val="both"/>
        <w:ind w:left="340" w:right="20"/>
        <w:spacing w:after="0" w:line="260" w:lineRule="auto"/>
        <w:rPr>
          <w:sz w:val="20"/>
          <w:szCs w:val="20"/>
          <w:color w:val="auto"/>
        </w:rPr>
      </w:pPr>
      <w:r>
        <w:rPr>
          <w:rFonts w:ascii="Arial" w:cs="Arial" w:eastAsia="Arial" w:hAnsi="Arial"/>
          <w:sz w:val="16"/>
          <w:szCs w:val="16"/>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the total remaining lease payments included in the measurement of lease liabilities for operating leases were as follows: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Fiscal Year Ending June 30,</w:t>
            </w:r>
          </w:p>
        </w:tc>
        <w:tc>
          <w:tcPr>
            <w:tcW w:w="0" w:type="dxa"/>
            <w:vAlign w:val="bottom"/>
          </w:tcPr>
          <w:p>
            <w:pPr>
              <w:spacing w:after="0"/>
              <w:rPr>
                <w:sz w:val="1"/>
                <w:szCs w:val="1"/>
                <w:color w:val="auto"/>
              </w:rPr>
            </w:pPr>
          </w:p>
        </w:tc>
      </w:tr>
      <w:tr>
        <w:trPr>
          <w:trHeight w:val="233"/>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remainder of 2020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570.5</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760" w:type="dxa"/>
            <w:vAlign w:val="bottom"/>
            <w:gridSpan w:val="2"/>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Supplemental balance sheet information related to leases was as follows:</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As of December 31, 2019</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Reconciliation of Lease Liabilities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Lease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813.1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lease liability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lease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656"/>
        </w:trPr>
        <w:tc>
          <w:tcPr>
            <w:tcW w:w="6740" w:type="dxa"/>
            <w:vAlign w:val="bottom"/>
          </w:tcPr>
          <w:p>
            <w:pPr>
              <w:spacing w:after="0"/>
              <w:rPr>
                <w:sz w:val="20"/>
                <w:szCs w:val="20"/>
                <w:color w:val="auto"/>
              </w:rPr>
            </w:pPr>
            <w:r>
              <w:rPr>
                <w:rFonts w:ascii="Arial" w:cs="Arial" w:eastAsia="Arial" w:hAnsi="Arial"/>
                <w:sz w:val="16"/>
                <w:szCs w:val="16"/>
                <w:color w:val="auto"/>
              </w:rPr>
              <w:t>Supplemental cash flow and other information related to leases was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Six Months Ended December 31, 2019</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Paid For Amounts Included In Measurement of Liabilities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 (non-cash)</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Total operating lease expense was $22.7 million and $39.5 million for the three and six months ended December 31, 2019, of which $2.6 million and $4.3 million was attributable to variable lease expense, respectively, and $0.5 million and $0.5 million was attributable to short-term lease expense, respectively. During the three and six months ended December 31, 2018, rent expense was $8.7 million and $14.4 million,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 and Financing Arrangements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In June 2019, the Company entered into an amended and restated loan and security agreement (“Amended Credit Agreement”) with JPMorgan Chase Bank, N.A., as administrative agent, lead arranger and bookrunner and Bank of America, N.A., Barclays Bank PLC, Goldman Sachs Lending Partners LLC and Silicon Valley Bank, as joint syndication agents, which amended and restated the Company's 2018 secured revolving credit facility.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3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During the three and six months ended December 31, 2019, the Company incurred total commitment fees of $0.2 million and $0.4 million, respectively, and $0.1 million and $0.1 million during the three and six months ended December 31, 2018, respectively, which are included in interest expense in the statements of operations.</w:t>
      </w:r>
    </w:p>
    <w:p>
      <w:pPr>
        <w:sectPr>
          <w:pgSz w:w="11900" w:h="16838" w:orient="portrait"/>
          <w:cols w:equalWidth="0" w:num="1">
            <w:col w:w="11420"/>
          </w:cols>
          <w:pgMar w:left="240" w:top="628"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type w:val="continuous"/>
        </w:sectPr>
      </w:pPr>
    </w:p>
    <w:bookmarkStart w:id="15" w:name="page16"/>
    <w:bookmarkEnd w:id="15"/>
    <w:p>
      <w:pPr>
        <w:jc w:val="both"/>
        <w:ind w:left="340"/>
        <w:spacing w:after="0" w:line="260" w:lineRule="auto"/>
        <w:rPr>
          <w:sz w:val="20"/>
          <w:szCs w:val="20"/>
          <w:color w:val="auto"/>
        </w:rPr>
      </w:pPr>
      <w:r>
        <w:rPr>
          <w:rFonts w:ascii="Arial" w:cs="Arial" w:eastAsia="Arial" w:hAnsi="Arial"/>
          <w:sz w:val="16"/>
          <w:szCs w:val="16"/>
          <w:color w:val="auto"/>
        </w:rPr>
        <w:t>The principal amount, if any, is payable in full in June 2024. As of December 31, 2019, the Company had not drawn on the credit facility and did not have outstanding borrowings under the Amended Credit Agreement.</w:t>
      </w:r>
    </w:p>
    <w:p>
      <w:pPr>
        <w:spacing w:after="0" w:line="196"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are being amortized to interest expense using the effective interest method over the term of the Amended Credit Agreement.</w:t>
      </w:r>
    </w:p>
    <w:p>
      <w:pPr>
        <w:spacing w:after="0" w:line="19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December 31, 2019, the Company was in compliance with the covenants under the Amended Credit Agreement. At December 31, 2019, the Company was contingently liable for approximately $4.8 million in standby letters of credit as security for an operating lease obligation.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During the three and six months ended December 31, 2019, the Company recorded content costs for past use of $0.1 million and $1.0 million, respectively, and $2.3 million and $5.1 million during the three and six months ended December 31, 2018, respectively. In addition, the Company recorded estimates for normal and recurring royalty expense of $0.8 million and $2.5 million during the three and six months ended December 31, 2019, respectively, and $0.2 million and $0.9 million during the three and six months ended December 31, 2018, respectively. The Company includes both of these components in its reserve. As of December 31, 2019, the Company recorded reserves of $21.7 million, included in accrued expenses in the accompanying condensed consolidated balance sheets.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6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 that they are music publishers that own or control the copyrights in numerous musical works that were synchronized by the Company without the plaintiffs’ authorization. The complaint asserts a single claim for copyright infringement.</w:t>
      </w:r>
    </w:p>
    <w:p>
      <w:pPr>
        <w:spacing w:after="0" w:line="236"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 that the trade association tortuously interfered with the Company's attempts to engage in direct negotiations with music publishers in violation of state law. The counterclaims seek injunctive relief, monetary damages (to be trebled under applicable statute), and attorneys’ fees and costs. An initial pretrial conference was held on May 9, 2019 and discovery has commenced.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 Discovery on the claims and counterclaims is ongoing in this case.</w:t>
      </w:r>
    </w:p>
    <w:p>
      <w:pPr>
        <w:spacing w:after="0" w:line="221" w:lineRule="exact"/>
        <w:rPr>
          <w:sz w:val="20"/>
          <w:szCs w:val="20"/>
          <w:color w:val="auto"/>
        </w:rPr>
      </w:pPr>
    </w:p>
    <w:p>
      <w:pPr>
        <w:jc w:val="both"/>
        <w:ind w:left="340"/>
        <w:spacing w:after="0" w:line="233" w:lineRule="auto"/>
        <w:rPr>
          <w:sz w:val="20"/>
          <w:szCs w:val="20"/>
          <w:color w:val="auto"/>
        </w:rPr>
      </w:pPr>
      <w:r>
        <w:rPr>
          <w:rFonts w:ascii="Arial" w:cs="Arial" w:eastAsia="Arial" w:hAnsi="Arial"/>
          <w:sz w:val="16"/>
          <w:szCs w:val="16"/>
          <w:color w:val="auto"/>
        </w:rPr>
        <w:t>On September 27, 2019, the district court granted plaintiffs leave to file a second amended complaint identifying additional musical works and affiliated entities, and requesting injunctive relief, more than $300 million in damages, and attorneys’ fees and costs. The Company is opposing the motion and it is currently pending before the U.S. District Court for the Southern District of New York. The Company intends to vigorously defend the claim and answered the second amended complaint and also filed counterclaims on October 11, 2019. On October 25, 2019, counter-defendants filed a motion to dismiss the counterclaims, to which the Company filed an opposition on November 8, 2019. On January 29, 2020, the court granted plaintiffs’ motion to dismiss the Company’s counterclaims; the Company is currently assessing its avenues for appeal. Discovery on the claims and counterclaims is ongoing in this case.</w:t>
      </w: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While the Company cannot predict the ultimate result of any judgment against, or settlement by, the Company, based on application of ASC 450, "Contingencies," at December 31, 2019, the Company accrued its best estimate within a range of possible outcomes ranging from $4.0 million to $11.0 million, which is included in accrued expenses in the accompanying condensed consolidated balance sheets. Amounts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6" w:name="page17"/>
    <w:bookmarkEnd w:id="16"/>
    <w:p>
      <w:pPr>
        <w:jc w:val="both"/>
        <w:ind w:left="340" w:right="20"/>
        <w:spacing w:after="0" w:line="260" w:lineRule="auto"/>
        <w:rPr>
          <w:sz w:val="20"/>
          <w:szCs w:val="20"/>
          <w:color w:val="auto"/>
        </w:rPr>
      </w:pPr>
      <w:r>
        <w:rPr>
          <w:rFonts w:ascii="Arial" w:cs="Arial" w:eastAsia="Arial" w:hAnsi="Arial"/>
          <w:sz w:val="16"/>
          <w:szCs w:val="16"/>
          <w:color w:val="auto"/>
        </w:rPr>
        <w:t>accrued for this matter at December 31, 2019 are not considered material to the Company's financial position and the Company continues to vigorously defend its position in the aforementioned outstanding matter and assess its legal position.</w:t>
      </w:r>
    </w:p>
    <w:p>
      <w:pPr>
        <w:spacing w:after="0" w:line="2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addition to the above, from time to time, the Company is subject to litigation matters and claims which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 (Deficit)</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Convertible Preferred Stock</w:t>
      </w:r>
    </w:p>
    <w:p>
      <w:pPr>
        <w:spacing w:after="0" w:line="66"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In September 2019, upon the closing of the Company's IPO, all outstanding shares of convertible preferred stock were automatically converted into an aggregate of 210,640,629 shares of Class B common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Preferred Stock</w:t>
      </w:r>
    </w:p>
    <w:p>
      <w:pPr>
        <w:spacing w:after="0" w:line="6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Effective September 2019, the Company's Board of Directors ("Board of Directors") authorized the issuance of undesignated preferred stock, with a par value of $0.000025 per share. As of December 31, 2019, there were 50,000,000 shares of preferred stock authorized and zero shares of preferred stock outstanding.</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Common Stock</w:t>
      </w:r>
    </w:p>
    <w:p>
      <w:pPr>
        <w:spacing w:after="0" w:line="66"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In August 2019, the Company implemented a dual class common stock structure by reclassifying all existing shares of common stock into Class B common stock and authorizing a new class of common stock, the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at any time at the option of the holder, or automatically upon the date that is the earliest of (i) the date specified by a vote of the holders of 66 2/3% of the then outstanding shares of Class B common stock, (ii) 10 years from the closing date of the IPO, and</w:t>
      </w:r>
    </w:p>
    <w:p>
      <w:pPr>
        <w:spacing w:after="0" w:line="2" w:lineRule="exact"/>
        <w:rPr>
          <w:sz w:val="20"/>
          <w:szCs w:val="20"/>
          <w:color w:val="auto"/>
        </w:rPr>
      </w:pPr>
    </w:p>
    <w:p>
      <w:pPr>
        <w:jc w:val="both"/>
        <w:ind w:left="340" w:hanging="8"/>
        <w:spacing w:after="0" w:line="250" w:lineRule="auto"/>
        <w:tabs>
          <w:tab w:leader="none" w:pos="6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restated certificate of incorporation. Upon the creation of the dual class common stock structure, all outstanding options and the warrant to purchase common stock became options and a warrant, respectively, to purchase an equivalent number of shares of Class B common stock.</w:t>
      </w:r>
    </w:p>
    <w:p>
      <w:pPr>
        <w:spacing w:after="0" w:line="230"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Board of Directors authorized the issuance of Class A common stock and Class B common stock, each with a par value of $0.000025 per share. As of December 31, 2019, there were 2,500,000,000 shares of Class A common stock and 2,500,000,000 shares of Class B common stock authorized and 43,794,644 shares of Class A common stock and 236,819,934 shares of Class B common stock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Equity-Based Compensation</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2015 Stock Plan</w:t>
      </w:r>
    </w:p>
    <w:p>
      <w:pPr>
        <w:spacing w:after="0" w:line="6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In April 2015, the Board of Directors approved the establishment of the 2015 Stock Plan (the “2015 Plan”) to provide stock award grants to employees, directors, and consultants of the Company. The Board of Directors, or at its sole discretion, a committee of the Board of Directors, is responsible for the administration of the 2015 Plan.</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ten years from the date of its grant or such shorter period as specified in a stock award agreement. For 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20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2015 Plan was terminated in connection with the adoption of the Company's 2019 Equity Incentive Plan (the "2019 Plan") in September 2019, and the Company will not grant any additional awards under the 2015 Plan. However, the 2015 Plan will continue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August 2019, the Board of Directors adopted the 2019 Plan, which was subsequently approved by the Company’s stockholders in September 2019. The Company initially reserved 49,809,576 shares of the Company’s Class A common stock to be issued under the 2019 Plan, which figure includes all shares reserved under the 2015 Plan not issued or subject to outstanding grants under the 2015 Plan as of the effective date of the 2019 Plan.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w:t>
      </w:r>
    </w:p>
    <w:p>
      <w:pPr>
        <w:sectPr>
          <w:pgSz w:w="11900" w:h="16838" w:orient="portrait"/>
          <w:cols w:equalWidth="0" w:num="1">
            <w:col w:w="11420"/>
          </w:cols>
          <w:pgMar w:left="240" w:top="628"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type w:val="continuous"/>
        </w:sectPr>
      </w:pPr>
    </w:p>
    <w:bookmarkStart w:id="17" w:name="page18"/>
    <w:bookmarkEnd w:id="17"/>
    <w:p>
      <w:pPr>
        <w:ind w:left="8"/>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1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72"/>
        </w:trPr>
        <w:tc>
          <w:tcPr>
            <w:tcW w:w="5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rPr>
              <w:t>Weighted-</w:t>
            </w:r>
          </w:p>
        </w:tc>
        <w:tc>
          <w:tcPr>
            <w:tcW w:w="1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ind w:right="25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45"/>
        </w:trPr>
        <w:tc>
          <w:tcPr>
            <w:tcW w:w="5420" w:type="dxa"/>
            <w:vAlign w:val="bottom"/>
          </w:tcPr>
          <w:p>
            <w:pPr>
              <w:spacing w:after="0"/>
              <w:rPr>
                <w:sz w:val="3"/>
                <w:szCs w:val="3"/>
                <w:color w:val="auto"/>
              </w:rPr>
            </w:pPr>
          </w:p>
        </w:tc>
        <w:tc>
          <w:tcPr>
            <w:tcW w:w="12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1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Average</w:t>
            </w: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15"/>
        </w:trPr>
        <w:tc>
          <w:tcPr>
            <w:tcW w:w="54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 Options</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2019</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64,602,124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6.71</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33"/>
        </w:trPr>
        <w:tc>
          <w:tcPr>
            <w:tcW w:w="54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2,101,150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(991,108)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Cancelled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(1,416,722)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10.23</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64,295,444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7.29</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1,358.4</w:t>
            </w: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Arial" w:cs="Arial" w:eastAsia="Arial" w:hAnsi="Arial"/>
                <w:sz w:val="16"/>
                <w:szCs w:val="16"/>
                <w:color w:val="auto"/>
              </w:rPr>
              <w:t>Vested and Exercisable— December 31, 2019</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26,776,719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The aggregate intrinsic value of options outstanding, vested and exercisable, were calculated as the difference between the exercise price of the options and the fair value of the Company’s common stock as of December 31, 2019. Prior to the IPO, the fair value of the Company's common stock was determined by the Board of Directors. After the IPO, the fair value of the common stock is the closing stock price of the Company's Class A common stock as reported on the Nasdaq Global Select Market.</w:t>
      </w:r>
    </w:p>
    <w:p>
      <w:pPr>
        <w:spacing w:after="0" w:line="230"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As part of the 2015 Plan and 2019 Plan (the "Plans"), the Company issued options to certain key management that vest upon the achievement of certain performance milestones. During the three and six months ended December 31, 2019, the Company recorded stock-based compensation expense related to the performance based options of $0.1 million and $3.9 million, respectively, and $0.2 million and $0.3 million for the three and six months ended months ended December 31, 2018, respectively.</w:t>
      </w:r>
    </w:p>
    <w:p>
      <w:pPr>
        <w:spacing w:after="0" w:line="230" w:lineRule="exact"/>
        <w:rPr>
          <w:sz w:val="20"/>
          <w:szCs w:val="20"/>
          <w:color w:val="auto"/>
        </w:rPr>
      </w:pPr>
    </w:p>
    <w:p>
      <w:pPr>
        <w:jc w:val="both"/>
        <w:ind w:left="8"/>
        <w:spacing w:after="0" w:line="260" w:lineRule="auto"/>
        <w:rPr>
          <w:sz w:val="20"/>
          <w:szCs w:val="20"/>
          <w:color w:val="auto"/>
        </w:rPr>
      </w:pPr>
      <w:r>
        <w:rPr>
          <w:rFonts w:ascii="Arial" w:cs="Arial" w:eastAsia="Arial" w:hAnsi="Arial"/>
          <w:sz w:val="16"/>
          <w:szCs w:val="16"/>
          <w:color w:val="auto"/>
        </w:rPr>
        <w:t>For the six months ended December 31, 2019 and 2018, the weighted-average grant date fair value per option was $12.38 and $4.22, respectively. The fair value of each option was estimated at the grant date using the Black-Scholes method with the following assumptions:</w:t>
      </w:r>
    </w:p>
    <w:p>
      <w:pPr>
        <w:sectPr>
          <w:pgSz w:w="11900" w:h="16838" w:orient="portrait"/>
          <w:cols w:equalWidth="0" w:num="1">
            <w:col w:w="11088"/>
          </w:cols>
          <w:pgMar w:left="572" w:top="6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
        <w:spacing w:after="0"/>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p>
      <w:pPr>
        <w:ind w:left="28"/>
        <w:spacing w:after="0"/>
        <w:rPr>
          <w:sz w:val="20"/>
          <w:szCs w:val="20"/>
          <w:color w:val="auto"/>
        </w:rPr>
      </w:pPr>
      <w:r>
        <w:rPr>
          <w:rFonts w:ascii="Arial" w:cs="Arial" w:eastAsia="Arial" w:hAnsi="Arial"/>
          <w:sz w:val="16"/>
          <w:szCs w:val="16"/>
          <w:color w:val="auto"/>
        </w:rPr>
        <w:t>Weighted average expected term (in years)</w:t>
      </w:r>
    </w:p>
    <w:p>
      <w:pPr>
        <w:spacing w:after="0" w:line="56" w:lineRule="exact"/>
        <w:rPr>
          <w:sz w:val="20"/>
          <w:szCs w:val="20"/>
          <w:color w:val="auto"/>
        </w:rPr>
      </w:pPr>
    </w:p>
    <w:p>
      <w:pPr>
        <w:ind w:left="28"/>
        <w:spacing w:after="0"/>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p>
      <w:pPr>
        <w:spacing w:after="0" w:line="4" w:lineRule="exact"/>
        <w:rPr>
          <w:sz w:val="20"/>
          <w:szCs w:val="20"/>
          <w:color w:val="auto"/>
        </w:rPr>
      </w:pPr>
    </w:p>
    <w:p>
      <w:pPr>
        <w:ind w:left="28"/>
        <w:spacing w:after="0"/>
        <w:rPr>
          <w:sz w:val="20"/>
          <w:szCs w:val="20"/>
          <w:color w:val="auto"/>
        </w:rPr>
      </w:pPr>
      <w:r>
        <w:rPr>
          <w:rFonts w:ascii="Arial" w:cs="Arial" w:eastAsia="Arial" w:hAnsi="Arial"/>
          <w:sz w:val="16"/>
          <w:szCs w:val="16"/>
          <w:color w:val="auto"/>
        </w:rPr>
        <w:t>Expected dividend yield</w:t>
      </w:r>
    </w:p>
    <w:p>
      <w:pPr>
        <w:spacing w:after="0" w:line="151" w:lineRule="exact"/>
        <w:rPr>
          <w:sz w:val="20"/>
          <w:szCs w:val="20"/>
          <w:color w:val="auto"/>
        </w:rPr>
      </w:pPr>
    </w:p>
    <w:p>
      <w:pPr>
        <w:ind w:left="128"/>
        <w:spacing w:after="0"/>
        <w:rPr>
          <w:sz w:val="20"/>
          <w:szCs w:val="20"/>
          <w:color w:val="auto"/>
        </w:rPr>
      </w:pPr>
      <w:r>
        <w:rPr>
          <w:rFonts w:ascii="Arial" w:cs="Arial" w:eastAsia="Arial" w:hAnsi="Arial"/>
          <w:sz w:val="16"/>
          <w:szCs w:val="16"/>
          <w:color w:val="auto"/>
        </w:rPr>
        <w:t>____________________________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31750</wp:posOffset>
            </wp:positionV>
            <wp:extent cx="2701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22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31750</wp:posOffset>
            </wp:positionV>
            <wp:extent cx="681799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7995" cy="163195"/>
                    </a:xfrm>
                    <a:prstGeom prst="rect">
                      <a:avLst/>
                    </a:prstGeom>
                    <a:noFill/>
                  </pic:spPr>
                </pic:pic>
              </a:graphicData>
            </a:graphic>
          </wp:anchor>
        </w:drawing>
      </w:r>
    </w:p>
    <w:p>
      <w:pPr>
        <w:spacing w:after="0" w:line="73"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2.9%</w:t>
      </w:r>
    </w:p>
    <w:p>
      <w:pPr>
        <w:spacing w:after="0" w:line="59" w:lineRule="exact"/>
        <w:rPr>
          <w:sz w:val="20"/>
          <w:szCs w:val="20"/>
          <w:color w:val="auto"/>
        </w:rPr>
      </w:pPr>
    </w:p>
    <w:p>
      <w:pPr>
        <w:ind w:left="180"/>
        <w:spacing w:after="0"/>
        <w:tabs>
          <w:tab w:leader="none" w:pos="232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19050</wp:posOffset>
            </wp:positionV>
            <wp:extent cx="681799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7995" cy="154305"/>
                    </a:xfrm>
                    <a:prstGeom prst="rect">
                      <a:avLst/>
                    </a:prstGeom>
                    <a:noFill/>
                  </pic:spPr>
                </pic:pic>
              </a:graphicData>
            </a:graphic>
          </wp:anchor>
        </w:drawing>
      </w:r>
    </w:p>
    <w:p>
      <w:pPr>
        <w:spacing w:after="0" w:line="39" w:lineRule="exact"/>
        <w:rPr>
          <w:sz w:val="20"/>
          <w:szCs w:val="20"/>
          <w:color w:val="auto"/>
        </w:rPr>
      </w:pPr>
    </w:p>
    <w:p>
      <w:pPr>
        <w:spacing w:after="0"/>
        <w:tabs>
          <w:tab w:leader="none" w:pos="2140" w:val="left"/>
        </w:tabs>
        <w:rPr>
          <w:sz w:val="20"/>
          <w:szCs w:val="20"/>
          <w:color w:val="auto"/>
        </w:rPr>
      </w:pPr>
      <w:r>
        <w:rPr>
          <w:rFonts w:ascii="Arial" w:cs="Arial" w:eastAsia="Arial" w:hAnsi="Arial"/>
          <w:sz w:val="16"/>
          <w:szCs w:val="16"/>
          <w:color w:val="auto"/>
        </w:rPr>
        <w:t>45.0%</w:t>
      </w:r>
      <w:r>
        <w:rPr>
          <w:sz w:val="20"/>
          <w:szCs w:val="20"/>
          <w:color w:val="auto"/>
        </w:rPr>
        <w:tab/>
      </w:r>
      <w:r>
        <w:rPr>
          <w:rFonts w:ascii="Arial" w:cs="Arial" w:eastAsia="Arial" w:hAnsi="Arial"/>
          <w:sz w:val="16"/>
          <w:szCs w:val="16"/>
          <w:color w:val="auto"/>
        </w:rPr>
        <w:t>45.0%</w:t>
      </w:r>
    </w:p>
    <w:p>
      <w:pPr>
        <w:spacing w:after="0" w:line="59" w:lineRule="exact"/>
        <w:rPr>
          <w:sz w:val="20"/>
          <w:szCs w:val="20"/>
          <w:color w:val="auto"/>
        </w:rPr>
      </w:pPr>
    </w:p>
    <w:p>
      <w:pPr>
        <w:ind w:left="160"/>
        <w:spacing w:after="0"/>
        <w:tabs>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22" w:lineRule="exact"/>
        <w:rPr>
          <w:sz w:val="20"/>
          <w:szCs w:val="20"/>
          <w:color w:val="auto"/>
        </w:rPr>
      </w:pPr>
    </w:p>
    <w:p>
      <w:pPr>
        <w:sectPr>
          <w:pgSz w:w="11900" w:h="16838" w:orient="portrait"/>
          <w:cols w:equalWidth="0" w:num="2">
            <w:col w:w="6508" w:space="720"/>
            <w:col w:w="3860"/>
          </w:cols>
          <w:pgMar w:left="572" w:top="628" w:right="239" w:bottom="1440" w:gutter="0" w:footer="0" w:header="0"/>
          <w:type w:val="continuous"/>
        </w:sectPr>
      </w:pPr>
    </w:p>
    <w:p>
      <w:pPr>
        <w:ind w:left="308" w:hanging="308"/>
        <w:spacing w:after="0"/>
        <w:tabs>
          <w:tab w:leader="none" w:pos="308"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U.S. Treasury seven-year constant maturity interest rate whose term is consistent with the expected term of the option.</w:t>
      </w:r>
    </w:p>
    <w:p>
      <w:pPr>
        <w:ind w:left="308" w:hanging="308"/>
        <w:spacing w:after="0"/>
        <w:tabs>
          <w:tab w:leader="none" w:pos="308"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Expected volatility is based on an analysis of comparable public company volatilities and adjusted for the Company’s stage of development.</w:t>
      </w:r>
    </w:p>
    <w:p>
      <w:pPr>
        <w:spacing w:after="0" w:line="250" w:lineRule="exact"/>
        <w:rPr>
          <w:sz w:val="20"/>
          <w:szCs w:val="20"/>
          <w:color w:val="auto"/>
        </w:rPr>
      </w:pPr>
    </w:p>
    <w:p>
      <w:pPr>
        <w:jc w:val="both"/>
        <w:ind w:left="8"/>
        <w:spacing w:after="0" w:line="260" w:lineRule="auto"/>
        <w:rPr>
          <w:sz w:val="20"/>
          <w:szCs w:val="20"/>
          <w:color w:val="auto"/>
        </w:rPr>
      </w:pPr>
      <w:r>
        <w:rPr>
          <w:rFonts w:ascii="Arial" w:cs="Arial" w:eastAsia="Arial" w:hAnsi="Arial"/>
          <w:sz w:val="16"/>
          <w:szCs w:val="16"/>
          <w:color w:val="auto"/>
        </w:rPr>
        <w:t>As of December 31, 2019, the Company had $204.7 million of unrecognized stock-based compensation expense that is expected to be recognized over a weighted-average period of 3.5 years.</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ind w:left="8"/>
        <w:spacing w:after="0" w:line="24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A total of 5,600,000 shares of the Company's Class A common stock are available for issuance and sale to eligible employees under the ESPP.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w:t>
      </w:r>
    </w:p>
    <w:p>
      <w:pPr>
        <w:spacing w:after="0" w:line="235" w:lineRule="exact"/>
        <w:rPr>
          <w:sz w:val="20"/>
          <w:szCs w:val="20"/>
          <w:color w:val="auto"/>
        </w:rPr>
      </w:pPr>
    </w:p>
    <w:p>
      <w:pPr>
        <w:jc w:val="both"/>
        <w:ind w:left="8"/>
        <w:spacing w:after="0" w:line="251"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will end February 28, 2020. Thereafter, each offering period and each purchase period will commence on September 1 and March 1 and end on August 31 and February 28 of each two-year period or each six-month period, respectively.</w:t>
      </w:r>
    </w:p>
    <w:p>
      <w:pPr>
        <w:spacing w:after="0" w:line="230" w:lineRule="exact"/>
        <w:rPr>
          <w:sz w:val="20"/>
          <w:szCs w:val="20"/>
          <w:color w:val="auto"/>
        </w:rPr>
      </w:pPr>
    </w:p>
    <w:p>
      <w:pPr>
        <w:jc w:val="both"/>
        <w:ind w:left="8"/>
        <w:spacing w:after="0" w:line="253"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ectPr>
          <w:pgSz w:w="11900" w:h="16838" w:orient="portrait"/>
          <w:cols w:equalWidth="0" w:num="1">
            <w:col w:w="11088"/>
          </w:cols>
          <w:pgMar w:left="572" w:top="628" w:right="2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332"/>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57785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8"/>
          </w:cols>
          <w:pgMar w:left="572" w:top="628" w:right="239" w:bottom="1440" w:gutter="0" w:footer="0" w:header="0"/>
          <w:type w:val="continuous"/>
        </w:sectPr>
      </w:pPr>
    </w:p>
    <w:bookmarkStart w:id="18" w:name="page19"/>
    <w:bookmarkEnd w:id="18"/>
    <w:p>
      <w:pPr>
        <w:jc w:val="both"/>
        <w:ind w:left="340"/>
        <w:spacing w:after="0" w:line="248" w:lineRule="auto"/>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 ESPP offering periods included weighted average expected terms of 1.1 years, weighted average expected volatility of 54.8%, and weighted average risk-free rate of 1.6% for the three and six months ended December 31, 2019. 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3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three and six months ended December 31, 2019, the Company recorded stock-based compensation expense associated with the ESPP of $0.9 million and $0.9 million, respectively. As of December 31, 2019, total unrecognized compensation cost related to the ESPP was $7.0 million, which will be amortized over a weighted-average remaining period of 1.7 years.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36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December 31,</w:t>
            </w:r>
          </w:p>
        </w:tc>
        <w:tc>
          <w:tcPr>
            <w:tcW w:w="460" w:type="dxa"/>
            <w:vAlign w:val="bottom"/>
          </w:tcPr>
          <w:p>
            <w:pPr>
              <w:spacing w:after="0"/>
              <w:rPr>
                <w:sz w:val="19"/>
                <w:szCs w:val="19"/>
                <w:color w:val="auto"/>
              </w:rPr>
            </w:pPr>
          </w:p>
        </w:tc>
        <w:tc>
          <w:tcPr>
            <w:tcW w:w="31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4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33"/>
        </w:trPr>
        <w:tc>
          <w:tcPr>
            <w:tcW w:w="3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34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53"/>
        </w:trPr>
        <w:tc>
          <w:tcPr>
            <w:tcW w:w="3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37"/>
        </w:trPr>
        <w:tc>
          <w:tcPr>
            <w:tcW w:w="3460" w:type="dxa"/>
            <w:vAlign w:val="bottom"/>
          </w:tcPr>
          <w:p>
            <w:pPr>
              <w:ind w:left="10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33"/>
        </w:trPr>
        <w:tc>
          <w:tcPr>
            <w:tcW w:w="34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6.8</w:t>
            </w:r>
          </w:p>
        </w:tc>
      </w:tr>
      <w:tr>
        <w:trPr>
          <w:trHeight w:val="25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55.1</w:t>
            </w:r>
          </w:p>
        </w:tc>
      </w:tr>
      <w:tr>
        <w:trPr>
          <w:trHeight w:val="237"/>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r>
      <w:tr>
        <w:trPr>
          <w:trHeight w:val="268"/>
        </w:trPr>
        <w:tc>
          <w:tcPr>
            <w:tcW w:w="3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stock-based compensation expense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During the three and six months ended December 31, 2018, the Company recorded a one-time stock-based compensation charge of $28.2 million and $61.7 million, respectively, related to the Series F Tender offer.</w:t>
      </w:r>
    </w:p>
    <w:p>
      <w:pPr>
        <w:spacing w:after="0" w:line="223"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During the six months ended December 31, 2019, the holder of a warrant to purchase 240,000 shares of the Company's Class B common stock net exercised the warrant into 238,253 shares of Class B common stock at an exercise price of $0.19 per share. As of December 31, 2019, there were no outstanding warrants.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24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Company recorded a benefit from income taxes of $0.4 million and $0.4 million for the three and six months ended December 31, 2019, respectively, and zero for the three and six months ended December 31, 2018, respectively. The income tax benefit is driven by international income taxes.</w:t>
      </w:r>
    </w:p>
    <w:p>
      <w:pPr>
        <w:spacing w:after="0" w:line="223"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Company regularly evaluates the realizability of its deferred tax assets and establishes a valuation allowance if it is more likely than not that some or all the deferred tax assets will not be realized. In making such a determination,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Loss Per Share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computation of loss per share is as follows: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9" w:name="page20"/>
    <w:bookmarkEnd w:id="19"/>
    <w:tbl>
      <w:tblPr>
        <w:tblLayout w:type="fixed"/>
        <w:tblInd w:w="34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320" w:type="dxa"/>
            <w:vAlign w:val="bottom"/>
          </w:tcPr>
          <w:p>
            <w:pPr>
              <w:spacing w:after="0"/>
              <w:rPr>
                <w:sz w:val="19"/>
                <w:szCs w:val="19"/>
                <w:color w:val="auto"/>
              </w:rPr>
            </w:pPr>
          </w:p>
        </w:tc>
        <w:tc>
          <w:tcPr>
            <w:tcW w:w="32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180" w:type="dxa"/>
            <w:vAlign w:val="bottom"/>
            <w:gridSpan w:val="9"/>
          </w:tcPr>
          <w:p>
            <w:pPr>
              <w:jc w:val="right"/>
              <w:ind w:right="259"/>
              <w:spacing w:after="0"/>
              <w:rPr>
                <w:sz w:val="20"/>
                <w:szCs w:val="20"/>
                <w:color w:val="auto"/>
              </w:rPr>
            </w:pPr>
            <w:r>
              <w:rPr>
                <w:rFonts w:ascii="Arial" w:cs="Arial" w:eastAsia="Arial" w:hAnsi="Arial"/>
                <w:sz w:val="16"/>
                <w:szCs w:val="16"/>
                <w:b w:val="1"/>
                <w:bCs w:val="1"/>
                <w:color w:val="auto"/>
              </w:rPr>
              <w:t>(in millions, except share and per share amounts)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loss per share: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80" w:type="dxa"/>
            <w:vAlign w:val="bottom"/>
          </w:tcPr>
          <w:p>
            <w:pPr>
              <w:ind w:left="6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(55.4)</w:t>
            </w:r>
          </w:p>
        </w:tc>
        <w:tc>
          <w:tcPr>
            <w:tcW w:w="54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28"/>
        </w:trPr>
        <w:tc>
          <w:tcPr>
            <w:tcW w:w="3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Less: Premium on repurchase of</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convertible preferred stock</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57"/>
        </w:trPr>
        <w:tc>
          <w:tcPr>
            <w:tcW w:w="3180" w:type="dxa"/>
            <w:vAlign w:val="bottom"/>
          </w:tcPr>
          <w:p>
            <w:pPr>
              <w:ind w:left="660"/>
              <w:spacing w:after="0" w:line="158" w:lineRule="exact"/>
              <w:rPr>
                <w:sz w:val="20"/>
                <w:szCs w:val="20"/>
                <w:color w:val="auto"/>
              </w:rPr>
            </w:pPr>
            <w:r>
              <w:rPr>
                <w:rFonts w:ascii="Arial" w:cs="Arial" w:eastAsia="Arial" w:hAnsi="Arial"/>
                <w:sz w:val="16"/>
                <w:szCs w:val="16"/>
                <w:color w:val="auto"/>
              </w:rPr>
              <w:t>Net loss attributable to</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(55.4)</w:t>
            </w:r>
          </w:p>
        </w:tc>
        <w:tc>
          <w:tcPr>
            <w:tcW w:w="540" w:type="dxa"/>
            <w:vAlign w:val="bottom"/>
            <w:gridSpan w:val="3"/>
            <w:vMerge w:val="restart"/>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13"/>
                <w:szCs w:val="13"/>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color w:val="auto"/>
              </w:rPr>
              <w:t>(105.2)</w:t>
            </w:r>
          </w:p>
        </w:tc>
        <w:tc>
          <w:tcPr>
            <w:tcW w:w="80" w:type="dxa"/>
            <w:vAlign w:val="bottom"/>
          </w:tcPr>
          <w:p>
            <w:pPr>
              <w:spacing w:after="0"/>
              <w:rPr>
                <w:sz w:val="13"/>
                <w:szCs w:val="13"/>
                <w:color w:val="auto"/>
              </w:rPr>
            </w:pP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74"/>
        </w:trPr>
        <w:tc>
          <w:tcPr>
            <w:tcW w:w="3180" w:type="dxa"/>
            <w:vAlign w:val="bottom"/>
          </w:tcPr>
          <w:p>
            <w:pPr>
              <w:ind w:left="660"/>
              <w:spacing w:after="0" w:line="174" w:lineRule="exact"/>
              <w:rPr>
                <w:sz w:val="20"/>
                <w:szCs w:val="20"/>
                <w:color w:val="auto"/>
              </w:rPr>
            </w:pPr>
            <w:r>
              <w:rPr>
                <w:rFonts w:ascii="Arial" w:cs="Arial" w:eastAsia="Arial" w:hAnsi="Arial"/>
                <w:sz w:val="16"/>
                <w:szCs w:val="16"/>
                <w:color w:val="auto"/>
              </w:rPr>
              <w:t>common stockholders</w:t>
            </w:r>
          </w:p>
        </w:tc>
        <w:tc>
          <w:tcPr>
            <w:tcW w:w="2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660"/>
              <w:spacing w:after="0" w:line="178" w:lineRule="exact"/>
              <w:rPr>
                <w:sz w:val="20"/>
                <w:szCs w:val="20"/>
                <w:color w:val="auto"/>
              </w:rPr>
            </w:pPr>
            <w:r>
              <w:rPr>
                <w:rFonts w:ascii="Arial" w:cs="Arial" w:eastAsia="Arial" w:hAnsi="Arial"/>
                <w:sz w:val="16"/>
                <w:szCs w:val="16"/>
                <w:color w:val="auto"/>
              </w:rPr>
              <w:t>Weighted-average common</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279,974,823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21,780,927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color w:val="auto"/>
              </w:rPr>
              <w:t>159,214,343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23,390,001</w:t>
            </w:r>
          </w:p>
        </w:tc>
        <w:tc>
          <w:tcPr>
            <w:tcW w:w="0" w:type="dxa"/>
            <w:vAlign w:val="bottom"/>
          </w:tcPr>
          <w:p>
            <w:pPr>
              <w:spacing w:after="0"/>
              <w:rPr>
                <w:sz w:val="1"/>
                <w:szCs w:val="1"/>
                <w:color w:val="auto"/>
              </w:rPr>
            </w:pPr>
          </w:p>
        </w:tc>
      </w:tr>
      <w:tr>
        <w:trPr>
          <w:trHeight w:val="174"/>
        </w:trPr>
        <w:tc>
          <w:tcPr>
            <w:tcW w:w="3180" w:type="dxa"/>
            <w:vAlign w:val="bottom"/>
          </w:tcPr>
          <w:p>
            <w:pPr>
              <w:ind w:left="660"/>
              <w:spacing w:after="0" w:line="174" w:lineRule="exact"/>
              <w:rPr>
                <w:sz w:val="20"/>
                <w:szCs w:val="20"/>
                <w:color w:val="auto"/>
              </w:rPr>
            </w:pPr>
            <w:r>
              <w:rPr>
                <w:rFonts w:ascii="Arial" w:cs="Arial" w:eastAsia="Arial" w:hAnsi="Arial"/>
                <w:sz w:val="16"/>
                <w:szCs w:val="16"/>
                <w:color w:val="auto"/>
              </w:rPr>
              <w:t>shares outstanding</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80" w:type="dxa"/>
            <w:vAlign w:val="bottom"/>
            <w:shd w:val="clear" w:color="auto" w:fill="CCEEFF"/>
          </w:tcPr>
          <w:p>
            <w:pPr>
              <w:ind w:left="660"/>
              <w:spacing w:after="0" w:line="145" w:lineRule="exact"/>
              <w:rPr>
                <w:sz w:val="20"/>
                <w:szCs w:val="20"/>
                <w:color w:val="auto"/>
              </w:rPr>
            </w:pPr>
            <w:r>
              <w:rPr>
                <w:rFonts w:ascii="Arial" w:cs="Arial" w:eastAsia="Arial" w:hAnsi="Arial"/>
                <w:sz w:val="16"/>
                <w:szCs w:val="16"/>
                <w:color w:val="auto"/>
              </w:rPr>
              <w:t>Basic and diluted loss per</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540" w:type="dxa"/>
            <w:vAlign w:val="bottom"/>
            <w:gridSpan w:val="3"/>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820"/>
              <w:spacing w:after="0" w:line="174" w:lineRule="exact"/>
              <w:rPr>
                <w:sz w:val="20"/>
                <w:szCs w:val="20"/>
                <w:color w:val="auto"/>
              </w:rPr>
            </w:pPr>
            <w:r>
              <w:rPr>
                <w:rFonts w:ascii="Arial" w:cs="Arial" w:eastAsia="Arial" w:hAnsi="Arial"/>
                <w:sz w:val="16"/>
                <w:szCs w:val="16"/>
                <w:color w:val="auto"/>
              </w:rPr>
              <w:t>share</w:t>
            </w:r>
          </w:p>
        </w:tc>
        <w:tc>
          <w:tcPr>
            <w:tcW w:w="26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364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 December 31,</w:t>
            </w:r>
          </w:p>
        </w:tc>
        <w:tc>
          <w:tcPr>
            <w:tcW w:w="36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080" w:type="dxa"/>
            <w:vAlign w:val="bottom"/>
            <w:tcBorders>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r>
      <w:tr>
        <w:trPr>
          <w:trHeight w:val="243"/>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stock options</w:t>
            </w: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40,863,282</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21,070,914</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39,488,218</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15,230,319</w:t>
            </w:r>
          </w:p>
        </w:tc>
      </w:tr>
      <w:tr>
        <w:trPr>
          <w:trHeight w:val="233"/>
        </w:trPr>
        <w:tc>
          <w:tcPr>
            <w:tcW w:w="3080" w:type="dxa"/>
            <w:vAlign w:val="bottom"/>
          </w:tcPr>
          <w:p>
            <w:pPr>
              <w:ind w:left="120"/>
              <w:spacing w:after="0"/>
              <w:rPr>
                <w:sz w:val="20"/>
                <w:szCs w:val="20"/>
                <w:color w:val="auto"/>
              </w:rPr>
            </w:pPr>
            <w:r>
              <w:rPr>
                <w:rFonts w:ascii="Arial" w:cs="Arial" w:eastAsia="Arial" w:hAnsi="Arial"/>
                <w:sz w:val="16"/>
                <w:szCs w:val="16"/>
                <w:color w:val="auto"/>
              </w:rPr>
              <w:t>Warrants</w:t>
            </w: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39"/>
              <w:spacing w:after="0"/>
              <w:rPr>
                <w:sz w:val="20"/>
                <w:szCs w:val="20"/>
                <w:color w:val="auto"/>
              </w:rPr>
            </w:pPr>
            <w:r>
              <w:rPr>
                <w:rFonts w:ascii="Arial" w:cs="Arial" w:eastAsia="Arial" w:hAnsi="Arial"/>
                <w:sz w:val="16"/>
                <w:szCs w:val="16"/>
                <w:color w:val="auto"/>
              </w:rPr>
              <w:t>234,898</w:t>
            </w:r>
          </w:p>
        </w:tc>
        <w:tc>
          <w:tcPr>
            <w:tcW w:w="8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39"/>
              <w:spacing w:after="0"/>
              <w:rPr>
                <w:sz w:val="20"/>
                <w:szCs w:val="20"/>
                <w:color w:val="auto"/>
              </w:rPr>
            </w:pPr>
            <w:r>
              <w:rPr>
                <w:rFonts w:ascii="Arial" w:cs="Arial" w:eastAsia="Arial" w:hAnsi="Arial"/>
                <w:sz w:val="16"/>
                <w:szCs w:val="16"/>
                <w:color w:val="auto"/>
              </w:rPr>
              <w:t>233,128</w:t>
            </w:r>
          </w:p>
        </w:tc>
      </w:tr>
      <w:tr>
        <w:trPr>
          <w:trHeight w:val="187"/>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Redeemable convertible preferred</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211,301,911</w:t>
            </w:r>
          </w:p>
        </w:tc>
        <w:tc>
          <w:tcPr>
            <w:tcW w:w="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200,224,723</w:t>
            </w:r>
          </w:p>
        </w:tc>
      </w:tr>
      <w:tr>
        <w:trPr>
          <w:trHeight w:val="201"/>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Information</w:t>
      </w:r>
    </w:p>
    <w:p>
      <w:pPr>
        <w:spacing w:after="0" w:line="22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(the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3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The Connected Fitness Product segment derives revenue from sale of the Bike, Tread and related accessories, and associated fees for delivery and installation and extended warranty agreements. The Subscription segment derives revenue from monthly Subscription fees as well as credits from live studio classes. The Other segment primarily consists of boutique and apparel sales. There are no internal revenue transactions between the Company’s segments.</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20" w:name="page21"/>
    <w:bookmarkEnd w:id="20"/>
    <w:tbl>
      <w:tblPr>
        <w:tblLayout w:type="fixed"/>
        <w:tblInd w:w="34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36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December 31,</w:t>
            </w:r>
          </w:p>
        </w:tc>
        <w:tc>
          <w:tcPr>
            <w:tcW w:w="480" w:type="dxa"/>
            <w:vAlign w:val="bottom"/>
          </w:tcPr>
          <w:p>
            <w:pPr>
              <w:spacing w:after="0"/>
              <w:rPr>
                <w:sz w:val="19"/>
                <w:szCs w:val="19"/>
                <w:color w:val="auto"/>
              </w:rPr>
            </w:pPr>
          </w:p>
        </w:tc>
        <w:tc>
          <w:tcPr>
            <w:tcW w:w="31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2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33"/>
        </w:trPr>
        <w:tc>
          <w:tcPr>
            <w:tcW w:w="3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0"/>
        </w:trPr>
        <w:tc>
          <w:tcPr>
            <w:tcW w:w="320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381.1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221.3</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538.7</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299.2</w:t>
            </w:r>
          </w:p>
        </w:tc>
      </w:tr>
      <w:tr>
        <w:trPr>
          <w:trHeight w:val="243"/>
        </w:trPr>
        <w:tc>
          <w:tcPr>
            <w:tcW w:w="3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126.5</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168.8</w:t>
            </w:r>
          </w:p>
        </w:tc>
      </w:tr>
      <w:tr>
        <w:trPr>
          <w:trHeight w:val="240"/>
        </w:trPr>
        <w:tc>
          <w:tcPr>
            <w:tcW w:w="32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130.5</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32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Subscription:</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0"/>
        </w:trPr>
        <w:tc>
          <w:tcPr>
            <w:tcW w:w="320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69.1</w:t>
            </w:r>
          </w:p>
        </w:tc>
      </w:tr>
      <w:tr>
        <w:trPr>
          <w:trHeight w:val="243"/>
        </w:trPr>
        <w:tc>
          <w:tcPr>
            <w:tcW w:w="3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36.6</w:t>
            </w:r>
          </w:p>
        </w:tc>
      </w:tr>
      <w:tr>
        <w:trPr>
          <w:trHeight w:val="240"/>
        </w:trPr>
        <w:tc>
          <w:tcPr>
            <w:tcW w:w="32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32.4</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32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Other:</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0"/>
        </w:trPr>
        <w:tc>
          <w:tcPr>
            <w:tcW w:w="320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6.7</w:t>
            </w:r>
          </w:p>
        </w:tc>
      </w:tr>
      <w:tr>
        <w:trPr>
          <w:trHeight w:val="243"/>
        </w:trPr>
        <w:tc>
          <w:tcPr>
            <w:tcW w:w="3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w:t>
            </w:r>
          </w:p>
        </w:tc>
      </w:tr>
      <w:tr>
        <w:trPr>
          <w:trHeight w:val="240"/>
        </w:trPr>
        <w:tc>
          <w:tcPr>
            <w:tcW w:w="32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32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Consolidated:</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0"/>
        </w:trPr>
        <w:tc>
          <w:tcPr>
            <w:tcW w:w="3200" w:type="dxa"/>
            <w:vAlign w:val="bottom"/>
          </w:tcPr>
          <w:p>
            <w:pPr>
              <w:ind w:left="66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262.9</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375.0</w:t>
            </w:r>
          </w:p>
        </w:tc>
      </w:tr>
      <w:tr>
        <w:trPr>
          <w:trHeight w:val="243"/>
        </w:trPr>
        <w:tc>
          <w:tcPr>
            <w:tcW w:w="3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151.5</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212.1</w:t>
            </w:r>
          </w:p>
        </w:tc>
      </w:tr>
      <w:tr>
        <w:trPr>
          <w:trHeight w:val="240"/>
        </w:trPr>
        <w:tc>
          <w:tcPr>
            <w:tcW w:w="32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111.3</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162.9</w:t>
            </w:r>
          </w:p>
        </w:tc>
      </w:tr>
      <w:tr>
        <w:trPr>
          <w:trHeight w:val="21"/>
        </w:trPr>
        <w:tc>
          <w:tcPr>
            <w:tcW w:w="3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66" w:lineRule="exact"/>
        <w:rPr>
          <w:sz w:val="20"/>
          <w:szCs w:val="20"/>
          <w:color w:val="auto"/>
        </w:rPr>
      </w:pPr>
    </w:p>
    <w:p>
      <w:pPr>
        <w:ind w:left="340" w:right="12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36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December 31,</w:t>
            </w:r>
          </w:p>
        </w:tc>
        <w:tc>
          <w:tcPr>
            <w:tcW w:w="460" w:type="dxa"/>
            <w:vAlign w:val="bottom"/>
          </w:tcPr>
          <w:p>
            <w:pPr>
              <w:spacing w:after="0"/>
              <w:rPr>
                <w:sz w:val="19"/>
                <w:szCs w:val="19"/>
                <w:color w:val="auto"/>
              </w:rPr>
            </w:pPr>
          </w:p>
        </w:tc>
        <w:tc>
          <w:tcPr>
            <w:tcW w:w="31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33"/>
        </w:trPr>
        <w:tc>
          <w:tcPr>
            <w:tcW w:w="3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162.9</w:t>
            </w:r>
          </w:p>
        </w:tc>
      </w:tr>
      <w:tr>
        <w:trPr>
          <w:trHeight w:val="240"/>
        </w:trPr>
        <w:tc>
          <w:tcPr>
            <w:tcW w:w="32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(145.0)</w:t>
            </w:r>
          </w:p>
        </w:tc>
      </w:tr>
      <w:tr>
        <w:trPr>
          <w:trHeight w:val="24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r>
      <w:tr>
        <w:trPr>
          <w:trHeight w:val="240"/>
        </w:trPr>
        <w:tc>
          <w:tcPr>
            <w:tcW w:w="32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40"/>
        </w:trPr>
        <w:tc>
          <w:tcPr>
            <w:tcW w:w="32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r>
      <w:tr>
        <w:trPr>
          <w:trHeight w:val="21"/>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4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On January 30, 2020, the Company entered into a settlement agreement with Flywheel Sports, Inc. (“Flywheel”) pursuant to which the Company and Flywheel agreed, among other things, to withdraw, and seek dismissal and termination of, a series of ongoing patent litigation matters between the parties.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our final prospectus, or Prospectus, dated September 25, 2019 and filed with the U.S. Securities and Exchange Commission, or the SEC, pursuant to Rule 424(b) under the Securities Act of 1933, as amended, or the Securities Act, on September 26, 2019.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Peloton is the largest interactive fitness platform in the world with a loyal community of over 2.0 million Members as of December 31, 2019.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Connected Fitness Subscription, Peloton Digital, or a commercial location.</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Product offerings currently include the Peloton Bike, launched in 2014, and the Peloton Tread, launched in 2018. 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the three months ended December 31, 2018 to the three months ended December 31, 2019, total revenue grew 77%, and our Connected Fitness Subscriber base grew 96%.</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Subscribers.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 three months ended December 31, 2019 and 2018:</w:t>
      </w:r>
    </w:p>
    <w:p>
      <w:pPr>
        <w:spacing w:after="0" w:line="22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generated total revenue of $466.3 million and $262.9 million, respectively, representing 77% year-over-year growth;</w:t>
      </w:r>
    </w:p>
    <w:p>
      <w:pPr>
        <w:ind w:left="640" w:hanging="308"/>
        <w:spacing w:after="0" w:line="229"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had 712,005 and 362,388 Connected Fitness Subscribers, respectively, representing 96% year-over-year growth;</w:t>
      </w:r>
    </w:p>
    <w:p>
      <w:pPr>
        <w:ind w:left="640" w:hanging="308"/>
        <w:spacing w:after="0" w:line="229"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0.74% and 0.52%, respectively;</w:t>
      </w:r>
    </w:p>
    <w:p>
      <w:pPr>
        <w:ind w:left="640" w:hanging="308"/>
        <w:spacing w:after="0" w:line="229"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incurred net losses of $(55.4) million and $(55.1) million, respectively; and</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Adjusted EBITDA was $(28.4) million and $(14.6) million, respectively.</w:t>
      </w:r>
    </w:p>
    <w:p>
      <w:pPr>
        <w:spacing w:after="0" w:line="235" w:lineRule="exact"/>
        <w:rPr>
          <w:sz w:val="20"/>
          <w:szCs w:val="20"/>
          <w:color w:val="auto"/>
        </w:rPr>
      </w:pPr>
    </w:p>
    <w:p>
      <w:pPr>
        <w:ind w:right="220"/>
        <w:spacing w:after="0" w:line="229" w:lineRule="auto"/>
        <w:rPr>
          <w:sz w:val="20"/>
          <w:szCs w:val="20"/>
          <w:color w:val="auto"/>
        </w:rPr>
      </w:pPr>
      <w:r>
        <w:rPr>
          <w:rFonts w:ascii="Arial" w:cs="Arial" w:eastAsia="Arial" w:hAnsi="Arial"/>
          <w:sz w:val="16"/>
          <w:szCs w:val="16"/>
          <w:color w:val="050505"/>
        </w:rPr>
        <w:t>For a definition of Connected Fitness Subscribers, Average Net Monthly Connected Fitness Churn, Subscription Contribution Margin, and Adjusted EBITDA, see the section titled “Key Operational and Business Metrics” in Part I, Item 2 of this Quarterly Report on Form 10-Q.</w:t>
      </w:r>
    </w:p>
    <w:p>
      <w:pPr>
        <w:ind w:right="340"/>
        <w:spacing w:after="0" w:line="242" w:lineRule="auto"/>
        <w:rPr>
          <w:sz w:val="20"/>
          <w:szCs w:val="20"/>
          <w:color w:val="auto"/>
        </w:rPr>
      </w:pPr>
      <w:r>
        <w:rPr>
          <w:rFonts w:ascii="Arial" w:cs="Arial" w:eastAsia="Arial" w:hAnsi="Arial"/>
          <w:sz w:val="16"/>
          <w:szCs w:val="16"/>
          <w:color w:val="050505"/>
        </w:rPr>
        <w:t>See the section titled “Non-GAAP Financial Measures” in Part I, Item 2 of this Quarterly Report on Form 10-Q for information regarding our use of Adjusted EBITDA and a reconciliation of net loss to Adjusted EBITDA.</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have also had some major highlights including:</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 xml:space="preserve">Holiday - </w:t>
      </w:r>
      <w:r>
        <w:rPr>
          <w:rFonts w:ascii="Arial" w:cs="Arial" w:eastAsia="Arial" w:hAnsi="Arial"/>
          <w:sz w:val="16"/>
          <w:szCs w:val="16"/>
          <w:color w:val="auto"/>
        </w:rPr>
        <w:t>Our strong holiday selling period was driven by Home Trial, our omnichannel marketing program including a longer-running Black Friday promotion,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continued growth in global showrooms. This was our first holiday period with free Home Trial, which allows prospective Members the ability to try the Peloton Bike at home for 30 days, risk-free. Home Trial helped drive higher conversion on our e-commerce site and in our showrooms without having a meaningful impact on our very low return rate. Our fully-integrated holiday Bike campaign was designed to reach a wide audience of potential buyers and included multiple TV spots, digital, social, direct mail, and radio. This approach helped us to increase our brand awareness and more than double the traffic to our website.</w:t>
      </w:r>
    </w:p>
    <w:p>
      <w:pPr>
        <w:spacing w:after="0" w:line="200" w:lineRule="exact"/>
        <w:rPr>
          <w:sz w:val="20"/>
          <w:szCs w:val="20"/>
          <w:color w:val="auto"/>
        </w:rPr>
      </w:pP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Q2 of fiscal 2020, we ran our largest promotion of the year for two weeks ending on Cyber Monday. Given that Thanksgiving fell later in the year, the longer promotional period allowed us to better distribute our sales and deliveries in order to ensure Bikes and Treads arrived in time for the holidays. We continued the roll out of our delivery self-scheduler, available after checkout, which also helped us to improve Member order experience during our busiest sales period, enabling over 80% of our customers in North America to self-select their desired delivery date and time window during the second quarter, decreasing Member touchpoints, and significantly improving the efficiency of our Member Support teams. We also hired seasonal Field Operations and warehouse teams to support additional delivery volume, allowing us to achieve shorter order-to-delivery times than in previous years.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prepare for the holidays we also grew our global showroom count to 96 during Q2 of fiscal 2020 through the addition of new showrooms throughout the United States and our first showroom in Vancouver, Canada. We also continued to expand our retail footprint in Europe with showrooms in two new markets in the U.K. Our Cleveland, OH showroom opened in December as our first "Concept Store". This new format provides current and prospective Members the opportunity to discover and engage with all aspects of our Connected Fitness and Digital Membership experience. The showroom includes dedicated areas where customers can explore our products, content, and software in our major fitness verticals including cycling, running, yoga, and strength. It also features newly designed, bespoke private test class rooms, allowing</w:t>
      </w:r>
    </w:p>
    <w:p>
      <w:pPr>
        <w:sectPr>
          <w:pgSz w:w="11900" w:h="16838" w:orient="portrait"/>
          <w:cols w:equalWidth="0" w:num="1">
            <w:col w:w="11420"/>
          </w:cols>
          <w:pgMar w:left="240" w:top="648"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type w:val="continuous"/>
        </w:sectPr>
      </w:pPr>
    </w:p>
    <w:bookmarkStart w:id="22" w:name="page23"/>
    <w:bookmarkEnd w:id="22"/>
    <w:p>
      <w:pPr>
        <w:jc w:val="both"/>
        <w:spacing w:after="0" w:line="260" w:lineRule="auto"/>
        <w:rPr>
          <w:sz w:val="20"/>
          <w:szCs w:val="20"/>
          <w:color w:val="auto"/>
        </w:rPr>
      </w:pPr>
      <w:r>
        <w:rPr>
          <w:rFonts w:ascii="Arial" w:cs="Arial" w:eastAsia="Arial" w:hAnsi="Arial"/>
          <w:sz w:val="16"/>
          <w:szCs w:val="16"/>
          <w:color w:val="auto"/>
        </w:rPr>
        <w:t>customers to fully immerse themselves in our fitness experience. Moving forward, we will build new showrooms following the Concept Store format, while selectively renovating existing larger showrooms.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Launch in Germany - </w:t>
      </w:r>
      <w:r>
        <w:rPr>
          <w:rFonts w:ascii="Arial" w:cs="Arial" w:eastAsia="Arial" w:hAnsi="Arial"/>
          <w:sz w:val="16"/>
          <w:szCs w:val="16"/>
          <w:color w:val="auto"/>
        </w:rPr>
        <w:t>In November 2019, we took another important step in our international expansion with the launch of Peloton in Germany. With our entry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Germany, we are in the three largest fitness markets in the world (United States, United Kingdom, and Germany). Germany also marks our first time offering non-English language content to users on our platform courtesy of our new German cycling instructor who has already begun producing classes from our temporary studio in London. To support our sales efforts in Germany, we have opened several retail showrooms across the major metropolitan areas of Germany and began a full-scale national television and digital media campaign in January 2020 to build brand and product awareness.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Peloton Digital </w:t>
      </w:r>
      <w:r>
        <w:rPr>
          <w:rFonts w:ascii="Arial" w:cs="Arial" w:eastAsia="Arial" w:hAnsi="Arial"/>
          <w:sz w:val="16"/>
          <w:szCs w:val="16"/>
          <w:color w:val="auto"/>
        </w:rPr>
        <w:t>- Peloton Digital provides Members access to high-quality fitness content anywhere, anytime. During Q2 of fiscal 2020 we made some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changes to our Peloton Digital Membership, including reducing our monthly Digital Subscription price to $12.99 and extending our Digital free trial period to 30 days. We lowered the price of Peloton Digital to make our products more accessible and expand the top of the funnel and drive more leads to help grow Connected Fitness Product sales. We see Digital trial and Membership as an effective way to potentially get millions of people to experience our content and workouts, creating a unique and differentiating lead generation engine. As of December 31, 2019, we had over 109,000 Digital Subscribers, and launched a national advertising campaign featuring Peloton Digital at the end of December.</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Q2 of fiscal 2020, we added Amazon Fire TV and Apple Watch apps to a growing list of immersive capabilities that differentiate the Peloton offering and give our Members what we believe is the best value in fitness. In the first several weeks since our Fire TV launch, over 75% of workouts taken on the app were in floor-based class categories such as strength, stretching, yoga and meditation. With the launch of our Apple Watch integration, we provide our Members with yet another way to enhance the Peloton experience on iOS with workout metrics such as as heart rate for all class types. Bringing the Peloton experience to more devices is one way we continue to drive engagement with our Members. These app workouts, which are included in our Connected Fitness Subscription, are designed to augment Bike and Tread workouts by providing a variety of complementary classes and flexible access to our library of class content when traveling.</w:t>
      </w:r>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Manufacturing Partner Acquisition - </w:t>
      </w:r>
      <w:r>
        <w:rPr>
          <w:rFonts w:ascii="Arial" w:cs="Arial" w:eastAsia="Arial" w:hAnsi="Arial"/>
          <w:sz w:val="16"/>
          <w:szCs w:val="16"/>
          <w:color w:val="auto"/>
        </w:rPr>
        <w:t>In October 2019, we completed the acquisition of one of our long-time, Taiwan-based bike manufacturing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Tonic Fitness Technology, Inc., or Tonic. The acquisition of Tonic reaffirms our investment in the continued growth of our core Bike business and our commitment to delivering the highest end-to-end value to our Members. We believe that having greater control over our supply chain will enable us to strengthen and scale production, increase innovation, and allow us to continue to deliver the highest quality connected fitness products in the market.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December 31,</w:t>
            </w:r>
          </w:p>
        </w:tc>
      </w:tr>
      <w:tr>
        <w:trPr>
          <w:trHeight w:val="250"/>
        </w:trPr>
        <w:tc>
          <w:tcPr>
            <w:tcW w:w="67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57"/>
        </w:trPr>
        <w:tc>
          <w:tcPr>
            <w:tcW w:w="6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Subscribers</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712,005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362,388</w:t>
            </w:r>
          </w:p>
        </w:tc>
      </w:tr>
      <w:tr>
        <w:trPr>
          <w:trHeight w:val="233"/>
        </w:trPr>
        <w:tc>
          <w:tcPr>
            <w:tcW w:w="678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0.74 %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0.52 %</w:t>
            </w:r>
          </w:p>
        </w:tc>
      </w:tr>
      <w:tr>
        <w:trPr>
          <w:trHeight w:val="25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w:t>
            </w:r>
          </w:p>
        </w:tc>
      </w:tr>
      <w:tr>
        <w:trPr>
          <w:trHeight w:val="233"/>
        </w:trPr>
        <w:tc>
          <w:tcPr>
            <w:tcW w:w="678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Subscriber</w:t>
            </w:r>
          </w:p>
        </w:tc>
        <w:tc>
          <w:tcPr>
            <w:tcW w:w="3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9.7</w:t>
            </w:r>
          </w:p>
        </w:tc>
      </w:tr>
      <w:tr>
        <w:trPr>
          <w:trHeight w:val="25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w:t>
            </w:r>
          </w:p>
        </w:tc>
      </w:tr>
      <w:tr>
        <w:trPr>
          <w:trHeight w:val="243"/>
        </w:trPr>
        <w:tc>
          <w:tcPr>
            <w:tcW w:w="678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20.1</w:t>
            </w: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r>
      <w:tr>
        <w:trPr>
          <w:trHeight w:val="243"/>
        </w:trPr>
        <w:tc>
          <w:tcPr>
            <w:tcW w:w="678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64.4 %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54.0 %</w:t>
            </w: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(55.1)</w:t>
            </w:r>
          </w:p>
        </w:tc>
      </w:tr>
      <w:tr>
        <w:trPr>
          <w:trHeight w:val="243"/>
        </w:trPr>
        <w:tc>
          <w:tcPr>
            <w:tcW w:w="678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(14.6)</w:t>
            </w: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ind w:left="500" w:right="40" w:hanging="6"/>
        <w:spacing w:after="0" w:line="230" w:lineRule="auto"/>
        <w:tabs>
          <w:tab w:leader="none" w:pos="689" w:val="left"/>
        </w:tabs>
        <w:numPr>
          <w:ilvl w:val="0"/>
          <w:numId w:val="14"/>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 in Part I, Item 2 of this Quarterly Report on Form 10-Q for a reconciliation of Subscription Gross Profit to Subscription Contribution and an explanation for why we consider Subscription Contribution to be a helpful metric for investors.</w:t>
      </w:r>
    </w:p>
    <w:p>
      <w:pPr>
        <w:spacing w:after="0" w:line="226" w:lineRule="exact"/>
        <w:rPr>
          <w:rFonts w:ascii="Arial" w:cs="Arial" w:eastAsia="Arial" w:hAnsi="Arial"/>
          <w:sz w:val="13"/>
          <w:szCs w:val="13"/>
          <w:color w:val="auto"/>
        </w:rPr>
      </w:pPr>
    </w:p>
    <w:p>
      <w:pPr>
        <w:ind w:left="500" w:right="140" w:hanging="6"/>
        <w:spacing w:after="0" w:line="230" w:lineRule="auto"/>
        <w:tabs>
          <w:tab w:leader="none" w:pos="689" w:val="left"/>
        </w:tabs>
        <w:numPr>
          <w:ilvl w:val="0"/>
          <w:numId w:val="14"/>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 in Part I, Item 2 of this Quarterly Report on Form 10-Q for a reconciliation of net loss to Adjusted EBITDA and an explanation for why we consider Adjusted EBITDA to be a helpful metric for investors.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Subscribers</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3" w:name="page24"/>
    <w:bookmarkEnd w:id="23"/>
    <w:p>
      <w:pPr>
        <w:jc w:val="both"/>
        <w:ind w:right="20"/>
        <w:spacing w:after="0" w:line="253" w:lineRule="auto"/>
        <w:rPr>
          <w:sz w:val="20"/>
          <w:szCs w:val="20"/>
          <w:color w:val="auto"/>
        </w:rPr>
      </w:pPr>
      <w:r>
        <w:rPr>
          <w:rFonts w:ascii="Arial" w:cs="Arial" w:eastAsia="Arial" w:hAnsi="Arial"/>
          <w:sz w:val="16"/>
          <w:szCs w:val="16"/>
          <w:color w:val="auto"/>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Subscriber</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The continued growth of our Connected Fitness Subscriber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21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“—Non-GAAP Financial Measures—Subscription Contribution and Subscription Contribution Margin” in Part I, Item 2 of this Quarterly Report on Form 10-Q for information regarding our use of Subscription Contribution and Subscription Contribution Margin and a reconciliation of Subscription Contribution to subscription gross profit.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21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050505"/>
        </w:rPr>
        <w:t>We calculate Adjusted EBITDA as net loss adjusted to exclude other income,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and the ground lease expense related to build-to-suit lease obligations. Adjusted EBITDA Margin is calculated by dividing Adjusted EBITDA by total revenue. See the section titled “</w:t>
      </w:r>
      <w:r>
        <w:rPr>
          <w:rFonts w:ascii="Arial" w:cs="Arial" w:eastAsia="Arial" w:hAnsi="Arial"/>
          <w:sz w:val="16"/>
          <w:szCs w:val="16"/>
          <w:color w:val="000000"/>
        </w:rPr>
        <w:t>—Non-GAAP Financial Measures</w:t>
      </w:r>
      <w:r>
        <w:rPr>
          <w:rFonts w:ascii="Arial" w:cs="Arial" w:eastAsia="Arial" w:hAnsi="Arial"/>
          <w:sz w:val="16"/>
          <w:szCs w:val="16"/>
          <w:color w:val="050505"/>
        </w:rPr>
        <w:t>—Adjusted EBITDA and Adjusted EBITDA Margin” in Part I, Item 2 of this Quarterly Report on Form 10-Q for information regarding our use of Adjusted EBITDA and a reconciliation of Adjusted EBITDA to net loss.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calculate Adjusted EBITDA as net loss adjusted to exclude: interest income, net; other income, net; provision for income taxes; depreciation and amortization expense; stock-based compensation expense; costs related to acquisitions; certain litigation expenses, consisting of legal settlements and related fees for specific proceedings that arise outside of the ordinary course of our business; and the ground lease expense related to build-to-suit lease obligations. Adjusted EBITDA Margin is calculated by dividing Adjusted EBITDA by total revenue.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8" w:lineRule="exact"/>
        <w:rPr>
          <w:sz w:val="20"/>
          <w:szCs w:val="20"/>
          <w:color w:val="auto"/>
        </w:rPr>
      </w:pPr>
    </w:p>
    <w:p>
      <w:pPr>
        <w:jc w:val="both"/>
        <w:ind w:left="660" w:hanging="328"/>
        <w:spacing w:after="0" w:line="25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interest expense, other (income) expense, net, and provision for income taxes that can vary substantially from company to company depending upon their financing, capital structures, and the method by which assets were acquired;</w:t>
      </w:r>
    </w:p>
    <w:p>
      <w:pPr>
        <w:sectPr>
          <w:pgSz w:w="11900" w:h="16838" w:orient="portrait"/>
          <w:cols w:equalWidth="0" w:num="1">
            <w:col w:w="11420"/>
          </w:cols>
          <w:pgMar w:left="240" w:top="466" w:right="239" w:bottom="1440" w:gutter="0" w:footer="0" w:header="0"/>
        </w:sectPr>
      </w:pP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24" w:name="page25"/>
    <w:bookmarkEnd w:id="24"/>
    <w:p>
      <w:pPr>
        <w:jc w:val="both"/>
        <w:ind w:left="660" w:hanging="328"/>
        <w:spacing w:after="0" w:line="24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3" w:lineRule="exact"/>
        <w:rPr>
          <w:sz w:val="20"/>
          <w:szCs w:val="20"/>
          <w:color w:val="auto"/>
        </w:rPr>
      </w:pPr>
    </w:p>
    <w:p>
      <w:pPr>
        <w:jc w:val="both"/>
        <w:ind w:left="660" w:right="2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arise outside of the ordinary course of our business;</w:t>
      </w:r>
    </w:p>
    <w:p>
      <w:pPr>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non-cash ground lease expense related to our new corporate headquarters lease whereby we are considered, for accounting purposes only, the owner of the construction project under current build-to-suit lease accounting;</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costs related to acquisitions; and</w:t>
      </w:r>
    </w:p>
    <w:p>
      <w:pPr>
        <w:spacing w:after="0" w:line="5"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60" w:type="dxa"/>
            <w:vAlign w:val="bottom"/>
            <w:gridSpan w:val="7"/>
          </w:tcPr>
          <w:p>
            <w:pPr>
              <w:ind w:left="400"/>
              <w:spacing w:after="0"/>
              <w:rPr>
                <w:sz w:val="20"/>
                <w:szCs w:val="20"/>
                <w:color w:val="auto"/>
              </w:rPr>
            </w:pPr>
            <w:r>
              <w:rPr>
                <w:rFonts w:ascii="Arial" w:cs="Arial" w:eastAsia="Arial" w:hAnsi="Arial"/>
                <w:sz w:val="16"/>
                <w:szCs w:val="16"/>
                <w:b w:val="1"/>
                <w:bCs w:val="1"/>
                <w:color w:val="auto"/>
              </w:rPr>
              <w:t>Three Months Ended December 31,</w:t>
            </w:r>
          </w:p>
        </w:tc>
        <w:tc>
          <w:tcPr>
            <w:tcW w:w="460" w:type="dxa"/>
            <w:vAlign w:val="bottom"/>
          </w:tcPr>
          <w:p>
            <w:pPr>
              <w:spacing w:after="0"/>
              <w:rPr>
                <w:sz w:val="22"/>
                <w:szCs w:val="22"/>
                <w:color w:val="auto"/>
              </w:rPr>
            </w:pPr>
          </w:p>
        </w:tc>
        <w:tc>
          <w:tcPr>
            <w:tcW w:w="314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gridSpan w:val="5"/>
          </w:tcPr>
          <w:p>
            <w:pPr>
              <w:jc w:val="right"/>
              <w:ind w:right="979"/>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loss </w:t>
            </w:r>
            <w:r>
              <w:rPr>
                <w:rFonts w:ascii="Arial" w:cs="Arial" w:eastAsia="Arial" w:hAnsi="Arial"/>
                <w:sz w:val="21"/>
                <w:szCs w:val="21"/>
                <w:color w:val="auto"/>
                <w:vertAlign w:val="superscript"/>
              </w:rPr>
              <w:t>(1)</w:t>
            </w:r>
          </w:p>
        </w:tc>
        <w:tc>
          <w:tcPr>
            <w:tcW w:w="11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costs</w:t>
            </w:r>
          </w:p>
        </w:tc>
        <w:tc>
          <w:tcPr>
            <w:tcW w:w="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Litigation expenses</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Ground lease expense related to build-to-</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suit obligations</w:t>
            </w:r>
          </w:p>
        </w:tc>
        <w:tc>
          <w:tcPr>
            <w:tcW w:w="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gridSpan w:val="2"/>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(49.4)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4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______________________</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4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440" w:type="dxa"/>
            <w:vAlign w:val="bottom"/>
            <w:gridSpan w:val="3"/>
          </w:tcPr>
          <w:p>
            <w:pPr>
              <w:ind w:left="160"/>
              <w:spacing w:after="0"/>
              <w:rPr>
                <w:sz w:val="20"/>
                <w:szCs w:val="20"/>
                <w:color w:val="auto"/>
              </w:rPr>
            </w:pPr>
            <w:r>
              <w:rPr>
                <w:rFonts w:ascii="Arial" w:cs="Arial" w:eastAsia="Arial" w:hAnsi="Arial"/>
                <w:sz w:val="13"/>
                <w:szCs w:val="13"/>
                <w:color w:val="auto"/>
              </w:rPr>
              <w:t>(1) Included in net loss are content costs for past use as follows: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7"/>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Three Months Ended December 31,</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112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w:t>
      </w:r>
    </w:p>
    <w:p>
      <w:pPr>
        <w:sectPr>
          <w:pgSz w:w="11900" w:h="16838" w:orient="portrait"/>
          <w:cols w:equalWidth="0" w:num="1">
            <w:col w:w="11420"/>
          </w:cols>
          <w:pgMar w:left="240" w:top="466"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25" w:name="page26"/>
    <w:bookmarkEnd w:id="25"/>
    <w:p>
      <w:pPr>
        <w:jc w:val="both"/>
        <w:ind w:left="500" w:hanging="6"/>
        <w:spacing w:after="0" w:line="239" w:lineRule="auto"/>
        <w:tabs>
          <w:tab w:leader="none" w:pos="69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2 and 15 for the three and six months ended December 31, 2019, respectively, and 86 and 137 for the three and six months ended December 31, 2018,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223" w:lineRule="exact"/>
        <w:rPr>
          <w:sz w:val="20"/>
          <w:szCs w:val="20"/>
          <w:color w:val="auto"/>
        </w:rPr>
      </w:pPr>
    </w:p>
    <w:p>
      <w:pPr>
        <w:jc w:val="both"/>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370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33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47"/>
        </w:trPr>
        <w:tc>
          <w:tcPr>
            <w:tcW w:w="32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gridSpan w:val="5"/>
          </w:tcPr>
          <w:p>
            <w:pPr>
              <w:ind w:left="68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Less: Cost of Subscription </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6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58.0 %</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57.1 %</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46.9 %</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4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____________________</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24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3"/>
          <w:szCs w:val="13"/>
          <w:color w:val="auto"/>
        </w:rPr>
        <w:t>(1) Included in cost of subscription are content costs for past use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480" w:type="dxa"/>
            <w:vAlign w:val="bottom"/>
          </w:tcPr>
          <w:p>
            <w:pPr>
              <w:spacing w:after="0"/>
              <w:rPr>
                <w:sz w:val="19"/>
                <w:szCs w:val="19"/>
                <w:color w:val="auto"/>
              </w:rPr>
            </w:pPr>
          </w:p>
        </w:tc>
        <w:tc>
          <w:tcPr>
            <w:tcW w:w="30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33"/>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jc w:val="both"/>
        <w:ind w:left="500" w:hanging="6"/>
        <w:spacing w:after="0" w:line="266" w:lineRule="auto"/>
        <w:tabs>
          <w:tab w:leader="none" w:pos="69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13 and 71 for the three and six months ended December 31, 2019, respectively, and 603 and 741 for the three and six months ended December 31, 2018, respectively.</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ectPr>
          <w:pgSz w:w="11900" w:h="16838" w:orient="portrait"/>
          <w:cols w:equalWidth="0" w:num="1">
            <w:col w:w="11420"/>
          </w:cols>
          <w:pgMar w:left="240" w:top="458"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type w:val="continuous"/>
        </w:sectPr>
      </w:pPr>
    </w:p>
    <w:bookmarkStart w:id="26" w:name="page27"/>
    <w:bookmarkEnd w:id="26"/>
    <w:p>
      <w:pPr>
        <w:jc w:val="both"/>
        <w:spacing w:after="0" w:line="253" w:lineRule="auto"/>
        <w:rPr>
          <w:sz w:val="20"/>
          <w:szCs w:val="20"/>
          <w:color w:val="auto"/>
        </w:rPr>
      </w:pPr>
      <w:r>
        <w:rPr>
          <w:rFonts w:ascii="Arial" w:cs="Arial" w:eastAsia="Arial" w:hAnsi="Arial"/>
          <w:sz w:val="16"/>
          <w:szCs w:val="16"/>
          <w:color w:val="auto"/>
        </w:rPr>
        <w:t>We operate and manage our business in three reportable segments: Connected Fitness Products, Subscription, and Other. We identify our reportable segments based on the information used by management to monitor performance and make operating decisions. See Note 15 of the notes to our condensed consolidated financial statements included in Part I, Item 1 of this Quarterly Report on Form 10-Q for additional information regarding our reportable segments.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 revenue consists of sales of our Bike and Tread and related accessories, associated fees for delivery and installation, and extended warranty agreements. Connected Fitness Product revenue is recognized at the time of delivery and is recorded net of returns and discounts and third-party financing program fees.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Digital Subscription. Subscription revenue also includes revenue generated from guests who pay to take a live class in one of our studios, which has been immaterial to date.</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December 31, 2019, 92% of our Connected Fitness Subscribers were paying month-to-month subscriptions. We will continue to see an impact to subscription revenue until November 2021 as the revenue under legacy prepaid subscriptions is earned ratably over the remaining service period, which extends up to 39 months from the initial date of subscription activation.</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Connected Fitness Subscriber owns both a Bike and a Tread in the same household, the price of the Subscription remains $39.00 monthly. As of December 31, 2019, approximately 3% of our Connected Fitness Subscribers owned both a Bike and a Tread.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revenue primarily consists of Peloton branded apparel.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cost of revenue consists primarily of apparel costs, as well as related warehousing and fulfillment costs.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all expenses related to Peloton Digital, our digital app.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net consists of interest (expense) income associated with our debt financing arrangements, amortization of debt issuance costs and interest income earned on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provision for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condensed consolidated results of operations in dollars and as a percentage of total revenue for the periods presented.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period-to-period comparisons of our historical results are not necessarily indicative of the results that may be expected in the future.</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36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December 31,</w:t>
            </w:r>
          </w:p>
        </w:tc>
        <w:tc>
          <w:tcPr>
            <w:tcW w:w="460" w:type="dxa"/>
            <w:vAlign w:val="bottom"/>
          </w:tcPr>
          <w:p>
            <w:pPr>
              <w:spacing w:after="0"/>
              <w:rPr>
                <w:sz w:val="19"/>
                <w:szCs w:val="19"/>
                <w:color w:val="auto"/>
              </w:rPr>
            </w:pPr>
          </w:p>
        </w:tc>
        <w:tc>
          <w:tcPr>
            <w:tcW w:w="31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50"/>
        </w:trPr>
        <w:tc>
          <w:tcPr>
            <w:tcW w:w="336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47"/>
        </w:trPr>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3360" w:type="dxa"/>
            <w:vAlign w:val="bottom"/>
          </w:tcPr>
          <w:p>
            <w:pPr>
              <w:ind w:left="20"/>
              <w:spacing w:after="0"/>
              <w:rPr>
                <w:sz w:val="20"/>
                <w:szCs w:val="20"/>
                <w:color w:val="auto"/>
              </w:rPr>
            </w:pPr>
            <w:r>
              <w:rPr>
                <w:rFonts w:ascii="Arial" w:cs="Arial" w:eastAsia="Arial" w:hAnsi="Arial"/>
                <w:sz w:val="16"/>
                <w:szCs w:val="16"/>
                <w:color w:val="auto"/>
              </w:rPr>
              <w:t>Revenue</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538.7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299.2</w:t>
            </w:r>
          </w:p>
        </w:tc>
      </w:tr>
      <w:tr>
        <w:trPr>
          <w:trHeight w:val="233"/>
        </w:trPr>
        <w:tc>
          <w:tcPr>
            <w:tcW w:w="336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1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69.1</w:t>
            </w:r>
          </w:p>
        </w:tc>
      </w:tr>
      <w:tr>
        <w:trPr>
          <w:trHeight w:val="246"/>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w:t>
            </w:r>
          </w:p>
        </w:tc>
      </w:tr>
      <w:tr>
        <w:trPr>
          <w:trHeight w:val="233"/>
        </w:trPr>
        <w:tc>
          <w:tcPr>
            <w:tcW w:w="336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11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375.0</w:t>
            </w:r>
          </w:p>
        </w:tc>
      </w:tr>
      <w:tr>
        <w:trPr>
          <w:trHeight w:val="28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336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1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168.8</w:t>
            </w:r>
          </w:p>
        </w:tc>
      </w:tr>
      <w:tr>
        <w:trPr>
          <w:trHeight w:val="253"/>
        </w:trPr>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Subscription </w:t>
            </w:r>
            <w:r>
              <w:rPr>
                <w:rFonts w:ascii="Arial" w:cs="Arial" w:eastAsia="Arial" w:hAnsi="Arial"/>
                <w:sz w:val="21"/>
                <w:szCs w:val="21"/>
                <w:color w:val="auto"/>
                <w:vertAlign w:val="superscript"/>
              </w:rPr>
              <w:t>(3)</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36.6</w:t>
            </w:r>
          </w:p>
        </w:tc>
      </w:tr>
      <w:tr>
        <w:trPr>
          <w:trHeight w:val="237"/>
        </w:trPr>
        <w:tc>
          <w:tcPr>
            <w:tcW w:w="33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w:t>
            </w:r>
          </w:p>
        </w:tc>
      </w:tr>
      <w:tr>
        <w:trPr>
          <w:trHeight w:val="237"/>
        </w:trPr>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392.1</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212.1</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162.9</w:t>
            </w:r>
          </w:p>
        </w:tc>
      </w:tr>
      <w:tr>
        <w:trPr>
          <w:trHeight w:val="28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120" w:type="dxa"/>
            <w:vAlign w:val="bottom"/>
          </w:tcPr>
          <w:p>
            <w:pPr>
              <w:spacing w:after="0"/>
              <w:rPr>
                <w:sz w:val="21"/>
                <w:szCs w:val="21"/>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145.0</w:t>
            </w: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105.4</w:t>
            </w:r>
          </w:p>
        </w:tc>
      </w:tr>
      <w:tr>
        <w:trPr>
          <w:trHeight w:val="243"/>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w:t>
            </w:r>
          </w:p>
        </w:tc>
      </w:tr>
      <w:tr>
        <w:trPr>
          <w:trHeight w:val="230"/>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operating expenses</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414.6</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274.4</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1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(111.5)</w:t>
            </w:r>
          </w:p>
        </w:tc>
      </w:tr>
      <w:tr>
        <w:trPr>
          <w:trHeight w:val="24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3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provision for income tax</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r>
      <w:tr>
        <w:trPr>
          <w:trHeight w:val="21"/>
        </w:trPr>
        <w:tc>
          <w:tcPr>
            <w:tcW w:w="3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(1) Includes stock-based compensation expense as follows:</w:t>
      </w:r>
    </w:p>
    <w:p>
      <w:pPr>
        <w:spacing w:after="0" w:line="4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36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December 31,</w:t>
            </w:r>
          </w:p>
        </w:tc>
        <w:tc>
          <w:tcPr>
            <w:tcW w:w="460" w:type="dxa"/>
            <w:vAlign w:val="bottom"/>
          </w:tcPr>
          <w:p>
            <w:pPr>
              <w:spacing w:after="0"/>
              <w:rPr>
                <w:sz w:val="19"/>
                <w:szCs w:val="19"/>
                <w:color w:val="auto"/>
              </w:rPr>
            </w:pPr>
          </w:p>
        </w:tc>
        <w:tc>
          <w:tcPr>
            <w:tcW w:w="31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50"/>
        </w:trPr>
        <w:tc>
          <w:tcPr>
            <w:tcW w:w="336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7"/>
        </w:trPr>
        <w:tc>
          <w:tcPr>
            <w:tcW w:w="3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33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53"/>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37"/>
        </w:trPr>
        <w:tc>
          <w:tcPr>
            <w:tcW w:w="3360" w:type="dxa"/>
            <w:vAlign w:val="bottom"/>
          </w:tcPr>
          <w:p>
            <w:pPr>
              <w:ind w:left="10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3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6.8</w:t>
            </w: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55.1</w:t>
            </w:r>
          </w:p>
        </w:tc>
      </w:tr>
      <w:tr>
        <w:trPr>
          <w:trHeight w:val="23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r>
      <w:tr>
        <w:trPr>
          <w:trHeight w:val="268"/>
        </w:trPr>
        <w:tc>
          <w:tcPr>
            <w:tcW w:w="3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stock-based compensation expense</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9" w:name="page30"/>
    <w:bookmarkEnd w:id="29"/>
    <w:tbl>
      <w:tblPr>
        <w:tblLayout w:type="fixed"/>
        <w:tblInd w:w="34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47"/>
        </w:trPr>
        <w:tc>
          <w:tcPr>
            <w:tcW w:w="3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53"/>
        </w:trPr>
        <w:tc>
          <w:tcPr>
            <w:tcW w:w="3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360" w:type="dxa"/>
            <w:vAlign w:val="bottom"/>
          </w:tcPr>
          <w:p>
            <w:pPr>
              <w:ind w:left="10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3"/>
        </w:trPr>
        <w:tc>
          <w:tcPr>
            <w:tcW w:w="3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depreciation and amortization</w:t>
            </w:r>
          </w:p>
        </w:tc>
        <w:tc>
          <w:tcPr>
            <w:tcW w:w="1160" w:type="dxa"/>
            <w:vAlign w:val="bottom"/>
            <w:tcBorders>
              <w:top w:val="single" w:sz="8" w:color="auto"/>
            </w:tcBorders>
            <w:vMerge w:val="restart"/>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vMerge w:val="restart"/>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17.2</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w:t>
      </w:r>
    </w:p>
    <w:p>
      <w:pPr>
        <w:ind w:left="500"/>
        <w:spacing w:after="0"/>
        <w:rPr>
          <w:sz w:val="20"/>
          <w:szCs w:val="20"/>
          <w:color w:val="auto"/>
        </w:rPr>
      </w:pPr>
      <w:r>
        <w:rPr>
          <w:rFonts w:ascii="Arial" w:cs="Arial" w:eastAsia="Arial" w:hAnsi="Arial"/>
          <w:sz w:val="13"/>
          <w:szCs w:val="13"/>
          <w:color w:val="auto"/>
        </w:rPr>
        <w:t>(3) Included in subscription cost of revenue are content costs for past use as follows:</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480" w:type="dxa"/>
            <w:vAlign w:val="bottom"/>
          </w:tcPr>
          <w:p>
            <w:pPr>
              <w:spacing w:after="0"/>
              <w:rPr>
                <w:sz w:val="19"/>
                <w:szCs w:val="19"/>
                <w:color w:val="auto"/>
              </w:rPr>
            </w:pPr>
          </w:p>
        </w:tc>
        <w:tc>
          <w:tcPr>
            <w:tcW w:w="30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Six Months Ended December 31,</w:t>
            </w:r>
          </w:p>
        </w:tc>
      </w:tr>
      <w:tr>
        <w:trPr>
          <w:trHeight w:val="237"/>
        </w:trPr>
        <w:tc>
          <w:tcPr>
            <w:tcW w:w="3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33"/>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Content costs for past use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r>
    </w:tbl>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Six Months Ended December 31,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December 31,</w:t>
            </w:r>
          </w:p>
        </w:tc>
        <w:tc>
          <w:tcPr>
            <w:tcW w:w="1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40" w:type="dxa"/>
            <w:vAlign w:val="bottom"/>
            <w:gridSpan w:val="4"/>
            <w:shd w:val="clear" w:color="auto" w:fill="CCEEFF"/>
          </w:tcPr>
          <w:p>
            <w:pPr>
              <w:ind w:left="540"/>
              <w:spacing w:after="0"/>
              <w:rPr>
                <w:sz w:val="20"/>
                <w:szCs w:val="20"/>
                <w:color w:val="auto"/>
              </w:rPr>
            </w:pPr>
            <w:r>
              <w:rPr>
                <w:rFonts w:ascii="Arial" w:cs="Arial" w:eastAsia="Arial" w:hAnsi="Arial"/>
                <w:sz w:val="16"/>
                <w:szCs w:val="16"/>
                <w:b w:val="1"/>
                <w:bCs w:val="1"/>
                <w:color w:val="auto"/>
              </w:rPr>
              <w:t>(dollars in millions)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381.1</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221.3</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rPr>
              <w:t>72.2%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538.7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299.2</w:t>
            </w:r>
          </w:p>
        </w:tc>
        <w:tc>
          <w:tcPr>
            <w:tcW w:w="1200" w:type="dxa"/>
            <w:vAlign w:val="bottom"/>
          </w:tcPr>
          <w:p>
            <w:pPr>
              <w:jc w:val="center"/>
              <w:ind w:right="5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1"/>
                <w:szCs w:val="21"/>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37.3</w:t>
            </w:r>
          </w:p>
        </w:tc>
        <w:tc>
          <w:tcPr>
            <w:tcW w:w="13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9"/>
              </w:rPr>
              <w:t>106.7%</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9"/>
              </w:rPr>
              <w:t>109.0%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w:t>
            </w:r>
          </w:p>
        </w:tc>
        <w:tc>
          <w:tcPr>
            <w:tcW w:w="1320" w:type="dxa"/>
            <w:vAlign w:val="bottom"/>
            <w:tcBorders>
              <w:bottom w:val="single" w:sz="8" w:color="CCEEFF"/>
            </w:tcBorders>
          </w:tcPr>
          <w:p>
            <w:pPr>
              <w:jc w:val="center"/>
              <w:ind w:right="139"/>
              <w:spacing w:after="0"/>
              <w:rPr>
                <w:sz w:val="20"/>
                <w:szCs w:val="20"/>
                <w:color w:val="auto"/>
              </w:rPr>
            </w:pPr>
            <w:r>
              <w:rPr>
                <w:rFonts w:ascii="Arial" w:cs="Arial" w:eastAsia="Arial" w:hAnsi="Arial"/>
                <w:sz w:val="16"/>
                <w:szCs w:val="16"/>
                <w:color w:val="auto"/>
              </w:rPr>
              <w:t>90.2%</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w:t>
            </w: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2"/>
                <w:szCs w:val="22"/>
                <w:color w:val="auto"/>
              </w:rPr>
            </w:pPr>
          </w:p>
        </w:tc>
        <w:tc>
          <w:tcPr>
            <w:tcW w:w="2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466.3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262.9</w:t>
            </w:r>
          </w:p>
        </w:tc>
        <w:tc>
          <w:tcPr>
            <w:tcW w:w="13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rPr>
              <w:t>77.4%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375.0</w:t>
            </w:r>
          </w:p>
        </w:tc>
        <w:tc>
          <w:tcPr>
            <w:tcW w:w="12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Percentage of revenue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4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40" w:type="dxa"/>
            <w:vAlign w:val="bottom"/>
          </w:tcPr>
          <w:p>
            <w:pPr>
              <w:spacing w:after="0"/>
              <w:rPr>
                <w:sz w:val="24"/>
                <w:szCs w:val="24"/>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81.7 %</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79.8 %</w:t>
            </w: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00" w:type="dxa"/>
            <w:vAlign w:val="bottom"/>
          </w:tcPr>
          <w:p>
            <w:pPr>
              <w:spacing w:after="0"/>
              <w:rPr>
                <w:sz w:val="22"/>
                <w:szCs w:val="22"/>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14.2</w:t>
            </w: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18.4</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3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0" w:type="dxa"/>
            <w:vAlign w:val="bottom"/>
          </w:tcPr>
          <w:p>
            <w:pPr>
              <w:ind w:left="3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Connected Fitness Products revenue for the three months ended December 31, 2019 increased $159.8 million, or 72.2%, compared to the three months ended December 31, 2018. This increase was primarily attributable to the significant growth in the number of Connected Fitness Products delivered during the period, which was the result of our growing brand and product awareness, as well as strong conversion from our Home Trial program. Investments in supply chain and our logistics platform, including our new self-scheduling tool, allowed us to shorten sales to delivery windows during the important holiday period, which resulted in greater number of deliveries in Q2 fiscal 2020, than in the prior year, where a larger proportion of holiday deliveries occurred during Q3 of fiscal 2019.</w:t>
      </w: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revenue for the three months ended December 31, 2019 increased $39.8 million, or 106.7%, compared to the three months ended December 31, 2018. This increase was primarily attributable to the year-over-year growth in our Connected Fitness Subscribers from 362,388 to 712,005. The growth of our Connected Fitness Subscribers was primarily driven by the increased number of Connected Fitness Products delivered during the period and our low Average Net Monthly Connected Fitness Churn of 0.74% for the three months ended December 31, 2019. We believe engagement is a leading indicator of retention. Our Member engagement continued to grow with 12.6 Average Monthly Workouts per</w:t>
      </w:r>
    </w:p>
    <w:p>
      <w:pPr>
        <w:sectPr>
          <w:pgSz w:w="11900" w:h="16838" w:orient="portrait"/>
          <w:cols w:equalWidth="0" w:num="1">
            <w:col w:w="11420"/>
          </w:cols>
          <w:pgMar w:left="240" w:top="500"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30" w:name="page31"/>
    <w:bookmarkEnd w:id="30"/>
    <w:p>
      <w:pPr>
        <w:jc w:val="both"/>
        <w:spacing w:after="0" w:line="253" w:lineRule="auto"/>
        <w:rPr>
          <w:sz w:val="20"/>
          <w:szCs w:val="20"/>
          <w:color w:val="auto"/>
        </w:rPr>
      </w:pPr>
      <w:r>
        <w:rPr>
          <w:rFonts w:ascii="Arial" w:cs="Arial" w:eastAsia="Arial" w:hAnsi="Arial"/>
          <w:sz w:val="16"/>
          <w:szCs w:val="16"/>
          <w:color w:val="auto"/>
        </w:rPr>
        <w:t>Connected Fitness Subscriber versus 9.7 Average Monthly Workouts per Connected Fitness Subscriber in the same period last year. Our Connected Fitness Subscribers worked out with Peloton 24.3 million times in the three months ended December 31, 2019, up from 9.3 million workouts in the same period last year, representing 160.8% year-over-year growth.</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for the three months ended December 31, 2019 increased $3.8 million, or 90.2%, compared to the three months ended December 31, 2018. The increase was attributable to the growth of our branded apparel sales, driven by our growing member base and expanded retail showroom footprint year over year.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revenue for the six months ended December 31, 2019 increased $239.5 million, or 80.0%, compared to the six months ended December 31, 2018. This increase was primarily attributable to the significant growth in number of Connected Fitness Products delivered during the period, which was the result of our growing brand and product awareness, as well as strong conversion from our Home Trial program, and, to a lesser extent, as a result of the launch of Tread and our entry into our first international market, both of which occurred late in the first quarter of fiscal 2019.</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Subscription revenue for the six months ended December 31, 2019 increased $75.3 million, or 109.0%, compared to the six months ended December 31, 2018. This increase was primarily attributable to the growth in our Connected Fitness Subscribers from 362,388 to 712,005 year over year. The growth of our Connected Fitness Subscribers was primarily driven by the increased number of Connected Fitness Products delivered during the period and our low Average Net Monthly Connected Fitness Churn of 0.81% for the six months ended December 31, 2019.</w:t>
      </w:r>
    </w:p>
    <w:p>
      <w:pPr>
        <w:spacing w:after="0" w:line="23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Other revenue for the six months ended December 31, 2019 increased $4.5 million, or 67.5%, compared to the six months ended December 31, 2018. The increase was attributable to the growth of our branded apparel sales, driven by our growing member base and expanded retail showroom footprint year over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30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0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126.5</w:t>
            </w:r>
          </w:p>
        </w:tc>
        <w:tc>
          <w:tcPr>
            <w:tcW w:w="1200" w:type="dxa"/>
            <w:vAlign w:val="bottom"/>
          </w:tcPr>
          <w:p>
            <w:pPr>
              <w:jc w:val="center"/>
              <w:ind w:right="59"/>
              <w:spacing w:after="0"/>
              <w:rPr>
                <w:sz w:val="20"/>
                <w:szCs w:val="20"/>
                <w:color w:val="auto"/>
              </w:rPr>
            </w:pPr>
            <w:r>
              <w:rPr>
                <w:rFonts w:ascii="Arial" w:cs="Arial" w:eastAsia="Arial" w:hAnsi="Arial"/>
                <w:sz w:val="16"/>
                <w:szCs w:val="16"/>
                <w:color w:val="auto"/>
              </w:rPr>
              <w:t>79.1%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316.5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168.8</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53"/>
        </w:trPr>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w:t>
            </w: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59.4%</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36.6</w:t>
            </w:r>
          </w:p>
        </w:tc>
        <w:tc>
          <w:tcPr>
            <w:tcW w:w="12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4.6</w:t>
            </w: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9"/>
              </w:rPr>
              <w:t>116.1%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w:t>
            </w:r>
          </w:p>
        </w:tc>
        <w:tc>
          <w:tcPr>
            <w:tcW w:w="120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w w:val="99"/>
              </w:rPr>
              <w:t>102.4%</w:t>
            </w:r>
          </w:p>
        </w:tc>
        <w:tc>
          <w:tcPr>
            <w:tcW w:w="0" w:type="dxa"/>
            <w:vAlign w:val="bottom"/>
          </w:tcPr>
          <w:p>
            <w:pPr>
              <w:spacing w:after="0"/>
              <w:rPr>
                <w:sz w:val="1"/>
                <w:szCs w:val="1"/>
                <w:color w:val="auto"/>
              </w:rPr>
            </w:pPr>
          </w:p>
        </w:tc>
      </w:tr>
      <w:tr>
        <w:trPr>
          <w:trHeight w:val="268"/>
        </w:trPr>
        <w:tc>
          <w:tcPr>
            <w:tcW w:w="2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151.5</w:t>
            </w:r>
          </w:p>
        </w:tc>
        <w:tc>
          <w:tcPr>
            <w:tcW w:w="12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rPr>
              <w:t>77.6%</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212.1</w:t>
            </w:r>
          </w:p>
        </w:tc>
        <w:tc>
          <w:tcPr>
            <w:tcW w:w="120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Connected Fitness Products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94.8</w:t>
            </w: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62.9%</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130.5</w:t>
            </w:r>
          </w:p>
        </w:tc>
        <w:tc>
          <w:tcPr>
            <w:tcW w:w="12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3"/>
        </w:trPr>
        <w:tc>
          <w:tcPr>
            <w:tcW w:w="2400" w:type="dxa"/>
            <w:vAlign w:val="bottom"/>
          </w:tcPr>
          <w:p>
            <w:pPr>
              <w:ind w:left="100"/>
              <w:spacing w:after="0"/>
              <w:rPr>
                <w:sz w:val="20"/>
                <w:szCs w:val="20"/>
                <w:color w:val="auto"/>
              </w:rPr>
            </w:pPr>
            <w:r>
              <w:rPr>
                <w:rFonts w:ascii="Arial" w:cs="Arial" w:eastAsia="Arial" w:hAnsi="Arial"/>
                <w:sz w:val="16"/>
                <w:szCs w:val="16"/>
                <w:color w:val="auto"/>
              </w:rPr>
              <w:t>Subscription</w:t>
            </w:r>
          </w:p>
        </w:tc>
        <w:tc>
          <w:tcPr>
            <w:tcW w:w="12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17.0</w:t>
            </w: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9"/>
              </w:rPr>
              <w:t>163.3%</w:t>
            </w:r>
          </w:p>
        </w:tc>
        <w:tc>
          <w:tcPr>
            <w:tcW w:w="180" w:type="dxa"/>
            <w:vAlign w:val="bottom"/>
          </w:tcPr>
          <w:p>
            <w:pPr>
              <w:spacing w:after="0"/>
              <w:rPr>
                <w:sz w:val="20"/>
                <w:szCs w:val="20"/>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32.4</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99"/>
              </w:rPr>
              <w:t>154.1%</w:t>
            </w:r>
          </w:p>
        </w:tc>
        <w:tc>
          <w:tcPr>
            <w:tcW w:w="0" w:type="dxa"/>
            <w:vAlign w:val="bottom"/>
          </w:tcPr>
          <w:p>
            <w:pPr>
              <w:spacing w:after="0"/>
              <w:rPr>
                <w:sz w:val="1"/>
                <w:szCs w:val="1"/>
                <w:color w:val="auto"/>
              </w:rPr>
            </w:pPr>
          </w:p>
        </w:tc>
      </w:tr>
      <w:tr>
        <w:trPr>
          <w:trHeight w:val="246"/>
        </w:trPr>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(368.3)%</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2400" w:type="dxa"/>
            <w:vAlign w:val="bottom"/>
          </w:tcPr>
          <w:p>
            <w:pPr>
              <w:ind w:left="200"/>
              <w:spacing w:after="0"/>
              <w:rPr>
                <w:sz w:val="20"/>
                <w:szCs w:val="20"/>
                <w:color w:val="auto"/>
              </w:rPr>
            </w:pPr>
            <w:r>
              <w:rPr>
                <w:rFonts w:ascii="Arial" w:cs="Arial" w:eastAsia="Arial" w:hAnsi="Arial"/>
                <w:sz w:val="16"/>
                <w:szCs w:val="16"/>
                <w:color w:val="auto"/>
              </w:rPr>
              <w:t>Total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111.3</w:t>
            </w:r>
          </w:p>
        </w:tc>
        <w:tc>
          <w:tcPr>
            <w:tcW w:w="1200" w:type="dxa"/>
            <w:vAlign w:val="bottom"/>
          </w:tcPr>
          <w:p>
            <w:pPr>
              <w:jc w:val="center"/>
              <w:ind w:right="59"/>
              <w:spacing w:after="0"/>
              <w:rPr>
                <w:sz w:val="20"/>
                <w:szCs w:val="20"/>
                <w:color w:val="auto"/>
              </w:rPr>
            </w:pPr>
            <w:r>
              <w:rPr>
                <w:rFonts w:ascii="Arial" w:cs="Arial" w:eastAsia="Arial" w:hAnsi="Arial"/>
                <w:sz w:val="16"/>
                <w:szCs w:val="16"/>
                <w:color w:val="auto"/>
              </w:rPr>
              <w:t>77.1%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302.2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162.9</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400" w:type="dxa"/>
            <w:vAlign w:val="bottom"/>
          </w:tcPr>
          <w:p>
            <w:pPr>
              <w:ind w:left="10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40.5 %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42.8 %</w:t>
            </w: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43.6 %</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Subscription</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400" w:type="dxa"/>
            <w:vAlign w:val="bottom"/>
          </w:tcPr>
          <w:p>
            <w:pPr>
              <w:ind w:left="10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_______________________________</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*NM - not meaningful</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 cost of revenue for the three months ended December 31, 2019 increased $100.1 million, or 79.1%, compared to three months ended December 31, 2018. This increase was primarily driven by costs associated with the growth in the number of Connected Fitness Products delivered during the period.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decreased slightly for the three months ended December 31, 2019 compared to the three months ended December 31, 2018 primarily due to the increasing mix of deliveries of Tread which currently carry a lower gross margin than our Bike, and continued investments in our logistics platform to support our growth, slightly offset by continued improvements in our product costs.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cost of revenue for the three months ended December 31, 2019 increased $12.1 million, or 59.4%, compared to three months ended December 31, 2018. This increase was primarily driven by an increase of $7.5 million in music royalty and streaming delivery fees driven by increased usage of our platform, an increase of $3.1 million in personnel-related expenses excluding stock-based compensation expense, an increase of $1.2 million in depreciation and amortization expense, an increase of $1.0 million in payment processing fees for our monthly subscription billing, and an increase of $0.7 million in content production costs. The increase was partially offset by a decrease of $2.2 million in content costs for past use.</w:t>
      </w:r>
    </w:p>
    <w:p>
      <w:pPr>
        <w:sectPr>
          <w:pgSz w:w="11900" w:h="16838" w:orient="portrait"/>
          <w:cols w:equalWidth="0" w:num="1">
            <w:col w:w="11420"/>
          </w:cols>
          <w:pgMar w:left="240" w:top="466"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31" w:name="page32"/>
    <w:bookmarkEnd w:id="31"/>
    <w:p>
      <w:pPr>
        <w:jc w:val="both"/>
        <w:spacing w:after="0" w:line="260" w:lineRule="auto"/>
        <w:rPr>
          <w:sz w:val="20"/>
          <w:szCs w:val="20"/>
          <w:color w:val="auto"/>
        </w:rPr>
      </w:pPr>
      <w:r>
        <w:rPr>
          <w:rFonts w:ascii="Arial" w:cs="Arial" w:eastAsia="Arial" w:hAnsi="Arial"/>
          <w:sz w:val="16"/>
          <w:szCs w:val="16"/>
          <w:color w:val="auto"/>
        </w:rPr>
        <w:t>Subscription gross margin increased by 1,247 basis points from the three months ended December 31, 2018 to the three months ended December 31, 2019 primarily driven by a $2.2 million benefit from lower content costs for past use year-over-year.</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cost of revenue for the three months ended December 31, 2019 increased $5.4 million, or 116.1%, compared to the three months ended December 31, 2018. This increase was primarily attributable to the growth of our branded apparel sales during the period.</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gross margin decreased during the three months ended December 31, 2019 compared to the three months ended December 31, 2018 due to an increase in our inventory obsolescence reserve and the impact of sales discounts offered in our referral program.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 cost of revenue for the six months ended December 31, 2019 increased $147.7 million, or 87.5%, compared to the six months ended December 31, 2018. The increase was primarily driven by costs associated with the growth in the number of Connected Fitness Products delivered during the period.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decreased slightly for the six months ended December 31, 2019 compared to the six months ended December 31, 2018 due to the increasing mix of deliveries of Tread which currently has a lower gross margin than our Bike, and the expansion of our field operations delivery program to support our growth.</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Subscription cost of revenue for the six months ended December 31, 2019 increased $25.3 million, or 69.0%, compared to the six months ended December 31, 2018. This increase was primarily driven by an increase of $14.4 million in music royalty and streaming delivery fees driven by increased usage of our platform, an increase of $5.9 million in personnel-related expenses excluding stock-based compensation expense, an increase of $3.0 million in depreciation and amortization expense, an increase of $2.1 million in payment processing fees for our monthly subscription billing, an increase of $1.9 million in occupancy costs associated with lease commencements for our two production studios in New York City and London, and an increase of $1.4 million in content production costs. The increase was partially offset by a decrease of $4.1 million in content costs for past use.</w:t>
      </w: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Subscription gross margin increased by 1,014 basis points from the six months ended December 31, 2019 to the six months ended December 31, 2018 primarily driven by a $4.1 million benefit from lower content costs for past use year-over-year. This benefit was offset by year-over-year total studio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6"/>
                <w:szCs w:val="16"/>
                <w:i w:val="1"/>
                <w:iCs w:val="1"/>
                <w:color w:val="auto"/>
              </w:rPr>
              <w:t>Sales and Marketing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Borders>
              <w:bottom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20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160.5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99.5</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61.2%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238.1</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145.0</w:t>
            </w:r>
          </w:p>
        </w:tc>
        <w:tc>
          <w:tcPr>
            <w:tcW w:w="1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64.2%</w:t>
            </w:r>
          </w:p>
        </w:tc>
      </w:tr>
      <w:tr>
        <w:trPr>
          <w:trHeight w:val="251"/>
        </w:trPr>
        <w:tc>
          <w:tcPr>
            <w:tcW w:w="34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34.4 %</w:t>
            </w:r>
          </w:p>
        </w:tc>
        <w:tc>
          <w:tcPr>
            <w:tcW w:w="36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37.9 %</w:t>
            </w: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34.3 %</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38.7 %</w:t>
            </w:r>
          </w:p>
        </w:tc>
        <w:tc>
          <w:tcPr>
            <w:tcW w:w="1200" w:type="dxa"/>
            <w:vAlign w:val="bottom"/>
          </w:tcPr>
          <w:p>
            <w:pPr>
              <w:spacing w:after="0"/>
              <w:rPr>
                <w:sz w:val="21"/>
                <w:szCs w:val="2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Sales and marketing expense for the three months ended December 31, 2019 increased $61.0 million, or 61.2%, compared to the three months ended December 31, 2018. The increase was due primarily to increased spending on advertising and marketing programs of $49.4 million, an increase in personnel-related expenses of $7.2 million, excluding stock-based compensation expense, due to increased headcount, an increase in payment processing fees of $1.9 million, an increase in depreciation and amortization expense of $1.3 million, and an increase in expenses related to our showrooms and microstores of $0.7 million. This increase was partially offset by a decrease in stock-based compensation expense of $0.7 million driven by a $2.3 million charge in the three months ended December 31, 2018 related to a cash tender offer pursuant to which we repurchased shares of our outstanding common stock and convertible preferred stock from existing stockholders, or the Series F Tender Offer.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for the six months ended December 31, 2019 increased $93.1 million, or 64.2%, compared to the six months ended December 31, 2018. The increase was due primarily to increased spending on advertising and marketing programs of $71.4 million, an increase in personnel-related expenses of $14.0 million, excluding stock-based compensation expense, due to increased headcount, an increase in expenses related to our showrooms and microstores of $3.9 million, an increase in payment processing fees of $2.6 million, and an increase in depreciation and amortization expense $2.4 million. This increase was partially offset by a decrease in stock-based compensation expense of $3.2 million driven by a $6.3 million charge in the six months ended December 31, 2018 related to the Series F Tender Offer.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ectPr>
          <w:pgSz w:w="11900" w:h="16838" w:orient="portrait"/>
          <w:cols w:equalWidth="0" w:num="1">
            <w:col w:w="11420"/>
          </w:cols>
          <w:pgMar w:left="240" w:top="466"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32" w:name="page33"/>
    <w:bookmarkEnd w:id="32"/>
    <w:tbl>
      <w:tblPr>
        <w:tblLayout w:type="fixed"/>
        <w:tblInd w:w="34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180" w:type="dxa"/>
            <w:vAlign w:val="bottom"/>
          </w:tcPr>
          <w:p>
            <w:pPr>
              <w:spacing w:after="0"/>
              <w:rPr>
                <w:sz w:val="19"/>
                <w:szCs w:val="19"/>
                <w:color w:val="auto"/>
              </w:rPr>
            </w:pPr>
          </w:p>
        </w:tc>
      </w:tr>
      <w:tr>
        <w:trPr>
          <w:trHeight w:val="250"/>
        </w:trPr>
        <w:tc>
          <w:tcPr>
            <w:tcW w:w="2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r>
      <w:tr>
        <w:trPr>
          <w:trHeight w:val="247"/>
        </w:trPr>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(dollars in millions)</w:t>
            </w: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3"/>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77.5</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55.4</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40.0%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138.5</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105.4</w:t>
            </w:r>
          </w:p>
        </w:tc>
        <w:tc>
          <w:tcPr>
            <w:tcW w:w="1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31.4%</w:t>
            </w:r>
          </w:p>
        </w:tc>
      </w:tr>
      <w:tr>
        <w:trPr>
          <w:trHeight w:val="25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40" w:type="dxa"/>
            <w:vAlign w:val="bottom"/>
          </w:tcPr>
          <w:p>
            <w:pPr>
              <w:spacing w:after="0"/>
              <w:rPr>
                <w:sz w:val="21"/>
                <w:szCs w:val="21"/>
                <w:color w:val="auto"/>
              </w:rPr>
            </w:pPr>
          </w:p>
        </w:tc>
        <w:tc>
          <w:tcPr>
            <w:tcW w:w="1360" w:type="dxa"/>
            <w:vAlign w:val="bottom"/>
          </w:tcPr>
          <w:p>
            <w:pPr>
              <w:ind w:left="780"/>
              <w:spacing w:after="0"/>
              <w:rPr>
                <w:sz w:val="20"/>
                <w:szCs w:val="20"/>
                <w:color w:val="auto"/>
              </w:rPr>
            </w:pPr>
            <w:r>
              <w:rPr>
                <w:rFonts w:ascii="Arial" w:cs="Arial" w:eastAsia="Arial" w:hAnsi="Arial"/>
                <w:sz w:val="16"/>
                <w:szCs w:val="16"/>
                <w:color w:val="auto"/>
              </w:rPr>
              <w:t>16.6 %</w:t>
            </w:r>
          </w:p>
        </w:tc>
        <w:tc>
          <w:tcPr>
            <w:tcW w:w="36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6"/>
                <w:szCs w:val="16"/>
                <w:color w:val="auto"/>
              </w:rPr>
              <w:t>21.1 %</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19.9 %</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28.1 %</w:t>
            </w:r>
          </w:p>
        </w:tc>
        <w:tc>
          <w:tcPr>
            <w:tcW w:w="1180" w:type="dxa"/>
            <w:vAlign w:val="bottom"/>
          </w:tcPr>
          <w:p>
            <w:pPr>
              <w:spacing w:after="0"/>
              <w:rPr>
                <w:sz w:val="21"/>
                <w:szCs w:val="2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 and administrative expense for the three months ended December 31, 2019 increased $22.2 million, or 40.0%, compared to the three months ended December 31, 2018. The increase was primarily due to an increase in personnel-related expenses of $13.5 million, excluding stock-based compensation expense, due to increased headcount, an increase in professional fees, comprised of legal, accounting, and consulting fees of $9.0 million, an increase in facilities costs from additional leased spaces of $7.8 million driven by our new New York City headquarters of which we took possession of in August 2019, an increase associated with business operations and public company costs of $3.2 million, an increase in depreciation and amortization expense of $2.0 million, and additional costs due to system implementations of $1.0 million. This increase was partially offset by a decrease in stock-based compensation expense of $15.6 million driven by a $24.4 million charge in the three months ended December 31, 2018 related to the Series F Tender Offer.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 and administrative expense for the six months ended December 31, 2019 increased $33.1 million, or 31.4%, compared to the six months ended December 31, 2018. This increase was primarily due to an increase in personnel-related expenses of $22.6 million, excluding stock-based compensation expense, due to increased headcount, an increase in professional fees, comprised of legal, accounting, and consulting fees of $16.5 million, an increase in facilities costs from additional leased spaces of $13.3 million driven by our new New York City headquarters of which we took possession of in August 2019, an increase associated with business operations and public company costs of $5.3 million, additional costs due to system implementations of $2.3 million, and an increase in depreciation and amortization expense of $1.6 million. This increase was partially offset by a decrease in stock-based compensation expense of $30.4 million driven by a $50.6 million charge in the six months ended December 31, 2018 related to the Series F Tender Offer.</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60" w:type="dxa"/>
            <w:vAlign w:val="bottom"/>
            <w:gridSpan w:val="2"/>
          </w:tcPr>
          <w:p>
            <w:pPr>
              <w:spacing w:after="0"/>
              <w:rPr>
                <w:sz w:val="20"/>
                <w:szCs w:val="20"/>
                <w:color w:val="auto"/>
              </w:rPr>
            </w:pPr>
            <w:r>
              <w:rPr>
                <w:rFonts w:ascii="Arial" w:cs="Arial" w:eastAsia="Arial" w:hAnsi="Arial"/>
                <w:sz w:val="16"/>
                <w:szCs w:val="16"/>
                <w:i w:val="1"/>
                <w:iCs w:val="1"/>
                <w:color w:val="auto"/>
              </w:rPr>
              <w:t>Research and Development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6"/>
                <w:szCs w:val="16"/>
                <w:b w:val="1"/>
                <w:bCs w:val="1"/>
                <w:color w:val="auto"/>
              </w:rPr>
              <w:t>Six Months Ended December 31,</w:t>
            </w:r>
          </w:p>
        </w:tc>
        <w:tc>
          <w:tcPr>
            <w:tcW w:w="120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(dollars in millions)</w:t>
            </w: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340" w:type="dxa"/>
            <w:vAlign w:val="bottom"/>
          </w:tcPr>
          <w:p>
            <w:pPr>
              <w:spacing w:after="0"/>
              <w:rPr>
                <w:sz w:val="23"/>
                <w:szCs w:val="2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66.7%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24.0</w:t>
            </w:r>
          </w:p>
        </w:tc>
        <w:tc>
          <w:tcPr>
            <w:tcW w:w="1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58.9%</w:t>
            </w:r>
          </w:p>
        </w:tc>
      </w:tr>
      <w:tr>
        <w:trPr>
          <w:trHeight w:val="251"/>
        </w:trPr>
        <w:tc>
          <w:tcPr>
            <w:tcW w:w="340" w:type="dxa"/>
            <w:vAlign w:val="bottom"/>
          </w:tcPr>
          <w:p>
            <w:pPr>
              <w:spacing w:after="0"/>
              <w:rPr>
                <w:sz w:val="21"/>
                <w:szCs w:val="21"/>
                <w:color w:val="auto"/>
              </w:rPr>
            </w:pPr>
          </w:p>
        </w:tc>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4.4 %</w:t>
            </w:r>
          </w:p>
        </w:tc>
        <w:tc>
          <w:tcPr>
            <w:tcW w:w="3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6.4 %</w:t>
            </w:r>
          </w:p>
        </w:tc>
        <w:tc>
          <w:tcPr>
            <w:tcW w:w="1200" w:type="dxa"/>
            <w:vAlign w:val="bottom"/>
          </w:tcPr>
          <w:p>
            <w:pPr>
              <w:spacing w:after="0"/>
              <w:rPr>
                <w:sz w:val="21"/>
                <w:szCs w:val="2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for the three months ended December 31, 2019 increased $8.3 million, or 66.7%, compared to the three months ended December 31, 2018. This increase was due primarily to an increase in personnel-related expenses, which, excluding stock-based compensation expense, increased $4.7 million, due to increased headcount, an increase of $1.4 million in product development and research costs associated with development of new software features and products, an increase in stock-based compensation expense of $0.6 million, an increase in software expenses of $0.6 million, and an increase of $0.5 million in rent and occupancy due to new research and development-focused real estate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for the six months ended December 31, 2019 increased $14.1 million, or 58.9%, compared to the six months ended December 31, 2018. This increase was due primarily to an increase in personnel-related expenses, which, excluding stock-based compensation expense, increased $10.4 million, due to increased headcount, an increase of $2.0 million in product development and research costs associated with development of new software features and products, an increase in software expense of $0.9 million, and an increase of $0.6 million in rent and occupancy due to new research and development-focused real estate facilities.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gridSpan w:val="4"/>
          </w:tcPr>
          <w:p>
            <w:pPr>
              <w:jc w:val="right"/>
              <w:ind w:right="259"/>
              <w:spacing w:after="0"/>
              <w:rPr>
                <w:sz w:val="20"/>
                <w:szCs w:val="20"/>
                <w:color w:val="auto"/>
              </w:rPr>
            </w:pPr>
            <w:r>
              <w:rPr>
                <w:rFonts w:ascii="Arial" w:cs="Arial" w:eastAsia="Arial" w:hAnsi="Arial"/>
                <w:sz w:val="16"/>
                <w:szCs w:val="16"/>
                <w:b w:val="1"/>
                <w:bCs w:val="1"/>
                <w:i w:val="1"/>
                <w:iCs w:val="1"/>
                <w:color w:val="auto"/>
              </w:rPr>
              <w:t>Other Income, Net and Provision for Income Taxes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1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80" w:type="dxa"/>
            <w:vAlign w:val="bottom"/>
          </w:tcPr>
          <w:p>
            <w:pPr>
              <w:spacing w:after="0"/>
              <w:rPr>
                <w:sz w:val="24"/>
                <w:szCs w:val="24"/>
                <w:color w:val="auto"/>
              </w:rPr>
            </w:pPr>
          </w:p>
        </w:tc>
        <w:tc>
          <w:tcPr>
            <w:tcW w:w="27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220" w:type="dxa"/>
            <w:vAlign w:val="bottom"/>
          </w:tcPr>
          <w:p>
            <w:pPr>
              <w:spacing w:after="0"/>
              <w:rPr>
                <w:sz w:val="24"/>
                <w:szCs w:val="24"/>
                <w:color w:val="auto"/>
              </w:rPr>
            </w:pPr>
          </w:p>
        </w:tc>
      </w:tr>
      <w:tr>
        <w:trPr>
          <w:trHeight w:val="250"/>
        </w:trPr>
        <w:tc>
          <w:tcPr>
            <w:tcW w:w="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47"/>
        </w:trPr>
        <w:tc>
          <w:tcPr>
            <w:tcW w:w="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NM</w:t>
            </w:r>
          </w:p>
        </w:tc>
      </w:tr>
      <w:tr>
        <w:trPr>
          <w:trHeight w:val="224"/>
        </w:trPr>
        <w:tc>
          <w:tcPr>
            <w:tcW w:w="34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NM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rPr>
              <w:t>NM</w:t>
            </w:r>
          </w:p>
        </w:tc>
      </w:tr>
    </w:tbl>
    <w:p>
      <w:pPr>
        <w:spacing w:after="0" w:line="200" w:lineRule="exact"/>
        <w:rPr>
          <w:sz w:val="20"/>
          <w:szCs w:val="20"/>
          <w:color w:val="auto"/>
        </w:rPr>
      </w:pPr>
    </w:p>
    <w:p>
      <w:pPr>
        <w:sectPr>
          <w:pgSz w:w="11900" w:h="16838" w:orient="portrait"/>
          <w:cols w:equalWidth="0" w:num="1">
            <w:col w:w="11420"/>
          </w:cols>
          <w:pgMar w:left="240" w:top="500" w:right="239"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2019 and 2018</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was $5.7 million for the three months ended December 31, 2019 compared to $0.9 million for the three months ended December 31, 2018.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other income, net, was primarily due to an increase of $4.7 million in interest earned on cash, cash equivalents, and short-term investments.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2019 and 2018</w:t>
      </w: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Other income, net, was $6.9 million for the six months ended December 31, 2019 compared to $1.9 million for the six months ended December 31, 2018. The increase in other income, net, was primarily due to an increase of $5.4 million in interest earned on cash, cash equivalents, and short-term investments, partially offset by an increase of $0.5 million in interest expense incurred under Amended Credit Agreement, and the associated amortization of deferred financing costs.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operations have been financed primarily through cash flow from operating activities and net proceeds from the sales of our stock. As of December 31, 2019, we had cash and cash equivalents of approximately $532.8 million and marketable securities $954.3 million. In September 2019, we completed our IPO and a concurrent private placement, in which we issued and sold an aggregate of 43,448,275 shares of our Class A common stock. The price per share to the public in the IPO and in the concurrent private placement was $29.00. We received aggregate net proceeds of $1.2 billion from the IPO and the concurrent private placement, net of the underwriting discounts and before deducting offering costs of approximately $6.3 million.</w:t>
      </w:r>
    </w:p>
    <w:p>
      <w:pPr>
        <w:spacing w:after="0" w:line="200" w:lineRule="exact"/>
        <w:rPr>
          <w:sz w:val="20"/>
          <w:szCs w:val="20"/>
          <w:color w:val="auto"/>
        </w:rPr>
      </w:pP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Connected Fitness Product introductions, market acceptance of our Connected Fitness Products, and overall economic conditions. Further, we may use cash to satisfy exercise payments and/or tax withholdings in connection with the settlement of equity awards.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June 2019, we entered into the Amended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December 31, 2019, we had not drawn on the credit facility and did not have outstanding borrowings under the Amended Credit Agreement. As of December 31, 2019, we had outstanding letters of credit totaling $4.8 million issued primarily to cover security deposits for an operating lease obligation.</w:t>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3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 December 31,</w:t>
            </w:r>
          </w:p>
        </w:tc>
      </w:tr>
      <w:tr>
        <w:trPr>
          <w:trHeight w:val="250"/>
        </w:trPr>
        <w:tc>
          <w:tcPr>
            <w:tcW w:w="3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47"/>
        </w:trPr>
        <w:tc>
          <w:tcPr>
            <w:tcW w:w="3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1"/>
                <w:szCs w:val="21"/>
                <w:color w:val="auto"/>
              </w:rPr>
            </w:pPr>
          </w:p>
        </w:tc>
      </w:tr>
      <w:tr>
        <w:trPr>
          <w:trHeight w:val="253"/>
        </w:trPr>
        <w:tc>
          <w:tcPr>
            <w:tcW w:w="340" w:type="dxa"/>
            <w:vAlign w:val="bottom"/>
          </w:tcPr>
          <w:p>
            <w:pPr>
              <w:spacing w:after="0"/>
              <w:rPr>
                <w:sz w:val="21"/>
                <w:szCs w:val="21"/>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operating activities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w:t>
            </w:r>
          </w:p>
        </w:tc>
      </w:tr>
      <w:tr>
        <w:trPr>
          <w:trHeight w:val="233"/>
        </w:trPr>
        <w:tc>
          <w:tcPr>
            <w:tcW w:w="34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0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(870.8)</w:t>
            </w: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53"/>
        </w:trPr>
        <w:tc>
          <w:tcPr>
            <w:tcW w:w="340" w:type="dxa"/>
            <w:vAlign w:val="bottom"/>
          </w:tcPr>
          <w:p>
            <w:pPr>
              <w:spacing w:after="0"/>
              <w:rPr>
                <w:sz w:val="21"/>
                <w:szCs w:val="21"/>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financing activities</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1,201.9</w:t>
            </w: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410.5</w:t>
            </w: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i w:val="1"/>
          <w:iCs w:val="1"/>
          <w:color w:val="auto"/>
        </w:rPr>
        <w:t>Operating Activities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provided by operating activities of $ 33.2 million for the six months ended December 31, 2019 was primarily due to an increase in non-cash adjustments of $73.9 million, and an increase in net change in operating assets and liabilities of $64.4 million, partially offset by net loss of $105.2 million. The increase in net operating assets and liabilities was primarily due to a $98.0 million increase in accounts payable and accrued expenses related to increased expenditures to support general business growth over holiday season, as well as the timing of payments, a $68.3 million increase in customer deposits and deferred revenue driven by increased sales and timing, partially offset by a $94.2 million increase in inventory levels as we ramp up supply over the holiday season, as well as support our expansion into Germany. Non-cash adjustments primarily consisted of stock-based compensation expense, right-of use-asset operating lease expense, and depreciation and amortization expense.</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provided by operating activities of $20.7 million for the six months ended December 31, 2018 was primarily due to an increase in non-cash adjustments of $77.9 million, and a net change in operating assets and liabilities of $52.4 million, partially offset by a net loss of $109.6 million. The increase in net change in operating assets and liabilities was primarily due to a $122.1 million increase in accounts payable and accrued expenses related to growth of expenditures to support general business growth over the holiday season, and a $50.0 million increase in customer deposits and deferred revenue driven by increased sales and timing, partially offset by an $82.1 million increase in inventory levels as a result of our introduction of the Peloton Tread, as well as our expansion into the United Kingdom and Canada, a $21.1 million increase in prepaid expenses and other current assets driven by general business growth, and a $17.4 million increase in accounts receivable driven by general business growth. Non-cash adjustments primarily consisted of stock-based compensation expense of $68.5 million, of which $61.7 million related to a tender offer completed in October 2018.</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Cash used in investing activities for the six months ended December 31, 2019 of $870.8 million was primarily related to purchases of marketable securities of $973.1 million, $48.8 million used for capital expenditures primarily related to the continued build out of our new Peloton Studios in New York and London, our New York City headquarters, and new showroom, and $45.9 million relating to the acquisition of Tonic, net of cash acquired, partially offset by maturities of marketable securities of $141.5 million and sales of marketable securities of $55.4 million.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for the six months ended December 31, 2018 of $25.9 million was primarily for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$1.2 billion for the six months ended December 31, 2019 was primarily related to proceeds from our IPO and concurrent private placement, net of the underwriting discount and before deducting offering costs of $6.3 million.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of $410.5 million for the six months ended December 31, 2018 was primarily related to net proceeds from the sale and issuance of Series F redeemable convertible preferred stock of $408.8 million, net of issuance costs and repurchases of common stock and preferred stock, as well as $1.6 million in proceeds from exercises of stock options.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Contractual Obligations</w:t>
      </w:r>
    </w:p>
    <w:p>
      <w:pPr>
        <w:spacing w:after="0" w:line="13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There were no material changes in our contractual obligations and commitments during the three months ended December 31, 2019 from the contractual obligations and commitments disclosed in the Prospectus. See Note 10 of the notes to our condensed consolidated financial statements included in Part I, Item 1 of this Quarterly Report on Form 10-Q for additional information regarding contractual obligations and commitments.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off-balance sheet arrangements as of December 31, 2019.</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9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the Prospectus.</w:t>
      </w:r>
    </w:p>
    <w:p>
      <w:pPr>
        <w:spacing w:after="0" w:line="22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Except as described in Note 2 of the notes to our condensed consolidated financial statements, there have been no material changes to our critical accounting policies and estimates as compared to the critical accounting policies and estimates disclosed in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ectPr>
          <w:pgSz w:w="11900" w:h="16838" w:orient="portrait"/>
          <w:cols w:equalWidth="0" w:num="1">
            <w:col w:w="11420"/>
          </w:cols>
          <w:pgMar w:left="240" w:top="598"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35" w:name="page36"/>
    <w:bookmarkEnd w:id="35"/>
    <w:p>
      <w:pPr>
        <w:jc w:val="both"/>
        <w:spacing w:after="0" w:line="242" w:lineRule="auto"/>
        <w:rPr>
          <w:sz w:val="20"/>
          <w:szCs w:val="20"/>
          <w:color w:val="auto"/>
        </w:rPr>
      </w:pPr>
      <w:r>
        <w:rPr>
          <w:rFonts w:ascii="Arial" w:cs="Arial" w:eastAsia="Arial" w:hAnsi="Arial"/>
          <w:sz w:val="16"/>
          <w:szCs w:val="16"/>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approximately $1.5 billion as of December 31, 2019.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condensed consolidated financial statements.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For example, we 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To date, we have not entered into derivatives or material hedging transactions, as our exposure to foreign currency exchange rates has historically been partially hedged as our foreign currency denominated inflows have covered our foreign currency denominated expenses. However, we may enter into derivative or hedging transactions in the future if our exposure to foreign currency should become more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December 31, 2019.</w:t>
      </w:r>
    </w:p>
    <w:p>
      <w:pPr>
        <w:spacing w:after="0" w:line="21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December 31, 2019 due to the material weaknesses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disclosed in the section titled "Risk Factors" in Part II, Item 1A of this Quarterly Report on Form 10-Q, we previously identified material weaknesses in our internal control over financial reporting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ectPr>
          <w:pgSz w:w="11900" w:h="16838" w:orient="portrait"/>
          <w:cols w:equalWidth="0" w:num="1">
            <w:col w:w="11420"/>
          </w:cols>
          <w:pgMar w:left="240" w:top="452"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type w:val="continuous"/>
        </w:sectPr>
      </w:pPr>
    </w:p>
    <w:bookmarkStart w:id="36" w:name="page37"/>
    <w:bookmarkEnd w:id="36"/>
    <w:p>
      <w:pPr>
        <w:jc w:val="both"/>
        <w:spacing w:after="0" w:line="235" w:lineRule="auto"/>
        <w:rPr>
          <w:sz w:val="20"/>
          <w:szCs w:val="20"/>
          <w:color w:val="auto"/>
        </w:rPr>
      </w:pPr>
      <w:r>
        <w:rPr>
          <w:rFonts w:ascii="Arial" w:cs="Arial" w:eastAsia="Arial" w:hAnsi="Arial"/>
          <w:sz w:val="16"/>
          <w:szCs w:val="16"/>
          <w:color w:val="auto"/>
        </w:rPr>
        <w:t>Accordingly, we have determined that these control deficiencies constituted material weaknesses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These deficiencies could result in additional misstatements to our consolidated financial statements that would be material and would not be prevented or detected on a timely basis.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Plans</w:t>
      </w:r>
    </w:p>
    <w:p>
      <w:pPr>
        <w:spacing w:after="0" w:line="5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We have commenced measures to remediate the identified material weaknesses. </w:t>
      </w:r>
      <w:r>
        <w:rPr>
          <w:rFonts w:ascii="Arial" w:cs="Arial" w:eastAsia="Arial" w:hAnsi="Arial"/>
          <w:sz w:val="16"/>
          <w:szCs w:val="16"/>
          <w:color w:val="050505"/>
        </w:rPr>
        <w:t>These measures include adding personnel as well as implementing new</w:t>
      </w:r>
      <w:r>
        <w:rPr>
          <w:rFonts w:ascii="Arial" w:cs="Arial" w:eastAsia="Arial" w:hAnsi="Arial"/>
          <w:sz w:val="16"/>
          <w:szCs w:val="16"/>
          <w:color w:val="auto"/>
        </w:rPr>
        <w:t xml:space="preserve"> </w:t>
      </w:r>
      <w:r>
        <w:rPr>
          <w:rFonts w:ascii="Arial" w:cs="Arial" w:eastAsia="Arial" w:hAnsi="Arial"/>
          <w:sz w:val="16"/>
          <w:szCs w:val="16"/>
          <w:color w:val="050505"/>
        </w:rPr>
        <w:t>financial systems and processes. We intend to continue to take steps to remediate the material weaknesses described above and further evolving our accounting processes. We will not be able to fully remediate these material weaknesses until these steps have been completed and have been operating effectively for a sufficient period of time.</w:t>
      </w:r>
    </w:p>
    <w:p>
      <w:pPr>
        <w:spacing w:after="0" w:line="22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While we believe that these efforts will improve our internal control over financial reporting, the implementation of our remediation is ongoing and will require validation and testing of the design and operating effectiveness of internal controls over a sustained period of financial reporting cycles.</w:t>
      </w:r>
    </w:p>
    <w:p>
      <w:pPr>
        <w:spacing w:after="0" w:line="22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believe we are making progress toward achieving the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taking actions to remediate the material weaknesses relating to our internal control over financial reporting, as described above. Except as otherwise described herein, 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5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For a discussion of legal proceedings, see Note 10 of the notes to our condensed consolidated financial statements in the section titled “—Legal Proceedings” in Part I, Item 1 of this Quarterly Report on Form 10-Q.</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and the Prospectus, including the section titled “Management’s Discussion and Analysis of Financial Condition and Results of Operations” and our condensed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We have incurred operating losses in the past, expect to incur operating losses in the future, and may not achieve or maintain profitability in the future.</w:t>
      </w:r>
    </w:p>
    <w:p>
      <w:pPr>
        <w:sectPr>
          <w:pgSz w:w="11900" w:h="16838" w:orient="portrait"/>
          <w:cols w:equalWidth="0" w:num="1">
            <w:col w:w="11420"/>
          </w:cols>
          <w:pgMar w:left="240" w:top="452"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type w:val="continuous"/>
        </w:sectPr>
      </w:pPr>
    </w:p>
    <w:bookmarkStart w:id="37" w:name="page38"/>
    <w:bookmarkEnd w:id="37"/>
    <w:p>
      <w:pPr>
        <w:jc w:val="both"/>
        <w:spacing w:after="0" w:line="248" w:lineRule="auto"/>
        <w:rPr>
          <w:sz w:val="20"/>
          <w:szCs w:val="20"/>
          <w:color w:val="auto"/>
        </w:rPr>
      </w:pPr>
      <w:r>
        <w:rPr>
          <w:rFonts w:ascii="Arial" w:cs="Arial" w:eastAsia="Arial" w:hAnsi="Arial"/>
          <w:sz w:val="16"/>
          <w:szCs w:val="16"/>
          <w:color w:val="auto"/>
        </w:rPr>
        <w:t>We have incurred operating losses each year since our inception in 2012, including net losses of $(71.1) million, $(47.9) million, and $(195.6) million for fiscal 2017, 2018, and 2019, respectively, and had a net loss of $(55.4) million in the three months ended December 31, 2019 and expect to continue to incur net losses for the foreseeable future. We expect our operating expenses to increase in the future as we increase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growth opportunities. If our revenue does not grow at a greater rate than our operating expenses, we will not be able to achieve and maintain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00" w:lineRule="exact"/>
        <w:rPr>
          <w:sz w:val="20"/>
          <w:szCs w:val="20"/>
          <w:color w:val="auto"/>
        </w:rPr>
      </w:pPr>
    </w:p>
    <w:p>
      <w:pPr>
        <w:spacing w:after="0" w:line="220" w:lineRule="exact"/>
        <w:rPr>
          <w:sz w:val="20"/>
          <w:szCs w:val="20"/>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service of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w:t>
      </w: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w:t>
      </w:r>
    </w:p>
    <w:p>
      <w:pPr>
        <w:sectPr>
          <w:pgSz w:w="11900" w:h="16838" w:orient="portrait"/>
          <w:cols w:equalWidth="0" w:num="1">
            <w:col w:w="11420"/>
          </w:cols>
          <w:pgMar w:left="240" w:top="466"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38" w:name="page39"/>
    <w:bookmarkEnd w:id="38"/>
    <w:p>
      <w:pPr>
        <w:jc w:val="both"/>
        <w:spacing w:after="0" w:line="251" w:lineRule="auto"/>
        <w:rPr>
          <w:sz w:val="20"/>
          <w:szCs w:val="20"/>
          <w:color w:val="auto"/>
        </w:rPr>
      </w:pPr>
      <w:r>
        <w:rPr>
          <w:rFonts w:ascii="Arial" w:cs="Arial" w:eastAsia="Arial" w:hAnsi="Arial"/>
          <w:sz w:val="16"/>
          <w:szCs w:val="16"/>
          <w:color w:val="auto"/>
        </w:rPr>
        <w:t>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00" w:lineRule="exact"/>
        <w:rPr>
          <w:sz w:val="20"/>
          <w:szCs w:val="20"/>
          <w:color w:val="auto"/>
        </w:rPr>
      </w:pP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or other interruption at a particular location.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ectPr>
          <w:pgSz w:w="11900" w:h="16838" w:orient="portrait"/>
          <w:cols w:equalWidth="0" w:num="1">
            <w:col w:w="11420"/>
          </w:cols>
          <w:pgMar w:left="240" w:top="46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We have limited control over our suppliers, contract manufacturers, and logistics partners, which subjects us to risks, such as the following:</w:t>
      </w:r>
    </w:p>
    <w:p>
      <w:pPr>
        <w:spacing w:after="0" w:line="24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00" w:lineRule="exact"/>
        <w:rPr>
          <w:sz w:val="20"/>
          <w:szCs w:val="20"/>
          <w:color w:val="auto"/>
        </w:rPr>
      </w:pP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ectPr>
          <w:pgSz w:w="11900" w:h="16838" w:orient="portrait"/>
          <w:cols w:equalWidth="0" w:num="1">
            <w:col w:w="11420"/>
          </w:cols>
          <w:pgMar w:left="240" w:top="466"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40" w:name="page41"/>
    <w:bookmarkEnd w:id="40"/>
    <w:p>
      <w:pPr>
        <w:jc w:val="both"/>
        <w:ind w:right="20"/>
        <w:spacing w:after="0" w:line="237"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10 of the notes to our condensed consolidated financial statements in the section titled “—Legal Proceedings” in Part I, Item 1 of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December 31, 2019, our employee headcount increased from 443 to 2,707,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deliver and service our Connected Fitness Products,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2" w:name="page43"/>
    <w:bookmarkEnd w:id="42"/>
    <w:p>
      <w:pPr>
        <w:jc w:val="both"/>
        <w:spacing w:after="0" w:line="260" w:lineRule="auto"/>
        <w:rPr>
          <w:sz w:val="20"/>
          <w:szCs w:val="20"/>
          <w:color w:val="auto"/>
        </w:rPr>
      </w:pPr>
      <w:r>
        <w:rPr>
          <w:rFonts w:ascii="Arial" w:cs="Arial" w:eastAsia="Arial" w:hAnsi="Arial"/>
          <w:sz w:val="16"/>
          <w:szCs w:val="16"/>
          <w:color w:val="auto"/>
        </w:rPr>
        <w:t>any future period. Seasonality in our business can also be affected by introductions of new or enhanced products and services, including the costs associated with such introductions.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1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ectPr>
          <w:pgSz w:w="11900" w:h="16838" w:orient="portrait"/>
          <w:cols w:equalWidth="0" w:num="1">
            <w:col w:w="11420"/>
          </w:cols>
          <w:pgMar w:left="240" w:top="466"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43" w:name="page44"/>
    <w:bookmarkEnd w:id="43"/>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and Germany;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5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240"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our effective tax 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lower consumer confidence, recessionary conditions, increased unemployment rates, or stagnant or declining wages.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ectPr>
          <w:pgSz w:w="11900" w:h="16838" w:orient="portrait"/>
          <w:cols w:equalWidth="0" w:num="1">
            <w:col w:w="11420"/>
          </w:cols>
          <w:pgMar w:left="240" w:top="466"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44" w:name="page45"/>
    <w:bookmarkEnd w:id="44"/>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6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Moreover, volatile economic conditions may make it more likely that our suppliers may be unable to timely deliver supplies, or at all, and there is no guarantee that we will be able to timely locate alternative suppliers of comparable quality at an acceptable price. Further, since the beginning of 2018,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5" w:name="page46"/>
    <w:bookmarkEnd w:id="45"/>
    <w:p>
      <w:pPr>
        <w:jc w:val="both"/>
        <w:ind w:right="20"/>
        <w:spacing w:after="0" w:line="260" w:lineRule="auto"/>
        <w:rPr>
          <w:sz w:val="20"/>
          <w:szCs w:val="20"/>
          <w:color w:val="auto"/>
        </w:rPr>
      </w:pPr>
      <w:r>
        <w:rPr>
          <w:rFonts w:ascii="Arial" w:cs="Arial" w:eastAsia="Arial" w:hAnsi="Arial"/>
          <w:sz w:val="16"/>
          <w:szCs w:val="16"/>
          <w:color w:val="auto"/>
        </w:rPr>
        <w:t>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Online sales of our Connected Fitness Products through www.onepeloton.com represented over 50% of our units sold in the U.S. for fiscal 2019.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This risk may be exacerbated by the fact that we may not carry a significant amount of inventory and may not be able to satisfy short-term demand increases. If we fail to accurately forecast consumer demand, we may experience excess inventory levels or a shortage of products available for sale.</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pricing levels for our Connected Fitness Products and subscriptions, our business could be adversely affected.</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w:t>
      </w:r>
    </w:p>
    <w:p>
      <w:pPr>
        <w:sectPr>
          <w:pgSz w:w="11900" w:h="16838" w:orient="portrait"/>
          <w:cols w:equalWidth="0" w:num="1">
            <w:col w:w="11420"/>
          </w:cols>
          <w:pgMar w:left="240" w:top="466"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46" w:name="page47"/>
    <w:bookmarkEnd w:id="46"/>
    <w:p>
      <w:pPr>
        <w:jc w:val="both"/>
        <w:spacing w:after="0" w:line="253" w:lineRule="auto"/>
        <w:rPr>
          <w:sz w:val="20"/>
          <w:szCs w:val="20"/>
          <w:color w:val="auto"/>
        </w:rPr>
      </w:pPr>
      <w:r>
        <w:rPr>
          <w:rFonts w:ascii="Arial" w:cs="Arial" w:eastAsia="Arial" w:hAnsi="Arial"/>
          <w:sz w:val="16"/>
          <w:szCs w:val="16"/>
          <w:color w:val="auto"/>
        </w:rPr>
        <w:t>efficiently execute our business. 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Any failure to preserve our culture could negatively affect our future success, including our ability to retain and recruit personnel and to effectively focus on and pursue our corporate objectives.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w:t>
      </w:r>
    </w:p>
    <w:p>
      <w:pPr>
        <w:sectPr>
          <w:pgSz w:w="11900" w:h="16838" w:orient="portrait"/>
          <w:cols w:equalWidth="0" w:num="1">
            <w:col w:w="11420"/>
          </w:cols>
          <w:pgMar w:left="240" w:top="466"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47" w:name="page48"/>
    <w:bookmarkEnd w:id="47"/>
    <w:p>
      <w:pPr>
        <w:jc w:val="both"/>
        <w:spacing w:after="0" w:line="260" w:lineRule="auto"/>
        <w:rPr>
          <w:sz w:val="20"/>
          <w:szCs w:val="20"/>
          <w:color w:val="auto"/>
        </w:rPr>
      </w:pPr>
      <w:r>
        <w:rPr>
          <w:rFonts w:ascii="Arial" w:cs="Arial" w:eastAsia="Arial" w:hAnsi="Arial"/>
          <w:sz w:val="16"/>
          <w:szCs w:val="16"/>
          <w:color w:val="auto"/>
        </w:rPr>
        <w:t>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6"/>
          <w:szCs w:val="16"/>
          <w:color w:val="auto"/>
        </w:rPr>
        <w:t>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operating systems, networks, and standards that we do not control.</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200" w:lineRule="exact"/>
        <w:rPr>
          <w:sz w:val="20"/>
          <w:szCs w:val="20"/>
          <w:color w:val="auto"/>
        </w:rPr>
      </w:pP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returns than expected, either of which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generally provide a minimum 12-month limited warranty on all of our Connected Fitness Products. The occurrence of any material defects in our Connected Fitness Products could make us liable for damages and warranty claims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analyze our exposure for taxes and liabilities and have accrued $5.7 million and $4.1 million for fiscal 2018 and 2019, respectively, for loss contingencies resulting from potential taxes and liabilities.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10 of the notes to our condensed consolidated financial statements in the section titled “—Legal Proceedings” in Part I, Item 1 of this Quarterly Report on Form 10-Q.</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55"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w:t>
      </w:r>
    </w:p>
    <w:p>
      <w:pPr>
        <w:sectPr>
          <w:pgSz w:w="11900" w:h="16838" w:orient="portrait"/>
          <w:cols w:equalWidth="0" w:num="1">
            <w:col w:w="11420"/>
          </w:cols>
          <w:pgMar w:left="240" w:top="466"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50" w:name="page51"/>
    <w:bookmarkEnd w:id="50"/>
    <w:p>
      <w:pPr>
        <w:ind w:right="100"/>
        <w:spacing w:after="0" w:line="234" w:lineRule="auto"/>
        <w:rPr>
          <w:sz w:val="20"/>
          <w:szCs w:val="20"/>
          <w:color w:val="auto"/>
        </w:rPr>
      </w:pPr>
      <w:r>
        <w:rPr>
          <w:rFonts w:ascii="Arial" w:cs="Arial" w:eastAsia="Arial" w:hAnsi="Arial"/>
          <w:sz w:val="16"/>
          <w:szCs w:val="16"/>
          <w:color w:val="auto"/>
        </w:rPr>
        <w:t>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Resources—Amended and Restated Credit Agreement” in Part I, Item 2 of this Quarterly Report on Form 10-Q for additional information.</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0" w:lineRule="exact"/>
        <w:rPr>
          <w:sz w:val="20"/>
          <w:szCs w:val="20"/>
          <w:color w:val="auto"/>
        </w:rPr>
      </w:pP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part of our business strategy, we have made or may in the future make investments in other companies, products, or technologies. For example, in June 2018, we acquired Neurotic Media to develop a proprietary music platform that our instructors use to curate class playlists, and in October 2019, we acquired Tonic, one of our manufacturing partners.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w:t>
      </w:r>
    </w:p>
    <w:p>
      <w:pPr>
        <w:sectPr>
          <w:pgSz w:w="11900" w:h="16838" w:orient="portrait"/>
          <w:cols w:equalWidth="0" w:num="1">
            <w:col w:w="11420"/>
          </w:cols>
          <w:pgMar w:left="240" w:top="452"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type w:val="continuous"/>
        </w:sectPr>
      </w:pPr>
    </w:p>
    <w:bookmarkStart w:id="51" w:name="page52"/>
    <w:bookmarkEnd w:id="51"/>
    <w:p>
      <w:pPr>
        <w:jc w:val="both"/>
        <w:spacing w:after="0" w:line="249" w:lineRule="auto"/>
        <w:rPr>
          <w:sz w:val="20"/>
          <w:szCs w:val="20"/>
          <w:color w:val="auto"/>
        </w:rPr>
      </w:pPr>
      <w:r>
        <w:rPr>
          <w:rFonts w:ascii="Arial" w:cs="Arial" w:eastAsia="Arial" w:hAnsi="Arial"/>
          <w:sz w:val="16"/>
          <w:szCs w:val="16"/>
          <w:color w:val="auto"/>
        </w:rPr>
        <w:t>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our IPO, as well as future changes in our stock ownership, the causes of which may be outside of our control, could result in an additional ownership change under Section 382 of the Code. Our NOLs may also be impaired under state laws. In addition, under the 2017 Tax Cuts and Jobs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ectPr>
          <w:pgSz w:w="11900" w:h="16838" w:orient="portrait"/>
          <w:cols w:equalWidth="0" w:num="1">
            <w:col w:w="11420"/>
          </w:cols>
          <w:pgMar w:left="240" w:top="466"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52" w:name="page53"/>
    <w:bookmarkEnd w:id="52"/>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00" w:lineRule="exact"/>
        <w:rPr>
          <w:sz w:val="20"/>
          <w:szCs w:val="20"/>
          <w:color w:val="auto"/>
        </w:rPr>
      </w:pP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Securities Exchange Act of 1934, as amended, or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w:t>
      </w:r>
    </w:p>
    <w:p>
      <w:pPr>
        <w:sectPr>
          <w:pgSz w:w="11900" w:h="16838" w:orient="portrait"/>
          <w:cols w:equalWidth="0" w:num="1">
            <w:col w:w="11420"/>
          </w:cols>
          <w:pgMar w:left="240" w:top="466"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53" w:name="page54"/>
    <w:bookmarkEnd w:id="53"/>
    <w:p>
      <w:pPr>
        <w:jc w:val="both"/>
        <w:spacing w:after="0" w:line="253" w:lineRule="auto"/>
        <w:rPr>
          <w:sz w:val="20"/>
          <w:szCs w:val="20"/>
          <w:color w:val="auto"/>
        </w:rPr>
      </w:pPr>
      <w:r>
        <w:rPr>
          <w:rFonts w:ascii="Arial" w:cs="Arial" w:eastAsia="Arial" w:hAnsi="Arial"/>
          <w:sz w:val="16"/>
          <w:szCs w:val="16"/>
          <w:color w:val="auto"/>
        </w:rPr>
        <w:t>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new rules and regulations applicable to public companies, and stockholder litigation brought against recently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course of preparing our financial statements for fiscal 2018, we identified material weaknesses in our internal control over financial reporting. The material weaknesses identified had not been remediated as of December 31,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the changes in GAAP.</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Leases, which requires recognition of lease assets and lease liabilities on the balance sheet by lessees for leases classified as operating leases with a term of more than 12 months. Topic 842 is effective for financial statements issued for fiscal years beginning after December 15, 2019, and interim periods within those fiscal years. We early adopted this standard as of July 1, 2019. The most significant change related to the recognition of new right-of-use assets and lease liabilities on our balance sheet for real estate operating leases, as well as the de-recognition of the build-to-suit asset and liability. See Note 2 of the notes to our condensed consolidated financial statements for additional information.</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and other catastrophic events, and to interruption by manmade problems such as terrorism.</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and similar events. The third-party systems and operations and contract manufacturers we rely on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$20.46 to $37.02 through January 31, 2020. In addition to the factors discussed in this Quarterly Report on Form 10-Q, the market price of our Class A common stock may fluctuate significantly in response to numerous factors, many of which are beyond our control, including:</w:t>
      </w:r>
    </w:p>
    <w:p>
      <w:pPr>
        <w:spacing w:after="0" w:line="230"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ectPr>
          <w:pgSz w:w="11900" w:h="16838" w:orient="portrait"/>
          <w:cols w:equalWidth="0" w:num="1">
            <w:col w:w="11420"/>
          </w:cols>
          <w:pgMar w:left="240" w:top="446"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type w:val="continuous"/>
        </w:sectPr>
      </w:pPr>
    </w:p>
    <w:bookmarkStart w:id="55" w:name="page56"/>
    <w:bookmarkEnd w:id="55"/>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1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There are a total of 280,614,578 shares of our Class A common stock and Class B common stock outstanding as of December 31, 2019. Of these shares, the 40,000,000 shares of our Class A common stock sold in our IPO are freely tradable, except for any shares purchased by our “affiliates” as defined in Rule 144 under the Securities Act. The holders of the remaining shares, including a</w:t>
      </w:r>
      <w:r>
        <w:rPr>
          <w:rFonts w:ascii="Arial" w:cs="Arial" w:eastAsia="Arial" w:hAnsi="Arial"/>
          <w:sz w:val="16"/>
          <w:szCs w:val="16"/>
          <w:color w:val="050505"/>
        </w:rPr>
        <w:t>ll of our directors, executive officers, and substantially all of the holders of our</w:t>
      </w:r>
      <w:r>
        <w:rPr>
          <w:rFonts w:ascii="Arial" w:cs="Arial" w:eastAsia="Arial" w:hAnsi="Arial"/>
          <w:sz w:val="16"/>
          <w:szCs w:val="16"/>
          <w:color w:val="auto"/>
        </w:rPr>
        <w:t xml:space="preserve"> </w:t>
      </w:r>
      <w:r>
        <w:rPr>
          <w:rFonts w:ascii="Arial" w:cs="Arial" w:eastAsia="Arial" w:hAnsi="Arial"/>
          <w:sz w:val="16"/>
          <w:szCs w:val="16"/>
          <w:color w:val="050505"/>
        </w:rPr>
        <w:t xml:space="preserve">common stock, or securities exercisable for or convertible into our common stock outstanding immediately prior to our IPO, as well as the holders of the shares of our Class A common stock issued in a private placement concurrent with our IPO, have </w:t>
      </w:r>
      <w:r>
        <w:rPr>
          <w:rFonts w:ascii="Arial" w:cs="Arial" w:eastAsia="Arial" w:hAnsi="Arial"/>
          <w:sz w:val="16"/>
          <w:szCs w:val="16"/>
          <w:color w:val="000000"/>
        </w:rPr>
        <w:t>entered into market standoff agreements with us or lock-up</w:t>
      </w:r>
      <w:r>
        <w:rPr>
          <w:rFonts w:ascii="Arial" w:cs="Arial" w:eastAsia="Arial" w:hAnsi="Arial"/>
          <w:sz w:val="16"/>
          <w:szCs w:val="16"/>
          <w:color w:val="050505"/>
        </w:rPr>
        <w:t xml:space="preserve"> </w:t>
      </w:r>
      <w:r>
        <w:rPr>
          <w:rFonts w:ascii="Arial" w:cs="Arial" w:eastAsia="Arial" w:hAnsi="Arial"/>
          <w:sz w:val="16"/>
          <w:szCs w:val="16"/>
          <w:color w:val="000000"/>
        </w:rPr>
        <w:t>agreements with the underwriters of our IPO that prohibit them from selling, contracting to sell, granting any option for the sale of, transferring, or otherwise disposing of any shares of common stock, stock options, or any security or instrument related to common stock or stock options for a period of 180 days from the date of the final prospectus used in connection with our IPO, subject to early termination as described below. We refer to such period as the lock-up period.</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the lock-up agreements with the underwriters, if (1) at least 120 days have elapsed since the date of the Prospectus, (2) we have publicly released our earnings results for the quarterly period during which our IPO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The lock-up period is scheduled to end on March 23, 2020, which falls within our quarterly blackout period that commences at the close of trading on March 7, 2020. Therefore, in accordance with the lock-up agreements with the underwriters, the lock-up period will end at the open of trading on February 24, 2019, which is ten trading days prior to the commencement of the Company's quarterly blackout period. The Company will also release the market standoff agreement when the lock-up period expires.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When the applicable lock-up and market standoff periods described above expire, we and our security holders subject to a lock-up agreement or market standoff agreement will be able to sell our shares in the public market.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as of December 31, 2019, we had options outstanding that, if fully exercised, would result in the issuance of 63,083,640 shares of Class B common stock and 1,211,804 shares of Class A common stock. Subject to the satisfaction of applicable vesting requirements and expiration of the market standoff agreements and lock-up agreements referred to above, the shares issued upon exercise of outstanding stock options will be available for immediate resale in the open market.</w:t>
      </w:r>
    </w:p>
    <w:p>
      <w:pPr>
        <w:sectPr>
          <w:pgSz w:w="11900" w:h="16838" w:orient="portrait"/>
          <w:cols w:equalWidth="0" w:num="1">
            <w:col w:w="11420"/>
          </w:cols>
          <w:pgMar w:left="240" w:top="466"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56" w:name="page57"/>
    <w:bookmarkEnd w:id="56"/>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December 31, 2019,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the IPO;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232"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currently intend to take advantage of the available exemptions described above. We have taken advantage of reduced reporting burdens in our periodic reports and proxy statements. In particular, we have not included all of the executive compensation information that would be required if we were not an emerging growth company. We cannot predict if investors will find our Class A common stock less attractive if we rely on these exemptions. Furthermore, under the JOBS Act, 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type w:val="continuous"/>
        </w:sectPr>
      </w:pPr>
    </w:p>
    <w:bookmarkStart w:id="57" w:name="page58"/>
    <w:bookmarkEnd w:id="57"/>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limit attempts by our stockholders to replace or remove our current management, limit our stockholders’ ability to obtain a favorable judicial forum for disputes with us or our directors, officers, or employees, and limit the market price of our Class A common stock.</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spacing w:after="0" w:line="230"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 w:lineRule="exact"/>
        <w:rPr>
          <w:rFonts w:ascii="Arial" w:cs="Arial" w:eastAsia="Arial" w:hAnsi="Arial"/>
          <w:sz w:val="16"/>
          <w:szCs w:val="16"/>
          <w:color w:val="auto"/>
        </w:rPr>
      </w:pPr>
    </w:p>
    <w:p>
      <w:pPr>
        <w:jc w:val="both"/>
        <w:ind w:left="660" w:right="2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does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September 25, 2019, our Registration Statement on Form S-1, as amended (Reg. No. 333-233482), was declared effective in connection with the IPO of our Class A common stock.</w:t>
      </w:r>
    </w:p>
    <w:p>
      <w:pPr>
        <w:spacing w:after="0" w:line="223"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There has been no material change in the planned use of proceeds from our IPO as described in the Prospectus relating to that offering dated September 25, 2019.</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6.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 w:type="dxa"/>
            <w:vAlign w:val="bottom"/>
            <w:tcBorders>
              <w:bottom w:val="single" w:sz="8" w:color="FEFEFE"/>
            </w:tcBorders>
            <w:shd w:val="clear" w:color="auto" w:fill="FEFEFE"/>
          </w:tcPr>
          <w:p>
            <w:pPr>
              <w:spacing w:after="0"/>
              <w:rPr>
                <w:sz w:val="20"/>
                <w:szCs w:val="20"/>
                <w:color w:val="auto"/>
              </w:rPr>
            </w:pPr>
          </w:p>
        </w:tc>
        <w:tc>
          <w:tcPr>
            <w:tcW w:w="180" w:type="dxa"/>
            <w:vAlign w:val="bottom"/>
            <w:tcBorders>
              <w:bottom w:val="single" w:sz="8" w:color="FEFEFE"/>
            </w:tcBorders>
            <w:shd w:val="clear" w:color="auto" w:fill="FEFEFE"/>
          </w:tcPr>
          <w:p>
            <w:pPr>
              <w:spacing w:after="0"/>
              <w:rPr>
                <w:sz w:val="20"/>
                <w:szCs w:val="20"/>
                <w:color w:val="auto"/>
              </w:rPr>
            </w:pPr>
          </w:p>
        </w:tc>
        <w:tc>
          <w:tcPr>
            <w:tcW w:w="2080" w:type="dxa"/>
            <w:vAlign w:val="bottom"/>
            <w:tcBorders>
              <w:bottom w:val="single" w:sz="8" w:color="FEFEFE"/>
            </w:tcBorders>
            <w:shd w:val="clear" w:color="auto" w:fill="FEFEFE"/>
          </w:tcPr>
          <w:p>
            <w:pPr>
              <w:spacing w:after="0"/>
              <w:rPr>
                <w:sz w:val="20"/>
                <w:szCs w:val="20"/>
                <w:color w:val="auto"/>
              </w:rPr>
            </w:pPr>
          </w:p>
        </w:tc>
        <w:tc>
          <w:tcPr>
            <w:tcW w:w="260" w:type="dxa"/>
            <w:vAlign w:val="bottom"/>
            <w:tcBorders>
              <w:bottom w:val="single" w:sz="8" w:color="FEFEFE"/>
            </w:tcBorders>
            <w:shd w:val="clear" w:color="auto" w:fill="FEFEFE"/>
          </w:tcPr>
          <w:p>
            <w:pPr>
              <w:spacing w:after="0"/>
              <w:rPr>
                <w:sz w:val="20"/>
                <w:szCs w:val="20"/>
                <w:color w:val="auto"/>
              </w:rPr>
            </w:pPr>
          </w:p>
        </w:tc>
        <w:tc>
          <w:tcPr>
            <w:tcW w:w="1740" w:type="dxa"/>
            <w:vAlign w:val="bottom"/>
            <w:tcBorders>
              <w:bottom w:val="single" w:sz="8" w:color="FEFEFE"/>
            </w:tcBorders>
            <w:shd w:val="clear" w:color="auto" w:fill="FEFEFE"/>
          </w:tcPr>
          <w:p>
            <w:pPr>
              <w:spacing w:after="0"/>
              <w:rPr>
                <w:sz w:val="20"/>
                <w:szCs w:val="20"/>
                <w:color w:val="auto"/>
              </w:rPr>
            </w:pPr>
          </w:p>
        </w:tc>
        <w:tc>
          <w:tcPr>
            <w:tcW w:w="18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120" w:type="dxa"/>
            <w:vAlign w:val="bottom"/>
            <w:tcBorders>
              <w:bottom w:val="single" w:sz="8" w:color="FEFEFE"/>
            </w:tcBorders>
            <w:shd w:val="clear" w:color="auto" w:fill="FEFEFE"/>
          </w:tcPr>
          <w:p>
            <w:pPr>
              <w:spacing w:after="0"/>
              <w:rPr>
                <w:sz w:val="20"/>
                <w:szCs w:val="20"/>
                <w:color w:val="auto"/>
              </w:rPr>
            </w:pPr>
          </w:p>
        </w:tc>
        <w:tc>
          <w:tcPr>
            <w:tcW w:w="8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820" w:type="dxa"/>
            <w:vAlign w:val="bottom"/>
            <w:tcBorders>
              <w:bottom w:val="single" w:sz="8" w:color="auto"/>
            </w:tcBorders>
            <w:shd w:val="clear" w:color="auto" w:fill="FEFEFE"/>
          </w:tcPr>
          <w:p>
            <w:pPr>
              <w:spacing w:after="0"/>
              <w:rPr>
                <w:sz w:val="20"/>
                <w:szCs w:val="20"/>
                <w:color w:val="auto"/>
              </w:rPr>
            </w:pPr>
          </w:p>
        </w:tc>
        <w:tc>
          <w:tcPr>
            <w:tcW w:w="2400" w:type="dxa"/>
            <w:vAlign w:val="bottom"/>
            <w:tcBorders>
              <w:bottom w:val="single" w:sz="8" w:color="auto"/>
            </w:tcBorders>
            <w:gridSpan w:val="2"/>
            <w:shd w:val="clear" w:color="auto" w:fill="FEFEFE"/>
          </w:tcPr>
          <w:p>
            <w:pPr>
              <w:ind w:left="200"/>
              <w:spacing w:after="0"/>
              <w:rPr>
                <w:sz w:val="20"/>
                <w:szCs w:val="20"/>
                <w:color w:val="auto"/>
              </w:rPr>
            </w:pPr>
            <w:r>
              <w:rPr>
                <w:rFonts w:ascii="Arial" w:cs="Arial" w:eastAsia="Arial" w:hAnsi="Arial"/>
                <w:sz w:val="16"/>
                <w:szCs w:val="16"/>
                <w:b w:val="1"/>
                <w:bCs w:val="1"/>
                <w:color w:val="auto"/>
              </w:rPr>
              <w:t>Incorporated by Reference</w:t>
            </w:r>
          </w:p>
        </w:tc>
        <w:tc>
          <w:tcPr>
            <w:tcW w:w="880" w:type="dxa"/>
            <w:vAlign w:val="bottom"/>
            <w:tcBorders>
              <w:bottom w:val="single" w:sz="8" w:color="auto"/>
            </w:tcBorders>
            <w:shd w:val="clear" w:color="auto" w:fill="FEFEFE"/>
          </w:tcPr>
          <w:p>
            <w:pPr>
              <w:spacing w:after="0"/>
              <w:rPr>
                <w:sz w:val="20"/>
                <w:szCs w:val="20"/>
                <w:color w:val="auto"/>
              </w:rPr>
            </w:pPr>
          </w:p>
        </w:tc>
      </w:tr>
      <w:tr>
        <w:trPr>
          <w:trHeight w:val="184"/>
        </w:trPr>
        <w:tc>
          <w:tcPr>
            <w:tcW w:w="880" w:type="dxa"/>
            <w:vAlign w:val="bottom"/>
            <w:shd w:val="clear" w:color="auto" w:fill="FEFEFE"/>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180" w:type="dxa"/>
            <w:vAlign w:val="bottom"/>
            <w:shd w:val="clear" w:color="auto" w:fill="FEFEFE"/>
          </w:tcPr>
          <w:p>
            <w:pPr>
              <w:spacing w:after="0"/>
              <w:rPr>
                <w:sz w:val="16"/>
                <w:szCs w:val="16"/>
                <w:color w:val="auto"/>
              </w:rPr>
            </w:pPr>
          </w:p>
        </w:tc>
        <w:tc>
          <w:tcPr>
            <w:tcW w:w="4580" w:type="dxa"/>
            <w:vAlign w:val="bottom"/>
            <w:gridSpan w:val="9"/>
            <w:shd w:val="clear" w:color="auto" w:fill="FEFEFE"/>
          </w:tcPr>
          <w:p>
            <w:pPr>
              <w:ind w:left="1840"/>
              <w:spacing w:after="0"/>
              <w:rPr>
                <w:sz w:val="20"/>
                <w:szCs w:val="20"/>
                <w:color w:val="auto"/>
              </w:rPr>
            </w:pPr>
            <w:r>
              <w:rPr>
                <w:rFonts w:ascii="Arial" w:cs="Arial" w:eastAsia="Arial" w:hAnsi="Arial"/>
                <w:sz w:val="16"/>
                <w:szCs w:val="16"/>
                <w:b w:val="1"/>
                <w:bCs w:val="1"/>
                <w:color w:val="auto"/>
              </w:rPr>
              <w:t>Description</w:t>
            </w:r>
          </w:p>
        </w:tc>
        <w:tc>
          <w:tcPr>
            <w:tcW w:w="820" w:type="dxa"/>
            <w:vAlign w:val="bottom"/>
            <w:shd w:val="clear" w:color="auto" w:fill="FEFEFE"/>
          </w:tcPr>
          <w:p>
            <w:pPr>
              <w:ind w:left="200"/>
              <w:spacing w:after="0"/>
              <w:rPr>
                <w:sz w:val="20"/>
                <w:szCs w:val="20"/>
                <w:color w:val="auto"/>
              </w:rPr>
            </w:pPr>
            <w:r>
              <w:rPr>
                <w:rFonts w:ascii="Arial" w:cs="Arial" w:eastAsia="Arial" w:hAnsi="Arial"/>
                <w:sz w:val="16"/>
                <w:szCs w:val="16"/>
                <w:b w:val="1"/>
                <w:bCs w:val="1"/>
                <w:color w:val="auto"/>
              </w:rPr>
              <w:t>Form</w:t>
            </w:r>
          </w:p>
        </w:tc>
        <w:tc>
          <w:tcPr>
            <w:tcW w:w="1120" w:type="dxa"/>
            <w:vAlign w:val="bottom"/>
            <w:shd w:val="clear" w:color="auto" w:fill="FEFEFE"/>
          </w:tcPr>
          <w:p>
            <w:pPr>
              <w:ind w:left="260"/>
              <w:spacing w:after="0"/>
              <w:rPr>
                <w:sz w:val="20"/>
                <w:szCs w:val="20"/>
                <w:color w:val="auto"/>
              </w:rPr>
            </w:pPr>
            <w:r>
              <w:rPr>
                <w:rFonts w:ascii="Arial" w:cs="Arial" w:eastAsia="Arial" w:hAnsi="Arial"/>
                <w:sz w:val="16"/>
                <w:szCs w:val="16"/>
                <w:b w:val="1"/>
                <w:bCs w:val="1"/>
                <w:color w:val="auto"/>
              </w:rPr>
              <w:t>File No.</w:t>
            </w:r>
          </w:p>
        </w:tc>
        <w:tc>
          <w:tcPr>
            <w:tcW w:w="1280" w:type="dxa"/>
            <w:vAlign w:val="bottom"/>
            <w:shd w:val="clear" w:color="auto" w:fill="FEFEFE"/>
          </w:tcPr>
          <w:p>
            <w:pPr>
              <w:ind w:left="360"/>
              <w:spacing w:after="0"/>
              <w:rPr>
                <w:sz w:val="20"/>
                <w:szCs w:val="20"/>
                <w:color w:val="auto"/>
              </w:rPr>
            </w:pPr>
            <w:r>
              <w:rPr>
                <w:rFonts w:ascii="Arial" w:cs="Arial" w:eastAsia="Arial" w:hAnsi="Arial"/>
                <w:sz w:val="16"/>
                <w:szCs w:val="16"/>
                <w:b w:val="1"/>
                <w:bCs w:val="1"/>
                <w:color w:val="auto"/>
              </w:rPr>
              <w:t>Exhibit</w:t>
            </w:r>
          </w:p>
        </w:tc>
        <w:tc>
          <w:tcPr>
            <w:tcW w:w="880" w:type="dxa"/>
            <w:vAlign w:val="bottom"/>
            <w:shd w:val="clear" w:color="auto" w:fill="FEFEFE"/>
          </w:tcPr>
          <w:p>
            <w:pPr>
              <w:ind w:left="20"/>
              <w:spacing w:after="0"/>
              <w:rPr>
                <w:sz w:val="20"/>
                <w:szCs w:val="20"/>
                <w:color w:val="auto"/>
              </w:rPr>
            </w:pPr>
            <w:r>
              <w:rPr>
                <w:rFonts w:ascii="Arial" w:cs="Arial" w:eastAsia="Arial" w:hAnsi="Arial"/>
                <w:sz w:val="16"/>
                <w:szCs w:val="16"/>
                <w:b w:val="1"/>
                <w:bCs w:val="1"/>
                <w:color w:val="auto"/>
              </w:rPr>
              <w:t>Filing Date</w:t>
            </w:r>
          </w:p>
        </w:tc>
      </w:tr>
      <w:tr>
        <w:trPr>
          <w:trHeight w:val="215"/>
        </w:trPr>
        <w:tc>
          <w:tcPr>
            <w:tcW w:w="880" w:type="dxa"/>
            <w:vAlign w:val="bottom"/>
            <w:shd w:val="clear" w:color="auto" w:fill="FEFEFE"/>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180" w:type="dxa"/>
            <w:vAlign w:val="bottom"/>
            <w:shd w:val="clear" w:color="auto" w:fill="FEFEFE"/>
          </w:tcPr>
          <w:p>
            <w:pPr>
              <w:spacing w:after="0"/>
              <w:rPr>
                <w:sz w:val="18"/>
                <w:szCs w:val="18"/>
                <w:color w:val="auto"/>
              </w:rPr>
            </w:pPr>
          </w:p>
        </w:tc>
        <w:tc>
          <w:tcPr>
            <w:tcW w:w="208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74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8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280" w:type="dxa"/>
            <w:vAlign w:val="bottom"/>
            <w:shd w:val="clear" w:color="auto" w:fill="FEFEFE"/>
          </w:tcPr>
          <w:p>
            <w:pPr>
              <w:spacing w:after="0"/>
              <w:rPr>
                <w:sz w:val="18"/>
                <w:szCs w:val="18"/>
                <w:color w:val="auto"/>
              </w:rPr>
            </w:pPr>
          </w:p>
        </w:tc>
        <w:tc>
          <w:tcPr>
            <w:tcW w:w="880" w:type="dxa"/>
            <w:vAlign w:val="bottom"/>
            <w:shd w:val="clear" w:color="auto" w:fill="FEFEFE"/>
          </w:tcPr>
          <w:p>
            <w:pPr>
              <w:spacing w:after="0"/>
              <w:rPr>
                <w:sz w:val="18"/>
                <w:szCs w:val="18"/>
                <w:color w:val="auto"/>
              </w:rPr>
            </w:pPr>
          </w:p>
        </w:tc>
      </w:tr>
      <w:tr>
        <w:trPr>
          <w:trHeight w:val="195"/>
        </w:trPr>
        <w:tc>
          <w:tcPr>
            <w:tcW w:w="88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Borders>
              <w:bottom w:val="single" w:sz="8" w:color="FEFEFE"/>
            </w:tcBorders>
            <w:shd w:val="clear" w:color="auto" w:fill="FEFEFE"/>
          </w:tcPr>
          <w:p>
            <w:pPr>
              <w:spacing w:after="0"/>
              <w:rPr>
                <w:sz w:val="16"/>
                <w:szCs w:val="16"/>
                <w:color w:val="auto"/>
              </w:rPr>
            </w:pPr>
          </w:p>
        </w:tc>
        <w:tc>
          <w:tcPr>
            <w:tcW w:w="4300" w:type="dxa"/>
            <w:vAlign w:val="bottom"/>
            <w:tcBorders>
              <w:bottom w:val="single" w:sz="8" w:color="0000FF"/>
            </w:tcBorders>
            <w:gridSpan w:val="5"/>
            <w:shd w:val="clear" w:color="auto" w:fill="FEFEFE"/>
          </w:tcPr>
          <w:p>
            <w:pPr>
              <w:spacing w:after="0" w:line="175" w:lineRule="exact"/>
              <w:rPr>
                <w:rFonts w:ascii="Arial" w:cs="Arial" w:eastAsia="Arial" w:hAnsi="Arial"/>
                <w:sz w:val="16"/>
                <w:szCs w:val="16"/>
                <w:color w:val="0000FF"/>
              </w:rPr>
            </w:pPr>
            <w:hyperlink w:anchor="page61">
              <w:r>
                <w:rPr>
                  <w:rFonts w:ascii="Arial" w:cs="Arial" w:eastAsia="Arial" w:hAnsi="Arial"/>
                  <w:sz w:val="16"/>
                  <w:szCs w:val="16"/>
                  <w:color w:val="0000FF"/>
                </w:rPr>
                <w:t>Certification of Principal Executive Officer Pursuant to Rules</w:t>
              </w:r>
            </w:hyperlink>
          </w:p>
        </w:tc>
        <w:tc>
          <w:tcPr>
            <w:tcW w:w="4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8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820" w:type="dxa"/>
            <w:vAlign w:val="bottom"/>
            <w:tcBorders>
              <w:bottom w:val="single" w:sz="8" w:color="FEFEFE"/>
            </w:tcBorders>
            <w:shd w:val="clear" w:color="auto" w:fill="FEFEFE"/>
          </w:tcPr>
          <w:p>
            <w:pPr>
              <w:spacing w:after="0"/>
              <w:rPr>
                <w:sz w:val="16"/>
                <w:szCs w:val="16"/>
                <w:color w:val="auto"/>
              </w:rPr>
            </w:pPr>
          </w:p>
        </w:tc>
        <w:tc>
          <w:tcPr>
            <w:tcW w:w="1120" w:type="dxa"/>
            <w:vAlign w:val="bottom"/>
            <w:tcBorders>
              <w:bottom w:val="single" w:sz="8" w:color="FEFEFE"/>
            </w:tcBorders>
            <w:shd w:val="clear" w:color="auto" w:fill="FEFEFE"/>
          </w:tcPr>
          <w:p>
            <w:pPr>
              <w:spacing w:after="0"/>
              <w:rPr>
                <w:sz w:val="16"/>
                <w:szCs w:val="16"/>
                <w:color w:val="auto"/>
              </w:rPr>
            </w:pPr>
          </w:p>
        </w:tc>
        <w:tc>
          <w:tcPr>
            <w:tcW w:w="1280" w:type="dxa"/>
            <w:vAlign w:val="bottom"/>
            <w:tcBorders>
              <w:bottom w:val="single" w:sz="8" w:color="FEFEFE"/>
            </w:tcBorders>
            <w:shd w:val="clear" w:color="auto" w:fill="FEFEFE"/>
          </w:tcPr>
          <w:p>
            <w:pPr>
              <w:spacing w:after="0"/>
              <w:rPr>
                <w:sz w:val="16"/>
                <w:szCs w:val="16"/>
                <w:color w:val="auto"/>
              </w:rPr>
            </w:pPr>
          </w:p>
        </w:tc>
        <w:tc>
          <w:tcPr>
            <w:tcW w:w="880" w:type="dxa"/>
            <w:vAlign w:val="bottom"/>
            <w:tcBorders>
              <w:bottom w:val="single" w:sz="8" w:color="FEFEFE"/>
            </w:tcBorders>
            <w:shd w:val="clear" w:color="auto" w:fill="FEFEFE"/>
          </w:tcPr>
          <w:p>
            <w:pPr>
              <w:spacing w:after="0"/>
              <w:rPr>
                <w:sz w:val="16"/>
                <w:szCs w:val="16"/>
                <w:color w:val="auto"/>
              </w:rPr>
            </w:pPr>
          </w:p>
        </w:tc>
      </w:tr>
      <w:tr>
        <w:trPr>
          <w:trHeight w:val="156"/>
        </w:trPr>
        <w:tc>
          <w:tcPr>
            <w:tcW w:w="880" w:type="dxa"/>
            <w:vAlign w:val="bottom"/>
            <w:tcBorders>
              <w:bottom w:val="single" w:sz="8" w:color="FEFEFE"/>
            </w:tcBorders>
            <w:shd w:val="clear" w:color="auto" w:fill="FEFEFE"/>
          </w:tcPr>
          <w:p>
            <w:pPr>
              <w:spacing w:after="0"/>
              <w:rPr>
                <w:sz w:val="13"/>
                <w:szCs w:val="13"/>
                <w:color w:val="auto"/>
              </w:rPr>
            </w:pPr>
          </w:p>
        </w:tc>
        <w:tc>
          <w:tcPr>
            <w:tcW w:w="180" w:type="dxa"/>
            <w:vAlign w:val="bottom"/>
            <w:tcBorders>
              <w:bottom w:val="single" w:sz="8" w:color="FEFEFE"/>
            </w:tcBorders>
            <w:shd w:val="clear" w:color="auto" w:fill="FEFEFE"/>
          </w:tcPr>
          <w:p>
            <w:pPr>
              <w:spacing w:after="0"/>
              <w:rPr>
                <w:sz w:val="13"/>
                <w:szCs w:val="13"/>
                <w:color w:val="auto"/>
              </w:rPr>
            </w:pPr>
          </w:p>
        </w:tc>
        <w:tc>
          <w:tcPr>
            <w:tcW w:w="4460" w:type="dxa"/>
            <w:vAlign w:val="bottom"/>
            <w:tcBorders>
              <w:bottom w:val="single" w:sz="8" w:color="0000FF"/>
            </w:tcBorders>
            <w:gridSpan w:val="7"/>
            <w:shd w:val="clear" w:color="auto" w:fill="FEFEFE"/>
          </w:tcPr>
          <w:p>
            <w:pPr>
              <w:spacing w:after="0" w:line="155" w:lineRule="exact"/>
              <w:rPr>
                <w:rFonts w:ascii="Arial" w:cs="Arial" w:eastAsia="Arial" w:hAnsi="Arial"/>
                <w:sz w:val="16"/>
                <w:szCs w:val="16"/>
                <w:color w:val="0000FF"/>
              </w:rPr>
            </w:pPr>
            <w:hyperlink w:anchor="page61">
              <w:r>
                <w:rPr>
                  <w:rFonts w:ascii="Arial" w:cs="Arial" w:eastAsia="Arial" w:hAnsi="Arial"/>
                  <w:sz w:val="16"/>
                  <w:szCs w:val="16"/>
                  <w:color w:val="0000FF"/>
                </w:rPr>
                <w:t>13a-14(a) and 15d-14(a) under the Exchange Act, as Adopted</w:t>
              </w:r>
            </w:hyperlink>
          </w:p>
        </w:tc>
        <w:tc>
          <w:tcPr>
            <w:tcW w:w="120" w:type="dxa"/>
            <w:vAlign w:val="bottom"/>
            <w:tcBorders>
              <w:bottom w:val="single" w:sz="8" w:color="FEFEFE"/>
            </w:tcBorders>
            <w:gridSpan w:val="2"/>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280" w:type="dxa"/>
            <w:vAlign w:val="bottom"/>
            <w:tcBorders>
              <w:bottom w:val="single" w:sz="8" w:color="FEFEFE"/>
            </w:tcBorders>
            <w:shd w:val="clear" w:color="auto" w:fill="FEFEFE"/>
          </w:tcPr>
          <w:p>
            <w:pPr>
              <w:spacing w:after="0"/>
              <w:rPr>
                <w:sz w:val="13"/>
                <w:szCs w:val="13"/>
                <w:color w:val="auto"/>
              </w:rPr>
            </w:pPr>
          </w:p>
        </w:tc>
        <w:tc>
          <w:tcPr>
            <w:tcW w:w="880" w:type="dxa"/>
            <w:vAlign w:val="bottom"/>
            <w:tcBorders>
              <w:bottom w:val="single" w:sz="8" w:color="FEFEFE"/>
            </w:tcBorders>
            <w:shd w:val="clear" w:color="auto" w:fill="FEFEFE"/>
          </w:tcPr>
          <w:p>
            <w:pPr>
              <w:spacing w:after="0"/>
              <w:rPr>
                <w:sz w:val="13"/>
                <w:szCs w:val="13"/>
                <w:color w:val="auto"/>
              </w:rPr>
            </w:pPr>
          </w:p>
        </w:tc>
      </w:tr>
      <w:tr>
        <w:trPr>
          <w:trHeight w:val="156"/>
        </w:trPr>
        <w:tc>
          <w:tcPr>
            <w:tcW w:w="8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580" w:type="dxa"/>
            <w:vAlign w:val="bottom"/>
            <w:gridSpan w:val="9"/>
            <w:shd w:val="clear" w:color="auto" w:fill="FEFEFE"/>
          </w:tcPr>
          <w:p>
            <w:pPr>
              <w:spacing w:after="0" w:line="155" w:lineRule="exact"/>
              <w:rPr>
                <w:rFonts w:ascii="Arial" w:cs="Arial" w:eastAsia="Arial" w:hAnsi="Arial"/>
                <w:sz w:val="16"/>
                <w:szCs w:val="16"/>
                <w:color w:val="0000FF"/>
              </w:rPr>
            </w:pPr>
            <w:hyperlink w:anchor="page61">
              <w:r>
                <w:rPr>
                  <w:rFonts w:ascii="Arial" w:cs="Arial" w:eastAsia="Arial" w:hAnsi="Arial"/>
                  <w:sz w:val="16"/>
                  <w:szCs w:val="16"/>
                  <w:color w:val="0000FF"/>
                </w:rPr>
                <w:t>Pursuant to Section 302 of the Sarbanes-Oxley Act of 2002.</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r>
      <w:tr>
        <w:trPr>
          <w:trHeight w:val="210"/>
        </w:trPr>
        <w:tc>
          <w:tcPr>
            <w:tcW w:w="880" w:type="dxa"/>
            <w:vAlign w:val="bottom"/>
            <w:tcBorders>
              <w:top w:val="single" w:sz="8" w:color="FEFEFE"/>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Borders>
              <w:top w:val="single" w:sz="8" w:color="FEFEFE"/>
              <w:bottom w:val="single" w:sz="8" w:color="FEFEFE"/>
            </w:tcBorders>
            <w:shd w:val="clear" w:color="auto" w:fill="FEFEFE"/>
          </w:tcPr>
          <w:p>
            <w:pPr>
              <w:spacing w:after="0"/>
              <w:rPr>
                <w:sz w:val="18"/>
                <w:szCs w:val="18"/>
                <w:color w:val="auto"/>
              </w:rPr>
            </w:pPr>
          </w:p>
        </w:tc>
        <w:tc>
          <w:tcPr>
            <w:tcW w:w="4260" w:type="dxa"/>
            <w:vAlign w:val="bottom"/>
            <w:tcBorders>
              <w:top w:val="single" w:sz="8" w:color="0000FF"/>
              <w:bottom w:val="single" w:sz="8" w:color="0000FF"/>
            </w:tcBorders>
            <w:gridSpan w:val="4"/>
            <w:shd w:val="clear" w:color="auto" w:fill="FEFEFE"/>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Principal Financial Officer Pursuant to Rules</w:t>
              </w:r>
            </w:hyperlink>
          </w:p>
        </w:tc>
        <w:tc>
          <w:tcPr>
            <w:tcW w:w="40" w:type="dxa"/>
            <w:vAlign w:val="bottom"/>
            <w:tcBorders>
              <w:top w:val="single" w:sz="8" w:color="0000FF"/>
              <w:bottom w:val="single" w:sz="8" w:color="FEFEFE"/>
            </w:tcBorders>
            <w:shd w:val="clear" w:color="auto" w:fill="FEFEFE"/>
          </w:tcPr>
          <w:p>
            <w:pPr>
              <w:spacing w:after="0"/>
              <w:rPr>
                <w:sz w:val="18"/>
                <w:szCs w:val="18"/>
                <w:color w:val="auto"/>
              </w:rPr>
            </w:pPr>
          </w:p>
        </w:tc>
        <w:tc>
          <w:tcPr>
            <w:tcW w:w="280" w:type="dxa"/>
            <w:vAlign w:val="bottom"/>
            <w:tcBorders>
              <w:top w:val="single" w:sz="8" w:color="FEFEFE"/>
              <w:bottom w:val="single" w:sz="8" w:color="FEFEFE"/>
            </w:tcBorders>
            <w:gridSpan w:val="4"/>
            <w:shd w:val="clear" w:color="auto" w:fill="FEFEFE"/>
          </w:tcPr>
          <w:p>
            <w:pPr>
              <w:spacing w:after="0"/>
              <w:rPr>
                <w:sz w:val="18"/>
                <w:szCs w:val="18"/>
                <w:color w:val="auto"/>
              </w:rPr>
            </w:pPr>
          </w:p>
        </w:tc>
        <w:tc>
          <w:tcPr>
            <w:tcW w:w="820" w:type="dxa"/>
            <w:vAlign w:val="bottom"/>
            <w:tcBorders>
              <w:top w:val="single" w:sz="8" w:color="FEFEFE"/>
              <w:bottom w:val="single" w:sz="8" w:color="FEFEFE"/>
            </w:tcBorders>
            <w:shd w:val="clear" w:color="auto" w:fill="FEFEFE"/>
          </w:tcPr>
          <w:p>
            <w:pPr>
              <w:spacing w:after="0"/>
              <w:rPr>
                <w:sz w:val="18"/>
                <w:szCs w:val="18"/>
                <w:color w:val="auto"/>
              </w:rPr>
            </w:pPr>
          </w:p>
        </w:tc>
        <w:tc>
          <w:tcPr>
            <w:tcW w:w="1120" w:type="dxa"/>
            <w:vAlign w:val="bottom"/>
            <w:tcBorders>
              <w:top w:val="single" w:sz="8" w:color="FEFEFE"/>
              <w:bottom w:val="single" w:sz="8" w:color="FEFEFE"/>
            </w:tcBorders>
            <w:shd w:val="clear" w:color="auto" w:fill="FEFEFE"/>
          </w:tcPr>
          <w:p>
            <w:pPr>
              <w:spacing w:after="0"/>
              <w:rPr>
                <w:sz w:val="18"/>
                <w:szCs w:val="18"/>
                <w:color w:val="auto"/>
              </w:rPr>
            </w:pPr>
          </w:p>
        </w:tc>
        <w:tc>
          <w:tcPr>
            <w:tcW w:w="1280" w:type="dxa"/>
            <w:vAlign w:val="bottom"/>
            <w:tcBorders>
              <w:top w:val="single" w:sz="8" w:color="FEFEFE"/>
              <w:bottom w:val="single" w:sz="8" w:color="FEFEFE"/>
            </w:tcBorders>
            <w:shd w:val="clear" w:color="auto" w:fill="FEFEFE"/>
          </w:tcPr>
          <w:p>
            <w:pPr>
              <w:spacing w:after="0"/>
              <w:rPr>
                <w:sz w:val="18"/>
                <w:szCs w:val="18"/>
                <w:color w:val="auto"/>
              </w:rPr>
            </w:pPr>
          </w:p>
        </w:tc>
        <w:tc>
          <w:tcPr>
            <w:tcW w:w="880" w:type="dxa"/>
            <w:vAlign w:val="bottom"/>
            <w:tcBorders>
              <w:top w:val="single" w:sz="8" w:color="FEFEFE"/>
              <w:bottom w:val="single" w:sz="8" w:color="FEFEFE"/>
            </w:tcBorders>
            <w:shd w:val="clear" w:color="auto" w:fill="FEFEFE"/>
          </w:tcPr>
          <w:p>
            <w:pPr>
              <w:spacing w:after="0"/>
              <w:rPr>
                <w:sz w:val="18"/>
                <w:szCs w:val="18"/>
                <w:color w:val="auto"/>
              </w:rPr>
            </w:pPr>
          </w:p>
        </w:tc>
      </w:tr>
      <w:tr>
        <w:trPr>
          <w:trHeight w:val="156"/>
        </w:trPr>
        <w:tc>
          <w:tcPr>
            <w:tcW w:w="880" w:type="dxa"/>
            <w:vAlign w:val="bottom"/>
            <w:tcBorders>
              <w:bottom w:val="single" w:sz="8" w:color="FEFEFE"/>
            </w:tcBorders>
            <w:shd w:val="clear" w:color="auto" w:fill="FEFEFE"/>
          </w:tcPr>
          <w:p>
            <w:pPr>
              <w:spacing w:after="0"/>
              <w:rPr>
                <w:sz w:val="13"/>
                <w:szCs w:val="13"/>
                <w:color w:val="auto"/>
              </w:rPr>
            </w:pPr>
          </w:p>
        </w:tc>
        <w:tc>
          <w:tcPr>
            <w:tcW w:w="180" w:type="dxa"/>
            <w:vAlign w:val="bottom"/>
            <w:tcBorders>
              <w:bottom w:val="single" w:sz="8" w:color="FEFEFE"/>
            </w:tcBorders>
            <w:shd w:val="clear" w:color="auto" w:fill="FEFEFE"/>
          </w:tcPr>
          <w:p>
            <w:pPr>
              <w:spacing w:after="0"/>
              <w:rPr>
                <w:sz w:val="13"/>
                <w:szCs w:val="13"/>
                <w:color w:val="auto"/>
              </w:rPr>
            </w:pPr>
          </w:p>
        </w:tc>
        <w:tc>
          <w:tcPr>
            <w:tcW w:w="4460" w:type="dxa"/>
            <w:vAlign w:val="bottom"/>
            <w:tcBorders>
              <w:bottom w:val="single" w:sz="8" w:color="0000FF"/>
            </w:tcBorders>
            <w:gridSpan w:val="7"/>
            <w:shd w:val="clear" w:color="auto" w:fill="FEFEFE"/>
          </w:tcPr>
          <w:p>
            <w:pPr>
              <w:spacing w:after="0" w:line="155" w:lineRule="exact"/>
              <w:rPr>
                <w:rFonts w:ascii="Arial" w:cs="Arial" w:eastAsia="Arial" w:hAnsi="Arial"/>
                <w:sz w:val="16"/>
                <w:szCs w:val="16"/>
                <w:color w:val="0000FF"/>
              </w:rPr>
            </w:pPr>
            <w:hyperlink w:anchor="page62">
              <w:r>
                <w:rPr>
                  <w:rFonts w:ascii="Arial" w:cs="Arial" w:eastAsia="Arial" w:hAnsi="Arial"/>
                  <w:sz w:val="16"/>
                  <w:szCs w:val="16"/>
                  <w:color w:val="0000FF"/>
                </w:rPr>
                <w:t>13a-14(a) and 15d-14(a) under the Exchange Act, as Adopted</w:t>
              </w:r>
            </w:hyperlink>
          </w:p>
        </w:tc>
        <w:tc>
          <w:tcPr>
            <w:tcW w:w="120" w:type="dxa"/>
            <w:vAlign w:val="bottom"/>
            <w:tcBorders>
              <w:bottom w:val="single" w:sz="8" w:color="FEFEFE"/>
            </w:tcBorders>
            <w:gridSpan w:val="2"/>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280" w:type="dxa"/>
            <w:vAlign w:val="bottom"/>
            <w:tcBorders>
              <w:bottom w:val="single" w:sz="8" w:color="FEFEFE"/>
            </w:tcBorders>
            <w:shd w:val="clear" w:color="auto" w:fill="FEFEFE"/>
          </w:tcPr>
          <w:p>
            <w:pPr>
              <w:spacing w:after="0"/>
              <w:rPr>
                <w:sz w:val="13"/>
                <w:szCs w:val="13"/>
                <w:color w:val="auto"/>
              </w:rPr>
            </w:pPr>
          </w:p>
        </w:tc>
        <w:tc>
          <w:tcPr>
            <w:tcW w:w="880" w:type="dxa"/>
            <w:vAlign w:val="bottom"/>
            <w:tcBorders>
              <w:bottom w:val="single" w:sz="8" w:color="FEFEFE"/>
            </w:tcBorders>
            <w:shd w:val="clear" w:color="auto" w:fill="FEFEFE"/>
          </w:tcPr>
          <w:p>
            <w:pPr>
              <w:spacing w:after="0"/>
              <w:rPr>
                <w:sz w:val="13"/>
                <w:szCs w:val="13"/>
                <w:color w:val="auto"/>
              </w:rPr>
            </w:pPr>
          </w:p>
        </w:tc>
      </w:tr>
      <w:tr>
        <w:trPr>
          <w:trHeight w:val="156"/>
        </w:trPr>
        <w:tc>
          <w:tcPr>
            <w:tcW w:w="8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580" w:type="dxa"/>
            <w:vAlign w:val="bottom"/>
            <w:gridSpan w:val="9"/>
            <w:shd w:val="clear" w:color="auto" w:fill="FEFEFE"/>
          </w:tcPr>
          <w:p>
            <w:pPr>
              <w:spacing w:after="0" w:line="155" w:lineRule="exact"/>
              <w:rPr>
                <w:rFonts w:ascii="Arial" w:cs="Arial" w:eastAsia="Arial" w:hAnsi="Arial"/>
                <w:sz w:val="16"/>
                <w:szCs w:val="16"/>
                <w:color w:val="0000FF"/>
              </w:rPr>
            </w:pPr>
            <w:hyperlink w:anchor="page62">
              <w:r>
                <w:rPr>
                  <w:rFonts w:ascii="Arial" w:cs="Arial" w:eastAsia="Arial" w:hAnsi="Arial"/>
                  <w:sz w:val="16"/>
                  <w:szCs w:val="16"/>
                  <w:color w:val="0000FF"/>
                </w:rPr>
                <w:t>Pursuant to Section 302 of the Sarbanes-Oxley Act of 2002.</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r>
      <w:tr>
        <w:trPr>
          <w:trHeight w:val="210"/>
        </w:trPr>
        <w:tc>
          <w:tcPr>
            <w:tcW w:w="880" w:type="dxa"/>
            <w:vAlign w:val="bottom"/>
            <w:tcBorders>
              <w:top w:val="single" w:sz="8" w:color="FEFEFE"/>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Borders>
              <w:top w:val="single" w:sz="8" w:color="FEFEFE"/>
              <w:bottom w:val="single" w:sz="8" w:color="FEFEFE"/>
            </w:tcBorders>
            <w:shd w:val="clear" w:color="auto" w:fill="FEFEFE"/>
          </w:tcPr>
          <w:p>
            <w:pPr>
              <w:spacing w:after="0"/>
              <w:rPr>
                <w:sz w:val="18"/>
                <w:szCs w:val="18"/>
                <w:color w:val="auto"/>
              </w:rPr>
            </w:pPr>
          </w:p>
        </w:tc>
        <w:tc>
          <w:tcPr>
            <w:tcW w:w="4080" w:type="dxa"/>
            <w:vAlign w:val="bottom"/>
            <w:tcBorders>
              <w:top w:val="single" w:sz="8" w:color="0000FF"/>
              <w:bottom w:val="single" w:sz="8" w:color="0000FF"/>
            </w:tcBorders>
            <w:gridSpan w:val="3"/>
            <w:shd w:val="clear" w:color="auto" w:fill="FEFEFE"/>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Principal Executive Officer Pursuant to 18</w:t>
              </w:r>
            </w:hyperlink>
          </w:p>
        </w:tc>
        <w:tc>
          <w:tcPr>
            <w:tcW w:w="220" w:type="dxa"/>
            <w:vAlign w:val="bottom"/>
            <w:tcBorders>
              <w:top w:val="single" w:sz="8" w:color="0000FF"/>
              <w:bottom w:val="single" w:sz="8" w:color="FEFEFE"/>
            </w:tcBorders>
            <w:gridSpan w:val="2"/>
            <w:shd w:val="clear" w:color="auto" w:fill="FEFEFE"/>
          </w:tcPr>
          <w:p>
            <w:pPr>
              <w:spacing w:after="0"/>
              <w:rPr>
                <w:sz w:val="18"/>
                <w:szCs w:val="18"/>
                <w:color w:val="auto"/>
              </w:rPr>
            </w:pPr>
          </w:p>
        </w:tc>
        <w:tc>
          <w:tcPr>
            <w:tcW w:w="280" w:type="dxa"/>
            <w:vAlign w:val="bottom"/>
            <w:tcBorders>
              <w:top w:val="single" w:sz="8" w:color="FEFEFE"/>
              <w:bottom w:val="single" w:sz="8" w:color="FEFEFE"/>
            </w:tcBorders>
            <w:gridSpan w:val="4"/>
            <w:shd w:val="clear" w:color="auto" w:fill="FEFEFE"/>
          </w:tcPr>
          <w:p>
            <w:pPr>
              <w:spacing w:after="0"/>
              <w:rPr>
                <w:sz w:val="18"/>
                <w:szCs w:val="18"/>
                <w:color w:val="auto"/>
              </w:rPr>
            </w:pPr>
          </w:p>
        </w:tc>
        <w:tc>
          <w:tcPr>
            <w:tcW w:w="820" w:type="dxa"/>
            <w:vAlign w:val="bottom"/>
            <w:tcBorders>
              <w:top w:val="single" w:sz="8" w:color="FEFEFE"/>
              <w:bottom w:val="single" w:sz="8" w:color="FEFEFE"/>
            </w:tcBorders>
            <w:shd w:val="clear" w:color="auto" w:fill="FEFEFE"/>
          </w:tcPr>
          <w:p>
            <w:pPr>
              <w:spacing w:after="0"/>
              <w:rPr>
                <w:sz w:val="18"/>
                <w:szCs w:val="18"/>
                <w:color w:val="auto"/>
              </w:rPr>
            </w:pPr>
          </w:p>
        </w:tc>
        <w:tc>
          <w:tcPr>
            <w:tcW w:w="1120" w:type="dxa"/>
            <w:vAlign w:val="bottom"/>
            <w:tcBorders>
              <w:top w:val="single" w:sz="8" w:color="FEFEFE"/>
              <w:bottom w:val="single" w:sz="8" w:color="FEFEFE"/>
            </w:tcBorders>
            <w:shd w:val="clear" w:color="auto" w:fill="FEFEFE"/>
          </w:tcPr>
          <w:p>
            <w:pPr>
              <w:spacing w:after="0"/>
              <w:rPr>
                <w:sz w:val="18"/>
                <w:szCs w:val="18"/>
                <w:color w:val="auto"/>
              </w:rPr>
            </w:pPr>
          </w:p>
        </w:tc>
        <w:tc>
          <w:tcPr>
            <w:tcW w:w="1280" w:type="dxa"/>
            <w:vAlign w:val="bottom"/>
            <w:tcBorders>
              <w:top w:val="single" w:sz="8" w:color="FEFEFE"/>
              <w:bottom w:val="single" w:sz="8" w:color="FEFEFE"/>
            </w:tcBorders>
            <w:shd w:val="clear" w:color="auto" w:fill="FEFEFE"/>
          </w:tcPr>
          <w:p>
            <w:pPr>
              <w:spacing w:after="0"/>
              <w:rPr>
                <w:sz w:val="18"/>
                <w:szCs w:val="18"/>
                <w:color w:val="auto"/>
              </w:rPr>
            </w:pPr>
          </w:p>
        </w:tc>
        <w:tc>
          <w:tcPr>
            <w:tcW w:w="880" w:type="dxa"/>
            <w:vAlign w:val="bottom"/>
            <w:tcBorders>
              <w:top w:val="single" w:sz="8" w:color="FEFEFE"/>
              <w:bottom w:val="single" w:sz="8" w:color="FEFEFE"/>
            </w:tcBorders>
            <w:shd w:val="clear" w:color="auto" w:fill="FEFEFE"/>
          </w:tcPr>
          <w:p>
            <w:pPr>
              <w:spacing w:after="0"/>
              <w:rPr>
                <w:sz w:val="18"/>
                <w:szCs w:val="18"/>
                <w:color w:val="auto"/>
              </w:rPr>
            </w:pPr>
          </w:p>
        </w:tc>
      </w:tr>
      <w:tr>
        <w:trPr>
          <w:trHeight w:val="156"/>
        </w:trPr>
        <w:tc>
          <w:tcPr>
            <w:tcW w:w="880" w:type="dxa"/>
            <w:vAlign w:val="bottom"/>
            <w:tcBorders>
              <w:bottom w:val="single" w:sz="8" w:color="FEFEFE"/>
            </w:tcBorders>
            <w:shd w:val="clear" w:color="auto" w:fill="FEFEFE"/>
          </w:tcPr>
          <w:p>
            <w:pPr>
              <w:spacing w:after="0"/>
              <w:rPr>
                <w:sz w:val="13"/>
                <w:szCs w:val="13"/>
                <w:color w:val="auto"/>
              </w:rPr>
            </w:pPr>
          </w:p>
        </w:tc>
        <w:tc>
          <w:tcPr>
            <w:tcW w:w="180" w:type="dxa"/>
            <w:vAlign w:val="bottom"/>
            <w:tcBorders>
              <w:bottom w:val="single" w:sz="8" w:color="FEFEFE"/>
            </w:tcBorders>
            <w:shd w:val="clear" w:color="auto" w:fill="FEFEFE"/>
          </w:tcPr>
          <w:p>
            <w:pPr>
              <w:spacing w:after="0"/>
              <w:rPr>
                <w:sz w:val="13"/>
                <w:szCs w:val="13"/>
                <w:color w:val="auto"/>
              </w:rPr>
            </w:pPr>
          </w:p>
        </w:tc>
        <w:tc>
          <w:tcPr>
            <w:tcW w:w="4340" w:type="dxa"/>
            <w:vAlign w:val="bottom"/>
            <w:tcBorders>
              <w:bottom w:val="single" w:sz="8" w:color="0000FF"/>
            </w:tcBorders>
            <w:gridSpan w:val="6"/>
            <w:shd w:val="clear" w:color="auto" w:fill="FEFEFE"/>
          </w:tcPr>
          <w:p>
            <w:pPr>
              <w:spacing w:after="0" w:line="155" w:lineRule="exact"/>
              <w:rPr>
                <w:rFonts w:ascii="Arial" w:cs="Arial" w:eastAsia="Arial" w:hAnsi="Arial"/>
                <w:sz w:val="16"/>
                <w:szCs w:val="16"/>
                <w:color w:val="0000FF"/>
              </w:rPr>
            </w:pPr>
            <w:hyperlink w:anchor="page63">
              <w:r>
                <w:rPr>
                  <w:rFonts w:ascii="Arial" w:cs="Arial" w:eastAsia="Arial" w:hAnsi="Arial"/>
                  <w:sz w:val="16"/>
                  <w:szCs w:val="16"/>
                  <w:color w:val="0000FF"/>
                </w:rPr>
                <w:t>U.S.C. Section 1350, as Adopted Pursuant to Section 906 of</w:t>
              </w:r>
            </w:hyperlink>
          </w:p>
        </w:tc>
        <w:tc>
          <w:tcPr>
            <w:tcW w:w="240" w:type="dxa"/>
            <w:vAlign w:val="bottom"/>
            <w:tcBorders>
              <w:bottom w:val="single" w:sz="8" w:color="FEFEFE"/>
            </w:tcBorders>
            <w:gridSpan w:val="3"/>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280" w:type="dxa"/>
            <w:vAlign w:val="bottom"/>
            <w:tcBorders>
              <w:bottom w:val="single" w:sz="8" w:color="FEFEFE"/>
            </w:tcBorders>
            <w:shd w:val="clear" w:color="auto" w:fill="FEFEFE"/>
          </w:tcPr>
          <w:p>
            <w:pPr>
              <w:spacing w:after="0"/>
              <w:rPr>
                <w:sz w:val="13"/>
                <w:szCs w:val="13"/>
                <w:color w:val="auto"/>
              </w:rPr>
            </w:pPr>
          </w:p>
        </w:tc>
        <w:tc>
          <w:tcPr>
            <w:tcW w:w="880" w:type="dxa"/>
            <w:vAlign w:val="bottom"/>
            <w:tcBorders>
              <w:bottom w:val="single" w:sz="8" w:color="FEFEFE"/>
            </w:tcBorders>
            <w:shd w:val="clear" w:color="auto" w:fill="FEFEFE"/>
          </w:tcPr>
          <w:p>
            <w:pPr>
              <w:spacing w:after="0"/>
              <w:rPr>
                <w:sz w:val="13"/>
                <w:szCs w:val="13"/>
                <w:color w:val="auto"/>
              </w:rPr>
            </w:pPr>
          </w:p>
        </w:tc>
      </w:tr>
      <w:tr>
        <w:trPr>
          <w:trHeight w:val="156"/>
        </w:trPr>
        <w:tc>
          <w:tcPr>
            <w:tcW w:w="880" w:type="dxa"/>
            <w:vAlign w:val="bottom"/>
            <w:shd w:val="clear" w:color="auto" w:fill="FEFEFE"/>
          </w:tcPr>
          <w:p>
            <w:pPr>
              <w:spacing w:after="0"/>
              <w:rPr>
                <w:sz w:val="13"/>
                <w:szCs w:val="13"/>
                <w:color w:val="auto"/>
              </w:rPr>
            </w:pPr>
          </w:p>
        </w:tc>
        <w:tc>
          <w:tcPr>
            <w:tcW w:w="180" w:type="dxa"/>
            <w:vAlign w:val="bottom"/>
            <w:shd w:val="clear" w:color="auto" w:fill="FEFEFE"/>
          </w:tcPr>
          <w:p>
            <w:pPr>
              <w:spacing w:after="0"/>
              <w:rPr>
                <w:sz w:val="13"/>
                <w:szCs w:val="13"/>
                <w:color w:val="auto"/>
              </w:rPr>
            </w:pPr>
          </w:p>
        </w:tc>
        <w:tc>
          <w:tcPr>
            <w:tcW w:w="4580" w:type="dxa"/>
            <w:vAlign w:val="bottom"/>
            <w:gridSpan w:val="9"/>
            <w:shd w:val="clear" w:color="auto" w:fill="FEFEFE"/>
          </w:tcPr>
          <w:p>
            <w:pPr>
              <w:spacing w:after="0" w:line="155" w:lineRule="exact"/>
              <w:rPr>
                <w:rFonts w:ascii="Arial" w:cs="Arial" w:eastAsia="Arial" w:hAnsi="Arial"/>
                <w:sz w:val="16"/>
                <w:szCs w:val="16"/>
                <w:color w:val="0000FF"/>
              </w:rPr>
            </w:pPr>
            <w:hyperlink w:anchor="page63">
              <w:r>
                <w:rPr>
                  <w:rFonts w:ascii="Arial" w:cs="Arial" w:eastAsia="Arial" w:hAnsi="Arial"/>
                  <w:sz w:val="16"/>
                  <w:szCs w:val="16"/>
                  <w:color w:val="0000FF"/>
                </w:rPr>
                <w:t>the Sarbanes-Oxley Act of 2002.</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2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r>
      <w:tr>
        <w:trPr>
          <w:trHeight w:val="20"/>
        </w:trPr>
        <w:tc>
          <w:tcPr>
            <w:tcW w:w="88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280" w:type="dxa"/>
            <w:vAlign w:val="bottom"/>
            <w:shd w:val="clear" w:color="auto" w:fill="FEFEFE"/>
          </w:tcPr>
          <w:p>
            <w:pPr>
              <w:spacing w:after="0" w:line="20" w:lineRule="exact"/>
              <w:rPr>
                <w:sz w:val="1"/>
                <w:szCs w:val="1"/>
                <w:color w:val="auto"/>
              </w:rPr>
            </w:pPr>
          </w:p>
        </w:tc>
        <w:tc>
          <w:tcPr>
            <w:tcW w:w="880" w:type="dxa"/>
            <w:vAlign w:val="bottom"/>
            <w:shd w:val="clear" w:color="auto" w:fill="FEFEFE"/>
          </w:tcPr>
          <w:p>
            <w:pPr>
              <w:spacing w:after="0" w:line="20" w:lineRule="exact"/>
              <w:rPr>
                <w:sz w:val="1"/>
                <w:szCs w:val="1"/>
                <w:color w:val="auto"/>
              </w:rPr>
            </w:pPr>
          </w:p>
        </w:tc>
      </w:tr>
      <w:tr>
        <w:trPr>
          <w:trHeight w:val="210"/>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32.2*</w:t>
            </w:r>
          </w:p>
        </w:tc>
        <w:tc>
          <w:tcPr>
            <w:tcW w:w="180" w:type="dxa"/>
            <w:vAlign w:val="bottom"/>
            <w:shd w:val="clear" w:color="auto" w:fill="FEFEFE"/>
          </w:tcPr>
          <w:p>
            <w:pPr>
              <w:spacing w:after="0"/>
              <w:rPr>
                <w:sz w:val="18"/>
                <w:szCs w:val="18"/>
                <w:color w:val="auto"/>
              </w:rPr>
            </w:pPr>
          </w:p>
        </w:tc>
        <w:tc>
          <w:tcPr>
            <w:tcW w:w="4580" w:type="dxa"/>
            <w:vAlign w:val="bottom"/>
            <w:gridSpan w:val="9"/>
            <w:shd w:val="clear" w:color="auto" w:fill="FEFEFE"/>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Certification of Principal Financial Officer Pursuant to 18 U.S.C.</w:t>
              </w:r>
            </w:hyperlink>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280" w:type="dxa"/>
            <w:vAlign w:val="bottom"/>
            <w:shd w:val="clear" w:color="auto" w:fill="FEFEFE"/>
          </w:tcPr>
          <w:p>
            <w:pPr>
              <w:spacing w:after="0"/>
              <w:rPr>
                <w:sz w:val="18"/>
                <w:szCs w:val="18"/>
                <w:color w:val="auto"/>
              </w:rPr>
            </w:pPr>
          </w:p>
        </w:tc>
        <w:tc>
          <w:tcPr>
            <w:tcW w:w="880" w:type="dxa"/>
            <w:vAlign w:val="bottom"/>
            <w:shd w:val="clear" w:color="auto" w:fill="FEFEFE"/>
          </w:tcPr>
          <w:p>
            <w:pPr>
              <w:spacing w:after="0"/>
              <w:rPr>
                <w:sz w:val="18"/>
                <w:szCs w:val="18"/>
                <w:color w:val="auto"/>
              </w:rPr>
            </w:pPr>
          </w:p>
        </w:tc>
      </w:tr>
      <w:tr>
        <w:trPr>
          <w:trHeight w:val="156"/>
        </w:trPr>
        <w:tc>
          <w:tcPr>
            <w:tcW w:w="880" w:type="dxa"/>
            <w:vAlign w:val="bottom"/>
            <w:tcBorders>
              <w:top w:val="single" w:sz="8" w:color="FEFEFE"/>
            </w:tcBorders>
            <w:shd w:val="clear" w:color="auto" w:fill="FEFEFE"/>
          </w:tcPr>
          <w:p>
            <w:pPr>
              <w:spacing w:after="0"/>
              <w:rPr>
                <w:sz w:val="13"/>
                <w:szCs w:val="13"/>
                <w:color w:val="auto"/>
              </w:rPr>
            </w:pPr>
          </w:p>
        </w:tc>
        <w:tc>
          <w:tcPr>
            <w:tcW w:w="180" w:type="dxa"/>
            <w:vAlign w:val="bottom"/>
            <w:tcBorders>
              <w:top w:val="single" w:sz="8" w:color="FEFEFE"/>
            </w:tcBorders>
            <w:shd w:val="clear" w:color="auto" w:fill="FEFEFE"/>
          </w:tcPr>
          <w:p>
            <w:pPr>
              <w:spacing w:after="0"/>
              <w:rPr>
                <w:sz w:val="13"/>
                <w:szCs w:val="13"/>
                <w:color w:val="auto"/>
              </w:rPr>
            </w:pPr>
          </w:p>
        </w:tc>
        <w:tc>
          <w:tcPr>
            <w:tcW w:w="4540" w:type="dxa"/>
            <w:vAlign w:val="bottom"/>
            <w:tcBorders>
              <w:top w:val="single" w:sz="8" w:color="0000FF"/>
            </w:tcBorders>
            <w:gridSpan w:val="8"/>
            <w:shd w:val="clear" w:color="auto" w:fill="FEFEFE"/>
          </w:tcPr>
          <w:p>
            <w:pPr>
              <w:spacing w:after="0" w:line="155" w:lineRule="exact"/>
              <w:rPr>
                <w:rFonts w:ascii="Arial" w:cs="Arial" w:eastAsia="Arial" w:hAnsi="Arial"/>
                <w:sz w:val="16"/>
                <w:szCs w:val="16"/>
                <w:color w:val="0000FF"/>
              </w:rPr>
            </w:pPr>
            <w:hyperlink w:anchor="page64">
              <w:r>
                <w:rPr>
                  <w:rFonts w:ascii="Arial" w:cs="Arial" w:eastAsia="Arial" w:hAnsi="Arial"/>
                  <w:sz w:val="16"/>
                  <w:szCs w:val="16"/>
                  <w:color w:val="0000FF"/>
                </w:rPr>
                <w:t>Section 1350, as Adopted Pursuant to Section 906 of the</w:t>
              </w:r>
            </w:hyperlink>
          </w:p>
        </w:tc>
        <w:tc>
          <w:tcPr>
            <w:tcW w:w="40" w:type="dxa"/>
            <w:vAlign w:val="bottom"/>
            <w:tcBorders>
              <w:top w:val="single" w:sz="8" w:color="FEFEFE"/>
            </w:tcBorders>
            <w:shd w:val="clear" w:color="auto" w:fill="FEFEFE"/>
          </w:tcPr>
          <w:p>
            <w:pPr>
              <w:spacing w:after="0"/>
              <w:rPr>
                <w:sz w:val="13"/>
                <w:szCs w:val="13"/>
                <w:color w:val="auto"/>
              </w:rPr>
            </w:pPr>
          </w:p>
        </w:tc>
        <w:tc>
          <w:tcPr>
            <w:tcW w:w="820" w:type="dxa"/>
            <w:vAlign w:val="bottom"/>
            <w:tcBorders>
              <w:top w:val="single" w:sz="8" w:color="FEFEFE"/>
            </w:tcBorders>
            <w:shd w:val="clear" w:color="auto" w:fill="FEFEFE"/>
          </w:tcPr>
          <w:p>
            <w:pPr>
              <w:spacing w:after="0"/>
              <w:rPr>
                <w:sz w:val="13"/>
                <w:szCs w:val="13"/>
                <w:color w:val="auto"/>
              </w:rPr>
            </w:pPr>
          </w:p>
        </w:tc>
        <w:tc>
          <w:tcPr>
            <w:tcW w:w="1120" w:type="dxa"/>
            <w:vAlign w:val="bottom"/>
            <w:tcBorders>
              <w:top w:val="single" w:sz="8" w:color="FEFEFE"/>
            </w:tcBorders>
            <w:shd w:val="clear" w:color="auto" w:fill="FEFEFE"/>
          </w:tcPr>
          <w:p>
            <w:pPr>
              <w:spacing w:after="0"/>
              <w:rPr>
                <w:sz w:val="13"/>
                <w:szCs w:val="13"/>
                <w:color w:val="auto"/>
              </w:rPr>
            </w:pPr>
          </w:p>
        </w:tc>
        <w:tc>
          <w:tcPr>
            <w:tcW w:w="1280" w:type="dxa"/>
            <w:vAlign w:val="bottom"/>
            <w:tcBorders>
              <w:top w:val="single" w:sz="8" w:color="FEFEFE"/>
            </w:tcBorders>
            <w:shd w:val="clear" w:color="auto" w:fill="FEFEFE"/>
          </w:tcPr>
          <w:p>
            <w:pPr>
              <w:spacing w:after="0"/>
              <w:rPr>
                <w:sz w:val="13"/>
                <w:szCs w:val="13"/>
                <w:color w:val="auto"/>
              </w:rPr>
            </w:pPr>
          </w:p>
        </w:tc>
        <w:tc>
          <w:tcPr>
            <w:tcW w:w="880" w:type="dxa"/>
            <w:vAlign w:val="bottom"/>
            <w:tcBorders>
              <w:top w:val="single" w:sz="8" w:color="FEFEFE"/>
            </w:tcBorders>
            <w:shd w:val="clear" w:color="auto" w:fill="FEFEFE"/>
          </w:tcPr>
          <w:p>
            <w:pPr>
              <w:spacing w:after="0"/>
              <w:rPr>
                <w:sz w:val="13"/>
                <w:szCs w:val="13"/>
                <w:color w:val="auto"/>
              </w:rPr>
            </w:pPr>
          </w:p>
        </w:tc>
      </w:tr>
      <w:tr>
        <w:trPr>
          <w:trHeight w:val="156"/>
        </w:trPr>
        <w:tc>
          <w:tcPr>
            <w:tcW w:w="880" w:type="dxa"/>
            <w:vAlign w:val="bottom"/>
            <w:tcBorders>
              <w:top w:val="single" w:sz="8" w:color="FEFEFE"/>
              <w:bottom w:val="single" w:sz="8" w:color="FEFEFE"/>
            </w:tcBorders>
            <w:shd w:val="clear" w:color="auto" w:fill="FEFEFE"/>
          </w:tcPr>
          <w:p>
            <w:pPr>
              <w:spacing w:after="0"/>
              <w:rPr>
                <w:sz w:val="13"/>
                <w:szCs w:val="13"/>
                <w:color w:val="auto"/>
              </w:rPr>
            </w:pPr>
          </w:p>
        </w:tc>
        <w:tc>
          <w:tcPr>
            <w:tcW w:w="180" w:type="dxa"/>
            <w:vAlign w:val="bottom"/>
            <w:tcBorders>
              <w:top w:val="single" w:sz="8" w:color="FEFEFE"/>
              <w:bottom w:val="single" w:sz="8" w:color="FEFEFE"/>
            </w:tcBorders>
            <w:shd w:val="clear" w:color="auto" w:fill="FEFEFE"/>
          </w:tcPr>
          <w:p>
            <w:pPr>
              <w:spacing w:after="0"/>
              <w:rPr>
                <w:sz w:val="13"/>
                <w:szCs w:val="13"/>
                <w:color w:val="auto"/>
              </w:rPr>
            </w:pPr>
          </w:p>
        </w:tc>
        <w:tc>
          <w:tcPr>
            <w:tcW w:w="208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rPr>
            </w:pPr>
            <w:hyperlink w:anchor="page64">
              <w:r>
                <w:rPr>
                  <w:rFonts w:ascii="Arial" w:cs="Arial" w:eastAsia="Arial" w:hAnsi="Arial"/>
                  <w:sz w:val="16"/>
                  <w:szCs w:val="16"/>
                  <w:color w:val="0000FF"/>
                </w:rPr>
                <w:t>Sarbanes-Oxley Act of 2002.</w:t>
              </w:r>
            </w:hyperlink>
          </w:p>
        </w:tc>
        <w:tc>
          <w:tcPr>
            <w:tcW w:w="2000" w:type="dxa"/>
            <w:vAlign w:val="bottom"/>
            <w:tcBorders>
              <w:top w:val="single" w:sz="8" w:color="0000FF"/>
              <w:bottom w:val="single" w:sz="8" w:color="FEFEFE"/>
            </w:tcBorders>
            <w:gridSpan w:val="2"/>
            <w:shd w:val="clear" w:color="auto" w:fill="FEFEFE"/>
          </w:tcPr>
          <w:p>
            <w:pPr>
              <w:spacing w:after="0"/>
              <w:rPr>
                <w:sz w:val="13"/>
                <w:szCs w:val="13"/>
                <w:color w:val="auto"/>
              </w:rPr>
            </w:pPr>
          </w:p>
        </w:tc>
        <w:tc>
          <w:tcPr>
            <w:tcW w:w="500" w:type="dxa"/>
            <w:vAlign w:val="bottom"/>
            <w:tcBorders>
              <w:top w:val="single" w:sz="8" w:color="FEFEFE"/>
              <w:bottom w:val="single" w:sz="8" w:color="FEFEFE"/>
            </w:tcBorders>
            <w:gridSpan w:val="6"/>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280" w:type="dxa"/>
            <w:vAlign w:val="bottom"/>
            <w:tcBorders>
              <w:top w:val="single" w:sz="8" w:color="FEFEFE"/>
              <w:bottom w:val="single" w:sz="8" w:color="FEFEFE"/>
            </w:tcBorders>
            <w:shd w:val="clear" w:color="auto" w:fill="FEFEFE"/>
          </w:tcPr>
          <w:p>
            <w:pPr>
              <w:spacing w:after="0"/>
              <w:rPr>
                <w:sz w:val="13"/>
                <w:szCs w:val="13"/>
                <w:color w:val="auto"/>
              </w:rPr>
            </w:pPr>
          </w:p>
        </w:tc>
        <w:tc>
          <w:tcPr>
            <w:tcW w:w="88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52"/>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101.INS</w:t>
            </w:r>
          </w:p>
        </w:tc>
        <w:tc>
          <w:tcPr>
            <w:tcW w:w="180" w:type="dxa"/>
            <w:vAlign w:val="bottom"/>
            <w:shd w:val="clear" w:color="auto" w:fill="FEFEFE"/>
          </w:tcPr>
          <w:p>
            <w:pPr>
              <w:spacing w:after="0"/>
              <w:rPr>
                <w:sz w:val="21"/>
                <w:szCs w:val="21"/>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Instance Document - the instance document does not</w:t>
            </w:r>
          </w:p>
        </w:tc>
        <w:tc>
          <w:tcPr>
            <w:tcW w:w="820" w:type="dxa"/>
            <w:vAlign w:val="bottom"/>
            <w:shd w:val="clear" w:color="auto" w:fill="FEFEFE"/>
          </w:tcPr>
          <w:p>
            <w:pPr>
              <w:spacing w:after="0"/>
              <w:rPr>
                <w:sz w:val="21"/>
                <w:szCs w:val="21"/>
                <w:color w:val="auto"/>
              </w:rPr>
            </w:pPr>
          </w:p>
        </w:tc>
        <w:tc>
          <w:tcPr>
            <w:tcW w:w="11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r>
      <w:tr>
        <w:trPr>
          <w:trHeight w:val="189"/>
        </w:trPr>
        <w:tc>
          <w:tcPr>
            <w:tcW w:w="880" w:type="dxa"/>
            <w:vAlign w:val="bottom"/>
            <w:shd w:val="clear" w:color="auto" w:fill="FEFEFE"/>
          </w:tcPr>
          <w:p>
            <w:pPr>
              <w:spacing w:after="0"/>
              <w:rPr>
                <w:sz w:val="16"/>
                <w:szCs w:val="16"/>
                <w:color w:val="auto"/>
              </w:rPr>
            </w:pPr>
          </w:p>
        </w:tc>
        <w:tc>
          <w:tcPr>
            <w:tcW w:w="180" w:type="dxa"/>
            <w:vAlign w:val="bottom"/>
            <w:shd w:val="clear" w:color="auto" w:fill="FEFEFE"/>
          </w:tcPr>
          <w:p>
            <w:pPr>
              <w:spacing w:after="0"/>
              <w:rPr>
                <w:sz w:val="16"/>
                <w:szCs w:val="16"/>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280" w:type="dxa"/>
            <w:vAlign w:val="bottom"/>
            <w:shd w:val="clear" w:color="auto" w:fill="FEFEFE"/>
          </w:tcPr>
          <w:p>
            <w:pPr>
              <w:spacing w:after="0"/>
              <w:rPr>
                <w:sz w:val="16"/>
                <w:szCs w:val="16"/>
                <w:color w:val="auto"/>
              </w:rPr>
            </w:pPr>
          </w:p>
        </w:tc>
        <w:tc>
          <w:tcPr>
            <w:tcW w:w="880" w:type="dxa"/>
            <w:vAlign w:val="bottom"/>
            <w:shd w:val="clear" w:color="auto" w:fill="FEFEFE"/>
          </w:tcPr>
          <w:p>
            <w:pPr>
              <w:spacing w:after="0"/>
              <w:rPr>
                <w:sz w:val="16"/>
                <w:szCs w:val="16"/>
                <w:color w:val="auto"/>
              </w:rPr>
            </w:pPr>
          </w:p>
        </w:tc>
      </w:tr>
      <w:tr>
        <w:trPr>
          <w:trHeight w:val="195"/>
        </w:trPr>
        <w:tc>
          <w:tcPr>
            <w:tcW w:w="880" w:type="dxa"/>
            <w:vAlign w:val="bottom"/>
            <w:shd w:val="clear" w:color="auto" w:fill="FEFEFE"/>
          </w:tcPr>
          <w:p>
            <w:pPr>
              <w:spacing w:after="0"/>
              <w:rPr>
                <w:sz w:val="16"/>
                <w:szCs w:val="16"/>
                <w:color w:val="auto"/>
              </w:rPr>
            </w:pPr>
          </w:p>
        </w:tc>
        <w:tc>
          <w:tcPr>
            <w:tcW w:w="180" w:type="dxa"/>
            <w:vAlign w:val="bottom"/>
            <w:shd w:val="clear" w:color="auto" w:fill="FEFEFE"/>
          </w:tcPr>
          <w:p>
            <w:pPr>
              <w:spacing w:after="0"/>
              <w:rPr>
                <w:sz w:val="16"/>
                <w:szCs w:val="16"/>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embedded within the Inline XBRL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280" w:type="dxa"/>
            <w:vAlign w:val="bottom"/>
            <w:shd w:val="clear" w:color="auto" w:fill="FEFEFE"/>
          </w:tcPr>
          <w:p>
            <w:pPr>
              <w:spacing w:after="0"/>
              <w:rPr>
                <w:sz w:val="16"/>
                <w:szCs w:val="16"/>
                <w:color w:val="auto"/>
              </w:rPr>
            </w:pPr>
          </w:p>
        </w:tc>
        <w:tc>
          <w:tcPr>
            <w:tcW w:w="880" w:type="dxa"/>
            <w:vAlign w:val="bottom"/>
            <w:shd w:val="clear" w:color="auto" w:fill="FEFEFE"/>
          </w:tcPr>
          <w:p>
            <w:pPr>
              <w:spacing w:after="0"/>
              <w:rPr>
                <w:sz w:val="16"/>
                <w:szCs w:val="16"/>
                <w:color w:val="auto"/>
              </w:rPr>
            </w:pPr>
          </w:p>
        </w:tc>
      </w:tr>
      <w:tr>
        <w:trPr>
          <w:trHeight w:val="243"/>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101.SCH</w:t>
            </w:r>
          </w:p>
        </w:tc>
        <w:tc>
          <w:tcPr>
            <w:tcW w:w="180" w:type="dxa"/>
            <w:vAlign w:val="bottom"/>
            <w:shd w:val="clear" w:color="auto" w:fill="FEFEFE"/>
          </w:tcPr>
          <w:p>
            <w:pPr>
              <w:spacing w:after="0"/>
              <w:rPr>
                <w:sz w:val="21"/>
                <w:szCs w:val="21"/>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Taxonomy Extension Schema Document.</w:t>
            </w:r>
          </w:p>
        </w:tc>
        <w:tc>
          <w:tcPr>
            <w:tcW w:w="820" w:type="dxa"/>
            <w:vAlign w:val="bottom"/>
            <w:shd w:val="clear" w:color="auto" w:fill="FEFEFE"/>
          </w:tcPr>
          <w:p>
            <w:pPr>
              <w:spacing w:after="0"/>
              <w:rPr>
                <w:sz w:val="21"/>
                <w:szCs w:val="21"/>
                <w:color w:val="auto"/>
              </w:rPr>
            </w:pPr>
          </w:p>
        </w:tc>
        <w:tc>
          <w:tcPr>
            <w:tcW w:w="11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r>
      <w:tr>
        <w:trPr>
          <w:trHeight w:val="243"/>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101.CAL</w:t>
            </w:r>
          </w:p>
        </w:tc>
        <w:tc>
          <w:tcPr>
            <w:tcW w:w="180" w:type="dxa"/>
            <w:vAlign w:val="bottom"/>
            <w:shd w:val="clear" w:color="auto" w:fill="FEFEFE"/>
          </w:tcPr>
          <w:p>
            <w:pPr>
              <w:spacing w:after="0"/>
              <w:rPr>
                <w:sz w:val="21"/>
                <w:szCs w:val="21"/>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20" w:type="dxa"/>
            <w:vAlign w:val="bottom"/>
            <w:shd w:val="clear" w:color="auto" w:fill="FEFEFE"/>
          </w:tcPr>
          <w:p>
            <w:pPr>
              <w:spacing w:after="0"/>
              <w:rPr>
                <w:sz w:val="21"/>
                <w:szCs w:val="21"/>
                <w:color w:val="auto"/>
              </w:rPr>
            </w:pPr>
          </w:p>
        </w:tc>
        <w:tc>
          <w:tcPr>
            <w:tcW w:w="11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r>
      <w:tr>
        <w:trPr>
          <w:trHeight w:val="243"/>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101.DEF</w:t>
            </w:r>
          </w:p>
        </w:tc>
        <w:tc>
          <w:tcPr>
            <w:tcW w:w="180" w:type="dxa"/>
            <w:vAlign w:val="bottom"/>
            <w:shd w:val="clear" w:color="auto" w:fill="FEFEFE"/>
          </w:tcPr>
          <w:p>
            <w:pPr>
              <w:spacing w:after="0"/>
              <w:rPr>
                <w:sz w:val="21"/>
                <w:szCs w:val="21"/>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20" w:type="dxa"/>
            <w:vAlign w:val="bottom"/>
            <w:shd w:val="clear" w:color="auto" w:fill="FEFEFE"/>
          </w:tcPr>
          <w:p>
            <w:pPr>
              <w:spacing w:after="0"/>
              <w:rPr>
                <w:sz w:val="21"/>
                <w:szCs w:val="21"/>
                <w:color w:val="auto"/>
              </w:rPr>
            </w:pPr>
          </w:p>
        </w:tc>
        <w:tc>
          <w:tcPr>
            <w:tcW w:w="11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r>
      <w:tr>
        <w:trPr>
          <w:trHeight w:val="243"/>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101.LAB</w:t>
            </w:r>
          </w:p>
        </w:tc>
        <w:tc>
          <w:tcPr>
            <w:tcW w:w="180" w:type="dxa"/>
            <w:vAlign w:val="bottom"/>
            <w:shd w:val="clear" w:color="auto" w:fill="FEFEFE"/>
          </w:tcPr>
          <w:p>
            <w:pPr>
              <w:spacing w:after="0"/>
              <w:rPr>
                <w:sz w:val="21"/>
                <w:szCs w:val="21"/>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Taxonomy Extension Label Linkbase Document.</w:t>
            </w:r>
          </w:p>
        </w:tc>
        <w:tc>
          <w:tcPr>
            <w:tcW w:w="820" w:type="dxa"/>
            <w:vAlign w:val="bottom"/>
            <w:shd w:val="clear" w:color="auto" w:fill="FEFEFE"/>
          </w:tcPr>
          <w:p>
            <w:pPr>
              <w:spacing w:after="0"/>
              <w:rPr>
                <w:sz w:val="21"/>
                <w:szCs w:val="21"/>
                <w:color w:val="auto"/>
              </w:rPr>
            </w:pPr>
          </w:p>
        </w:tc>
        <w:tc>
          <w:tcPr>
            <w:tcW w:w="11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r>
      <w:tr>
        <w:trPr>
          <w:trHeight w:val="263"/>
        </w:trPr>
        <w:tc>
          <w:tcPr>
            <w:tcW w:w="88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101.PRE</w:t>
            </w:r>
          </w:p>
        </w:tc>
        <w:tc>
          <w:tcPr>
            <w:tcW w:w="180" w:type="dxa"/>
            <w:vAlign w:val="bottom"/>
            <w:shd w:val="clear" w:color="auto" w:fill="FEFEFE"/>
          </w:tcPr>
          <w:p>
            <w:pPr>
              <w:spacing w:after="0"/>
              <w:rPr>
                <w:sz w:val="22"/>
                <w:szCs w:val="22"/>
                <w:color w:val="auto"/>
              </w:rPr>
            </w:pPr>
          </w:p>
        </w:tc>
        <w:tc>
          <w:tcPr>
            <w:tcW w:w="458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20" w:type="dxa"/>
            <w:vAlign w:val="bottom"/>
            <w:shd w:val="clear" w:color="auto" w:fill="FEFEFE"/>
          </w:tcPr>
          <w:p>
            <w:pPr>
              <w:spacing w:after="0"/>
              <w:rPr>
                <w:sz w:val="22"/>
                <w:szCs w:val="22"/>
                <w:color w:val="auto"/>
              </w:rPr>
            </w:pPr>
          </w:p>
        </w:tc>
        <w:tc>
          <w:tcPr>
            <w:tcW w:w="1120" w:type="dxa"/>
            <w:vAlign w:val="bottom"/>
            <w:shd w:val="clear" w:color="auto" w:fill="FEFEFE"/>
          </w:tcPr>
          <w:p>
            <w:pPr>
              <w:spacing w:after="0"/>
              <w:rPr>
                <w:sz w:val="22"/>
                <w:szCs w:val="22"/>
                <w:color w:val="auto"/>
              </w:rPr>
            </w:pPr>
          </w:p>
        </w:tc>
        <w:tc>
          <w:tcPr>
            <w:tcW w:w="1280" w:type="dxa"/>
            <w:vAlign w:val="bottom"/>
            <w:shd w:val="clear" w:color="auto" w:fill="FEFEFE"/>
          </w:tcPr>
          <w:p>
            <w:pPr>
              <w:spacing w:after="0"/>
              <w:rPr>
                <w:sz w:val="22"/>
                <w:szCs w:val="22"/>
                <w:color w:val="auto"/>
              </w:rPr>
            </w:pPr>
          </w:p>
        </w:tc>
        <w:tc>
          <w:tcPr>
            <w:tcW w:w="880" w:type="dxa"/>
            <w:vAlign w:val="bottom"/>
            <w:shd w:val="clear" w:color="auto" w:fill="FEFEFE"/>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Filed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462915" cy="3070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2915" cy="3070225"/>
                    </a:xfrm>
                    <a:prstGeom prst="rect">
                      <a:avLst/>
                    </a:prstGeom>
                    <a:noFill/>
                  </pic:spPr>
                </pic:pic>
              </a:graphicData>
            </a:graphic>
          </wp:anchor>
        </w:drawing>
      </w:r>
    </w:p>
    <w:p>
      <w:pPr>
        <w:jc w:val="center"/>
        <w:ind w:right="700"/>
        <w:spacing w:after="0"/>
        <w:rPr>
          <w:sz w:val="20"/>
          <w:szCs w:val="20"/>
          <w:color w:val="auto"/>
        </w:rPr>
      </w:pPr>
      <w:r>
        <w:rPr>
          <w:rFonts w:ascii="Arial" w:cs="Arial" w:eastAsia="Arial" w:hAnsi="Arial"/>
          <w:sz w:val="14"/>
          <w:szCs w:val="14"/>
          <w:b w:val="1"/>
          <w:bCs w:val="1"/>
          <w:color w:val="auto"/>
        </w:rPr>
        <w:t>Furnished</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Herewith</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250" w:lineRule="exact"/>
        <w:rPr>
          <w:sz w:val="20"/>
          <w:szCs w:val="20"/>
          <w:color w:val="auto"/>
        </w:rPr>
      </w:pPr>
    </w:p>
    <w:p>
      <w:pPr>
        <w:sectPr>
          <w:pgSz w:w="11900" w:h="16838" w:orient="portrait"/>
          <w:cols w:equalWidth="0" w:num="2">
            <w:col w:w="9740" w:space="0"/>
            <w:col w:w="1400"/>
          </w:cols>
          <w:pgMar w:left="240" w:top="932" w:right="519" w:bottom="1440" w:gutter="0" w:footer="0" w:header="0"/>
        </w:sectPr>
      </w:pPr>
    </w:p>
    <w:p>
      <w:pPr>
        <w:spacing w:after="0" w:line="15" w:lineRule="exact"/>
        <w:rPr>
          <w:sz w:val="20"/>
          <w:szCs w:val="20"/>
          <w:color w:val="auto"/>
        </w:rPr>
      </w:pPr>
    </w:p>
    <w:p>
      <w:pPr>
        <w:jc w:val="both"/>
        <w:ind w:firstLine="8"/>
        <w:spacing w:after="0" w:line="246" w:lineRule="auto"/>
        <w:tabs>
          <w:tab w:leader="none" w:pos="10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932" w:right="51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40"/>
        <w:spacing w:after="0"/>
        <w:tabs>
          <w:tab w:leader="none" w:pos="7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19050</wp:posOffset>
            </wp:positionV>
            <wp:extent cx="17926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1"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John Foley</w:t>
      </w:r>
    </w:p>
    <w:p>
      <w:pPr>
        <w:ind w:left="7880"/>
        <w:spacing w:after="0" w:line="229" w:lineRule="auto"/>
        <w:rPr>
          <w:sz w:val="20"/>
          <w:szCs w:val="20"/>
          <w:color w:val="auto"/>
        </w:rPr>
      </w:pPr>
      <w:r>
        <w:rPr>
          <w:rFonts w:ascii="Arial" w:cs="Arial" w:eastAsia="Arial" w:hAnsi="Arial"/>
          <w:sz w:val="16"/>
          <w:szCs w:val="16"/>
          <w:color w:val="auto"/>
        </w:rPr>
        <w:t>Chief Executive Officer</w:t>
      </w:r>
    </w:p>
    <w:p>
      <w:pPr>
        <w:ind w:left="788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40"/>
        <w:spacing w:after="0"/>
        <w:tabs>
          <w:tab w:leader="none" w:pos="7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19050</wp:posOffset>
            </wp:positionV>
            <wp:extent cx="17926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1"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Jill Woodworth</w:t>
      </w:r>
    </w:p>
    <w:p>
      <w:pPr>
        <w:ind w:left="7880"/>
        <w:spacing w:after="0" w:line="229" w:lineRule="auto"/>
        <w:rPr>
          <w:sz w:val="20"/>
          <w:szCs w:val="20"/>
          <w:color w:val="auto"/>
        </w:rPr>
      </w:pPr>
      <w:r>
        <w:rPr>
          <w:rFonts w:ascii="Arial" w:cs="Arial" w:eastAsia="Arial" w:hAnsi="Arial"/>
          <w:sz w:val="16"/>
          <w:szCs w:val="16"/>
          <w:color w:val="auto"/>
        </w:rPr>
        <w:t>Chief Financial Officer</w:t>
      </w:r>
    </w:p>
    <w:p>
      <w:pPr>
        <w:ind w:left="7880"/>
        <w:spacing w:after="0" w:line="229" w:lineRule="auto"/>
        <w:rPr>
          <w:sz w:val="20"/>
          <w:szCs w:val="20"/>
          <w:color w:val="auto"/>
        </w:rPr>
      </w:pPr>
      <w:r>
        <w:rPr>
          <w:rFonts w:ascii="Arial" w:cs="Arial" w:eastAsia="Arial" w:hAnsi="Arial"/>
          <w:sz w:val="16"/>
          <w:szCs w:val="16"/>
          <w:i w:val="1"/>
          <w:iCs w:val="1"/>
          <w:color w:val="auto"/>
        </w:rPr>
        <w:t>(Principal Financial and Accounting</w:t>
      </w:r>
    </w:p>
    <w:p>
      <w:pPr>
        <w:ind w:left="7880"/>
        <w:spacing w:after="0"/>
        <w:rPr>
          <w:sz w:val="20"/>
          <w:szCs w:val="20"/>
          <w:color w:val="auto"/>
        </w:rPr>
      </w:pPr>
      <w:r>
        <w:rPr>
          <w:rFonts w:ascii="Arial" w:cs="Arial" w:eastAsia="Arial" w:hAnsi="Arial"/>
          <w:sz w:val="16"/>
          <w:szCs w:val="16"/>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4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220" w:hanging="328"/>
        <w:spacing w:after="0" w:line="260"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220" w:hanging="328"/>
        <w:spacing w:after="0" w:line="260"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860" w:right="284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3" w:lineRule="exact"/>
        <w:rPr>
          <w:sz w:val="20"/>
          <w:szCs w:val="20"/>
          <w:color w:val="auto"/>
        </w:rPr>
      </w:pPr>
    </w:p>
    <w:p>
      <w:pPr>
        <w:ind w:left="66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2019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860" w:right="284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3" w:lineRule="exact"/>
        <w:rPr>
          <w:sz w:val="20"/>
          <w:szCs w:val="20"/>
          <w:color w:val="auto"/>
        </w:rPr>
      </w:pPr>
    </w:p>
    <w:p>
      <w:pPr>
        <w:ind w:left="660" w:hanging="328"/>
        <w:spacing w:after="0" w:line="26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2019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lvl w:ilvl="1">
      <w:lvlJc w:val="left"/>
      <w:lvlText w:val="(%2)"/>
      <w:numFmt w:val="decimal"/>
      <w:start w:val="1"/>
    </w:lvl>
  </w:abstractNum>
  <w:abstractNum w:abstractNumId="9">
    <w:nsid w:val="2D1D5AE9"/>
    <w:multiLevelType w:val="hybridMultilevel"/>
    <w:lvl w:ilvl="0">
      <w:lvlJc w:val="left"/>
      <w:lvlText w:val="%1."/>
      <w:numFmt w:val="decimal"/>
      <w:start w:val="5"/>
    </w:lvl>
    <w:lvl w:ilvl="1">
      <w:lvlJc w:val="left"/>
      <w:lvlText w:val="%2"/>
      <w:numFmt w:val="decimal"/>
      <w:start w:val="1"/>
    </w:lvl>
  </w:abstractNum>
  <w:abstractNum w:abstractNumId="10">
    <w:nsid w:val="6763845E"/>
    <w:multiLevelType w:val="hybridMultilevel"/>
    <w:lvl w:ilvl="0">
      <w:lvlJc w:val="left"/>
      <w:lvlText w:val="(%1)"/>
      <w:numFmt w:val="lowerRoman"/>
      <w:start w:val="3"/>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2020-02-06T15:08:00Z</dcterms:created>
  <dcterms:modified xsi:type="dcterms:W3CDTF">2020-02-06T15:08:00Z</dcterms:modified>
</cp:coreProperties>
</file>