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6142.xml.htm"/>
      <w:bookmarkStart w:id="1" w:name="kswkform4_17870861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Caldwell Nick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9TH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38,277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1,028,339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119,332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1,147,671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1,060,512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38,277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38,277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421,041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119,332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119,332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August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1/12 of the total shares on August 15, 2026, then 1/12 of the total shares vest quarterly thereafter, with 100% of the total shares vested on May 15, 2029,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as to 12.50% of the total shares quarterly, commencing November 15, 2024, with 100% of the total shares vested on August 15, 2026,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Nick V. Caldwell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934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771</Words>
  <Characters>4037</Characters>
  <CharactersWithSpaces>4696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