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6160.xml.htm"/>
      <w:bookmarkStart w:id="1" w:name="kswkform4_17870861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Stern Peter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NINTH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59,714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433,755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403,271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59,714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59,714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716,561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cover the Reporting Person's tax liability with respect to the settlement of RSUs that vested on August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as to 6.25% of the total shares on November 15, 2025, then 6.25% of the total shares vest quarterly thereafter, with 100% of the total shares vested on August 15, 2029,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Peter C. Stern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1302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700</Words>
  <Characters>3708</Characters>
  <CharactersWithSpaces>4317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