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89"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44450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4" w:lineRule="exact"/>
        <w:rPr>
          <w:sz w:val="24"/>
          <w:szCs w:val="24"/>
          <w:color w:val="auto"/>
        </w:rPr>
      </w:pPr>
    </w:p>
    <w:tbl>
      <w:tblPr>
        <w:tblLayout w:type="fixed"/>
        <w:tblInd w:w="1040" w:type="dxa"/>
        <w:tblCellMar>
          <w:top w:w="0" w:type="dxa"/>
          <w:left w:w="0" w:type="dxa"/>
          <w:bottom w:w="0" w:type="dxa"/>
          <w:right w:w="0" w:type="dxa"/>
        </w:tblCellMar>
      </w:tblPr>
      <w:tr>
        <w:trPr>
          <w:trHeight w:val="23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66"/>
        </w:trPr>
        <w:tc>
          <w:tcPr>
            <w:tcW w:w="2800" w:type="dxa"/>
            <w:vAlign w:val="bottom"/>
          </w:tcPr>
          <w:p>
            <w:pPr>
              <w:jc w:val="center"/>
              <w:spacing w:after="0"/>
              <w:rPr>
                <w:sz w:val="20"/>
                <w:szCs w:val="20"/>
                <w:color w:val="auto"/>
              </w:rPr>
            </w:pPr>
            <w:r>
              <w:rPr>
                <w:rFonts w:ascii="Arial" w:cs="Arial" w:eastAsia="Arial" w:hAnsi="Arial"/>
                <w:sz w:val="14"/>
                <w:szCs w:val="14"/>
                <w:i w:val="1"/>
                <w:iCs w:val="1"/>
                <w:color w:val="auto"/>
              </w:rPr>
              <w:t>(State or other jurisdiction of</w:t>
            </w:r>
          </w:p>
        </w:tc>
        <w:tc>
          <w:tcPr>
            <w:tcW w:w="5560" w:type="dxa"/>
            <w:vAlign w:val="bottom"/>
          </w:tcPr>
          <w:p>
            <w:pPr>
              <w:jc w:val="center"/>
              <w:ind w:left="4340"/>
              <w:spacing w:after="0"/>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spacing w:after="0"/>
              <w:rPr>
                <w:sz w:val="20"/>
                <w:szCs w:val="20"/>
                <w:color w:val="auto"/>
              </w:rPr>
            </w:pPr>
            <w:r>
              <w:rPr>
                <w:rFonts w:ascii="Arial" w:cs="Arial" w:eastAsia="Arial" w:hAnsi="Arial"/>
                <w:sz w:val="14"/>
                <w:szCs w:val="14"/>
                <w:i w:val="1"/>
                <w:iCs w:val="1"/>
                <w:color w:val="auto"/>
              </w:rPr>
              <w:t>incorporation or organization)</w:t>
            </w:r>
          </w:p>
        </w:tc>
        <w:tc>
          <w:tcPr>
            <w:tcW w:w="5560" w:type="dxa"/>
            <w:vAlign w:val="bottom"/>
          </w:tcPr>
          <w:p>
            <w:pPr>
              <w:jc w:val="center"/>
              <w:ind w:left="436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46"/>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9"/>
              </w:rPr>
              <w:t>125 West 25th Street, 11th Floor</w:t>
            </w:r>
          </w:p>
        </w:tc>
        <w:tc>
          <w:tcPr>
            <w:tcW w:w="556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3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8"/>
              </w:rPr>
              <w:t>New York, New York</w:t>
            </w:r>
          </w:p>
        </w:tc>
        <w:tc>
          <w:tcPr>
            <w:tcW w:w="5560" w:type="dxa"/>
            <w:vAlign w:val="bottom"/>
          </w:tcPr>
          <w:p>
            <w:pPr>
              <w:jc w:val="center"/>
              <w:ind w:left="43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90"/>
        </w:trPr>
        <w:tc>
          <w:tcPr>
            <w:tcW w:w="2800" w:type="dxa"/>
            <w:vAlign w:val="bottom"/>
          </w:tcPr>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tc>
        <w:tc>
          <w:tcPr>
            <w:tcW w:w="5560" w:type="dxa"/>
            <w:vAlign w:val="bottom"/>
            <w:vMerge w:val="restart"/>
          </w:tcPr>
          <w:p>
            <w:pPr>
              <w:jc w:val="right"/>
              <w:ind w:right="3080"/>
              <w:spacing w:after="0"/>
              <w:rPr>
                <w:sz w:val="20"/>
                <w:szCs w:val="20"/>
                <w:color w:val="auto"/>
              </w:rPr>
            </w:pPr>
            <w:r>
              <w:rPr>
                <w:rFonts w:ascii="Arial" w:cs="Arial" w:eastAsia="Arial" w:hAnsi="Arial"/>
                <w:sz w:val="18"/>
                <w:szCs w:val="18"/>
                <w:b w:val="1"/>
                <w:bCs w:val="1"/>
                <w:color w:val="auto"/>
              </w:rPr>
              <w:t>(917) 671-9198</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5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5560" w:type="dxa"/>
            <w:vAlign w:val="bottom"/>
          </w:tcPr>
          <w:p>
            <w:pPr>
              <w:jc w:val="center"/>
              <w:ind w:right="1920"/>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jc w:val="center"/>
        <w:ind w:right="-19"/>
        <w:spacing w:after="0" w:line="222" w:lineRule="auto"/>
        <w:rPr>
          <w:sz w:val="20"/>
          <w:szCs w:val="20"/>
          <w:color w:val="auto"/>
        </w:rPr>
      </w:pPr>
      <w:r>
        <w:rPr>
          <w:rFonts w:ascii="Arial" w:cs="Arial" w:eastAsia="Arial" w:hAnsi="Arial"/>
          <w:sz w:val="18"/>
          <w:szCs w:val="18"/>
          <w:color w:val="auto"/>
        </w:rPr>
        <w:t>Not Applicable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40640</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50" w:type="dxa"/>
        <w:tblCellMar>
          <w:top w:w="0" w:type="dxa"/>
          <w:left w:w="0" w:type="dxa"/>
          <w:bottom w:w="0" w:type="dxa"/>
          <w:right w:w="0" w:type="dxa"/>
        </w:tblCellMar>
      </w:tblPr>
      <w:tr>
        <w:trPr>
          <w:trHeight w:val="223"/>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46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0"/>
                <w:szCs w:val="10"/>
                <w:color w:val="auto"/>
              </w:rPr>
            </w:pPr>
          </w:p>
        </w:tc>
        <w:tc>
          <w:tcPr>
            <w:tcW w:w="4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jc w:val="both"/>
        <w:ind w:right="1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jc w:val="both"/>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680" w:type="dxa"/>
        <w:tblCellMar>
          <w:top w:w="0" w:type="dxa"/>
          <w:left w:w="0" w:type="dxa"/>
          <w:bottom w:w="0" w:type="dxa"/>
          <w:right w:w="0" w:type="dxa"/>
        </w:tblCellMar>
      </w:tblPr>
      <w:tr>
        <w:trPr>
          <w:trHeight w:val="243"/>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6"/>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17" w:lineRule="exact"/>
        <w:rPr>
          <w:sz w:val="24"/>
          <w:szCs w:val="24"/>
          <w:color w:val="auto"/>
        </w:rPr>
      </w:pPr>
    </w:p>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36" w:lineRule="exact"/>
        <w:rPr>
          <w:sz w:val="24"/>
          <w:szCs w:val="24"/>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 w:name="page2"/>
    <w:bookmarkEnd w:id="1"/>
    <w:p>
      <w:pPr>
        <w:ind w:right="60"/>
        <w:spacing w:after="0" w:line="227" w:lineRule="auto"/>
        <w:rPr>
          <w:sz w:val="20"/>
          <w:szCs w:val="20"/>
          <w:color w:val="auto"/>
        </w:rPr>
      </w:pPr>
      <w:r>
        <w:rPr>
          <w:rFonts w:ascii="Arial" w:cs="Arial" w:eastAsia="Arial" w:hAnsi="Arial"/>
          <w:sz w:val="18"/>
          <w:szCs w:val="18"/>
          <w:color w:val="auto"/>
        </w:rPr>
        <w:t>As of April 30, 2021, the number of shares of the registrant's Class A common stock outstanding was 268,744,362 and the number of shares of the registrant's Class B common stock outstanding was 29,548,911.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32"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Page</w:t>
      </w:r>
    </w:p>
    <w:p>
      <w:pPr>
        <w:spacing w:after="0" w:line="298"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3820" w:type="dxa"/>
            <w:vAlign w:val="bottom"/>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Special Note Regarding Forward Looking Statements</w:t>
              </w:r>
            </w:hyperlink>
          </w:p>
        </w:tc>
        <w:tc>
          <w:tcPr>
            <w:tcW w:w="6120" w:type="dxa"/>
            <w:vAlign w:val="bottom"/>
            <w:gridSpan w:val="2"/>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382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ectPr>
          <w:pgSz w:w="11900" w:h="16838" w:orient="portrait"/>
          <w:cols w:equalWidth="0" w:num="1">
            <w:col w:w="11240"/>
          </w:cols>
          <w:pgMar w:left="320" w:top="611" w:right="339" w:bottom="1440" w:gutter="0" w:footer="0" w:header="0"/>
        </w:sectPr>
      </w:pPr>
    </w:p>
    <w:p>
      <w:pPr>
        <w:spacing w:after="0" w:line="5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w:t>
        </w:r>
      </w:hyperlink>
      <w:r>
        <w:rPr>
          <w:rFonts w:ascii="Arial" w:cs="Arial" w:eastAsia="Arial" w:hAnsi="Arial"/>
          <w:sz w:val="16"/>
          <w:szCs w:val="16"/>
          <w:u w:val="single" w:color="auto"/>
          <w:color w:val="0000FF"/>
        </w:rPr>
        <w:tab/>
      </w:r>
      <w:hyperlink w:anchor="page5">
        <w:r>
          <w:rPr>
            <w:rFonts w:ascii="Arial" w:cs="Arial" w:eastAsia="Arial" w:hAnsi="Arial"/>
            <w:sz w:val="16"/>
            <w:szCs w:val="16"/>
            <w:u w:val="single" w:color="auto"/>
            <w:color w:val="0000FF"/>
          </w:rPr>
          <w:t>Financial Statements</w:t>
        </w:r>
      </w:hyperlink>
    </w:p>
    <w:p>
      <w:pPr>
        <w:spacing w:after="0" w:line="32" w:lineRule="exact"/>
        <w:rPr>
          <w:sz w:val="20"/>
          <w:szCs w:val="20"/>
          <w:color w:val="auto"/>
        </w:rPr>
      </w:pPr>
    </w:p>
    <w:p>
      <w:pPr>
        <w:ind w:left="8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as of March 31, 2021 and June 30, 2020 (unaudited)</w:t>
        </w:r>
      </w:hyperlink>
    </w:p>
    <w:p>
      <w:pPr>
        <w:spacing w:after="0" w:line="32" w:lineRule="exact"/>
        <w:rPr>
          <w:sz w:val="20"/>
          <w:szCs w:val="20"/>
          <w:color w:val="auto"/>
        </w:rPr>
      </w:pPr>
    </w:p>
    <w:p>
      <w:pPr>
        <w:ind w:left="880" w:right="120"/>
        <w:spacing w:after="0" w:line="232" w:lineRule="auto"/>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Operations and Comprehensive (Loss) Income for the Three and Nine Months Ended</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March 31, 2021 and 2020 (unaudited)</w:t>
        </w:r>
      </w:hyperlink>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p>
      <w:pPr>
        <w:spacing w:after="0" w:line="55" w:lineRule="exact"/>
        <w:rPr>
          <w:sz w:val="20"/>
          <w:szCs w:val="20"/>
          <w:color w:val="auto"/>
        </w:rPr>
      </w:pPr>
    </w:p>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p>
      <w:pPr>
        <w:spacing w:after="0" w:line="136" w:lineRule="exact"/>
        <w:rPr>
          <w:sz w:val="20"/>
          <w:szCs w:val="20"/>
          <w:color w:val="auto"/>
        </w:rPr>
      </w:pPr>
    </w:p>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p>
      <w:pPr>
        <w:spacing w:after="0" w:line="114" w:lineRule="exact"/>
        <w:rPr>
          <w:sz w:val="20"/>
          <w:szCs w:val="20"/>
          <w:color w:val="auto"/>
        </w:rPr>
      </w:pPr>
    </w:p>
    <w:p>
      <w:pPr>
        <w:sectPr>
          <w:pgSz w:w="11900" w:h="16838" w:orient="portrait"/>
          <w:cols w:equalWidth="0" w:num="2">
            <w:col w:w="10020" w:space="720"/>
            <w:col w:w="500"/>
          </w:cols>
          <w:pgMar w:left="320" w:top="611"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60" w:type="dxa"/>
            <w:vAlign w:val="bottom"/>
            <w:gridSpan w:val="11"/>
          </w:tcPr>
          <w:p>
            <w:pPr>
              <w:spacing w:after="0" w:line="182" w:lineRule="exact"/>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Cash Flows for the Nine Months Ended March 31, 2021 and </w:t>
              </w:r>
            </w:hyperlink>
            <w:r>
              <w:rPr>
                <w:rFonts w:ascii="Arial" w:cs="Arial" w:eastAsia="Arial" w:hAnsi="Arial"/>
                <w:sz w:val="16"/>
                <w:szCs w:val="16"/>
                <w:color w:val="0000FF"/>
              </w:rPr>
              <w:t xml:space="preserve">2020 </w:t>
            </w:r>
            <w:hyperlink w:anchor="page6">
              <w:r>
                <w:rPr>
                  <w:rFonts w:ascii="Arial" w:cs="Arial" w:eastAsia="Arial" w:hAnsi="Arial"/>
                  <w:sz w:val="16"/>
                  <w:szCs w:val="16"/>
                  <w:color w:val="0000FF"/>
                </w:rPr>
                <w:t>(unaudited)</w:t>
              </w:r>
            </w:hyperlink>
          </w:p>
        </w:tc>
        <w:tc>
          <w:tcPr>
            <w:tcW w:w="700" w:type="dxa"/>
            <w:vAlign w:val="bottom"/>
            <w:gridSpan w:val="2"/>
          </w:tcPr>
          <w:p>
            <w:pPr>
              <w:spacing w:after="0"/>
              <w:rPr>
                <w:sz w:val="15"/>
                <w:szCs w:val="15"/>
                <w:color w:val="auto"/>
              </w:rPr>
            </w:pPr>
          </w:p>
        </w:tc>
        <w:tc>
          <w:tcPr>
            <w:tcW w:w="760" w:type="dxa"/>
            <w:vAlign w:val="bottom"/>
            <w:gridSpan w:val="2"/>
          </w:tcPr>
          <w:p>
            <w:pPr>
              <w:jc w:val="center"/>
              <w:ind w:left="599"/>
              <w:spacing w:after="0" w:line="182" w:lineRule="exact"/>
              <w:rPr>
                <w:rFonts w:ascii="Arial" w:cs="Arial" w:eastAsia="Arial" w:hAnsi="Arial"/>
                <w:sz w:val="16"/>
                <w:szCs w:val="16"/>
                <w:color w:val="0000FF"/>
                <w:w w:val="89"/>
              </w:rPr>
            </w:pPr>
            <w:hyperlink w:anchor="page6">
              <w:r>
                <w:rPr>
                  <w:rFonts w:ascii="Arial" w:cs="Arial" w:eastAsia="Arial" w:hAnsi="Arial"/>
                  <w:sz w:val="16"/>
                  <w:szCs w:val="16"/>
                  <w:color w:val="0000FF"/>
                  <w:w w:val="89"/>
                </w:rPr>
                <w:t>6</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Stockholders' Equity for the Three Months Ended March 31, 2021 and 2020 (unaudited)</w:t>
              </w:r>
            </w:hyperlink>
          </w:p>
        </w:tc>
        <w:tc>
          <w:tcPr>
            <w:tcW w:w="760" w:type="dxa"/>
            <w:vAlign w:val="bottom"/>
            <w:gridSpan w:val="2"/>
            <w:vMerge w:val="restart"/>
          </w:tcPr>
          <w:p>
            <w:pPr>
              <w:jc w:val="center"/>
              <w:ind w:left="59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160" w:type="dxa"/>
            <w:vAlign w:val="bottom"/>
            <w:gridSpan w:val="13"/>
          </w:tcPr>
          <w:p>
            <w:pPr>
              <w:spacing w:after="0" w:line="142" w:lineRule="exact"/>
              <w:rPr>
                <w:rFonts w:ascii="Arial" w:cs="Arial" w:eastAsia="Arial" w:hAnsi="Arial"/>
                <w:sz w:val="16"/>
                <w:szCs w:val="16"/>
                <w:color w:val="0000FF"/>
              </w:rPr>
            </w:pPr>
            <w:hyperlink w:anchor="page8">
              <w:r>
                <w:rPr>
                  <w:rFonts w:ascii="Arial" w:cs="Arial" w:eastAsia="Arial" w:hAnsi="Arial"/>
                  <w:sz w:val="16"/>
                  <w:szCs w:val="16"/>
                  <w:color w:val="0000FF"/>
                </w:rPr>
                <w:t>and Condensed Consolidated Statements of Changes in Redeemable Convertible Preferred Stock and Stockholders' (Deficit)</w:t>
              </w:r>
            </w:hyperlink>
          </w:p>
        </w:tc>
        <w:tc>
          <w:tcPr>
            <w:tcW w:w="7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w:anchor="page8">
              <w:r>
                <w:rPr>
                  <w:rFonts w:ascii="Arial" w:cs="Arial" w:eastAsia="Arial" w:hAnsi="Arial"/>
                  <w:sz w:val="16"/>
                  <w:szCs w:val="16"/>
                  <w:color w:val="0000FF"/>
                </w:rPr>
                <w:t>Equity for the Nine Months Ended March 31, 2021 and 2020 (unaudited)</w:t>
              </w:r>
            </w:hyperlink>
          </w:p>
        </w:tc>
        <w:tc>
          <w:tcPr>
            <w:tcW w:w="3780" w:type="dxa"/>
            <w:vAlign w:val="bottom"/>
            <w:tcBorders>
              <w:top w:val="single" w:sz="8" w:color="0000FF"/>
            </w:tcBorders>
            <w:gridSpan w:val="3"/>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 (unaudited)</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10">
              <w:r>
                <w:rPr>
                  <w:rFonts w:ascii="Arial" w:cs="Arial" w:eastAsia="Arial" w:hAnsi="Arial"/>
                  <w:sz w:val="16"/>
                  <w:szCs w:val="16"/>
                  <w:color w:val="0000FF"/>
                </w:rPr>
                <w:t>11</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rFonts w:ascii="Arial" w:cs="Arial" w:eastAsia="Arial" w:hAnsi="Arial"/>
                <w:sz w:val="16"/>
                <w:szCs w:val="16"/>
                <w:color w:val="0000FF"/>
                <w:w w:val="98"/>
              </w:rPr>
            </w:pPr>
            <w:hyperlink w:anchor="page25">
              <w:r>
                <w:rPr>
                  <w:rFonts w:ascii="Arial" w:cs="Arial" w:eastAsia="Arial" w:hAnsi="Arial"/>
                  <w:sz w:val="16"/>
                  <w:szCs w:val="16"/>
                  <w:color w:val="0000FF"/>
                  <w:w w:val="98"/>
                </w:rPr>
                <w:t>Item 2</w:t>
              </w:r>
            </w:hyperlink>
          </w:p>
        </w:tc>
        <w:tc>
          <w:tcPr>
            <w:tcW w:w="420" w:type="dxa"/>
            <w:vAlign w:val="bottom"/>
            <w:gridSpan w:val="2"/>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Management's Discussion and Analysis of Financial Condition and Results of Operations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25">
              <w:r>
                <w:rPr>
                  <w:rFonts w:ascii="Arial" w:cs="Arial" w:eastAsia="Arial" w:hAnsi="Arial"/>
                  <w:sz w:val="16"/>
                  <w:szCs w:val="16"/>
                  <w:color w:val="0000FF"/>
                </w:rPr>
                <w:t>26</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rFonts w:ascii="Arial" w:cs="Arial" w:eastAsia="Arial" w:hAnsi="Arial"/>
                <w:sz w:val="16"/>
                <w:szCs w:val="16"/>
                <w:color w:val="0000FF"/>
                <w:w w:val="98"/>
              </w:rPr>
            </w:pPr>
            <w:hyperlink w:anchor="page38">
              <w:r>
                <w:rPr>
                  <w:rFonts w:ascii="Arial" w:cs="Arial" w:eastAsia="Arial" w:hAnsi="Arial"/>
                  <w:sz w:val="16"/>
                  <w:szCs w:val="16"/>
                  <w:color w:val="0000FF"/>
                  <w:w w:val="98"/>
                </w:rPr>
                <w:t>Item 3</w:t>
              </w:r>
            </w:hyperlink>
          </w:p>
        </w:tc>
        <w:tc>
          <w:tcPr>
            <w:tcW w:w="420" w:type="dxa"/>
            <w:vAlign w:val="bottom"/>
            <w:gridSpan w:val="2"/>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Quantitative and Qualitative Disclosures About Market Risk</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rFonts w:ascii="Arial" w:cs="Arial" w:eastAsia="Arial" w:hAnsi="Arial"/>
                <w:sz w:val="16"/>
                <w:szCs w:val="16"/>
                <w:color w:val="0000FF"/>
                <w:w w:val="98"/>
              </w:rPr>
            </w:pPr>
            <w:hyperlink w:anchor="page39">
              <w:r>
                <w:rPr>
                  <w:rFonts w:ascii="Arial" w:cs="Arial" w:eastAsia="Arial" w:hAnsi="Arial"/>
                  <w:sz w:val="16"/>
                  <w:szCs w:val="16"/>
                  <w:color w:val="0000FF"/>
                  <w:w w:val="98"/>
                </w:rPr>
                <w:t>Item 4</w:t>
              </w:r>
            </w:hyperlink>
          </w:p>
        </w:tc>
        <w:tc>
          <w:tcPr>
            <w:tcW w:w="420" w:type="dxa"/>
            <w:vAlign w:val="bottom"/>
            <w:gridSpan w:val="2"/>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Controls and Procedures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0" w:type="dxa"/>
            <w:vAlign w:val="bottom"/>
            <w:gridSpan w:val="8"/>
          </w:tcPr>
          <w:p>
            <w:pPr>
              <w:ind w:left="1980"/>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line="181" w:lineRule="exact"/>
              <w:rPr>
                <w:rFonts w:ascii="Arial" w:cs="Arial" w:eastAsia="Arial" w:hAnsi="Arial"/>
                <w:sz w:val="16"/>
                <w:szCs w:val="16"/>
                <w:color w:val="0000FF"/>
                <w:w w:val="98"/>
              </w:rPr>
            </w:pPr>
            <w:hyperlink w:anchor="page41">
              <w:r>
                <w:rPr>
                  <w:rFonts w:ascii="Arial" w:cs="Arial" w:eastAsia="Arial" w:hAnsi="Arial"/>
                  <w:sz w:val="16"/>
                  <w:szCs w:val="16"/>
                  <w:color w:val="0000FF"/>
                  <w:w w:val="98"/>
                </w:rPr>
                <w:t>Item 1</w:t>
              </w:r>
            </w:hyperlink>
          </w:p>
        </w:tc>
        <w:tc>
          <w:tcPr>
            <w:tcW w:w="420" w:type="dxa"/>
            <w:vAlign w:val="bottom"/>
            <w:gridSpan w:val="2"/>
          </w:tcPr>
          <w:p>
            <w:pPr>
              <w:spacing w:after="0"/>
              <w:rPr>
                <w:sz w:val="15"/>
                <w:szCs w:val="15"/>
                <w:color w:val="auto"/>
              </w:rPr>
            </w:pPr>
          </w:p>
        </w:tc>
        <w:tc>
          <w:tcPr>
            <w:tcW w:w="9160" w:type="dxa"/>
            <w:vAlign w:val="bottom"/>
            <w:gridSpan w:val="13"/>
          </w:tcPr>
          <w:p>
            <w:pPr>
              <w:spacing w:after="0" w:line="181" w:lineRule="exact"/>
              <w:rPr>
                <w:rFonts w:ascii="Arial" w:cs="Arial" w:eastAsia="Arial" w:hAnsi="Arial"/>
                <w:sz w:val="16"/>
                <w:szCs w:val="16"/>
                <w:color w:val="0000FF"/>
              </w:rPr>
            </w:pPr>
            <w:hyperlink w:anchor="page41">
              <w:r>
                <w:rPr>
                  <w:rFonts w:ascii="Arial" w:cs="Arial" w:eastAsia="Arial" w:hAnsi="Arial"/>
                  <w:sz w:val="16"/>
                  <w:szCs w:val="16"/>
                  <w:color w:val="0000FF"/>
                </w:rPr>
                <w:t>Legal Proceedings</w:t>
              </w:r>
            </w:hyperlink>
          </w:p>
        </w:tc>
        <w:tc>
          <w:tcPr>
            <w:tcW w:w="760" w:type="dxa"/>
            <w:vAlign w:val="bottom"/>
            <w:gridSpan w:val="2"/>
          </w:tcPr>
          <w:p>
            <w:pPr>
              <w:jc w:val="center"/>
              <w:ind w:left="499"/>
              <w:spacing w:after="0" w:line="181" w:lineRule="exact"/>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gridSpan w:val="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1A</w:t>
              </w:r>
            </w:hyperlink>
          </w:p>
        </w:tc>
        <w:tc>
          <w:tcPr>
            <w:tcW w:w="9160" w:type="dxa"/>
            <w:vAlign w:val="bottom"/>
            <w:gridSpan w:val="1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Risk Factors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rFonts w:ascii="Arial" w:cs="Arial" w:eastAsia="Arial" w:hAnsi="Arial"/>
                <w:sz w:val="16"/>
                <w:szCs w:val="16"/>
                <w:color w:val="0000FF"/>
                <w:w w:val="98"/>
              </w:rPr>
            </w:pPr>
            <w:hyperlink w:anchor="page70">
              <w:r>
                <w:rPr>
                  <w:rFonts w:ascii="Arial" w:cs="Arial" w:eastAsia="Arial" w:hAnsi="Arial"/>
                  <w:sz w:val="16"/>
                  <w:szCs w:val="16"/>
                  <w:color w:val="0000FF"/>
                  <w:w w:val="98"/>
                </w:rPr>
                <w:t>Item 2</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Unregistered Sales of Equity Securities and Use of Proceeds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70">
              <w:r>
                <w:rPr>
                  <w:rFonts w:ascii="Arial" w:cs="Arial" w:eastAsia="Arial" w:hAnsi="Arial"/>
                  <w:sz w:val="16"/>
                  <w:szCs w:val="16"/>
                  <w:color w:val="0000FF"/>
                </w:rPr>
                <w:t>70</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rFonts w:ascii="Arial" w:cs="Arial" w:eastAsia="Arial" w:hAnsi="Arial"/>
                <w:sz w:val="16"/>
                <w:szCs w:val="16"/>
                <w:color w:val="0000FF"/>
                <w:w w:val="98"/>
              </w:rPr>
            </w:pPr>
            <w:hyperlink w:anchor="page71">
              <w:r>
                <w:rPr>
                  <w:rFonts w:ascii="Arial" w:cs="Arial" w:eastAsia="Arial" w:hAnsi="Arial"/>
                  <w:sz w:val="16"/>
                  <w:szCs w:val="16"/>
                  <w:color w:val="0000FF"/>
                  <w:w w:val="98"/>
                </w:rPr>
                <w:t>Item 6</w:t>
              </w:r>
            </w:hyperlink>
          </w:p>
        </w:tc>
        <w:tc>
          <w:tcPr>
            <w:tcW w:w="420" w:type="dxa"/>
            <w:vAlign w:val="bottom"/>
            <w:gridSpan w:val="2"/>
          </w:tcPr>
          <w:p>
            <w:pPr>
              <w:spacing w:after="0"/>
              <w:rPr>
                <w:sz w:val="17"/>
                <w:szCs w:val="17"/>
                <w:color w:val="auto"/>
              </w:rPr>
            </w:pPr>
          </w:p>
        </w:tc>
        <w:tc>
          <w:tcPr>
            <w:tcW w:w="9160" w:type="dxa"/>
            <w:vAlign w:val="bottom"/>
            <w:gridSpan w:val="1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Exhibits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71">
              <w:r>
                <w:rPr>
                  <w:rFonts w:ascii="Arial" w:cs="Arial" w:eastAsia="Arial" w:hAnsi="Arial"/>
                  <w:sz w:val="16"/>
                  <w:szCs w:val="16"/>
                  <w:color w:val="0000FF"/>
                </w:rPr>
                <w:t>71</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20" w:type="dxa"/>
            <w:vAlign w:val="bottom"/>
            <w:gridSpan w:val="11"/>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SIGNATURES</w:t>
              </w:r>
            </w:hyperlink>
          </w:p>
        </w:tc>
        <w:tc>
          <w:tcPr>
            <w:tcW w:w="760" w:type="dxa"/>
            <w:vAlign w:val="bottom"/>
            <w:gridSpan w:val="2"/>
          </w:tcPr>
          <w:p>
            <w:pPr>
              <w:jc w:val="center"/>
              <w:ind w:left="499"/>
              <w:spacing w:after="0"/>
              <w:rPr>
                <w:rFonts w:ascii="Arial" w:cs="Arial" w:eastAsia="Arial" w:hAnsi="Arial"/>
                <w:sz w:val="16"/>
                <w:szCs w:val="16"/>
                <w:color w:val="0000FF"/>
              </w:rPr>
            </w:pPr>
            <w:hyperlink w:anchor="page73">
              <w:r>
                <w:rPr>
                  <w:rFonts w:ascii="Arial" w:cs="Arial" w:eastAsia="Arial" w:hAnsi="Arial"/>
                  <w:sz w:val="16"/>
                  <w:szCs w:val="16"/>
                  <w:color w:val="0000FF"/>
                </w:rPr>
                <w:t>74</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Quarterly Report on Form 10-Q include, but are not limited to, statements about:</w:t>
      </w:r>
    </w:p>
    <w:p>
      <w:pPr>
        <w:spacing w:after="0" w:line="248"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release dates for new Connected Fitness Products and services;</w:t>
      </w:r>
    </w:p>
    <w:p>
      <w:pPr>
        <w:spacing w:after="0" w:line="24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or proceedings involving our products;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Subscription base and maintain and expand our Subscription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benefits of the acquisition of Precor Incorporated, a Delaware corporation ("Precor");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factors that could cause actual results to differ materially from those stated, including those described in the sections titled “Management’s Discussion and Analysis of Financial Condition and Results of Operations” in Part I, Item 2 and “Risk Factors” in Part II, Item 1A of this Quarterly Report on Form 10-Q, as such factors may be updated in our filings with the Securities and Exchange Commission, or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w:t>
      </w:r>
    </w:p>
    <w:p>
      <w:pPr>
        <w:sectPr>
          <w:pgSz w:w="11900" w:h="16838" w:orient="portrait"/>
          <w:cols w:equalWidth="0" w:num="1">
            <w:col w:w="11240"/>
          </w:cols>
          <w:pgMar w:left="320" w:top="603" w:right="3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 w:name="page4"/>
    <w:bookmarkEnd w:id="3"/>
    <w:p>
      <w:pPr>
        <w:jc w:val="both"/>
        <w:spacing w:after="0" w:line="253" w:lineRule="auto"/>
        <w:rPr>
          <w:sz w:val="20"/>
          <w:szCs w:val="20"/>
          <w:color w:val="auto"/>
        </w:rPr>
      </w:pPr>
      <w:r>
        <w:rPr>
          <w:rFonts w:ascii="Arial" w:cs="Arial" w:eastAsia="Arial" w:hAnsi="Arial"/>
          <w:sz w:val="16"/>
          <w:szCs w:val="16"/>
          <w:color w:val="auto"/>
        </w:rPr>
        <w:t>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199"/>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629.4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4,712.4</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855.2</w:t>
            </w:r>
          </w:p>
        </w:tc>
        <w:tc>
          <w:tcPr>
            <w:tcW w:w="1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 and deferred revenue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589.3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2,719.1</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268,115,347 and 237,518,574 shares issued and outstanding as of March 31, 2021 and June 30,</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2020, respectively; 2,500,000,000 and 2,500,000,000 Class B shares authorized, 29,746,911 and</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50,538,538 shares issued and outstanding as of March 31, 2021 and June 30, 2020, respectively.</w:t>
            </w:r>
          </w:p>
        </w:tc>
        <w:tc>
          <w:tcPr>
            <w:tcW w:w="2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2,548.9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2,361.8</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13"/>
        </w:trPr>
        <w:tc>
          <w:tcPr>
            <w:tcW w:w="7540" w:type="dxa"/>
            <w:vAlign w:val="bottom"/>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4,712.4</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12"/>
        </w:trPr>
        <w:tc>
          <w:tcPr>
            <w:tcW w:w="5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2,494.4</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976.3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1,218.8</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670.9</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losses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other (expense) income,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Net (loss) income attributable to Class A and Class B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stockholders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 diluted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Weighted-average Class A and Class B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280,879,011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292,276,299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199,769,233</w:t>
            </w:r>
          </w:p>
        </w:tc>
        <w:tc>
          <w:tcPr>
            <w:tcW w:w="0" w:type="dxa"/>
            <w:vAlign w:val="bottom"/>
          </w:tcPr>
          <w:p>
            <w:pPr>
              <w:spacing w:after="0"/>
              <w:rPr>
                <w:sz w:val="1"/>
                <w:szCs w:val="1"/>
                <w:color w:val="auto"/>
              </w:rPr>
            </w:pPr>
          </w:p>
        </w:tc>
      </w:tr>
      <w:tr>
        <w:trPr>
          <w:trHeight w:val="174"/>
        </w:trPr>
        <w:tc>
          <w:tcPr>
            <w:tcW w:w="5280" w:type="dxa"/>
            <w:vAlign w:val="bottom"/>
          </w:tcPr>
          <w:p>
            <w:pPr>
              <w:ind w:left="20"/>
              <w:spacing w:after="0" w:line="174" w:lineRule="exact"/>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Weighted-average Class A and Class B common shares outstanding,</w:t>
            </w: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280,879,011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348,094,379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199,769,233</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operating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Maturities of marketable securities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combination, net of cash acquired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Asset acquisitions, net of cash acquired</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Capitalization of internal-use software costs and other</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investing activities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issuance of common stock upon initial public offering, net of offering costs</w:t>
            </w:r>
          </w:p>
        </w:tc>
        <w:tc>
          <w:tcPr>
            <w:tcW w:w="1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Purchase of capped calls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withheld and paid on employee stock awards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7600" w:type="dxa"/>
            <w:vAlign w:val="bottom"/>
          </w:tcPr>
          <w:p>
            <w:pPr>
              <w:ind w:left="5580"/>
              <w:spacing w:after="0"/>
              <w:rPr>
                <w:sz w:val="20"/>
                <w:szCs w:val="20"/>
                <w:color w:val="auto"/>
              </w:rPr>
            </w:pPr>
            <w:r>
              <w:rPr>
                <w:rFonts w:ascii="Arial" w:cs="Arial" w:eastAsia="Arial" w:hAnsi="Arial"/>
                <w:sz w:val="16"/>
                <w:szCs w:val="16"/>
                <w:color w:val="auto"/>
              </w:rPr>
              <w:t>7</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Pr>
          <w:p>
            <w:pPr>
              <w:ind w:left="360"/>
              <w:spacing w:after="0"/>
              <w:rPr>
                <w:sz w:val="20"/>
                <w:szCs w:val="20"/>
                <w:color w:val="auto"/>
              </w:rPr>
            </w:pPr>
            <w:r>
              <w:rPr>
                <w:rFonts w:ascii="Arial" w:cs="Arial" w:eastAsia="Arial" w:hAnsi="Arial"/>
                <w:sz w:val="16"/>
                <w:szCs w:val="16"/>
                <w:color w:val="auto"/>
              </w:rPr>
              <w:t>Conversion of convertible preferred stock to common stock</w:t>
            </w: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(941.1)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Property and equipment accrued but unpaid</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7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84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Class A and Class B</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6"/>
                <w:szCs w:val="1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1840" w:type="dxa"/>
            <w:vAlign w:val="bottom"/>
            <w:gridSpan w:val="3"/>
            <w:vMerge w:val="restart"/>
          </w:tcPr>
          <w:p>
            <w:pPr>
              <w:jc w:val="center"/>
              <w:ind w:left="15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20" w:type="dxa"/>
            <w:vAlign w:val="bottom"/>
          </w:tcPr>
          <w:p>
            <w:pPr>
              <w:spacing w:after="0"/>
              <w:rPr>
                <w:sz w:val="9"/>
                <w:szCs w:val="9"/>
                <w:color w:val="auto"/>
              </w:rPr>
            </w:pPr>
          </w:p>
        </w:tc>
        <w:tc>
          <w:tcPr>
            <w:tcW w:w="184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48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320" w:type="dxa"/>
            <w:vAlign w:val="bottom"/>
            <w:gridSpan w:val="3"/>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5"/>
        </w:trPr>
        <w:tc>
          <w:tcPr>
            <w:tcW w:w="4020" w:type="dxa"/>
            <w:vAlign w:val="bottom"/>
          </w:tcPr>
          <w:p>
            <w:pPr>
              <w:spacing w:after="0"/>
              <w:rPr>
                <w:sz w:val="3"/>
                <w:szCs w:val="3"/>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spacing w:after="0"/>
              <w:rPr>
                <w:sz w:val="3"/>
                <w:szCs w:val="3"/>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24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40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1,545.2</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Issuance of common stock under employee stock</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#REF!</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1,928.3</w:t>
            </w:r>
          </w:p>
        </w:tc>
        <w:tc>
          <w:tcPr>
            <w:tcW w:w="0" w:type="dxa"/>
            <w:vAlign w:val="bottom"/>
          </w:tcPr>
          <w:p>
            <w:pPr>
              <w:spacing w:after="0"/>
              <w:rPr>
                <w:sz w:val="1"/>
                <w:szCs w:val="1"/>
                <w:color w:val="auto"/>
              </w:rPr>
            </w:pPr>
          </w:p>
        </w:tc>
      </w:tr>
      <w:tr>
        <w:trPr>
          <w:trHeight w:val="177"/>
        </w:trPr>
        <w:tc>
          <w:tcPr>
            <w:tcW w:w="402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pursuant to stock-based</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240"/>
              <w:spacing w:after="0"/>
              <w:rPr>
                <w:sz w:val="20"/>
                <w:szCs w:val="20"/>
                <w:color w:val="auto"/>
              </w:rPr>
            </w:pPr>
            <w:r>
              <w:rPr>
                <w:rFonts w:ascii="Arial" w:cs="Arial" w:eastAsia="Arial" w:hAnsi="Arial"/>
                <w:sz w:val="16"/>
                <w:szCs w:val="16"/>
                <w:color w:val="auto"/>
              </w:rPr>
              <w:t>awards, net of withholding taxes</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Issuance of common stock under employee stock</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Equity component of convertible senior notes, net of</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costs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77"/>
        </w:trPr>
        <w:tc>
          <w:tcPr>
            <w:tcW w:w="4020" w:type="dxa"/>
            <w:vAlign w:val="bottom"/>
          </w:tcPr>
          <w:p>
            <w:pPr>
              <w:ind w:left="240"/>
              <w:spacing w:after="0" w:line="178" w:lineRule="exact"/>
              <w:rPr>
                <w:sz w:val="20"/>
                <w:szCs w:val="20"/>
                <w:color w:val="auto"/>
              </w:rPr>
            </w:pPr>
            <w:r>
              <w:rPr>
                <w:rFonts w:ascii="Arial" w:cs="Arial" w:eastAsia="Arial" w:hAnsi="Arial"/>
                <w:sz w:val="16"/>
                <w:szCs w:val="16"/>
                <w:color w:val="auto"/>
              </w:rPr>
              <w:t>Purchases of capped calls related to convertible</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240"/>
              <w:spacing w:after="0"/>
              <w:rPr>
                <w:sz w:val="20"/>
                <w:szCs w:val="20"/>
                <w:color w:val="auto"/>
              </w:rPr>
            </w:pPr>
            <w:r>
              <w:rPr>
                <w:rFonts w:ascii="Arial" w:cs="Arial" w:eastAsia="Arial" w:hAnsi="Arial"/>
                <w:sz w:val="16"/>
                <w:szCs w:val="16"/>
                <w:color w:val="auto"/>
              </w:rPr>
              <w:t>senior notes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Redeemable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84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99"/>
              </w:rPr>
              <w:t>Convertible</w:t>
            </w:r>
          </w:p>
        </w:tc>
        <w:tc>
          <w:tcPr>
            <w:tcW w:w="180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Class A and Class B</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00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9"/>
                <w:szCs w:val="9"/>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9"/>
                <w:szCs w:val="9"/>
                <w:color w:val="auto"/>
              </w:rPr>
            </w:pPr>
          </w:p>
        </w:tc>
        <w:tc>
          <w:tcPr>
            <w:tcW w:w="94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35"/>
        </w:trPr>
        <w:tc>
          <w:tcPr>
            <w:tcW w:w="3000" w:type="dxa"/>
            <w:vAlign w:val="bottom"/>
          </w:tcPr>
          <w:p>
            <w:pPr>
              <w:spacing w:after="0"/>
              <w:rPr>
                <w:sz w:val="3"/>
                <w:szCs w:val="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0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Initial public offering, net of issuance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costs of $6.3 million</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Conversion of redeemable convertible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to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 of stock warrants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employee stock purchase plan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Cumulative effect adjustment in</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40"/>
              <w:spacing w:after="0" w:line="162" w:lineRule="exact"/>
              <w:rPr>
                <w:sz w:val="20"/>
                <w:szCs w:val="20"/>
                <w:color w:val="auto"/>
              </w:rPr>
            </w:pPr>
            <w:r>
              <w:rPr>
                <w:rFonts w:ascii="Arial" w:cs="Arial" w:eastAsia="Arial" w:hAnsi="Arial"/>
                <w:sz w:val="16"/>
                <w:szCs w:val="16"/>
                <w:color w:val="auto"/>
              </w:rPr>
              <w:t>connection with adoption of ASU</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2016-02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 2020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pursuant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40"/>
              <w:spacing w:after="0" w:line="162" w:lineRule="exact"/>
              <w:rPr>
                <w:sz w:val="20"/>
                <w:szCs w:val="20"/>
                <w:color w:val="auto"/>
              </w:rPr>
            </w:pPr>
            <w:r>
              <w:rPr>
                <w:rFonts w:ascii="Arial" w:cs="Arial" w:eastAsia="Arial" w:hAnsi="Arial"/>
                <w:sz w:val="16"/>
                <w:szCs w:val="16"/>
                <w:color w:val="auto"/>
              </w:rPr>
              <w:t>to stock-based awards, net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withholding taxes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Issuance of common stock under</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employee stock purchase plan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Equity component of convertible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senior notes, net of issuance costs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Purchases of capped calls related to</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convertible senior notes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 2021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2020,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2020, filed with the SEC on September 10, 2020 (the "Form 10-K"). However, the Company believes that the disclosures provided herein are adequate to prevent the information presented from being misleading.</w:t>
      </w: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wholly-owned subsidiaries. All significant intercompany balances and transactions have been eliminated in consolidation.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nine months ended March 31, 2021 are not necessarily indicative of the results to be expected for any subsequent quarter, the fiscal year ending June 30, 2021, or any other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in the Company's Annual Report on Form 10-K.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useful lives of property and equipment, product warranty, goodwill and finite-lived intangible assets,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the Company issued in a private offering $1.0 billion aggregate principal amount of 0% Convertible Senior Notes due 2026 (the "Notes"), including the initial purchasers’ exercise in full of their option to purchase additional notes. See Note 8 for additional details.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Notes are accounted for in accordance with Financial Accounting Standards Board (“FASB”) Accounting Standards Codification (“ASC”) Subtopic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Pursuant to ASC Subtopic 470-20, issuers of certain convertible debt instruments, such as the Notes, that have a net settlement feature and may be settled wholly or partially in cash upon conversion are required to separately account for the liability (debt) and equity (conversion option) components of the instrument.</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carrying amount of the liability component of the instrument is computed by estimating the fair value of a similar liability without the conversion option using a market-based approach. The amount of the equity component is then calculated by deducting the fair value of the liability component from the initial proceeds of the instrument. The difference between the principal amount and the liability component represents a debt discount that is amortized to interest expense over the respective term of the Notes using the effective interest rate method. The equity component is not remeasured as long as it continues to meet the conditions for equity classification. In accounting for the issuance costs related to the Notes, the allocation of issuance costs incurred between the liability and equity components was based on their relative values.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 and Hedging</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measures derivative financial instruments at fair value and recognizes them as either assets or liabilities on our condensed consolidated balance sheets. 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March 31, 2021, the Company did not have any material derivative contracts or contracts with material embedded derivative features requiring bifurcation.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2016-13</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This standard changes the impairment model for most financial assets. The new model uses a forward-looking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loss method, which may result in earlier recognition of allowances for losses, and require expected credit losses to be reflected as allowances rather than reductions in the amortized cost of available-for-sale debt securities. The Company adopted this standard and related amendments on July 1, 2020. The adoption of this standard did not materially impact the Company's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2019-12</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modifying the treatment of intraperiod tax allocation in certain circumstances, eliminating an exception to recognizing deferred tax liabilities for outside basis differences for foreign equity method investments and foreign subsidiaries when ownership or control changes, and modifying interim period tax calculations when a loss is forecasted. In addition, this ASU also requires that enacted changes in tax laws or rates be included in the annual effective rate determination in the period that includes the enactment date and clarifies the tax accounting of a step up in tax basis of goodwill. The Company adopted this standard on July 1, 2020. The adoption of this standard did not materially impact the Company's condensed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2020-01</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Investments-Equity Securities (Topic 321), Investments-Equity Method and Joint Ventures (Topic 323),</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 (Topic 815): Clarifying the Interactions between Topic 321, Topic 323, and Topic 815. </w:t>
      </w:r>
      <w:r>
        <w:rPr>
          <w:rFonts w:ascii="Arial" w:cs="Arial" w:eastAsia="Arial" w:hAnsi="Arial"/>
          <w:sz w:val="16"/>
          <w:szCs w:val="16"/>
          <w:color w:val="auto"/>
        </w:rPr>
        <w:t>This guidance clarifies the interaction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accounting for equity investments under Topic 321 and investments accounted for 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is currently evaluating the potential impact of adopting this new accounting guidance, but does not expect the adoption of the standard to have a material impact on its condensed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 and ASU 2021-01</w:t>
      </w:r>
    </w:p>
    <w:p>
      <w:pPr>
        <w:sectPr>
          <w:pgSz w:w="11900" w:h="16838" w:orient="portrait"/>
          <w:cols w:equalWidth="0" w:num="1">
            <w:col w:w="11240"/>
          </w:cols>
          <w:pgMar w:left="320" w:top="607"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2" w:name="page13"/>
    <w:bookmarkEnd w:id="12"/>
    <w:p>
      <w:pPr>
        <w:jc w:val="both"/>
        <w:spacing w:after="0" w:line="25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plans to adopt this standard when LIBOR is discontinued. The Company is currently evaluating the potential impact of adopting this new accounting guidance, but does not expect the adoption of the standard to have a material impact on its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 (Subtopic 470-20) and Derivatives and Hedging-Contracts in Entity's Own Equity (Subtopic 815-40): Accounting for Convertible Instruments and Contracts in an Entity's Own Equity</w:t>
      </w:r>
      <w:r>
        <w:rPr>
          <w:rFonts w:ascii="Arial" w:cs="Arial" w:eastAsia="Arial" w:hAnsi="Arial"/>
          <w:sz w:val="16"/>
          <w:szCs w:val="16"/>
          <w:color w:val="auto"/>
        </w:rPr>
        <w:t>. The guidance will</w:t>
      </w:r>
      <w:r>
        <w:rPr>
          <w:rFonts w:ascii="Arial" w:cs="Arial" w:eastAsia="Arial" w:hAnsi="Arial"/>
          <w:sz w:val="16"/>
          <w:szCs w:val="16"/>
          <w:i w:val="1"/>
          <w:iCs w:val="1"/>
          <w:color w:val="auto"/>
        </w:rPr>
        <w:t xml:space="preserve"> </w:t>
      </w:r>
      <w:r>
        <w:rPr>
          <w:rFonts w:ascii="Arial" w:cs="Arial" w:eastAsia="Arial" w:hAnsi="Arial"/>
          <w:sz w:val="16"/>
          <w:szCs w:val="16"/>
          <w:color w:val="auto"/>
        </w:rPr>
        <w:t>simplify the 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w:t>
      </w:r>
    </w:p>
    <w:p>
      <w:pPr>
        <w:jc w:val="both"/>
        <w:ind w:firstLine="8"/>
        <w:spacing w:after="0" w:line="249" w:lineRule="auto"/>
        <w:tabs>
          <w:tab w:leader="none" w:pos="257"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The Company is currently evaluating the impact that the adoption of ASU 2020-06 will have on the Company’s condensed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and incentives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branded apparel, and extended warranty agreements. The Company recognizes Connected Fitness Product revenue net of sales returns and discounts when the product has been delivered to the customer, except for extended warranty revenue which is recognized over the warranty period. The Company allows customers to return products within thirty days of purchase, as stated in its return policy.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w:t>
      </w:r>
    </w:p>
    <w:p>
      <w:pPr>
        <w:sectPr>
          <w:pgSz w:w="11900" w:h="16838" w:orient="portrait"/>
          <w:cols w:equalWidth="0" w:num="1">
            <w:col w:w="11240"/>
          </w:cols>
          <w:pgMar w:left="320" w:top="611"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3" w:name="page14"/>
    <w:bookmarkEnd w:id="13"/>
    <w:p>
      <w:pPr>
        <w:jc w:val="both"/>
        <w:spacing w:after="0" w:line="260" w:lineRule="auto"/>
        <w:rPr>
          <w:sz w:val="20"/>
          <w:szCs w:val="20"/>
          <w:color w:val="auto"/>
        </w:rPr>
      </w:pPr>
      <w:r>
        <w:rPr>
          <w:rFonts w:ascii="Arial" w:cs="Arial" w:eastAsia="Arial" w:hAnsi="Arial"/>
          <w:sz w:val="16"/>
          <w:szCs w:val="16"/>
          <w:color w:val="auto"/>
        </w:rPr>
        <w:t>Connected Fitness Products within Sales and marketing in the Company's condensed consolidated statements of operations and comprehensive (loss) income.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Amounts paid for subscription fees are included within customer deposits and deferred revenue on the Company's condensed consolidated balance sheets and recognized ratably on a month-to-month basis. The Company records payment processing fees for its monthly subscription charges within cost of subscription revenue in the Company's condensed consolidated statements of operations and comprehensive (loss) income.</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and Tread+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40" w:type="dxa"/>
            <w:vAlign w:val="bottom"/>
          </w:tcPr>
          <w:p>
            <w:pPr>
              <w:spacing w:after="0"/>
              <w:rPr>
                <w:sz w:val="18"/>
                <w:szCs w:val="18"/>
                <w:color w:val="auto"/>
              </w:rPr>
            </w:pPr>
          </w:p>
        </w:tc>
        <w:tc>
          <w:tcPr>
            <w:tcW w:w="39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March 31,</w:t>
            </w:r>
          </w:p>
        </w:tc>
        <w:tc>
          <w:tcPr>
            <w:tcW w:w="700" w:type="dxa"/>
            <w:vAlign w:val="bottom"/>
            <w:tcBorders>
              <w:bottom w:val="single" w:sz="8" w:color="auto"/>
            </w:tcBorders>
          </w:tcPr>
          <w:p>
            <w:pPr>
              <w:spacing w:after="0"/>
              <w:rPr>
                <w:sz w:val="18"/>
                <w:szCs w:val="18"/>
                <w:color w:val="auto"/>
              </w:rPr>
            </w:pPr>
          </w:p>
        </w:tc>
      </w:tr>
      <w:tr>
        <w:trPr>
          <w:trHeight w:val="212"/>
        </w:trPr>
        <w:tc>
          <w:tcPr>
            <w:tcW w:w="6640" w:type="dxa"/>
            <w:vAlign w:val="bottom"/>
          </w:tcPr>
          <w:p>
            <w:pPr>
              <w:spacing w:after="0"/>
              <w:rPr>
                <w:sz w:val="18"/>
                <w:szCs w:val="18"/>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4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10.5</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56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6"/>
                <w:szCs w:val="16"/>
                <w:color w:val="auto"/>
              </w:rPr>
              <w:t>54.3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jc w:val="center"/>
              <w:ind w:left="159"/>
              <w:spacing w:after="0"/>
              <w:rPr>
                <w:sz w:val="20"/>
                <w:szCs w:val="20"/>
                <w:color w:val="auto"/>
              </w:rPr>
            </w:pPr>
            <w:r>
              <w:rPr>
                <w:rFonts w:ascii="Arial" w:cs="Arial" w:eastAsia="Arial" w:hAnsi="Arial"/>
                <w:sz w:val="16"/>
                <w:szCs w:val="16"/>
                <w:color w:val="auto"/>
                <w:w w:val="96"/>
              </w:rPr>
              <w:t>21.1</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139"/>
              <w:spacing w:after="0"/>
              <w:rPr>
                <w:sz w:val="20"/>
                <w:szCs w:val="20"/>
                <w:color w:val="auto"/>
              </w:rPr>
            </w:pPr>
            <w:r>
              <w:rPr>
                <w:rFonts w:ascii="Arial" w:cs="Arial" w:eastAsia="Arial" w:hAnsi="Arial"/>
                <w:sz w:val="16"/>
                <w:szCs w:val="16"/>
                <w:color w:val="auto"/>
              </w:rPr>
              <w:t>(11.8)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6"/>
              </w:rPr>
              <w:t>19.9</w:t>
            </w:r>
          </w:p>
        </w:tc>
      </w:tr>
      <w:tr>
        <w:trPr>
          <w:trHeight w:val="20"/>
        </w:trPr>
        <w:tc>
          <w:tcPr>
            <w:tcW w:w="6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 income.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13 under the heading "Segment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North America</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1,176.7</w:t>
            </w:r>
          </w:p>
        </w:tc>
      </w:tr>
      <w:tr>
        <w:trPr>
          <w:trHeight w:val="216"/>
        </w:trPr>
        <w:tc>
          <w:tcPr>
            <w:tcW w:w="53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EMEA</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r>
      <w:tr>
        <w:trPr>
          <w:trHeight w:val="234"/>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_________________________</w:t>
      </w:r>
    </w:p>
    <w:p>
      <w:pPr>
        <w:spacing w:after="0" w:line="233"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United States and Canada.</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United Kingdom and Germany (formerly Rest of world).</w:t>
      </w:r>
    </w:p>
    <w:p>
      <w:pPr>
        <w:sectPr>
          <w:pgSz w:w="11900" w:h="16838" w:orient="portrait"/>
          <w:cols w:equalWidth="0" w:num="1">
            <w:col w:w="11240"/>
          </w:cols>
          <w:pgMar w:left="320" w:top="627"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14" w:name="page15"/>
    <w:bookmarkEnd w:id="14"/>
    <w:p>
      <w:pPr>
        <w:jc w:val="both"/>
        <w:spacing w:after="0" w:line="260" w:lineRule="auto"/>
        <w:rPr>
          <w:sz w:val="20"/>
          <w:szCs w:val="20"/>
          <w:color w:val="auto"/>
        </w:rPr>
      </w:pPr>
      <w:r>
        <w:rPr>
          <w:rFonts w:ascii="Arial" w:cs="Arial" w:eastAsia="Arial" w:hAnsi="Arial"/>
          <w:sz w:val="16"/>
          <w:szCs w:val="16"/>
          <w:color w:val="auto"/>
        </w:rPr>
        <w:t>During the three and nine months ended March 31, 2021, the Company's revenue attributable to the United States represented 87% and 90% of total revenue, respectively, and 94% of total revenue for the three and nine months ended March 31, 2020.</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2021 and June 30, 2020, customer deposits of $321.5 million and $341.5 million, respectively, and deferred revenue of $42.2 million and $22.1 million, respectively, were included in customer deposits and deferred revenue on the Company's condensed consolidated balance sheets.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nine months ended March 31, 2021 and 2020, the Company recognized revenue of $22.1 million and $9.5 million, respectively, that was included in the deferred revenue balance as of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March 31,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Gross Unrealized</w:t>
            </w:r>
          </w:p>
        </w:tc>
        <w:tc>
          <w:tcPr>
            <w:tcW w:w="15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3"/>
                <w:szCs w:val="13"/>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Gains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Supranational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 of deposits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671.5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Arial" w:cs="Arial" w:eastAsia="Arial" w:hAnsi="Arial"/>
                <w:sz w:val="16"/>
                <w:szCs w:val="16"/>
                <w:color w:val="auto"/>
              </w:rPr>
              <w:t>Total marketable securities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629.4</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jc w:val="both"/>
        <w:ind w:right="180" w:firstLine="8"/>
        <w:spacing w:after="0"/>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marketable securities with use restrictions of less than twelve months as "Prepaid expenses and other current assets" and of twelve months or longer as non-current "Other assets" on its condensed consolidated balance sheets.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5. Fair Value Measurements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As of March 31, 2021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w:t>
            </w:r>
          </w:p>
        </w:tc>
      </w:tr>
      <w:tr>
        <w:trPr>
          <w:trHeight w:val="233"/>
        </w:trPr>
        <w:tc>
          <w:tcPr>
            <w:tcW w:w="5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32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These investments are carried at fair value. All investments classified as available-for-sale are recorded at fair value within marketable securities in the condensed consolidated balance sheets. The Company’s investments classified as Level 1 are based on quoted prices that are available in active markets.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an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condensed consolidated statements of operations and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the carrying amounts and estimated fair values of the Company's financial instruments that are not recorded at fair value on the 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ind w:right="599"/>
              <w:spacing w:after="0"/>
              <w:rPr>
                <w:sz w:val="20"/>
                <w:szCs w:val="20"/>
                <w:color w:val="auto"/>
              </w:rPr>
            </w:pPr>
            <w:r>
              <w:rPr>
                <w:rFonts w:ascii="Arial" w:cs="Arial" w:eastAsia="Arial" w:hAnsi="Arial"/>
                <w:sz w:val="16"/>
                <w:szCs w:val="16"/>
                <w:b w:val="1"/>
                <w:bCs w:val="1"/>
                <w:color w:val="auto"/>
              </w:rPr>
              <w:t>As of March 31, 2021</w:t>
            </w: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Notes is determined based on the closing price on the last trading day of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20"/>
                <w:szCs w:val="20"/>
                <w:color w:val="auto"/>
              </w:rPr>
            </w:pPr>
            <w:r>
              <w:rPr>
                <w:rFonts w:ascii="Arial" w:cs="Arial" w:eastAsia="Arial" w:hAnsi="Arial"/>
                <w:sz w:val="16"/>
                <w:szCs w:val="16"/>
                <w:b w:val="1"/>
                <w:bCs w:val="1"/>
                <w:color w:val="auto"/>
              </w:rPr>
              <w:t>6. Inventory</w:t>
            </w: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76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4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3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3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4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3840" w:type="dxa"/>
            <w:vAlign w:val="bottom"/>
            <w:vMerge w:val="restart"/>
          </w:tcPr>
          <w:p>
            <w:pPr>
              <w:jc w:val="right"/>
              <w:ind w:right="1799"/>
              <w:spacing w:after="0"/>
              <w:rPr>
                <w:sz w:val="20"/>
                <w:szCs w:val="20"/>
                <w:color w:val="auto"/>
              </w:rPr>
            </w:pPr>
            <w:r>
              <w:rPr>
                <w:rFonts w:ascii="Arial" w:cs="Arial" w:eastAsia="Arial" w:hAnsi="Arial"/>
                <w:sz w:val="16"/>
                <w:szCs w:val="16"/>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37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7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7. Acquisitions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February 9, 2021, the Company acquired Aiqudo, Inc. and its subsidiaries (collectively, "Aiqudo") for a purchase price of approximately $57.7 million, net of cash acquired, which was paid in cash. Upon completion of the transaction, Aiqudo became a wholly-owned subsidiary of the Company. The Company acquired Aiqudo to bolster product research and development capabilities.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operating results of Aiqudo have been included in the Company's condensed consolidated statements of operations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$1.0 million of acquisition-related costs that were expensed as incurred during the three and nine months ended March 31,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costs are included in general and administrative expense in the condensed consolidated statement of operations and comprehensive (loss) income.</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acquisition was accounted for under the acquisition method in accordance with ASC 805. The following table summarizes the initial estimate of the fair values of assets acquired and liabilities assumed at the closing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spacing w:after="0"/>
              <w:rPr>
                <w:sz w:val="18"/>
                <w:szCs w:val="18"/>
                <w:color w:val="auto"/>
              </w:rPr>
            </w:pPr>
          </w:p>
        </w:tc>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 February 9, 2021</w:t>
            </w:r>
          </w:p>
        </w:tc>
      </w:tr>
      <w:tr>
        <w:trPr>
          <w:trHeight w:val="212"/>
        </w:trPr>
        <w:tc>
          <w:tcPr>
            <w:tcW w:w="9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4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9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r>
      <w:tr>
        <w:trPr>
          <w:trHeight w:val="213"/>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0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Net assets acquired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1"/>
        </w:trPr>
        <w:tc>
          <w:tcPr>
            <w:tcW w:w="9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preliminary purchase price allocation resulted in the recognition of $25.0 million of goodwill. Goodwill represents the future economic benefits expected to arise from other intangible assets acquired that do not qualify for separate recognition, including an experienced workforce and expected future synergies. The Company allocated the goodwill to its Connected Fitness segment. None of the goodwill is expected to be deductible for tax purposes.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adjustments to the values presented in the preliminary purchase price allocation.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Acquisitions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nine months ended March 31, 2021, the Company completed three separate transactions to acquire certain software, developed technology, and an assembled workforce for use in the development of the Company's connected fitness products and services, for total net cash consideration paid of approximately $78.1 million, inclusive of $2.4 million of direct transaction costs. The Company accounted for each transaction as an asset acquisition in accordance with ASC 805.</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aggregate consideration allocated for the three transactions was $84.0 million, inclusive of the deferred tax liability of $5.9 million. The Company allocated the consideration based on the relative fair values of the assets acquired in each transaction, resulting in $57.4 million being allocated to developed software, $22.7 million being allocated to developed technology, and $3.9 million being allocated to the assembled workforce.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developed software acquired was assigned a useful life of 5 years, and is recorded in Property and equipment, net. The developed technology assets acquired were assigned a useful life of 3 years and the assembled workforce was assigned a useful life of 4 years. Both of these acquired assets are recorded in Intangible assets, net of the Company's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Debt and Financing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February 2021, the Company issued $1.0 billion aggregate principal amount of 0% Convertible Senior Notes due February 15, 2026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16"/>
          <w:szCs w:val="16"/>
          <w:color w:val="auto"/>
        </w:rPr>
        <w:t>net proceeds from this offering were approximately $977.2 million, after deducting the initial purchasers' discounts and commissions and the Company's offering expenses.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any time prior to the close of business on the business day immediately preceding August 15, 2025, only under the following circumstances: (1) during any calendar quarter commencing after the calendar quarter ending on June 30, 2021, if the last reported sale price of the Company’s Class A common stock, par value $0.000025 per share exceeds 130% of the conversion price for each of at least 20 trading days (whether or not consecutive) during a period of 30 consecutive trading days ending on, and including, the last trading day of the immediately preceding calendar quarter on each applicable trading day;</w:t>
      </w:r>
    </w:p>
    <w:p>
      <w:pPr>
        <w:spacing w:after="0" w:line="2" w:lineRule="exact"/>
        <w:rPr>
          <w:sz w:val="20"/>
          <w:szCs w:val="20"/>
          <w:color w:val="auto"/>
        </w:rPr>
      </w:pPr>
    </w:p>
    <w:p>
      <w:pPr>
        <w:jc w:val="both"/>
        <w:ind w:firstLine="8"/>
        <w:spacing w:after="0" w:line="250"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ten consecutive trading day period (such ten consecutive trading day period, the “measurement period”) in which the trading price (as defined in the Indenture) per $1,000 principal amount of Notes for each trading day of the measurement period was less than 98% of the product of the last reported sale price per share of the Class A Common Stock on such trading day and the conversion rate on such trading day; (3) if the Company calls such Notes for redemption, at any time prior to the close of business on the business day immediately preceding the redemption date; (4) upon the occurrence of specified corporate events or distributions on the Class A Common Stock.</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 interest method over the contractual terms of the Notes. Issuance costs attributable to the equity component of $3.7 million were netted with the equity component in stockholders' equity.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2"/>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821.5</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color w:val="auto"/>
              </w:rPr>
              <w:t>The net carrying amount of the equity component of the Notes was as follows:</w:t>
            </w: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2"/>
        </w:trPr>
        <w:tc>
          <w:tcPr>
            <w:tcW w:w="7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2"/>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allocated to the conversion option (debt discount)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costs</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7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19"/>
                <w:szCs w:val="19"/>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660" w:type="dxa"/>
            <w:vAlign w:val="bottom"/>
          </w:tcPr>
          <w:p>
            <w:pPr>
              <w:jc w:val="center"/>
              <w:ind w:right="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2019, the Company entered into an amended and restated loan and security agreement (“Amended Credit Agreement”). The Amended Credit Agreement provided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the Company entered into a First Amendment (the “First Amendment”) to the Amended Credit Agreement to revise certain covenants that restricted the incurrence of indebtedness to permit the Capped Call Transactions and issuance of the Notes.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18, 2021, the Company entered into a Joinder Agreement (the "Joinder") to the Amended Credit Agreement, as amended by the First Amendment, to provide for an increase of the commitments available under the revolving credit facility by $35.0 million from $250.0 million to $285.0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6"/>
          <w:szCs w:val="16"/>
          <w:color w:val="auto"/>
        </w:rPr>
        <w:t>During the three and nine months ended March 31, 2021, the Company incurred total commitment fees of $0.2 million and $0.7 million, respectively, and $0.2 million and $0.6 million during the three and nine months ended March 31, 2020, respectively, which are included in interest expense in the condensed consolidated statements of operations and comprehensive (loss) income.</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outstanding balance, if any, is payable in full in June 2024. As of March 31, 2021, the Company has not drawn on the credit facility and did not have outstanding borrowings under the Amended Credit Agreement.</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condensed consolidated balance sheets. These costs are being amortized to interest expense using the effective interest method over the term of the Amended Credit Agreement.</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the Company's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March 31, 2021, the Company was in compliance with the covenants under the Amended Credit Agreement. At March 31, 2021, the Company was contingently liable for approximately $4.8 million in standby letters of credit as security for an operating lease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March 31, 2021 and 2020, the Company recorded reserves of $13.3 million and $11.6 million, respectively, included in Accounts payable and accrued expenses in the accompanying condensed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example, we have received reports of a number of injuries associated with our Tread+ product, one of which led to the death of a child. As a result of the aforementioned injuries associated with these reported Tread+ incidents, in April 2021, the U.S. Consumer Product Safety Commission (“CPSC”) unilaterally issued a warning to consumers about the safety hazards associated with the Tread+ and is continuing to investigate the matter. In addition to the CPSC investigation, we are presently subject to class action litigation and private personal injury claims related to these perceived defects in the Tread+ and incidents reported to result from its use. On April 20, 2021, purported Peloton Member Shannon Albright filed a putative class action lawsuit against the Company in the United States District Court for the Northern District of California captioned Albright v. Peloton Interactive, Inc., Case No. 3:21-02858 (N.D. Cal.) (the "Albright Action"). The Albright Action alleges violations of various California state laws related to the Tread+ and the matters contained in the CPSC warning, including violation of the Consumer Legal Remedies Act, breach of the Implied Warranty of Merchantability, and violations of California Business and Professions Code Sections 17200, et seq., and 17500, et seq.</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on April 29, 2021, Ashley Wilson ("Plaintiff Wilson") filed a putative securities class action lawsuit against the Company, our Chief Executive Officer, and our Chief Financial Officer (collectively, the "Defendants") in the United States District Court for the Eastern District of New York, purportedly on behalf of a class consisting of those individuals who purchased or otherwise acquired our common stock between September 11, 2020 and April 16, 2021 (the "Wilson Action"). The complaint in the Wilson Action alleges that the Defendants made false and/or misleading statements in violations of Sections 10(b) and 20(a) of the Securities Exchange Act of 1934 and Rule 10b-5 promulgated thereunder. Plaintiff Wilson does not quantify any damages in her complaint but, in addition to attorneys' fees and costs, she seeks to recover damages on behalf of herself and other persons who purchased or otherwise acquired our stock during the putative class period at allegedly inflated prices and purportedly suffered financial harm as a result.</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10. Equity-Based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2020, the number of shares of Class A common stock available for issuance under the 2019 Plan was automatically increased according to its terms by 14,401,954 shares. As of March 31, 2021, the number of shares of Class A common stock available for future award under the 2019 Plan is 50,026,067.</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66,818,860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4,397,985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(9,814,464)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(1,337,472)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21.31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60,064,909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5,724.5</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March 31,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28,534,393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6.6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3,003.9</w:t>
            </w:r>
          </w:p>
        </w:tc>
        <w:tc>
          <w:tcPr>
            <w:tcW w:w="0" w:type="dxa"/>
            <w:vAlign w:val="bottom"/>
          </w:tcPr>
          <w:p>
            <w:pPr>
              <w:spacing w:after="0"/>
              <w:rPr>
                <w:sz w:val="1"/>
                <w:szCs w:val="1"/>
                <w:color w:val="auto"/>
              </w:rPr>
            </w:pPr>
          </w:p>
        </w:tc>
      </w:tr>
      <w:tr>
        <w:trPr>
          <w:trHeight w:val="21"/>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2020</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39,674,590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4,397,985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Early exercised unvested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(11,157,887)</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(1,329,726)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Unvested - March 31, 2021</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31,530,516</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March 31, 2021, 1,254,151 shares of common stock were issued upon cashless exercise of 1,887,030 options.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intrinsic value of options outstanding, vested and exercisable, were calculated as the difference between the exercise price of the options and the fair value of the Company’s common stock as of March 31, 2021. The fair value of the common stock is the closing stock price of the Company's Class A common stock as reported on the Nasdaq Global Select Market.</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part of the 2015 Plan and 2019 Plan (collectively, the "Plans"), the Company issued options to certain key management that vest upon the achievement of certain performance milestones. During the three and nine months ended March 31, 2021, the Company recorded stock-based compensation expense related to the performance-based options of $0.1 million and $0.5 million, respectively, and $0.1 million and $4.0 million for the three and nine months ended March 31, 2020, respectively.</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nine months ended March 31, 2021 the weighted-average grant date fair value per option was $43.45. The fair value of each option was estimated at the grant date using the Black-Scholes method with the following assumptions: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Nine Months Ended March</w:t>
            </w:r>
          </w:p>
        </w:tc>
      </w:tr>
      <w:tr>
        <w:trPr>
          <w:trHeight w:val="215"/>
        </w:trPr>
        <w:tc>
          <w:tcPr>
            <w:tcW w:w="91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31, 2021</w:t>
            </w:r>
          </w:p>
        </w:tc>
      </w:tr>
      <w:tr>
        <w:trPr>
          <w:trHeight w:val="210"/>
        </w:trPr>
        <w:tc>
          <w:tcPr>
            <w:tcW w:w="91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w:t>
            </w:r>
          </w:p>
        </w:tc>
      </w:tr>
      <w:tr>
        <w:trPr>
          <w:trHeight w:val="213"/>
        </w:trPr>
        <w:tc>
          <w:tcPr>
            <w:tcW w:w="91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6.2</w:t>
            </w:r>
          </w:p>
        </w:tc>
      </w:tr>
      <w:tr>
        <w:trPr>
          <w:trHeight w:val="219"/>
        </w:trPr>
        <w:tc>
          <w:tcPr>
            <w:tcW w:w="9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43.3%</w:t>
            </w:r>
          </w:p>
        </w:tc>
      </w:tr>
      <w:tr>
        <w:trPr>
          <w:trHeight w:val="210"/>
        </w:trPr>
        <w:tc>
          <w:tcPr>
            <w:tcW w:w="91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U.S. Treasury seven-year constant maturity interest rate whose term is consistent with the expected term of the option.</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Expected volatility is based on an analysis of comparable public company volatilities and adjusted for the Company’s stage of development.</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1,374,092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62.49</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97.19</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1,778,323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2020, the number of shares of Class A common stock available for issuance under the ESPP was automatically increased according to its terms by 2,880,390 shares. As of March 31, 2021, a total of 7,853,764 shares of Class A common stock are available for sale to employees under the ESPP.</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100" w:type="dxa"/>
            <w:vAlign w:val="bottom"/>
          </w:tcPr>
          <w:p>
            <w:pPr>
              <w:ind w:left="40"/>
              <w:spacing w:after="0"/>
              <w:rPr>
                <w:sz w:val="20"/>
                <w:szCs w:val="20"/>
                <w:color w:val="auto"/>
              </w:rPr>
            </w:pPr>
            <w:r>
              <w:rPr>
                <w:rFonts w:ascii="Arial" w:cs="Arial" w:eastAsia="Arial" w:hAnsi="Arial"/>
                <w:sz w:val="16"/>
                <w:szCs w:val="16"/>
                <w:b w:val="1"/>
                <w:bCs w:val="1"/>
                <w:color w:val="auto"/>
              </w:rPr>
              <w:t>Nine Months Ended March</w:t>
            </w:r>
          </w:p>
        </w:tc>
      </w:tr>
      <w:tr>
        <w:trPr>
          <w:trHeight w:val="215"/>
        </w:trPr>
        <w:tc>
          <w:tcPr>
            <w:tcW w:w="91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31, 2021</w:t>
            </w:r>
          </w:p>
        </w:tc>
      </w:tr>
      <w:tr>
        <w:trPr>
          <w:trHeight w:val="210"/>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r>
      <w:tr>
        <w:trPr>
          <w:trHeight w:val="213"/>
        </w:trPr>
        <w:tc>
          <w:tcPr>
            <w:tcW w:w="91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1.2</w:t>
            </w:r>
          </w:p>
        </w:tc>
      </w:tr>
      <w:tr>
        <w:trPr>
          <w:trHeight w:val="219"/>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61.0%</w:t>
            </w:r>
          </w:p>
        </w:tc>
      </w:tr>
      <w:tr>
        <w:trPr>
          <w:trHeight w:val="210"/>
        </w:trPr>
        <w:tc>
          <w:tcPr>
            <w:tcW w:w="91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w:t>
      </w:r>
    </w:p>
    <w:p>
      <w:pPr>
        <w:sectPr>
          <w:pgSz w:w="11900" w:h="16838" w:orient="portrait"/>
          <w:cols w:equalWidth="0" w:num="1">
            <w:col w:w="11240"/>
          </w:cols>
          <w:pgMar w:left="320" w:top="631"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type w:val="continuous"/>
        </w:sectPr>
      </w:pPr>
    </w:p>
    <w:bookmarkStart w:id="22" w:name="page23"/>
    <w:bookmarkEnd w:id="22"/>
    <w:p>
      <w:pPr>
        <w:jc w:val="both"/>
        <w:spacing w:after="0" w:line="260" w:lineRule="auto"/>
        <w:rPr>
          <w:sz w:val="20"/>
          <w:szCs w:val="20"/>
          <w:color w:val="auto"/>
        </w:rPr>
      </w:pPr>
      <w:r>
        <w:rPr>
          <w:rFonts w:ascii="Arial" w:cs="Arial" w:eastAsia="Arial" w:hAnsi="Arial"/>
          <w:sz w:val="16"/>
          <w:szCs w:val="16"/>
          <w:color w:val="auto"/>
        </w:rPr>
        <w:t>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and nine months ended March 31, 2021, the Company recorded stock-based compensation expense associated with the ESPP of $2.8 million and $6.6 million, respectively and $1.1 million and $2.0 million for the three and nine months ended March 31, 2020, respectively.</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offering period which ended on August 31, 2020, employees purchased approximately 216,094 shares of Class A common stock at a weighted-average price of $23.73 under the ESPP. In connection with the offering period which ended February 28, 2021, employees purchased approximately 247,893 shares of Class A common stock at a weighted average price of $33.62 under the ESPP. As of March 31, 2021, total unrecognized compensation cost related to the ESPP was $19.8 million, which will be amortized over a weighted-average remaining period of 1.5 years.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09"/>
        </w:trPr>
        <w:tc>
          <w:tcPr>
            <w:tcW w:w="5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532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2"/>
        </w:trPr>
        <w:tc>
          <w:tcPr>
            <w:tcW w:w="532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r>
      <w:tr>
        <w:trPr>
          <w:trHeight w:val="21"/>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March 31, 2021, the Company had $508.3 million of unrecognized stock-based compensation expense related to unvested stock-based awards that is expected to be recognized over a weighted-average period of 3.3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recorded a benefit from income taxes of $9.1 million and $10.8 million for the three and nine months ended March 31, 2021, respectively, and $0.1 million and $0.5 million for the three and nine months ended March 31, 2020, respectively. Furthermore, the Company's effective tax rates were 51.67% and (9.53)% for the three and nine months ended March 31, 2021, respectively, and 0.18% and 0.31% for the three and nine months ended March 31, 2020, respectively. The income tax benefit is driven by adjustments to the valuation allowance resulting from the acquisitions disclosed in Note 7, partially offset by state and international taxes.</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Net (Loss) Income Per Share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net (loss) income per share is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09"/>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share and per share amounts)</w:t>
            </w:r>
          </w:p>
        </w:tc>
        <w:tc>
          <w:tcPr>
            <w:tcW w:w="1020" w:type="dxa"/>
            <w:vAlign w:val="bottom"/>
          </w:tcPr>
          <w:p>
            <w:pPr>
              <w:spacing w:after="0"/>
              <w:rPr>
                <w:sz w:val="18"/>
                <w:szCs w:val="18"/>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280,879,011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292,276,299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199,769,233</w:t>
            </w:r>
          </w:p>
        </w:tc>
      </w:tr>
      <w:tr>
        <w:trPr>
          <w:trHeight w:val="238"/>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280,879,011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292,276,299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199,769,233</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Weighted-average effect of potentially dilutive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Employee stock options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54,623,068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Restricted stock units and awards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Shares estimated to be purchased under ESPP</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583,648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280,879,011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348,094,379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199,769,233</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Pr>
          <w:p>
            <w:pPr>
              <w:spacing w:after="0"/>
              <w:rPr>
                <w:sz w:val="18"/>
                <w:szCs w:val="18"/>
                <w:color w:val="auto"/>
              </w:rPr>
            </w:pPr>
          </w:p>
        </w:tc>
        <w:tc>
          <w:tcPr>
            <w:tcW w:w="300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9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34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57,016,995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40,901,883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78,887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39,959,440</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00" w:type="dxa"/>
            <w:vAlign w:val="bottom"/>
          </w:tcPr>
          <w:p>
            <w:pPr>
              <w:jc w:val="right"/>
              <w:spacing w:after="0"/>
              <w:rPr>
                <w:sz w:val="20"/>
                <w:szCs w:val="20"/>
                <w:color w:val="auto"/>
              </w:rPr>
            </w:pPr>
            <w:r>
              <w:rPr>
                <w:rFonts w:ascii="Arial" w:cs="Arial" w:eastAsia="Arial" w:hAnsi="Arial"/>
                <w:sz w:val="16"/>
                <w:szCs w:val="16"/>
                <w:color w:val="auto"/>
              </w:rPr>
              <w:t>729,305</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14,406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359,350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income per share of common stock when the average market price per share of the Company's Class A common stock for a given period exceeds the conversion price of the Notes of $239.23 per share. During the three and nine months ended March 31, 2021, the weighted average price per share of the Company's Class A common stock was below the conversion price of the Notes.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denominator for diluted net (loss) income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Segment Information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09"/>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1,022.9</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2,494.4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976.3</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567.6</w:t>
            </w:r>
          </w:p>
        </w:tc>
      </w:tr>
      <w:tr>
        <w:trPr>
          <w:trHeight w:val="209"/>
        </w:trPr>
        <w:tc>
          <w:tcPr>
            <w:tcW w:w="532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w:t>
            </w:r>
          </w:p>
        </w:tc>
      </w:tr>
      <w:tr>
        <w:trPr>
          <w:trHeight w:val="19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239.4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590.6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242.5</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9"/>
        </w:trPr>
        <w:tc>
          <w:tcPr>
            <w:tcW w:w="532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r>
      <w:tr>
        <w:trPr>
          <w:trHeight w:val="19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1,262.3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3,085.0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1,218.8</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670.9</w:t>
            </w:r>
          </w:p>
        </w:tc>
      </w:tr>
      <w:tr>
        <w:trPr>
          <w:trHeight w:val="209"/>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444.9</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6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12"/>
        </w:trPr>
        <w:tc>
          <w:tcPr>
            <w:tcW w:w="5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(392.8)</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(69.8)</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r>
      <w:tr>
        <w:trPr>
          <w:trHeight w:val="21"/>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Precor Acquisition</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21, 2020, the Company entered into a Stock and Purchase Agreement ("Purchase Agreement") with Amer Sports Corporation ("Amer"), a Finnish corporation, pursuant to which the Company would acquire Precor Incorporated, a Delaware corporation (“Precor”), and certain related entities and assets from Amer and certain of its subsidiaries. Precor manufactures, sells, and distributes cardiovascular and strength-building exercise machines, fitness equipment, and associated technical and digital services.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1, 2021, the Company completed its previously announced acquisition of Precor from Amer pursuant to the terms of the Purchase Agreement. Under the terms of the Purchase Agreement, the Company acquired Precor for $431.1 million in cash (the “Consideration”). The Consideration paid at the closing date of the acquisition was subject to customary adjustments for working capital, transaction expenses, cash, and indebtedness.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050505"/>
        </w:rPr>
        <w:t xml:space="preserve">On April 17, 2021, the U.S. Consumer Product Safety Commission (“CPSC”) unilaterally issued a warning to consumers about the safety hazards associated with the Tread+. Thereafter, on May 5, 2021, the Company announced separate, voluntary recalls of each of its Tread+ and Tread products in collaboration with the CPSC and has halted sales of these products while the Company works on developing product enhancements. Following the CPSC’s announcement, the Company has seen increases in Tread+ and Tread order cancellations and returns. As the obligations associated with these voluntary recalls arose upon the May 5, 2021 announcement, for the fourth quarter of fiscal 2021 the Company estimates a reduction to connected fitness products revenue for estimated returns of approximately $50 million. The Company also expects to incur additional costs which could include: Increases to the return reserves, Tread+ inventory write-downs, logistics costs associated with Member requests for refunds on Tread and Tread+, the cost to move the Tread+ for those that elect that option, subscription waiver costs of service, anticipated recall-related hardware development costs, and related legal and advisory fees. Recall charges are based upon estimates associated with the Company's expected and historical consumer response rates. The Company's plans for the recalls are still being finalized and actual costs related to these matters may vary from estimates, and may result in further impacts to our future results of operations and business. </w:t>
      </w:r>
      <w:r>
        <w:rPr>
          <w:rFonts w:ascii="Arial" w:cs="Arial" w:eastAsia="Arial" w:hAnsi="Arial"/>
          <w:sz w:val="16"/>
          <w:szCs w:val="16"/>
          <w:color w:val="000000"/>
        </w:rPr>
        <w:t>See Note 9, Commitments and Contingencies for additional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2020 filed with the SEC on September 10, 2020 (the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5.4 million Members as of March 31,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Product portfolio includes the Peloton Bike, Bike+, and the Peloton Tread and Tread+.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the three months ended March 31, 2020 to the three months ended March 31, 2021, total revenue grew 141%, and our Connected Fitness Subscription base grew 135%.</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able to offset our subscription acquisition costs with the gross profit earned on our Connected Fitness Products. This allows for rapid payback of our sales and marketing investments and results in a robust unit economic model.</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 three months ended March 31, 2021 and 2020:</w:t>
      </w:r>
    </w:p>
    <w:p>
      <w:pPr>
        <w:spacing w:after="0" w:line="24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generated total revenue of $1,262.3 million and $524.6 million, respectively, representing 141% year-over-year growth;</w:t>
      </w:r>
    </w:p>
    <w:p>
      <w:pPr>
        <w:spacing w:after="0" w:line="5" w:lineRule="exact"/>
        <w:rPr>
          <w:rFonts w:ascii="Arial" w:cs="Arial" w:eastAsia="Arial" w:hAnsi="Arial"/>
          <w:sz w:val="16"/>
          <w:szCs w:val="16"/>
          <w:color w:val="auto"/>
        </w:rPr>
      </w:pPr>
    </w:p>
    <w:p>
      <w:pPr>
        <w:ind w:left="660" w:right="12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March 31, 2021 and 2020, we had 2,080,860 and 886,100 Connected Fitness Subscriptions, respectively, representing 135% year-over-year growth;</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0.31%, and 0.46%,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recognized net loss of $(8.6) million and $(55.6)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Adjusted EBITDA was $63.2 million and $23.5 million, respectively.</w:t>
      </w:r>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“—Key Operational and Business Metrics”.</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50505"/>
        </w:rPr>
        <w:t>See the section titled “—Non-GAAP Financial Measures” for definitions of and information regarding our use of Adjusted EBITDA, Adjusted EBITDA Margin, Subscription Contribution and Subscription Contribution Margin, and a reconciliation of each of net (loss) income to Adjusted EBITDA and Subscription Gross Profit to Subscription Contribution.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Q3 update and recent developments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Over the past year we have invested aggressively in the continued expansion of our supply chain, and you will recall that in the Quarterly Report on Form 10-Q for the quarter ended December 31, 2020, we disclosed incremental investments in expedited shipping to reduce the wait times for our Connected Fitness Products. Today we are pleased to say that these investments have yielded significant improvements for our Members, as average wait times for our original Bike are now back to pre-COVID-19 levels. While progress has been made, additional work remains to reduce delivery times across the remainder of our product portfolio and regions.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050505"/>
        </w:rPr>
        <w:t>Member engagement in the quarter was very strong, as our continued investments in content and software features clearly resonated with our Members.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Average Monthly Workouts per Connected Fitness Subscription reached new all-time highs during what is traditionally our highest engagement quarter.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Beyond validating our investments, strong engagement is the most powerful driver behind Member retention.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Content</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 xml:space="preserve">Live Barre is the most recent modality addition to our Live class lineup, </w:t>
      </w:r>
      <w:r>
        <w:rPr>
          <w:rFonts w:ascii="Arial" w:cs="Arial" w:eastAsia="Arial" w:hAnsi="Arial"/>
          <w:sz w:val="16"/>
          <w:szCs w:val="16"/>
          <w:color w:val="000000"/>
        </w:rPr>
        <w:t>with new live classes offered weekly.</w:t>
      </w:r>
      <w:r>
        <w:rPr>
          <w:rFonts w:ascii="Arial" w:cs="Arial" w:eastAsia="Arial" w:hAnsi="Arial"/>
          <w:sz w:val="16"/>
          <w:szCs w:val="16"/>
          <w:color w:val="050505"/>
        </w:rPr>
        <w:t xml:space="preserve"> Expanding our floor-based Strength offering remains a key content priority as we seek to build the most comprehensive fitness platform, </w:t>
      </w:r>
      <w:r>
        <w:rPr>
          <w:rFonts w:ascii="Arial" w:cs="Arial" w:eastAsia="Arial" w:hAnsi="Arial"/>
          <w:sz w:val="16"/>
          <w:szCs w:val="16"/>
          <w:color w:val="000000"/>
        </w:rPr>
        <w:t>and we’re excited to report that our Strength vertical continues to</w:t>
      </w:r>
      <w:r>
        <w:rPr>
          <w:rFonts w:ascii="Arial" w:cs="Arial" w:eastAsia="Arial" w:hAnsi="Arial"/>
          <w:sz w:val="16"/>
          <w:szCs w:val="16"/>
          <w:color w:val="050505"/>
        </w:rPr>
        <w:t xml:space="preserve"> </w:t>
      </w:r>
      <w:r>
        <w:rPr>
          <w:rFonts w:ascii="Arial" w:cs="Arial" w:eastAsia="Arial" w:hAnsi="Arial"/>
          <w:sz w:val="16"/>
          <w:szCs w:val="16"/>
          <w:color w:val="000000"/>
        </w:rPr>
        <w:t xml:space="preserve">be the fastest growing of our floor-based modalities. </w:t>
      </w:r>
      <w:r>
        <w:rPr>
          <w:rFonts w:ascii="Arial" w:cs="Arial" w:eastAsia="Arial" w:hAnsi="Arial"/>
          <w:sz w:val="16"/>
          <w:szCs w:val="16"/>
          <w:color w:val="050505"/>
        </w:rPr>
        <w:t>Bradley Rose, our newest UK-based instructor, made his debut in March, breaking Peloton records with</w:t>
      </w:r>
      <w:r>
        <w:rPr>
          <w:rFonts w:ascii="Arial" w:cs="Arial" w:eastAsia="Arial" w:hAnsi="Arial"/>
          <w:sz w:val="16"/>
          <w:szCs w:val="16"/>
          <w:color w:val="000000"/>
        </w:rPr>
        <w:t xml:space="preserve"> </w:t>
      </w:r>
      <w:r>
        <w:rPr>
          <w:rFonts w:ascii="Arial" w:cs="Arial" w:eastAsia="Arial" w:hAnsi="Arial"/>
          <w:sz w:val="16"/>
          <w:szCs w:val="16"/>
          <w:color w:val="050505"/>
        </w:rPr>
        <w:t>12,000 Members joining his inaugural live class, a 5x increase over our next most popular instructor premiere.</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 xml:space="preserve">Themed content in the quarter included Black History Month and Women’s History Month, with both recording over 1 million Member workouts. Responding to strong demand from our Member base, we've increased the release frequency of our ever-popular Artist Series classes, where we've now reached a weekly cadence. Grammy award winner Megan Thee Stallion posted the highest engagement among artists launched in the quarter, with over 430,000 classes taken by our Members. </w:t>
      </w:r>
      <w:r>
        <w:rPr>
          <w:rFonts w:ascii="Arial" w:cs="Arial" w:eastAsia="Arial" w:hAnsi="Arial"/>
          <w:sz w:val="16"/>
          <w:szCs w:val="16"/>
          <w:color w:val="000000"/>
        </w:rPr>
        <w:t>Capping the quarter, our content team announced an exclusive year-long partnership with music industry legends and super-producers Timbaland and Swizz Beatz, the creators of "Verzuz," a series of head-to-head musical celebrations featuring iconic artists such as Brandy and Monica.</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Software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New software features are key drivers of user engagement and we were pleased to launch two frequently requested additions this quarter. Introduced on January 14th, the Stacked Classes feature enables our Members to pre-program sequential classes to create a more seamless, cross-functional workout experience, similar to creating a music playlist. Enthusiastically embraced by Members, the Stacked Classes feature</w:t>
      </w:r>
    </w:p>
    <w:p>
      <w:pPr>
        <w:sectPr>
          <w:pgSz w:w="11900" w:h="16838" w:orient="portrait"/>
          <w:cols w:equalWidth="0" w:num="1">
            <w:col w:w="11240"/>
          </w:cols>
          <w:pgMar w:left="320" w:top="1066"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27" w:name="page28"/>
    <w:bookmarkEnd w:id="27"/>
    <w:p>
      <w:pPr>
        <w:jc w:val="both"/>
        <w:spacing w:after="0" w:line="253" w:lineRule="auto"/>
        <w:rPr>
          <w:sz w:val="20"/>
          <w:szCs w:val="20"/>
          <w:color w:val="auto"/>
        </w:rPr>
      </w:pPr>
      <w:r>
        <w:rPr>
          <w:rFonts w:ascii="Arial" w:cs="Arial" w:eastAsia="Arial" w:hAnsi="Arial"/>
          <w:sz w:val="16"/>
          <w:szCs w:val="16"/>
          <w:color w:val="050505"/>
        </w:rPr>
        <w:t>has averaged over 1.2 million daily users since launch. We also debuted the beta version of our class scheduling feature on iOS. Class Scheduling offers Members a convenient way to plan their workouts in advance and easily set up calendar reminders to keep them on track. In the coming months, we plan to roll out Class Scheduling across our full connected fitness platform.</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Australia launch</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050505"/>
        </w:rPr>
        <w:t xml:space="preserve">On March 8, 2021, we announced our plan to expand to Australia, where fitness and wellness are embraced by millions and boutique fitness classes exhibited years of strong growth prior to the COVID-19 pandemic. We will initially offer our Bike and Bike+ products, which will be available through our e-commerce platform and three retail locations in Sydney and Melbourne. </w:t>
      </w:r>
      <w:r>
        <w:rPr>
          <w:rFonts w:ascii="Arial" w:cs="Arial" w:eastAsia="Arial" w:hAnsi="Arial"/>
          <w:sz w:val="16"/>
          <w:szCs w:val="16"/>
          <w:color w:val="000000"/>
        </w:rPr>
        <w:t>Peloton Digital will also be available, and Australian Members will have access to</w:t>
      </w:r>
    </w:p>
    <w:p>
      <w:pPr>
        <w:jc w:val="both"/>
        <w:spacing w:after="0" w:line="275" w:lineRule="auto"/>
        <w:rPr>
          <w:sz w:val="20"/>
          <w:szCs w:val="20"/>
          <w:color w:val="auto"/>
        </w:rPr>
      </w:pPr>
      <w:r>
        <w:rPr>
          <w:rFonts w:ascii="Arial" w:cs="Arial" w:eastAsia="Arial" w:hAnsi="Arial"/>
          <w:sz w:val="16"/>
          <w:szCs w:val="16"/>
          <w:color w:val="auto"/>
        </w:rPr>
        <w:t>our full library of content, including new classes taught by Australian instructors</w:t>
      </w:r>
      <w:r>
        <w:rPr>
          <w:rFonts w:ascii="Arial" w:cs="Arial" w:eastAsia="Arial" w:hAnsi="Arial"/>
          <w:sz w:val="19"/>
          <w:szCs w:val="19"/>
          <w:color w:val="auto"/>
        </w:rPr>
        <w:t>.</w:t>
      </w:r>
      <w:r>
        <w:rPr>
          <w:rFonts w:ascii="Arial" w:cs="Arial" w:eastAsia="Arial" w:hAnsi="Arial"/>
          <w:sz w:val="16"/>
          <w:szCs w:val="16"/>
          <w:color w:val="auto"/>
        </w:rPr>
        <w:t xml:space="preserve"> </w:t>
      </w:r>
      <w:r>
        <w:rPr>
          <w:rFonts w:ascii="Arial" w:cs="Arial" w:eastAsia="Arial" w:hAnsi="Arial"/>
          <w:sz w:val="16"/>
          <w:szCs w:val="16"/>
          <w:color w:val="050505"/>
        </w:rPr>
        <w:t>Looking ahead, we see significant growth opportunities in a broad range of</w:t>
      </w:r>
      <w:r>
        <w:rPr>
          <w:rFonts w:ascii="Arial" w:cs="Arial" w:eastAsia="Arial" w:hAnsi="Arial"/>
          <w:sz w:val="16"/>
          <w:szCs w:val="16"/>
          <w:color w:val="auto"/>
        </w:rPr>
        <w:t xml:space="preserve"> </w:t>
      </w:r>
      <w:r>
        <w:rPr>
          <w:rFonts w:ascii="Arial" w:cs="Arial" w:eastAsia="Arial" w:hAnsi="Arial"/>
          <w:sz w:val="16"/>
          <w:szCs w:val="16"/>
          <w:color w:val="050505"/>
        </w:rPr>
        <w:t>international markets</w:t>
      </w:r>
      <w:r>
        <w:rPr>
          <w:rFonts w:ascii="Arial" w:cs="Arial" w:eastAsia="Arial" w:hAnsi="Arial"/>
          <w:sz w:val="16"/>
          <w:szCs w:val="16"/>
          <w:color w:val="000000"/>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Precor acquisition</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 key component of our supply chain investments is our recently completed acquisition of Precor, which we officially closed on April 1, 2021. We’re excited to report that integration efforts associated with mapping out our commercial product and go-to-market strategies are well underway. </w:t>
      </w:r>
      <w:r>
        <w:rPr>
          <w:rFonts w:ascii="Arial" w:cs="Arial" w:eastAsia="Arial" w:hAnsi="Arial"/>
          <w:sz w:val="16"/>
          <w:szCs w:val="16"/>
          <w:color w:val="050505"/>
        </w:rPr>
        <w:t>As previously mentioned,</w:t>
      </w:r>
      <w:r>
        <w:rPr>
          <w:rFonts w:ascii="Arial" w:cs="Arial" w:eastAsia="Arial" w:hAnsi="Arial"/>
          <w:sz w:val="16"/>
          <w:szCs w:val="16"/>
          <w:color w:val="auto"/>
        </w:rPr>
        <w:t xml:space="preserve"> </w:t>
      </w:r>
      <w:r>
        <w:rPr>
          <w:rFonts w:ascii="Arial" w:cs="Arial" w:eastAsia="Arial" w:hAnsi="Arial"/>
          <w:sz w:val="16"/>
          <w:szCs w:val="16"/>
          <w:color w:val="050505"/>
        </w:rPr>
        <w:t>we plan to begin limited manufacturing of Peloton products at Precor’s North Carolina facility by the close of this calendar year, with a goal to ramp production further in 2022.</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recalls</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In April 2021, the U.S. Consumer Product Safety Commission (“CPSC”) unilaterally issued a warning to consumers about the safety hazards associated with the Tread+. Thereafter, on May 5, 2021, we announced separate, voluntary recalls of each of our Tread+ and Tread products in collaboration with the CPSC and have halted sales of these products while we work on developing product enhancements. Following the CPSC’s announcement, we have seen increases in Tread and Tread+ order cancellations and returns. During the fourth quarter of fiscal 2021, we estimate a reduction to connected fitness products revenue for estimated returns of approximately $50 million. We also expect to incur additional costs which could include: Increases to the return reserves, Tread+ inventory write-downs, logistics costs associated with Member requests for refunds on Tread and Tread+, the cost to move the Tread+ for those that elect that option, subscription waiver costs of service, anticipated recall-related hardware development costs, and related legal and advisory fees. Recall charges are based upon estimates associated with our expected and historical consumer response rates. Our plans for the recalls are still being finalized and actual costs related to this matter may vary from the estimate, and may result in further impacts to our future results of operations and business.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2,080,860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886,100</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0.46 %</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4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17.7</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56.8</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62.4</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57.8 %</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63.6 %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(55.6)</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23.5</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1" w:lineRule="exact"/>
        <w:rPr>
          <w:sz w:val="20"/>
          <w:szCs w:val="20"/>
          <w:color w:val="auto"/>
        </w:rPr>
      </w:pPr>
    </w:p>
    <w:p>
      <w:pPr>
        <w:ind w:right="480" w:firstLine="8"/>
        <w:spacing w:after="0" w:line="230"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37" w:lineRule="exact"/>
        <w:rPr>
          <w:rFonts w:ascii="Arial" w:cs="Arial" w:eastAsia="Arial" w:hAnsi="Arial"/>
          <w:sz w:val="13"/>
          <w:szCs w:val="13"/>
          <w:color w:val="auto"/>
        </w:rPr>
      </w:pPr>
    </w:p>
    <w:p>
      <w:pPr>
        <w:ind w:right="240" w:firstLine="8"/>
        <w:spacing w:after="0" w:line="230"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(loss) income to Adjusted EBITDA and an explanation of why we consider Adjusted EBITDA to be a helpful metric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3 months. We do not include canceled or unpaid Connected Fitness Subscriptions in the Connected Fitness Subscription count.</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a Connected Fitness Subscription for Members either completing at least 50% of an instructor-led or scenic ride or run, or ten or more minutes of “Just Ride” or “Just Run” mode. We define Average Monthly Workouts per Connected Fitness Subscription as the Total Workouts completed in the quarter divided by the average number of Connected Fitness Subscriptions in each month, divided by three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and extended warranty agreements. Connected Fitness Product revenue is recognized at the time of delivery, except for extended warranty revenue which is recognized over the warranty period, and is recorded net of returns and discounts and third-party financing program fees, when applicable.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Peloton Digital subscription.</w:t>
      </w:r>
    </w:p>
    <w:p>
      <w:pPr>
        <w:spacing w:after="0" w:line="24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March 31, 2021, 98% and 100% of our Connected Fitness Subscription and Peloton Digital subscription bases were paying month-to-month, respectively.</w:t>
      </w:r>
    </w:p>
    <w:p>
      <w:pPr>
        <w:spacing w:after="0" w:line="18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Connected Fitness Subscription owns both a Bike and Tread product in the same household, the price of the Subscription remains $39.00 monthly. As of March 31, 2021, approximately 4% of our Connected Fitness Subscriptions owned both a Bike and Tread product.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and certain allocated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ectPr>
          <w:pgSz w:w="11900" w:h="16838" w:orient="portrait"/>
          <w:cols w:equalWidth="0" w:num="1">
            <w:col w:w="11240"/>
          </w:cols>
          <w:pgMar w:left="320" w:top="648"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9" w:name="page30"/>
    <w:bookmarkEnd w:id="29"/>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 as well as litigation settlement costs.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Other (expense) income, net consists of interest (expense) income, realized gains (losses) on investments, amortization of debt issuance costs, and impacts from foreign exchange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condensed consolidated results of operations in dollars and as a percentage of total revenue for the periods presented.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period-to-period comparisons of our historical results are not necessarily indicative of the results that may be expected in the future.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23"/>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w:t>
            </w: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r>
      <w:tr>
        <w:trPr>
          <w:trHeight w:val="213"/>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1,218.8</w:t>
            </w:r>
          </w:p>
        </w:tc>
      </w:tr>
      <w:tr>
        <w:trPr>
          <w:trHeight w:val="209"/>
        </w:trPr>
        <w:tc>
          <w:tcPr>
            <w:tcW w:w="5320" w:type="dxa"/>
            <w:vAlign w:val="bottom"/>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w:t>
            </w:r>
          </w:p>
        </w:tc>
      </w:tr>
      <w:tr>
        <w:trPr>
          <w:trHeight w:val="226"/>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r>
      <w:tr>
        <w:trPr>
          <w:trHeight w:val="210"/>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670.9</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548.0</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392.8</w:t>
            </w:r>
          </w:p>
        </w:tc>
      </w:tr>
      <w:tr>
        <w:trPr>
          <w:trHeight w:val="230"/>
        </w:trPr>
        <w:tc>
          <w:tcPr>
            <w:tcW w:w="532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r>
      <w:tr>
        <w:trPr>
          <w:trHeight w:val="230"/>
        </w:trPr>
        <w:tc>
          <w:tcPr>
            <w:tcW w:w="5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r>
      <w:tr>
        <w:trPr>
          <w:trHeight w:val="206"/>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718.8</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(Loss) income from operations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income before provision for income tax</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2"/>
        </w:trPr>
        <w:tc>
          <w:tcPr>
            <w:tcW w:w="532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8"/>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8"/>
          </w:tcPr>
          <w:p>
            <w:pPr>
              <w:ind w:left="680"/>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9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5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320" w:type="dxa"/>
            <w:vAlign w:val="bottom"/>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8"/>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Nine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8"/>
          </w:tcPr>
          <w:p>
            <w:pPr>
              <w:ind w:left="700"/>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9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Nine Months Ended March 31,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6"/>
        </w:trPr>
        <w:tc>
          <w:tcPr>
            <w:tcW w:w="2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1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1,022.9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426.4</w:t>
            </w:r>
          </w:p>
        </w:tc>
        <w:tc>
          <w:tcPr>
            <w:tcW w:w="1440" w:type="dxa"/>
            <w:vAlign w:val="bottom"/>
          </w:tcPr>
          <w:p>
            <w:pPr>
              <w:jc w:val="center"/>
              <w:spacing w:after="0"/>
              <w:rPr>
                <w:sz w:val="20"/>
                <w:szCs w:val="20"/>
                <w:color w:val="auto"/>
              </w:rPr>
            </w:pPr>
            <w:r>
              <w:rPr>
                <w:rFonts w:ascii="Arial" w:cs="Arial" w:eastAsia="Arial" w:hAnsi="Arial"/>
                <w:sz w:val="16"/>
                <w:szCs w:val="16"/>
                <w:color w:val="auto"/>
              </w:rPr>
              <w:t>139.9%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2,494.4</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976.3</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155.5%</w:t>
            </w: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239.4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143.7</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590.6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242.5</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143.5</w:t>
            </w:r>
          </w:p>
        </w:tc>
      </w:tr>
      <w:tr>
        <w:trPr>
          <w:trHeight w:val="213"/>
        </w:trPr>
        <w:tc>
          <w:tcPr>
            <w:tcW w:w="23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524.6</w:t>
            </w:r>
          </w:p>
        </w:tc>
        <w:tc>
          <w:tcPr>
            <w:tcW w:w="1440" w:type="dxa"/>
            <w:vAlign w:val="bottom"/>
          </w:tcPr>
          <w:p>
            <w:pPr>
              <w:jc w:val="center"/>
              <w:spacing w:after="0"/>
              <w:rPr>
                <w:sz w:val="20"/>
                <w:szCs w:val="20"/>
                <w:color w:val="auto"/>
              </w:rPr>
            </w:pPr>
            <w:r>
              <w:rPr>
                <w:rFonts w:ascii="Arial" w:cs="Arial" w:eastAsia="Arial" w:hAnsi="Arial"/>
                <w:sz w:val="16"/>
                <w:szCs w:val="16"/>
                <w:color w:val="auto"/>
              </w:rPr>
              <w:t>140.6%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3,085.0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1,218.8</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153.1%</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0"/>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81.3 %</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18.7</w:t>
            </w:r>
          </w:p>
        </w:tc>
        <w:tc>
          <w:tcPr>
            <w:tcW w:w="14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2021 and 2020</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Products revenue increased $596.5 million and $1,518.0 for the three and nine months ended March 31, 2021 compared to the three and nine months ended March 31, 2020, respectively. These increases were primarily attributable to the significant growth in the number of Connected Fitness Products delivered during the periods, which was the result of investments made in brand and product awareness, compounded by a strong increase in demand driven by the stay-at-home orders issued by governments around the world in response to the COVID-19 pandemic, as well as incremental deliveries as a result of significant investments in expedited freight to alleviate backlog demand.</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Subscription revenue increased $141.2 million and $348.1 million for the three and nine months ended March 31, 2021 compared to the three and nine months ended March 31, 2020, respectively. These increases were primarily attributable to the year-over-year growth in our Connected Fitness Subscriptions. The growth of our Connected Fitness Subscriptions was primarily driven by the increased number of Connected Fitness</w:t>
      </w:r>
    </w:p>
    <w:p>
      <w:pPr>
        <w:sectPr>
          <w:pgSz w:w="11900" w:h="16838" w:orient="portrait"/>
          <w:cols w:equalWidth="0" w:num="1">
            <w:col w:w="11240"/>
          </w:cols>
          <w:pgMar w:left="320" w:top="674"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type w:val="continuous"/>
        </w:sectPr>
      </w:pPr>
    </w:p>
    <w:bookmarkStart w:id="31" w:name="page32"/>
    <w:bookmarkEnd w:id="31"/>
    <w:p>
      <w:pPr>
        <w:jc w:val="both"/>
        <w:spacing w:after="0" w:line="248" w:lineRule="auto"/>
        <w:rPr>
          <w:sz w:val="20"/>
          <w:szCs w:val="20"/>
          <w:color w:val="auto"/>
        </w:rPr>
      </w:pPr>
      <w:r>
        <w:rPr>
          <w:rFonts w:ascii="Arial" w:cs="Arial" w:eastAsia="Arial" w:hAnsi="Arial"/>
          <w:sz w:val="16"/>
          <w:szCs w:val="16"/>
          <w:color w:val="auto"/>
        </w:rPr>
        <w:t>Products delivered during the period and our low Average Net Monthly Connected Fitness Churn of 0.31% and 0.55% for the three and nine months ended March 31, 2021, respectively. We believe engagement is a leading indicator of retention. Our Member engagement continued to grow with 26.0 and 23.0 Average Monthly Workouts per Connected Fitness Subscription during the three and nine months ended March 31, 2021, respectively, compared to 17.7 and 14.5 Average Monthly Workouts per Connected Fitness Subscription for the three and nine months ended March 31, 2020, respectively. Members with Connected Fitness Subscriptions worked out with us 149.5 million and 325.4 million times in the three and nine months ended March 31, 2021, up from 44.2 million and 87.7 million workouts during the three and nine months ended March 31, 2020, respectively, representing year-over-year growth of 239% and 270%.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0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237.4</w:t>
            </w:r>
          </w:p>
        </w:tc>
        <w:tc>
          <w:tcPr>
            <w:tcW w:w="1460" w:type="dxa"/>
            <w:vAlign w:val="bottom"/>
          </w:tcPr>
          <w:p>
            <w:pPr>
              <w:jc w:val="center"/>
              <w:spacing w:after="0"/>
              <w:rPr>
                <w:sz w:val="20"/>
                <w:szCs w:val="20"/>
                <w:color w:val="auto"/>
              </w:rPr>
            </w:pPr>
            <w:r>
              <w:rPr>
                <w:rFonts w:ascii="Arial" w:cs="Arial" w:eastAsia="Arial" w:hAnsi="Arial"/>
                <w:sz w:val="16"/>
                <w:szCs w:val="16"/>
                <w:color w:val="auto"/>
              </w:rPr>
              <w:t>208.5%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1,659.5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567.6</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192.4%</w:t>
            </w: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41.4</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104.9</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103.3</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119.7</w:t>
            </w:r>
          </w:p>
        </w:tc>
      </w:tr>
      <w:tr>
        <w:trPr>
          <w:trHeight w:val="213"/>
        </w:trPr>
        <w:tc>
          <w:tcPr>
            <w:tcW w:w="238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278.8</w:t>
            </w:r>
          </w:p>
        </w:tc>
        <w:tc>
          <w:tcPr>
            <w:tcW w:w="1460" w:type="dxa"/>
            <w:vAlign w:val="bottom"/>
          </w:tcPr>
          <w:p>
            <w:pPr>
              <w:jc w:val="center"/>
              <w:spacing w:after="0"/>
              <w:rPr>
                <w:sz w:val="20"/>
                <w:szCs w:val="20"/>
                <w:color w:val="auto"/>
              </w:rPr>
            </w:pPr>
            <w:r>
              <w:rPr>
                <w:rFonts w:ascii="Arial" w:cs="Arial" w:eastAsia="Arial" w:hAnsi="Arial"/>
                <w:sz w:val="16"/>
                <w:szCs w:val="16"/>
                <w:color w:val="auto"/>
              </w:rPr>
              <w:t>193.2%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670.9</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181.2%</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23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189.0</w:t>
            </w:r>
          </w:p>
        </w:tc>
        <w:tc>
          <w:tcPr>
            <w:tcW w:w="1460" w:type="dxa"/>
            <w:vAlign w:val="bottom"/>
          </w:tcPr>
          <w:p>
            <w:pPr>
              <w:jc w:val="center"/>
              <w:spacing w:after="0"/>
              <w:rPr>
                <w:sz w:val="20"/>
                <w:szCs w:val="20"/>
                <w:color w:val="auto"/>
              </w:rPr>
            </w:pPr>
            <w:r>
              <w:rPr>
                <w:rFonts w:ascii="Arial" w:cs="Arial" w:eastAsia="Arial" w:hAnsi="Arial"/>
                <w:sz w:val="16"/>
                <w:szCs w:val="16"/>
                <w:color w:val="auto"/>
              </w:rPr>
              <w:t>53.7%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834.8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408.8</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104.2%</w:t>
            </w: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56.8</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172.1</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139.2</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161.2</w:t>
            </w:r>
          </w:p>
        </w:tc>
      </w:tr>
      <w:tr>
        <w:trPr>
          <w:trHeight w:val="213"/>
        </w:trPr>
        <w:tc>
          <w:tcPr>
            <w:tcW w:w="238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245.8</w:t>
            </w:r>
          </w:p>
        </w:tc>
        <w:tc>
          <w:tcPr>
            <w:tcW w:w="1460" w:type="dxa"/>
            <w:vAlign w:val="bottom"/>
          </w:tcPr>
          <w:p>
            <w:pPr>
              <w:jc w:val="center"/>
              <w:spacing w:after="0"/>
              <w:rPr>
                <w:sz w:val="20"/>
                <w:szCs w:val="20"/>
                <w:color w:val="auto"/>
              </w:rPr>
            </w:pPr>
            <w:r>
              <w:rPr>
                <w:rFonts w:ascii="Arial" w:cs="Arial" w:eastAsia="Arial" w:hAnsi="Arial"/>
                <w:sz w:val="16"/>
                <w:szCs w:val="16"/>
                <w:color w:val="auto"/>
              </w:rPr>
              <w:t>81.0%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548.0</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118.7%</w:t>
            </w: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600" w:type="dxa"/>
            <w:vAlign w:val="bottom"/>
          </w:tcPr>
          <w:p>
            <w:pPr>
              <w:jc w:val="right"/>
              <w:ind w:right="439"/>
              <w:spacing w:after="0"/>
              <w:rPr>
                <w:sz w:val="20"/>
                <w:szCs w:val="20"/>
                <w:color w:val="auto"/>
              </w:rPr>
            </w:pPr>
            <w:r>
              <w:rPr>
                <w:rFonts w:ascii="Arial" w:cs="Arial" w:eastAsia="Arial" w:hAnsi="Arial"/>
                <w:sz w:val="16"/>
                <w:szCs w:val="16"/>
                <w:color w:val="auto"/>
              </w:rPr>
              <w:t>28.4 %</w:t>
            </w:r>
          </w:p>
        </w:tc>
        <w:tc>
          <w:tcPr>
            <w:tcW w:w="2240" w:type="dxa"/>
            <w:vAlign w:val="bottom"/>
          </w:tcPr>
          <w:p>
            <w:pPr>
              <w:jc w:val="right"/>
              <w:ind w:right="1119"/>
              <w:spacing w:after="0"/>
              <w:rPr>
                <w:sz w:val="20"/>
                <w:szCs w:val="20"/>
                <w:color w:val="auto"/>
              </w:rPr>
            </w:pPr>
            <w:r>
              <w:rPr>
                <w:rFonts w:ascii="Arial" w:cs="Arial" w:eastAsia="Arial" w:hAnsi="Arial"/>
                <w:sz w:val="16"/>
                <w:szCs w:val="16"/>
                <w:color w:val="auto"/>
              </w:rPr>
              <w:t>44.3 %</w:t>
            </w:r>
          </w:p>
        </w:tc>
        <w:tc>
          <w:tcPr>
            <w:tcW w:w="2260" w:type="dxa"/>
            <w:vAlign w:val="bottom"/>
          </w:tcPr>
          <w:p>
            <w:pPr>
              <w:jc w:val="right"/>
              <w:ind w:right="459"/>
              <w:spacing w:after="0"/>
              <w:rPr>
                <w:sz w:val="20"/>
                <w:szCs w:val="20"/>
                <w:color w:val="auto"/>
              </w:rPr>
            </w:pPr>
            <w:r>
              <w:rPr>
                <w:rFonts w:ascii="Arial" w:cs="Arial" w:eastAsia="Arial" w:hAnsi="Arial"/>
                <w:sz w:val="16"/>
                <w:szCs w:val="16"/>
                <w:color w:val="auto"/>
              </w:rPr>
              <w:t>33.5 %</w:t>
            </w:r>
          </w:p>
        </w:tc>
        <w:tc>
          <w:tcPr>
            <w:tcW w:w="2400" w:type="dxa"/>
            <w:vAlign w:val="bottom"/>
          </w:tcPr>
          <w:p>
            <w:pPr>
              <w:jc w:val="right"/>
              <w:ind w:right="1299"/>
              <w:spacing w:after="0"/>
              <w:rPr>
                <w:sz w:val="20"/>
                <w:szCs w:val="20"/>
                <w:color w:val="auto"/>
              </w:rPr>
            </w:pPr>
            <w:r>
              <w:rPr>
                <w:rFonts w:ascii="Arial" w:cs="Arial" w:eastAsia="Arial" w:hAnsi="Arial"/>
                <w:sz w:val="16"/>
                <w:szCs w:val="16"/>
                <w:color w:val="auto"/>
              </w:rPr>
              <w:t>41.9 %</w:t>
            </w:r>
          </w:p>
        </w:tc>
      </w:tr>
      <w:tr>
        <w:trPr>
          <w:trHeight w:val="246"/>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64.6 %</w:t>
            </w:r>
          </w:p>
        </w:tc>
        <w:tc>
          <w:tcPr>
            <w:tcW w:w="224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57.8 %</w:t>
            </w:r>
          </w:p>
        </w:tc>
        <w:tc>
          <w:tcPr>
            <w:tcW w:w="22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61.6 %</w:t>
            </w:r>
          </w:p>
        </w:tc>
        <w:tc>
          <w:tcPr>
            <w:tcW w:w="24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57.4 %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2021 and 2020</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cost of revenue for the three months ended March 31, 2021 increased $495.1 million, or 208.5%, compared to the three months ended March 31, 2020. This increase was primarily driven by costs associated with the growth in the number of Connected Fitness Products delivered during the period along with increased freight costs from expedited shipping, as well as increased raw material costs which we expect to continue during the fourth quarter of fiscal 2021.</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decreased by 1,593 basis points for the three months ended March 31, 2021 compared to the three months ended March 31, 2020 primarily driven by expedited shipping investments and the price reduction on our Bike from $2,245 to $1,895, and a modest impact from increases to treadmill product mix.</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cost of revenue for the three months ended March 31, 2021 increased $43.4 million, or 104.9%, compared to the three months ended March 31, 2020. This increase was primarily driven by an increase of $31.4 million in music royalty and streaming delivery fees driven by increased usage of our platform as our Subscription base and engagement continued to increase, an increase of $6.3 million in personnel-related expenses excluding stock-based compensation expense, due to increased headcount, an increase of $2.9 million in stock-based compensation expense, and an increase of $3.4 million in payment processing fees for our monthly subscription billing.</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Subscription Gross Margin increased by 672 basis points for the three months ended March 31, 2021 compared to the three months ended March 31, 2020 primarily driven by fixed cost leverage with more Connected Fitness Subscriptions, relative current period decreases in certain travel and studio expenses due to COVID-19 restrictions, as well as an adjustment to our reserve accrual estimates for certain variable subscription expenses of approximately 200 basis points.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2021 and 2020</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Products cost of revenue for the nine months ended March 31, 2021 increased $1,092.0 million, or 192.4%, compared to the nine months ended March 31, 2020. This increase was primarily driven by costs associated with the growth in the number of Connected Fitness Products delivered during the period.</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Connected Fitness Product Gross Margin decreased by 840 basis points for the nine months ended March 31, 2021 compared to the nine months ended March 31, 2020 primarily driven by expedited shipping investments and the price reduction on our Bike from $2,245 to $1,895.</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cost of revenue for the nine months ended March 31, 2021 increased $123.7 million, or 119.7%, compared to the nine months ended March 31, 2020. This increase was primarily driven by an increase of $81.5 million in music royalty and streaming delivery fees driven by increased usage of our platform as our Subscription base and engagement continued to increase, an increase of $16.0 million in personnel-related expenses excluding stock-based compensation expense, due to increased headcount, an increase of $10.3 million in stock-based compensation expense, and an increase of $8.8 million in payment processing fees for our monthly subscription billing.</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2" w:name="page33"/>
    <w:bookmarkEnd w:id="32"/>
    <w:p>
      <w:pPr>
        <w:jc w:val="both"/>
        <w:spacing w:after="0" w:line="251" w:lineRule="auto"/>
        <w:rPr>
          <w:sz w:val="20"/>
          <w:szCs w:val="20"/>
          <w:color w:val="auto"/>
        </w:rPr>
      </w:pPr>
      <w:r>
        <w:rPr>
          <w:rFonts w:ascii="Arial" w:cs="Arial" w:eastAsia="Arial" w:hAnsi="Arial"/>
          <w:sz w:val="16"/>
          <w:szCs w:val="16"/>
          <w:color w:val="auto"/>
        </w:rPr>
        <w:t>Subscription Gross Margin increased by 417 basis points for the nine months ended March 31, 2021 compared to the nine months ended March 31, 2020 primarily driven by fixed cost leverage with more Connected Fitness Subscriptions, relative current period decreases in certain travel and studio expenditures due to COVID-19 restrictions, as well as an adjustment to our reserve accrual estimates for certain variable subscription expenses of approximately 80 basis points.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3"/>
        </w:trPr>
        <w:tc>
          <w:tcPr>
            <w:tcW w:w="23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Nine Months Ended March 31,</w:t>
            </w:r>
          </w:p>
        </w:tc>
        <w:tc>
          <w:tcPr>
            <w:tcW w:w="1260" w:type="dxa"/>
            <w:vAlign w:val="bottom"/>
          </w:tcPr>
          <w:p>
            <w:pPr>
              <w:spacing w:after="0"/>
              <w:rPr>
                <w:sz w:val="23"/>
                <w:szCs w:val="23"/>
                <w:color w:val="auto"/>
              </w:rPr>
            </w:pPr>
          </w:p>
        </w:tc>
      </w:tr>
      <w:tr>
        <w:trPr>
          <w:trHeight w:val="223"/>
        </w:trPr>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208.2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154.8</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500.3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27.4%</w:t>
            </w: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i w:val="1"/>
                <w:iCs w:val="1"/>
                <w:color w:val="auto"/>
              </w:rPr>
              <w:t>As a percentage of total</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1"/>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16.5 %</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29.5 %</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16.2 %</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2021 and 2020</w:t>
      </w:r>
    </w:p>
    <w:p>
      <w:pPr>
        <w:spacing w:after="0" w:line="2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increased $53.5 million and $107.5 million when comparing the three and nine months ended March 31, 2021 with the three and nine months ended March 31, 2020, respectively. These increases were primarily due to an increase in spending on advertising and marketing programs of $24.3 million and $7.4 million, respectively. We resumed marketing in the second half of the quarter and will continue to ramp up in the fourth quarter given our improved order-to-delivery position. Additionally, an increase in personnel-related expenses of $10.8 million and $36.3 million, excluding stock-based compensation expense, due to increased headcount, a volume-based increase in payment processing fees of $9.7 million and $35.1 million, and an increase in expenses related to our showrooms of $3.5 million and $13.0 million,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3"/>
        </w:trPr>
        <w:tc>
          <w:tcPr>
            <w:tcW w:w="2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Nine Months Ended March 31,</w:t>
            </w:r>
          </w:p>
        </w:tc>
        <w:tc>
          <w:tcPr>
            <w:tcW w:w="1260" w:type="dxa"/>
            <w:vAlign w:val="bottom"/>
          </w:tcPr>
          <w:p>
            <w:pPr>
              <w:spacing w:after="0"/>
              <w:rPr>
                <w:sz w:val="23"/>
                <w:szCs w:val="23"/>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4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180.6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126.9</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430.3</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62.1%</w:t>
            </w:r>
          </w:p>
        </w:tc>
      </w:tr>
      <w:tr>
        <w:trPr>
          <w:trHeight w:val="237"/>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24.2 %</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2021 and 2020</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 and administrative expense increased $ 53.7 million and $164.9 million when comparing the three and nine months ended March 31, 2021 with the three and nine months ended March 31, 2020, respectively. These increases were primarily due to our build out of our corporate support teams as we comply with additional public company requirements in our second year as a public company, as well as our Member support teams to support our growing Member base. This drove an increase in personnel-related expenses of $31.8 million and $72.4 million, excluding stock-based compensation expense, due to increased headcount, an increase in professional services fees of $29.8 million and $60.0 million, an increase in stock-based compensation expense of $9.1 million and $22.3 million, and additional costs due to system implementations of $5.6 million and $12.2 million, respectively. The increase was partially offset by a decrease in fees and one-time settlement amounts related to the settlement of litigation matters with each of Flywheel Sports, Inc. and Downtown Music Publishing LLC of $32.7 million and $31.1 million, respectively, incurred in the three months ended March 31,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3"/>
        </w:trPr>
        <w:tc>
          <w:tcPr>
            <w:tcW w:w="2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Nine Months Ended March 31,</w:t>
            </w:r>
          </w:p>
        </w:tc>
        <w:tc>
          <w:tcPr>
            <w:tcW w:w="1260" w:type="dxa"/>
            <w:vAlign w:val="bottom"/>
          </w:tcPr>
          <w:p>
            <w:pPr>
              <w:spacing w:after="0"/>
              <w:rPr>
                <w:sz w:val="23"/>
                <w:szCs w:val="23"/>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(dollars in millions)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69.8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210.4%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153.9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154.0%</w:t>
            </w:r>
          </w:p>
        </w:tc>
      </w:tr>
      <w:tr>
        <w:trPr>
          <w:trHeight w:val="237"/>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4.3 %</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2021 and 2020</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increased $47.3 million and $93.3 million when comparing the three and nine months ended March 31, 2021 with the three and nine months ended March 31, 2020, respectively. These increases were primarily due to an increase in personnel-related expenses, which, excluding stock-based compensation expense, increased $19.4 million and $40.5 million, due to increased headcount, an increase of $17.1 million and $28.3 million in product development and research costs associated with development of new software features and products, and an increase of $4.1 million and $12.0 million in software expense, respectively.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 Net and Income Tax Benefit</w:t>
      </w:r>
    </w:p>
    <w:p>
      <w:pPr>
        <w:sectPr>
          <w:pgSz w:w="11900" w:h="16838" w:orient="portrait"/>
          <w:cols w:equalWidth="0" w:num="1">
            <w:col w:w="11240"/>
          </w:cols>
          <w:pgMar w:left="320" w:top="627"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8"/>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Nine Months Ended March 31,</w:t>
            </w:r>
          </w:p>
        </w:tc>
        <w:tc>
          <w:tcPr>
            <w:tcW w:w="1320" w:type="dxa"/>
            <w:vAlign w:val="bottom"/>
          </w:tcPr>
          <w:p>
            <w:pPr>
              <w:spacing w:after="0"/>
              <w:rPr>
                <w:sz w:val="18"/>
                <w:szCs w:val="18"/>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520" w:type="dxa"/>
            <w:vAlign w:val="bottom"/>
          </w:tcPr>
          <w:p>
            <w:pPr>
              <w:jc w:val="center"/>
              <w:spacing w:after="0"/>
              <w:rPr>
                <w:sz w:val="20"/>
                <w:szCs w:val="20"/>
                <w:color w:val="auto"/>
              </w:rPr>
            </w:pPr>
            <w:r>
              <w:rPr>
                <w:rFonts w:ascii="Arial" w:cs="Arial" w:eastAsia="Arial" w:hAnsi="Arial"/>
                <w:sz w:val="16"/>
                <w:szCs w:val="16"/>
                <w:color w:val="auto"/>
              </w:rPr>
              <w:t>NM</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NM</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2021 and 2020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three and nine months ended March 31, 2021:</w:t>
      </w:r>
    </w:p>
    <w:p>
      <w:pPr>
        <w:spacing w:after="0" w:line="248" w:lineRule="exact"/>
        <w:rPr>
          <w:sz w:val="20"/>
          <w:szCs w:val="20"/>
          <w:color w:val="auto"/>
        </w:rPr>
      </w:pPr>
    </w:p>
    <w:p>
      <w:pPr>
        <w:ind w:left="660" w:hanging="328"/>
        <w:spacing w:after="0" w:line="25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$(4.9) million and $(5.7) million</w:t>
      </w:r>
    </w:p>
    <w:p>
      <w:pPr>
        <w:spacing w:after="0" w:line="24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$1.6 million and $6.7 million;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Foreign exchange losses of $(0.7) million and $(1.5)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three and nine months ended March 31, 2020:</w:t>
      </w:r>
    </w:p>
    <w:p>
      <w:pPr>
        <w:spacing w:after="0" w:line="24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expense primarily related to the secured revolving credit facility of $(0.4) million and $(1.6)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$5.9 million and $14.3 million;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color w:val="auto"/>
        </w:rPr>
        <w:t>Foreign exchange losses of $(3.0) million and $(3.2) million, respectively.</w:t>
      </w:r>
    </w:p>
    <w:p>
      <w:pPr>
        <w:spacing w:after="0" w:line="3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Income tax benefit increased for the three and nine months ended March 31, 2021 primarily due to adjustments to the valuation allowance resulting from acquisitions during the period, partially offset by state and international taxes.</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Non-GAAP Financial Measures</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benefit; depreciation and amortization expense; stock-based compensation expense; transaction and integration costs; certain litigation expenses, consisting of legal settlements and related fees for specific proceedings that arise outside of the ordinary course of our business; specific non-recurring costs associated with COVID-19; and impairment charges for fixed assets. Adjusted EBITDA Margin is calculated by dividing Adjusted EBITDA by total revenue.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8" w:lineRule="exact"/>
        <w:rPr>
          <w:sz w:val="20"/>
          <w:szCs w:val="20"/>
          <w:color w:val="auto"/>
        </w:rPr>
      </w:pPr>
    </w:p>
    <w:p>
      <w:pPr>
        <w:jc w:val="both"/>
        <w:ind w:left="660" w:hanging="328"/>
        <w:spacing w:after="0" w:line="25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ectPr>
          <w:pgSz w:w="11900" w:h="16838" w:orient="portrait"/>
          <w:cols w:equalWidth="0" w:num="1">
            <w:col w:w="11240"/>
          </w:cols>
          <w:pgMar w:left="320" w:top="648" w:right="33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4" w:name="page35"/>
    <w:bookmarkEnd w:id="34"/>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9"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(i) the frequency of similar cases that have been brought to date, or are expected to be brought within two years, (ii) the complexity of the case, (iii) the nature of the remedy(ies) sought, including the size of any monetary damages sought, (iv) offensive versus defensive posture of us, (v) the counterparty involved, and (vi) our overall litigation strategy;</w:t>
      </w:r>
    </w:p>
    <w:p>
      <w:pPr>
        <w:spacing w:after="0" w:line="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and gains (losses) on disposals for fixed assets; and</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Adjusted EBITDA to net (loss) income, the most directly comparable financial measure prepared in accordance with GAAP, for each of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3"/>
        </w:trPr>
        <w:tc>
          <w:tcPr>
            <w:tcW w:w="5020" w:type="dxa"/>
            <w:vAlign w:val="bottom"/>
          </w:tcPr>
          <w:p>
            <w:pPr>
              <w:spacing w:after="0"/>
              <w:rPr>
                <w:sz w:val="23"/>
                <w:szCs w:val="23"/>
                <w:color w:val="auto"/>
              </w:rPr>
            </w:pPr>
          </w:p>
        </w:tc>
        <w:tc>
          <w:tcPr>
            <w:tcW w:w="314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23"/>
                <w:szCs w:val="23"/>
                <w:color w:val="auto"/>
              </w:rPr>
            </w:pPr>
          </w:p>
        </w:tc>
        <w:tc>
          <w:tcPr>
            <w:tcW w:w="28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0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23"/>
        </w:trPr>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(160.7)</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92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56.3</w:t>
            </w: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Litigation and settlement expenses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59.0</w:t>
            </w: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 and integration costs </w:t>
            </w:r>
            <w:r>
              <w:rPr>
                <w:rFonts w:ascii="Arial" w:cs="Arial" w:eastAsia="Arial" w:hAnsi="Arial"/>
                <w:sz w:val="21"/>
                <w:szCs w:val="21"/>
                <w:color w:val="auto"/>
                <w:vertAlign w:val="superscript"/>
              </w:rPr>
              <w:t>(2)</w:t>
            </w:r>
          </w:p>
        </w:tc>
        <w:tc>
          <w:tcPr>
            <w:tcW w:w="92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0.5</w:t>
            </w: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(3)</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1" w:lineRule="exact"/>
        <w:rPr>
          <w:sz w:val="20"/>
          <w:szCs w:val="20"/>
          <w:color w:val="auto"/>
        </w:rPr>
      </w:pPr>
    </w:p>
    <w:p>
      <w:pPr>
        <w:jc w:val="both"/>
        <w:ind w:firstLine="8"/>
        <w:spacing w:after="0"/>
        <w:tabs>
          <w:tab w:leader="none" w:pos="196"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litigation fees for certain ongoing patent infringement litigation and consumer arbitration for the three and nine months ended March 31, 2021, and confidential settlements and associated legal fees relating to two previously disclosed legal matters—“Downtown Music Publishing LLC et. al v. Peloton Interactive” and “Flywheel Sports, Inc.” for the three and nine months ended March 31, 2020.</w:t>
      </w:r>
    </w:p>
    <w:p>
      <w:pPr>
        <w:spacing w:after="0" w:line="51" w:lineRule="exact"/>
        <w:rPr>
          <w:rFonts w:ascii="Arial" w:cs="Arial" w:eastAsia="Arial" w:hAnsi="Arial"/>
          <w:sz w:val="13"/>
          <w:szCs w:val="13"/>
          <w:color w:val="auto"/>
        </w:rPr>
      </w:pPr>
    </w:p>
    <w:p>
      <w:pPr>
        <w:ind w:firstLine="8"/>
        <w:spacing w:after="0" w:line="242" w:lineRule="auto"/>
        <w:tabs>
          <w:tab w:leader="none" w:pos="197"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transaction and integration costs primarily associated with the acquisition and integration of Precor Fitness of $5.1 million and $8.5 million for the three and nine months ended March 31, 2021, respectively, and costs associated with the acquisition of Tonic Fitness Technology in the three and nine months ended March 31, 2020.</w:t>
      </w:r>
    </w:p>
    <w:p>
      <w:pPr>
        <w:spacing w:after="0" w:line="49" w:lineRule="exact"/>
        <w:rPr>
          <w:rFonts w:ascii="Arial" w:cs="Arial" w:eastAsia="Arial" w:hAnsi="Arial"/>
          <w:sz w:val="13"/>
          <w:szCs w:val="13"/>
          <w:color w:val="auto"/>
        </w:rPr>
      </w:pPr>
    </w:p>
    <w:p>
      <w:pPr>
        <w:ind w:right="20" w:firstLine="8"/>
        <w:spacing w:after="0" w:line="242" w:lineRule="auto"/>
        <w:tabs>
          <w:tab w:leader="none" w:pos="199"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incremental costs associated with COVID-19 of zero and $5.9 million, respectively, and asset impairment charges of $3.3 million for each of the three and nine months ended March 31, 2021, and $0.9 million of incremental costs associated with COVID-19 for each of the three and nine months ended March 31, 2020.</w:t>
      </w:r>
    </w:p>
    <w:p>
      <w:pPr>
        <w:spacing w:after="0" w:line="3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Adjusted EBITDA Margin to increase over the long-term as we continue to scale our business and achieve greater leverage in our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w:t>
      </w:r>
    </w:p>
    <w:p>
      <w:pPr>
        <w:sectPr>
          <w:pgSz w:w="11900" w:h="16838" w:orient="portrait"/>
          <w:cols w:equalWidth="0" w:num="1">
            <w:col w:w="11240"/>
          </w:cols>
          <w:pgMar w:left="320" w:top="62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5" w:name="page36"/>
    <w:bookmarkEnd w:id="35"/>
    <w:p>
      <w:pPr>
        <w:spacing w:after="0" w:line="260" w:lineRule="auto"/>
        <w:rPr>
          <w:sz w:val="20"/>
          <w:szCs w:val="20"/>
          <w:color w:val="auto"/>
        </w:rPr>
      </w:pPr>
      <w:r>
        <w:rPr>
          <w:rFonts w:ascii="Arial" w:cs="Arial" w:eastAsia="Arial" w:hAnsi="Arial"/>
          <w:sz w:val="16"/>
          <w:szCs w:val="16"/>
          <w:color w:val="auto"/>
        </w:rPr>
        <w:t>of our annual operating budget, as a measure of our core operating results and the effectiveness of our business strategy, and in evaluating our financial performance.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28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r>
      <w:tr>
        <w:trPr>
          <w:trHeight w:val="220"/>
        </w:trPr>
        <w:tc>
          <w:tcPr>
            <w:tcW w:w="5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27"/>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242.5</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227.0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103.3</w:t>
            </w: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363.6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57.8 %</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61.6 %</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57.4 %</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Add back:</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50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11.7</w:t>
            </w:r>
          </w:p>
        </w:tc>
      </w:tr>
      <w:tr>
        <w:trPr>
          <w:trHeight w:val="216"/>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391.3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154.5</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operations have been funded primarily through cash flow from operating activities and net proceeds from the sales of our equity and convertible debt securities. As of March 31, 2021, we had cash and cash equivalents of approximately $2.1 billion and marketable securities of $629.4 million.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our marketable securities portfolio primarily consists of U.S. government notes and investment grade corporate securities.</w:t>
      </w:r>
    </w:p>
    <w:p>
      <w:pPr>
        <w:spacing w:after="0" w:line="24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and amount of spending related to acquisitions, the timing and amount of spending on research and development, the timing and financial impact of recently announced product recalls,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6" w:name="page37"/>
    <w:bookmarkEnd w:id="36"/>
    <w:p>
      <w:pPr>
        <w:jc w:val="both"/>
        <w:spacing w:after="0" w:line="250" w:lineRule="auto"/>
        <w:rPr>
          <w:sz w:val="20"/>
          <w:szCs w:val="20"/>
          <w:color w:val="auto"/>
        </w:rPr>
      </w:pPr>
      <w:r>
        <w:rPr>
          <w:rFonts w:ascii="Arial" w:cs="Arial" w:eastAsia="Arial" w:hAnsi="Arial"/>
          <w:sz w:val="16"/>
          <w:szCs w:val="16"/>
          <w:color w:val="auto"/>
        </w:rPr>
        <w:t>an Indenture (the "Indenture") between us and U.S. Bank National Association, as trustee. The Notes are our senior unsecured obligations and do not bear regular interest, and the principal amount of the Notes does not accrete. The net proceeds from this offering were approximately $977.2 million, after deducting the initial purchasers' discounts and commissions and our offering expenses. For additional details, refer to Note 8 – Debt and Financing Arrangements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included in the “Notes to our Condensed Consolidated Financial Statements” in Part I, Item 1 of this Quarterly Report on Form 10-Q.</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Credit Agreement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we entered into a First Amendment (the “First Amendment”) to the Amended Credit Agreement to revise certain covenants that restricted the incurrence of indebtedness to permit the Capped Call Transactions and issuance of the Notes.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March 18, 2021, we entered into a Joinder Agreement (the "Joinder") to the Amended Credit Agreement, as amended by the First Amendment, to add Citibank, N.A. as a lender under the Amended Credit Agreement and to provide for an increase of the commitments available under the revolving credit facility by $35.0 million from $250.0 million to $285.0 million.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Amended Credit Agreement provides for a $285.0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March 31, 2021, we had not drawn on the credit facility and did not have outstanding borrowings under the Amended Credit Agreement. As of March 31, 2021, we had outstanding letters of credit totaling $4.8 million issued primarily to cover security deposits for an operating lease obligation.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3"/>
        </w:trPr>
        <w:tc>
          <w:tcPr>
            <w:tcW w:w="7600" w:type="dxa"/>
            <w:vAlign w:val="bottom"/>
          </w:tcPr>
          <w:p>
            <w:pPr>
              <w:spacing w:after="0"/>
              <w:rPr>
                <w:sz w:val="23"/>
                <w:szCs w:val="23"/>
                <w:color w:val="auto"/>
              </w:rPr>
            </w:pPr>
          </w:p>
        </w:tc>
        <w:tc>
          <w:tcPr>
            <w:tcW w:w="30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Nine Months Ended March 31,</w:t>
            </w:r>
          </w:p>
        </w:tc>
        <w:tc>
          <w:tcPr>
            <w:tcW w:w="640" w:type="dxa"/>
            <w:vAlign w:val="bottom"/>
            <w:tcBorders>
              <w:bottom w:val="single" w:sz="8" w:color="auto"/>
            </w:tcBorders>
          </w:tcPr>
          <w:p>
            <w:pPr>
              <w:spacing w:after="0"/>
              <w:rPr>
                <w:sz w:val="23"/>
                <w:szCs w:val="23"/>
                <w:color w:val="auto"/>
              </w:rPr>
            </w:pPr>
          </w:p>
        </w:tc>
      </w:tr>
      <w:tr>
        <w:trPr>
          <w:trHeight w:val="223"/>
        </w:trPr>
        <w:tc>
          <w:tcPr>
            <w:tcW w:w="7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40" w:type="dxa"/>
            <w:vAlign w:val="bottom"/>
            <w:gridSpan w:val="2"/>
          </w:tcPr>
          <w:p>
            <w:pPr>
              <w:jc w:val="center"/>
              <w:ind w:right="439"/>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359.3</w:t>
            </w:r>
          </w:p>
        </w:tc>
        <w:tc>
          <w:tcPr>
            <w:tcW w:w="118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(233.4)</w:t>
            </w: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(905.9)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financing activities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890.5</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1,209.3</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cash provided by operating activities of $359.3 million for the nine months ended March 31, 2021 was primarily due to an increase in non-cash adjustments of $207.3 million, net income of $124.2 million, and net change in operating assets and liabilities of $27.7 million. The increase in net operating assets and liabilities was primarily due to a $444.2 million increase in accounts payable and accrued expenses related to increased inventory and other expenditures to support general business growth, as well as the timing of payments, partially offset by a $363.7 million increase in inventory levels as we ramped up supply to meet the current increased demand. Non-cash adjustments primarily consisted of stock-based compensation expense, operating lease expense, and depreciation and amortization expense.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for the nine months ended March 31, 2021 of $233.4 million was primarily related to purchases of marketable securities of $449.1 million, $167.9 million used for capital expenditures primarily related to the continued build out of our New York City headquarters, our new Peloton studios in London, our new manufacturing facilities in Taiwan, and new showrooms, and $135.8 million relating to acquisitions, partially offset by maturities of marketable securities of $517.8 million.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$890.5 million for the nine months ended March 31, 2021 was primarily related to proceeds from the issuance of convertible debt of $977.2 million, partially offset by $81.3 million of capped call transactions entered into concurrently with the convertible debt issuance.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our contractual obligations were as follows: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1"/>
                <w:szCs w:val="2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1"/>
                <w:szCs w:val="2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1"/>
                <w:szCs w:val="21"/>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958.7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of Precor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2,513.2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1,177.8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1" w:lineRule="exact"/>
        <w:rPr>
          <w:sz w:val="20"/>
          <w:szCs w:val="20"/>
          <w:color w:val="auto"/>
        </w:rPr>
      </w:pPr>
    </w:p>
    <w:p>
      <w:pPr>
        <w:ind w:firstLine="8"/>
        <w:spacing w:after="0" w:line="242" w:lineRule="auto"/>
        <w:tabs>
          <w:tab w:leader="none" w:pos="199" w:val="left"/>
        </w:tabs>
        <w:numPr>
          <w:ilvl w:val="0"/>
          <w:numId w:val="19"/>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equipment, and retail showrooms and microstores. The lease terms are between one and twenty-one years, and the majority of the lease agreements are renewable at the end of the lease period.</w:t>
      </w:r>
    </w:p>
    <w:p>
      <w:pPr>
        <w:spacing w:after="0" w:line="49" w:lineRule="exact"/>
        <w:rPr>
          <w:rFonts w:ascii="Arial" w:cs="Arial" w:eastAsia="Arial" w:hAnsi="Arial"/>
          <w:sz w:val="13"/>
          <w:szCs w:val="13"/>
          <w:color w:val="050505"/>
        </w:rPr>
      </w:pPr>
    </w:p>
    <w:p>
      <w:pPr>
        <w:jc w:val="both"/>
        <w:ind w:firstLine="8"/>
        <w:spacing w:after="0"/>
        <w:tabs>
          <w:tab w:leader="none" w:pos="198" w:val="left"/>
        </w:tabs>
        <w:numPr>
          <w:ilvl w:val="0"/>
          <w:numId w:val="19"/>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"Risk Factors --Our Most Material Financial, Operational, and Execution Risks— </w:t>
      </w:r>
      <w:r>
        <w:rPr>
          <w:rFonts w:ascii="Arial" w:cs="Arial" w:eastAsia="Arial" w:hAnsi="Arial"/>
          <w:sz w:val="13"/>
          <w:szCs w:val="13"/>
          <w:color w:val="000000"/>
        </w:rPr>
        <w:t>We are a party to many music license agreements that are complex and impose numerous obligations upon us that may make it difficult to operate our business, and a breach of such</w:t>
      </w:r>
      <w:r>
        <w:rPr>
          <w:rFonts w:ascii="Arial" w:cs="Arial" w:eastAsia="Arial" w:hAnsi="Arial"/>
          <w:sz w:val="13"/>
          <w:szCs w:val="13"/>
          <w:color w:val="050505"/>
        </w:rPr>
        <w:t xml:space="preserve"> </w:t>
      </w:r>
      <w:r>
        <w:rPr>
          <w:rFonts w:ascii="Arial" w:cs="Arial" w:eastAsia="Arial" w:hAnsi="Arial"/>
          <w:sz w:val="13"/>
          <w:szCs w:val="13"/>
          <w:color w:val="000000"/>
        </w:rPr>
        <w:t>agreements could adversely affect our business, operating results, and financial condition.</w:t>
      </w:r>
      <w:r>
        <w:rPr>
          <w:rFonts w:ascii="Arial" w:cs="Arial" w:eastAsia="Arial" w:hAnsi="Arial"/>
          <w:sz w:val="13"/>
          <w:szCs w:val="13"/>
          <w:b w:val="1"/>
          <w:bCs w:val="1"/>
          <w:color w:val="000000"/>
        </w:rPr>
        <w:t>"</w:t>
      </w:r>
    </w:p>
    <w:p>
      <w:pPr>
        <w:spacing w:after="0" w:line="51" w:lineRule="exact"/>
        <w:rPr>
          <w:rFonts w:ascii="Arial" w:cs="Arial" w:eastAsia="Arial" w:hAnsi="Arial"/>
          <w:sz w:val="13"/>
          <w:szCs w:val="13"/>
          <w:color w:val="050505"/>
        </w:rPr>
      </w:pPr>
    </w:p>
    <w:p>
      <w:pPr>
        <w:ind w:right="20" w:firstLine="8"/>
        <w:spacing w:after="0" w:line="242" w:lineRule="auto"/>
        <w:tabs>
          <w:tab w:leader="none" w:pos="196"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are required to pay a commitment fee of 0.375% based on the unused portion of the revolving credit facility. As of March 31, 2021, we were contingently liable for approximately $4.8 million in standby letters of credit for our operating lease obligations.</w:t>
      </w:r>
    </w:p>
    <w:p>
      <w:pPr>
        <w:spacing w:after="0" w:line="49" w:lineRule="exact"/>
        <w:rPr>
          <w:rFonts w:ascii="Arial" w:cs="Arial" w:eastAsia="Arial" w:hAnsi="Arial"/>
          <w:sz w:val="13"/>
          <w:szCs w:val="13"/>
          <w:color w:val="auto"/>
        </w:rPr>
      </w:pPr>
    </w:p>
    <w:p>
      <w:pPr>
        <w:ind w:left="200" w:hanging="192"/>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42" w:lineRule="auto"/>
        <w:tabs>
          <w:tab w:leader="none" w:pos="199"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April 1, 2021, we completed our previously announced acquisition of Precor from Amer Sports Corporation pursuant to the terms of the Purchase Agreement. See Note 7 in the “Notes to our Condensed Consolidated Financial Statements” in Part I, Item 1 of this Quarterly Report on Form 10-Q.</w:t>
      </w:r>
    </w:p>
    <w:p>
      <w:pPr>
        <w:spacing w:after="0" w:line="49" w:lineRule="exact"/>
        <w:rPr>
          <w:rFonts w:ascii="Arial" w:cs="Arial" w:eastAsia="Arial" w:hAnsi="Arial"/>
          <w:sz w:val="13"/>
          <w:szCs w:val="13"/>
          <w:color w:val="auto"/>
        </w:rPr>
      </w:pPr>
    </w:p>
    <w:p>
      <w:pPr>
        <w:ind w:firstLine="8"/>
        <w:spacing w:after="0" w:line="242" w:lineRule="auto"/>
        <w:tabs>
          <w:tab w:leader="none" w:pos="196"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Refer to Note 8 in the "Notes to our Condensed Consolidated Financial Statements" in Part I, Item I of this Quarterly Report on Form 10-Q for further details regarding our convertible senior notes obligations.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March 31,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our Annual Report on Form 10-K.</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approximately $2.7 billion as of March 31, 2021.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condensed consolidated financial statements.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as of March 31, 2021. Based on this evaluation, our Chief Executive Officer and Chief Financial Officer concluded that, as of March 31, 2021,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and 15d-15(d) of the Exchange Act that occurred during the quarter ended March 31, 2021 that have materially affected, or are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and, from time to time, we may become, involved in legal proceedings or be subject to claims arising in the ordinary course of our business. For a discussion of legal proceedings, see Note 9 in the “Notes to our Condensed Consolidated Financial Statements”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contained in our Form 10-K and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Factors Summary</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222"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incurred operating losses in the past, may incur operating losses in the future, and may not achieve or maintain profitability in the future.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attract and retain Subscribers, which could have an adverse effect on our business and rate of growth.</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a limited operating history and our past financial results may not be indicative of our future performance. Further, our revenue growth rate is likely to slow as our business matures.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outbreak of the COVID-19 coronavirus pandemic, or COVID-19, could have an adverse effect on our business, results of operations, and financial condition.</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products and services may be affected from time to time by design and manufacturing defects, real or perceived, that could adversely affect our business and result in harm to our reputation.</w:t>
      </w:r>
    </w:p>
    <w:p>
      <w:pPr>
        <w:spacing w:after="0" w:line="33"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From time to time, we may be subject to legal proceedings, regulatory investigations or disputes, and governmental inquiries that could cause us to incur significant expenses, divert our management’s attention, and materially harm our business, reputation, financial condition, and operating results.</w:t>
      </w:r>
    </w:p>
    <w:p>
      <w:pPr>
        <w:spacing w:after="0" w:line="2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be unable to compete successfully against existing and future competitors.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derive a significant majority of our revenue from sales of our Bike. A decline in sales of our Bike would negatively affect our future revenue and operating results.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rely on a limited number of suppliers, contract manufacturers, and logistics partners for our Connected Fitness Products. A loss of any of these partners could negatively affect our business.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success depends on our ability to maintain the value and reputation of the Peloton brand.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Most Material Financial, Operational and Execution Risks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While we had net (loss) income of $(8.6) million and $124.2 million in the three and nine months ended March 31, 2021, respectively, we have incurred operating losses each year since our inception in 2012, including net losses of $(71.6) </w:t>
      </w:r>
      <w:r>
        <w:rPr>
          <w:rFonts w:ascii="Arial" w:cs="Arial" w:eastAsia="Arial" w:hAnsi="Arial"/>
          <w:sz w:val="16"/>
          <w:szCs w:val="16"/>
          <w:color w:val="050505"/>
        </w:rPr>
        <w:t>million, $(195.6) million, and $(47.9) million</w:t>
      </w:r>
      <w:r>
        <w:rPr>
          <w:rFonts w:ascii="Arial" w:cs="Arial" w:eastAsia="Arial" w:hAnsi="Arial"/>
          <w:sz w:val="16"/>
          <w:szCs w:val="16"/>
          <w:color w:val="auto"/>
        </w:rPr>
        <w:t xml:space="preserve"> for fiscal 2020, 2019, and 2018, respectively, and may continue to incur net losses in the future. We expect our operating expenses to increase in</w:t>
      </w:r>
    </w:p>
    <w:p>
      <w:pPr>
        <w:sectPr>
          <w:pgSz w:w="11900" w:h="16838" w:orient="portrait"/>
          <w:cols w:equalWidth="0" w:num="1">
            <w:col w:w="11240"/>
          </w:cols>
          <w:pgMar w:left="320" w:top="1062"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1" w:name="page42"/>
    <w:bookmarkEnd w:id="41"/>
    <w:p>
      <w:pPr>
        <w:jc w:val="both"/>
        <w:spacing w:after="0" w:line="248" w:lineRule="auto"/>
        <w:rPr>
          <w:sz w:val="20"/>
          <w:szCs w:val="20"/>
          <w:color w:val="auto"/>
        </w:rPr>
      </w:pPr>
      <w:r>
        <w:rPr>
          <w:rFonts w:ascii="Arial" w:cs="Arial" w:eastAsia="Arial" w:hAnsi="Arial"/>
          <w:sz w:val="16"/>
          <w:szCs w:val="16"/>
          <w:color w:val="auto"/>
        </w:rPr>
        <w:t>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29" w:lineRule="exact"/>
        <w:rPr>
          <w:sz w:val="20"/>
          <w:szCs w:val="20"/>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perceived safety concerns regarding our products;</w:t>
      </w:r>
    </w:p>
    <w:p>
      <w:pPr>
        <w:spacing w:after="0" w:line="45" w:lineRule="exact"/>
        <w:rPr>
          <w:rFonts w:ascii="Arial" w:cs="Arial" w:eastAsia="Arial" w:hAnsi="Arial"/>
          <w:sz w:val="16"/>
          <w:szCs w:val="16"/>
          <w:color w:val="auto"/>
        </w:rPr>
      </w:pPr>
    </w:p>
    <w:p>
      <w:pPr>
        <w:jc w:val="both"/>
        <w:ind w:left="660" w:hanging="328"/>
        <w:spacing w:after="0" w:line="234"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19"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Germany and Australia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w:t>
      </w:r>
    </w:p>
    <w:p>
      <w:pPr>
        <w:sectPr>
          <w:pgSz w:w="11900" w:h="16838" w:orient="portrait"/>
          <w:cols w:equalWidth="0" w:num="1">
            <w:col w:w="11240"/>
          </w:cols>
          <w:pgMar w:left="320" w:top="627"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2" w:name="page43"/>
    <w:bookmarkEnd w:id="42"/>
    <w:p>
      <w:pPr>
        <w:jc w:val="both"/>
        <w:ind w:right="20"/>
        <w:spacing w:after="0" w:line="260" w:lineRule="auto"/>
        <w:rPr>
          <w:sz w:val="20"/>
          <w:szCs w:val="20"/>
          <w:color w:val="auto"/>
        </w:rPr>
      </w:pPr>
      <w:r>
        <w:rPr>
          <w:rFonts w:ascii="Arial" w:cs="Arial" w:eastAsia="Arial" w:hAnsi="Arial"/>
          <w:sz w:val="16"/>
          <w:szCs w:val="16"/>
          <w:color w:val="auto"/>
        </w:rPr>
        <w:t>addition, new or enhanced products or services may have varying selling prices and costs compared to legacy products and services, which could negatively impact our gross margins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full effect of the COVID-19 coronavirus pandemic, or COVID-19, is uncertain and cannot be predicted. The COVID-19 pandemic could worsen, or its effects may be prolonged, which could have an adverse effect on our business, results of operations, and financial condition.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COVID-19 has caused significant volatility in financial markets and has caused what is likely to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22" w:lineRule="exact"/>
        <w:rPr>
          <w:sz w:val="20"/>
          <w:szCs w:val="20"/>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meet consumer demand and delays in the delivery of our products to our customers, resulting in reputational harm and damaged customer relationships;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rates of post-purchase order cancellation, or consumer or consumer protection agency claims and litigation as a result of long delivery lead times and delivery reschedules;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that has been difficult to predict with accuracy, and longer lead-times and component shortages in the manufacturing of our Connected Fitness Products, due to work restrictions related to COVID-19, import/export conditions such as port congestion, and local government orders;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w:t>
      </w:r>
    </w:p>
    <w:p>
      <w:pPr>
        <w:sectPr>
          <w:pgSz w:w="11900" w:h="16838" w:orient="portrait"/>
          <w:cols w:equalWidth="0" w:num="1">
            <w:col w:w="11240"/>
          </w:cols>
          <w:pgMar w:left="320" w:top="627"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3" w:name="page44"/>
    <w:bookmarkEnd w:id="43"/>
    <w:p>
      <w:pPr>
        <w:jc w:val="both"/>
        <w:ind w:left="660" w:hanging="328"/>
        <w:spacing w:after="0" w:line="253"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shipment and delivery of our products; for example, in certain instances, we have temporarily closed certain of our field operations warehouses for short periods of time for deep cleanings following confirmed cases of COVID-19;</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Despite the uncertainties caused by COVID-19, sales of our Connected Fitness Products have increased each quarter during the pandemic as consumers have invested in at-home fitness equipment due to government mandated stay-at-home orders. As a result of our increased sales, the price of our Class A common stock has increased significantly over the course of the past year, but has also fluctuated based on developments surrounding COVID-19. For example, when the effectiveness of the first COVID-19 vaccination was announced in November 2020, the stock price of our Class A common stock dropped, and as reports of COVID-19 increased during the 2020 holiday season, the stock price of our Class A common stock rose.</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full extent of the impact of COVID-19 on our business and financial results will depend largely on future developments, including the duration of the spread of the outbreak and related stay-at-home orders, the impact on capital and financial markets and global supply chains, and the related impact on the financial circumstances of our Members (which may include consumer discretionary spending decreases, or upon the removal of lockdowns may cause consumers to go back to their pre-COVID routines), all of which are highly uncertain and cannot be predicted. (See also " - Our operating results could be adversely affected if we are unable to accurately forecast consumer demand for our products and services and adequately manage our inventory.") This situation is changing rapidly, and additional impacts may arise that we are not aware of currently.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an epidemic such as the current COVID-19 outbreak, or other interruption at a particular location. In particular, the current COVID-19 outbreak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ectPr>
          <w:pgSz w:w="11900" w:h="16838" w:orient="portrait"/>
          <w:cols w:equalWidth="0" w:num="1">
            <w:col w:w="11240"/>
          </w:cols>
          <w:pgMar w:left="320" w:top="627"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4" w:name="page45"/>
    <w:bookmarkEnd w:id="44"/>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222"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outbreak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w:t>
      </w:r>
    </w:p>
    <w:p>
      <w:pPr>
        <w:sectPr>
          <w:pgSz w:w="11900" w:h="16838" w:orient="portrait"/>
          <w:cols w:equalWidth="0" w:num="1">
            <w:col w:w="11240"/>
          </w:cols>
          <w:pgMar w:left="320" w:top="870"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45" w:name="page46"/>
    <w:bookmarkEnd w:id="45"/>
    <w:p>
      <w:pPr>
        <w:jc w:val="both"/>
        <w:spacing w:after="0" w:line="249" w:lineRule="auto"/>
        <w:rPr>
          <w:sz w:val="20"/>
          <w:szCs w:val="20"/>
          <w:color w:val="auto"/>
        </w:rPr>
      </w:pPr>
      <w:r>
        <w:rPr>
          <w:rFonts w:ascii="Arial" w:cs="Arial" w:eastAsia="Arial" w:hAnsi="Arial"/>
          <w:sz w:val="16"/>
          <w:szCs w:val="16"/>
          <w:color w:val="auto"/>
        </w:rPr>
        <w:t>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9 of the notes to our condensed consolidated financial statements and the section titled “— Legal Proceedings” in Part II,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For example, we have received reports of a number of injuries associated with our Tread+ product, and as a result, in April 2021, the U.S. Consumer Product Safety Commission ("CPSC") unilaterally issued a warning to consumers about the safety hazards associated with the Tread+ product. After further discussion with the CPSC, on May 5, 2021, we decided to issue a voluntary product recall of our Tread+, which we are conducting in collaboration with the CPSC. On the same day, we issued a separate voluntary recall on our Tread product. The CPSC’s warning, claims or proceedings involving us or our products, actions we take to address these matters and any further publicity regarding any of the foregoing could harm our brand. Such negative publicity also could have an adverse effect on the size, engagement and loyalty of our Member base and result in decreased revenue, which could have an adverse effect on our business, financial condition, and operating results.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Business and Financial Condition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March 31, 2021, our employee headcount increased from 443 to 6,593,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been under new operating limitations such as shorter operating hours, mask guidelines for employees and customers, and other constraints on our previous retail sales strategies. We have also had to temporarily close certain showrooms due to employee illness, and may need to do so in the</w:t>
      </w:r>
    </w:p>
    <w:p>
      <w:pPr>
        <w:sectPr>
          <w:pgSz w:w="11900" w:h="16838" w:orient="portrait"/>
          <w:cols w:equalWidth="0" w:num="1">
            <w:col w:w="11240"/>
          </w:cols>
          <w:pgMar w:left="320" w:top="627"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6" w:name="page47"/>
    <w:bookmarkEnd w:id="46"/>
    <w:p>
      <w:pPr>
        <w:jc w:val="both"/>
        <w:spacing w:after="0" w:line="249" w:lineRule="auto"/>
        <w:rPr>
          <w:sz w:val="20"/>
          <w:szCs w:val="20"/>
          <w:color w:val="auto"/>
        </w:rPr>
      </w:pPr>
      <w:r>
        <w:rPr>
          <w:rFonts w:ascii="Arial" w:cs="Arial" w:eastAsia="Arial" w:hAnsi="Arial"/>
          <w:sz w:val="16"/>
          <w:szCs w:val="16"/>
          <w:color w:val="auto"/>
        </w:rPr>
        <w:t>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progression of the COVID-19 outbreak.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As these government orders have come down, a global shortage of personal protective equipment has resulted, and we have experienced delays and increased costs in obtaining these materials for our teams.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7" w:name="page48"/>
    <w:bookmarkEnd w:id="47"/>
    <w:p>
      <w:pPr>
        <w:jc w:val="both"/>
        <w:spacing w:after="0" w:line="247"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6"/>
          <w:szCs w:val="16"/>
          <w:color w:val="050505"/>
        </w:rPr>
        <w:t>For example, in fiscal 2018 and 2019, our second and third quarters combined each represented 63% of our total</w:t>
      </w:r>
      <w:r>
        <w:rPr>
          <w:rFonts w:ascii="Arial" w:cs="Arial" w:eastAsia="Arial" w:hAnsi="Arial"/>
          <w:sz w:val="16"/>
          <w:szCs w:val="16"/>
          <w:color w:val="auto"/>
        </w:rPr>
        <w:t xml:space="preserve"> </w:t>
      </w:r>
      <w:r>
        <w:rPr>
          <w:rFonts w:ascii="Arial" w:cs="Arial" w:eastAsia="Arial" w:hAnsi="Arial"/>
          <w:sz w:val="16"/>
          <w:szCs w:val="16"/>
          <w:color w:val="050505"/>
        </w:rPr>
        <w:t xml:space="preserve">revenue. In fiscal 2020, we saw a significant increase in demand in the fourth quarter related to COVID-19, and therefore only </w:t>
      </w:r>
      <w:r>
        <w:rPr>
          <w:rFonts w:ascii="Arial" w:cs="Arial" w:eastAsia="Arial" w:hAnsi="Arial"/>
          <w:sz w:val="16"/>
          <w:szCs w:val="16"/>
          <w:color w:val="000000"/>
        </w:rPr>
        <w:t>54%</w:t>
      </w:r>
      <w:r>
        <w:rPr>
          <w:rFonts w:ascii="Arial" w:cs="Arial" w:eastAsia="Arial" w:hAnsi="Arial"/>
          <w:sz w:val="16"/>
          <w:szCs w:val="16"/>
          <w:color w:val="050505"/>
        </w:rPr>
        <w:t xml:space="preserve"> of our total revenue was generated in our second and third quarters. Over time, we expect the seasonality of our business to return, with pronounced increases in demand during our second and third quarters. </w:t>
      </w:r>
      <w:r>
        <w:rPr>
          <w:rFonts w:ascii="Arial" w:cs="Arial" w:eastAsia="Arial" w:hAnsi="Arial"/>
          <w:sz w:val="16"/>
          <w:szCs w:val="16"/>
          <w:color w:val="000000"/>
        </w:rPr>
        <w:t>Moreover, as a result of higher sales during the period from November through February, our working capital needs are greater</w:t>
      </w:r>
      <w:r>
        <w:rPr>
          <w:rFonts w:ascii="Arial" w:cs="Arial" w:eastAsia="Arial" w:hAnsi="Arial"/>
          <w:sz w:val="16"/>
          <w:szCs w:val="16"/>
          <w:color w:val="050505"/>
        </w:rPr>
        <w:t xml:space="preserve"> </w:t>
      </w:r>
      <w:r>
        <w:rPr>
          <w:rFonts w:ascii="Arial" w:cs="Arial" w:eastAsia="Arial" w:hAnsi="Arial"/>
          <w:sz w:val="16"/>
          <w:szCs w:val="16"/>
          <w:color w:val="000000"/>
        </w:rPr>
        <w:t>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For example, in the second quarter of fiscal year 2021, we committed to incrementally invest over $100 million in air freight and expedited ocean freight over the subsequent six months to shorten our order-to-delivery windows in order to improve our Member experience, despite the potential impact on our near-term profitability.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or Tread products to the satisfaction of the CPSC in connection with our voluntary product recalls, which we are conducting in collaboration with the CPSC;</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and Germany;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ectPr>
          <w:pgSz w:w="11900" w:h="16838" w:orient="portrait"/>
          <w:cols w:equalWidth="0" w:num="1">
            <w:col w:w="11240"/>
          </w:cols>
          <w:pgMar w:left="320" w:top="627"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8" w:name="page49"/>
    <w:bookmarkEnd w:id="48"/>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our effective tax rate, including as a result of potential changes in tax laws proposed by the Biden administration and Democratic controlled Congress;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current COVID-19 outbreak, lower consumer confidence, recessionary conditions, increased unemployment rates, or stagnant or declining wages.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recently completed acquisition of Precor presents risks and we may not realize our anticipated strategic and financial goals from the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Risks we may face in connection with our acquisition and integration of Precor include:</w:t>
      </w:r>
    </w:p>
    <w:p>
      <w:pPr>
        <w:spacing w:after="0" w:line="248"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not realize the benefits we expect to receive from the transaction, such as anticipated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have difficulties managing Precor’s technologies and lines of business or retaining key personnel from Precor;</w:t>
      </w:r>
    </w:p>
    <w:p>
      <w:pPr>
        <w:spacing w:after="0" w:line="59"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40"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40"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Precor has not been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integration. In addition, we may discover significant deficiencies or material weaknesses in the quality of Precor’s financial and disclosure controls and procedures;</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a result of the acquisition we now own and operate our first U.S.-based manufacturing facilities and we may have difficultly incorporating Precor’s manufacturing and supply chain operations into our existing manufacturing and supply chain infrastructure, potentially resulting in new and unexpected operational complexities and costs;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Precor operates in segments of the commercial market that we have less experience with, including traditional gyms, multifamily residences, hotels and college and corporate campuses, and expansion of our operations in these segments through the acquisition could present various integration challenges and result in increased costs and other unforeseen challenges;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Precor serves more than 100 countries worldwide, and as a result of the acquisition our operations have expanded into new jurisdictions, which could present significant integration challenges and result in significant increased risks and costs inherent in doing business in international markets (see “—We plan to expand into international markets, which will expose us to significant risks”);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Precor's employees in a number of countries around the world are now Peloton employees,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sectPr>
          <w:pgSz w:w="11900" w:h="16838" w:orient="portrait"/>
          <w:cols w:equalWidth="0" w:num="1">
            <w:col w:w="11240"/>
          </w:cols>
          <w:pgMar w:left="320" w:top="627" w:right="33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9" w:name="page50"/>
    <w:bookmarkEnd w:id="49"/>
    <w:p>
      <w:pPr>
        <w:jc w:val="both"/>
        <w:ind w:left="660" w:hanging="328"/>
        <w:spacing w:after="0" w:line="253"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have failed to identify or assess the magnitude of certain liabilities, shortcomings or other risks in Precor's business prior to closing our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occurrence of any of these risks could have a material adverse effect on our business, financial condition, and operating results. See “—We may engage in merger and acquisition activities, which could require significant management attention, disrupt our business, dilute stockholder value, and adversely affect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7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 Additionally, in April 2021, we completed our acquisition of Precor which serves more than 100 countries worldwide. As a result, we need to increase our operations and efforts abroad, which could result in various integration challenges and amplify the various risks and costs of doing business in international markets described above.</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part of our business strategy, we have made and, in the future, intend to continue to make investments in other companies, products, or technologies, including acquisitions that may result in our entering markets or lines of business in which we do not currently have expertise. For example, in June 2018, we acquired Neurotic Media to develop a proprietary music platform that our instructors use to curate class playlists, and in October 2019, we acquired Tonic, one of our manufacturing partners. In addition, in April 2021, we acquired Precor in order to establish U.S. manufacturing capacity, boost research and development capabilities, and accelerate our penetration of the commercial market.</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0" w:name="page51"/>
    <w:bookmarkEnd w:id="50"/>
    <w:p>
      <w:pPr>
        <w:jc w:val="both"/>
        <w:spacing w:after="0" w:line="248" w:lineRule="auto"/>
        <w:rPr>
          <w:sz w:val="20"/>
          <w:szCs w:val="20"/>
          <w:color w:val="auto"/>
        </w:rPr>
      </w:pPr>
      <w:r>
        <w:rPr>
          <w:rFonts w:ascii="Arial" w:cs="Arial" w:eastAsia="Arial" w:hAnsi="Arial"/>
          <w:sz w:val="16"/>
          <w:szCs w:val="16"/>
          <w:color w:val="auto"/>
        </w:rPr>
        <w:t>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Online sales of our Connected Fitness Products through www.onepeloton.com represented a significantly higher number of our units sold in the United States for fiscal 2020 versus previous years, due to the temporary closing of our retail showrooms.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and streaming device operating systems, networks, and standards that we do not control.</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digital offering or give preferential treatment to competitors could adversely affect our platform’s usage on mobile devices and televisions. Additionally, in order to deliver high-quality content, it is important that our digital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TVs, or Members find our App does not effectively meet their needs, our competitors develop products and services that are perceived to operate more effectively on mobile devices or TVs, or if our Members choose not to access or use our platform on their mobile devices or TVs or use products that do not offer access to our platform, our Member growth and Member engagement could be adversely impacted.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1" w:name="page52"/>
    <w:bookmarkEnd w:id="51"/>
    <w:p>
      <w:pPr>
        <w:jc w:val="both"/>
        <w:spacing w:after="0" w:line="248"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current COVID-19 outbreak. This risk will be exacerbated by the fact that we may not carry a significant amount of inventory and may not be able to satisfy short-term demand increases. For example, we have experienced an unexpected increase in demand for our Connected Fitness Products as a result of government shelter-in-place orders and other stay-at-home dynamics in response to the COVID-19 pandemic, which has resulted in inventory shortages, delayed delivery timelines and delays in fulfilling support requests. If we fail to accurately forecast consumer demand, we may experience excess inventory levels or a shortage of products available for sale.</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pricing levels for our Connected Fitness Products and subscriptions, our business could be adversely affected.</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are unable to sustain pricing levels for our portfolio of Connected Fitness Products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current COVID-19 outbreak and its resulting global macroeconomic impact may adversely affect consumer discretionary spending and, though demand for our Connected Fitness Products and services has remained high due to government shelter-in-place orders and other stay at home trends,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2" w:name="page53"/>
    <w:bookmarkEnd w:id="52"/>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the long-term.</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Peloton Digital,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Citibank, N.A., Goldman Sachs Lending Partners LLC, and Silicon Valley Bank in June 2019 (as amended by the First Amendment, dated February 8, 2021 and the Joinder Agreement, dated March 18, 2021), which amended and restated the loan and security agreement that we previously entered into in November 2017, providing for a $285.0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8 of the notes to our consolidated financial statements and the section titled “Management’s Discussion and Analysis of Financial Condition and Results of Operations - Liquidity and Capital Resources - Amended Credit Agreement” in Part I, Item 2 of this Quarterly Report on Form 10-Q.</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w:t>
      </w:r>
    </w:p>
    <w:p>
      <w:pPr>
        <w:sectPr>
          <w:pgSz w:w="11900" w:h="16838" w:orient="portrait"/>
          <w:cols w:equalWidth="0" w:num="1">
            <w:col w:w="11240"/>
          </w:cols>
          <w:pgMar w:left="320" w:top="60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3" w:name="page54"/>
    <w:bookmarkEnd w:id="53"/>
    <w:p>
      <w:pPr>
        <w:jc w:val="both"/>
        <w:spacing w:after="0" w:line="250" w:lineRule="auto"/>
        <w:rPr>
          <w:sz w:val="20"/>
          <w:szCs w:val="20"/>
          <w:color w:val="auto"/>
        </w:rPr>
      </w:pPr>
      <w:r>
        <w:rPr>
          <w:rFonts w:ascii="Arial" w:cs="Arial" w:eastAsia="Arial" w:hAnsi="Arial"/>
          <w:sz w:val="16"/>
          <w:szCs w:val="16"/>
          <w:color w:val="auto"/>
        </w:rPr>
        <w:t>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In connection with our preparation of our annual financial statements for the year ended June 30, 2018, we and our independent registered public accounting firm identified material weaknesses in our internal control over financial reporting. Any failure to maintain effective internal control over financial reporting could harm us.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course of preparing our financial statements for fiscal 2018,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fiscal 2020, we completed the remediation measures related to these material weaknesses and concluded that our internal control over financial reporting was effective as of June 30, 2020. Completion of remediation does not provide assurance that our remediation or other controls will continue to operate properly. 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Because we ceased to be an "emerging growth company" on June 30, 2020, our independent registered public accounting firm will be required to formally attest to the effectiveness of our internal control over financial reporting beginning with our first annual report for the fiscal year ending June 30, 2021.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Connected Fitness Products and Members</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real or perceived,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defects could make our products and services unsafe and create a risk of environmental or property damage and/or personal injury. We may also become subject to the hazards and uncertainties of product liability claims and related litigation. For example, we have received reports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While we do not agree with all of the assertions in CPSC’s warning, we announced on May 5, 2021 that we will initiate a voluntary recall of our Tread+ product in collaboration with the CPSC. The recall, the possibility that the CPSC could assess penalties or fines against us, and the risk that the CPSC or we could determine to recall any other product now or in the future, may adversely impact our operating results, brand reputation, and business. For example, in connection with the voluntary recall of the Tread+, we are working to develop additional safety features for the Tread+, including a digital passcode to further protect against unauthorized use, and to develop additional physical hardware to further enhance the safety of the product. If we are unable to develop a product solution to further enhance the safety of our Tread+ product (or our Tread product, which is also subject to a separate voluntary recall issued on the same day), we</w:t>
      </w:r>
    </w:p>
    <w:p>
      <w:pPr>
        <w:sectPr>
          <w:pgSz w:w="11900" w:h="16838" w:orient="portrait"/>
          <w:cols w:equalWidth="0" w:num="1">
            <w:col w:w="11240"/>
          </w:cols>
          <w:pgMar w:left="320" w:top="627"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4" w:name="page55"/>
    <w:bookmarkEnd w:id="54"/>
    <w:p>
      <w:pPr>
        <w:jc w:val="both"/>
        <w:spacing w:after="0" w:line="247" w:lineRule="auto"/>
        <w:rPr>
          <w:sz w:val="20"/>
          <w:szCs w:val="20"/>
          <w:color w:val="auto"/>
        </w:rPr>
      </w:pPr>
      <w:r>
        <w:rPr>
          <w:rFonts w:ascii="Arial" w:cs="Arial" w:eastAsia="Arial" w:hAnsi="Arial"/>
          <w:sz w:val="16"/>
          <w:szCs w:val="16"/>
          <w:color w:val="auto"/>
        </w:rPr>
        <w:t>may not be able to sell that product for a significant period of time, if ever, and may face substantial costs associated with the development of such features and implementation of the recall. In addition to the CPSC investigation, we are presently subject to class action litigation and private personal injury claims related to these perceived defects in the Tread+ and incidents reported to result from its use that, regardless of their merits, could harm our reputation, divert management’s attention from our operations, and result in substantial legal fees, judgments, and other costs. Specifically, on April 20, 2021, purported Peloton Member Shannon Albright filed a putative class action lawsuit against the Company alleging violations of various California state laws related to the Tread+ and the matters contained in the CPSC warning, including violation of the Consumer Legal Remedies Act, breach of the Implied Warranty of Merchantability, and violations of California Business and Professions Code Sections 17200, et seq., and 17500, et seq. Given that such proceedings are subject to uncertainty, there can be no assurance that such legal proceedings, either individually or in the aggregate, will not have a material adverse effect on our business, results of operations, financial condition or cash flows. Furthermore, the occurrence of real or perceived defects in any of our products, now or in the future, could result in additional negative publicity, regulatory investigations, or lawsuits filed against us, particularly if Members or others who use or purchase our Connected Fitness Products are injured. Even if injuries are not the result of any defects, if they are perceived to be, we may incur expenses to defend or settle any claims and our brand and reputation may be harmed.</w:t>
      </w:r>
    </w:p>
    <w:p>
      <w:pPr>
        <w:spacing w:after="0" w:line="23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maintain general liability insurance; however, 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0" w:lineRule="exact"/>
        <w:rPr>
          <w:sz w:val="20"/>
          <w:szCs w:val="20"/>
          <w:color w:val="auto"/>
        </w:rPr>
      </w:pP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are still limited in some locations where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16"/>
          <w:szCs w:val="16"/>
          <w:color w:val="auto"/>
        </w:rPr>
        <w:t>to materially exceed anticipated levels. Due to the current COVID-19 pandemic, we may experience higher product returns as consumer discretionary spending decreases, or as the removal of lockdowns drive consumers to go back to their pre-COVID routines. Moreover, in light of changes we have made to our delivery procedures in connection with the current COVID-19 outbreak, it is possible that warranty claims may increase above historical rates, and we may be unable to satisfactorily validate and resolve warranty claims where the COVID-19 pandemic or other factors prevent us from performing in-home deliveries and/or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w:t>
      </w:r>
    </w:p>
    <w:p>
      <w:pPr>
        <w:spacing w:after="0" w:line="23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we have received reports of a number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After further discussion with the CPSC, on May 5, 2021, we decided to issue a voluntary product recall of our Tread+, which we are conducting in collaboration with the CPSC. On the same day, we issued a separate voluntary recall on our Tread product. These recalls, the possibility that the CPSC could assess penalties or fines against us, and the risk that the CPSC or we could determine to recall any other product now or in the future, may adversely impact our operating results, brand reputation, and business. Furthermore,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w:t>
      </w:r>
    </w:p>
    <w:p>
      <w:pPr>
        <w:spacing w:after="0" w:line="23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Laws, Regulation, and Legal Proceedings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could subject us to regulatory proceedings and litigation by governance agencies and private litigants brought against us, that regardless of their merits, could harm our reputation, divert management’s attention from our operations and result in substantial legal fees and other costs. For example, we are presently subject to a CPSC investigation and other litigation related to injuries sustained by Members and others who use or purchase the Tread+, and we have reporting obligations to safety regulators in all jurisdictions where we sell Connected Fitness Products, where reporting may trigger further regulatory investigations. More recently, in April 2021, purported Peloton Member Shannon Albright filed a putative class action lawsuit against the Company, alleging violations of various California state laws related to the Tread+ and the matters contained in the CPSC warning, and plaintiff Ashley Wilson filed a putative securities class action lawsuit against the Company, our Chief Executive Officer and our Chief Financial Officer (the “Defendants”), purportedly on behalf of a class consisting of those individuals who purchased or otherwise acquired our common stock between September 11, 2020 and April 16, 2021, alleging that the Defendants made false and/or misleading statements in violations of Sections 10(b) and 20(a) of the Securities Exchange Act of 1934 and Rule 10b-5 promulgated thereunder. Litigation and regulatory proceedings, such as CPSC investigations and related personal injury or class action claims and lawsuits, as well as securities and intellectual property infringement matters that we are currently facing or could face, can be protracted and expensive, and the results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litigation or any of these legal proceedings may result in significant settlement costs or judgments, penalties and fines, or require us to modify our products or services, make content unavailable, or require us to</w:t>
      </w:r>
    </w:p>
    <w:p>
      <w:pPr>
        <w:sectPr>
          <w:pgSz w:w="11900" w:h="16838" w:orient="portrait"/>
          <w:cols w:equalWidth="0" w:num="1">
            <w:col w:w="11240"/>
          </w:cols>
          <w:pgMar w:left="320" w:top="627"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6" w:name="page57"/>
    <w:bookmarkEnd w:id="56"/>
    <w:p>
      <w:pPr>
        <w:jc w:val="both"/>
        <w:ind w:right="20"/>
        <w:spacing w:after="0" w:line="260" w:lineRule="auto"/>
        <w:rPr>
          <w:sz w:val="20"/>
          <w:szCs w:val="20"/>
          <w:color w:val="auto"/>
        </w:rPr>
      </w:pPr>
      <w:r>
        <w:rPr>
          <w:rFonts w:ascii="Arial" w:cs="Arial" w:eastAsia="Arial" w:hAnsi="Arial"/>
          <w:sz w:val="16"/>
          <w:szCs w:val="16"/>
          <w:color w:val="auto"/>
        </w:rPr>
        <w:t>stop offering certain products, components, or features, all of which could negatively affect our membership and revenue growth. See Note 9 of the notes to our condensed consolidated financial statements and the section titled “—Legal Proceedings” in Part II, Item 1 of this Quarterly Report on Form 10-Q.</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w:t>
      </w:r>
    </w:p>
    <w:p>
      <w:pPr>
        <w:sectPr>
          <w:pgSz w:w="11900" w:h="16838" w:orient="portrait"/>
          <w:cols w:equalWidth="0" w:num="1">
            <w:col w:w="11240"/>
          </w:cols>
          <w:pgMar w:left="320" w:top="627"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7" w:name="page58"/>
    <w:bookmarkEnd w:id="57"/>
    <w:p>
      <w:pPr>
        <w:jc w:val="both"/>
        <w:spacing w:after="0" w:line="249" w:lineRule="auto"/>
        <w:rPr>
          <w:sz w:val="20"/>
          <w:szCs w:val="20"/>
          <w:color w:val="auto"/>
        </w:rPr>
      </w:pPr>
      <w:r>
        <w:rPr>
          <w:rFonts w:ascii="Arial" w:cs="Arial" w:eastAsia="Arial" w:hAnsi="Arial"/>
          <w:sz w:val="16"/>
          <w:szCs w:val="16"/>
          <w:color w:val="auto"/>
        </w:rPr>
        <w:t>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8" w:name="page59"/>
    <w:bookmarkEnd w:id="58"/>
    <w:p>
      <w:pPr>
        <w:jc w:val="both"/>
        <w:spacing w:after="0" w:line="249" w:lineRule="auto"/>
        <w:rPr>
          <w:sz w:val="20"/>
          <w:szCs w:val="20"/>
          <w:color w:val="auto"/>
        </w:rPr>
      </w:pPr>
      <w:r>
        <w:rPr>
          <w:rFonts w:ascii="Arial" w:cs="Arial" w:eastAsia="Arial" w:hAnsi="Arial"/>
          <w:sz w:val="16"/>
          <w:szCs w:val="16"/>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w:t>
      </w:r>
    </w:p>
    <w:p>
      <w:pPr>
        <w:sectPr>
          <w:pgSz w:w="11900" w:h="16838" w:orient="portrait"/>
          <w:cols w:equalWidth="0" w:num="1">
            <w:col w:w="11240"/>
          </w:cols>
          <w:pgMar w:left="320" w:top="627"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9" w:name="page60"/>
    <w:bookmarkEnd w:id="59"/>
    <w:p>
      <w:pPr>
        <w:jc w:val="both"/>
        <w:spacing w:after="0" w:line="251" w:lineRule="auto"/>
        <w:rPr>
          <w:sz w:val="20"/>
          <w:szCs w:val="20"/>
          <w:color w:val="auto"/>
        </w:rPr>
      </w:pPr>
      <w:r>
        <w:rPr>
          <w:rFonts w:ascii="Arial" w:cs="Arial" w:eastAsia="Arial" w:hAnsi="Arial"/>
          <w:sz w:val="16"/>
          <w:szCs w:val="16"/>
          <w:color w:val="auto"/>
        </w:rPr>
        <w:t>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Service Providers and Our Employees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6"/>
          <w:szCs w:val="16"/>
          <w:color w:val="auto"/>
        </w:rPr>
        <w:t>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and other limitations requiring work from home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General Risk Factors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2020, we had U.S. federal net operating loss carryforwards, or NOLs, and state NOLs of approximately $191.1 million and $99.6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In addition,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w:t>
      </w:r>
    </w:p>
    <w:p>
      <w:pPr>
        <w:sectPr>
          <w:pgSz w:w="11900" w:h="16838" w:orient="portrait"/>
          <w:cols w:equalWidth="0" w:num="1">
            <w:col w:w="11240"/>
          </w:cols>
          <w:pgMar w:left="320" w:top="607"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2" w:name="page63"/>
    <w:bookmarkEnd w:id="62"/>
    <w:p>
      <w:pPr>
        <w:jc w:val="both"/>
        <w:spacing w:after="0" w:line="248" w:lineRule="auto"/>
        <w:rPr>
          <w:sz w:val="20"/>
          <w:szCs w:val="20"/>
          <w:color w:val="auto"/>
        </w:rPr>
      </w:pPr>
      <w:r>
        <w:rPr>
          <w:rFonts w:ascii="Arial" w:cs="Arial" w:eastAsia="Arial" w:hAnsi="Arial"/>
          <w:sz w:val="16"/>
          <w:szCs w:val="16"/>
          <w:color w:val="auto"/>
        </w:rPr>
        <w:t>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We will be required to make a formal assessment and provide an annual management report on the effectiveness of our internal control over financial reporting beginning with our annual report for the fiscal year ended June 30, 2021.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we ceased to be an "emerging growth company" on June 30, 2020, and therefore, pursuant to Sections 302 and 404 of the Sarbanes-Oxley Act, we will be required to evaluate and determine the effectiveness, provide a management report and that we will be subject to attestation by our independent registered public accounting firm of our internal control over financial reporting beginning with our annual report for the fiscal year ending June 30, 2021.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new rules and regulations applicable to public companies, and stockholder litigation brought recently against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w:t>
      </w:r>
    </w:p>
    <w:p>
      <w:pPr>
        <w:sectPr>
          <w:pgSz w:w="11900" w:h="16838" w:orient="portrait"/>
          <w:cols w:equalWidth="0" w:num="1">
            <w:col w:w="11240"/>
          </w:cols>
          <w:pgMar w:left="320" w:top="627"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3" w:name="page64"/>
    <w:bookmarkEnd w:id="63"/>
    <w:p>
      <w:pPr>
        <w:jc w:val="both"/>
        <w:spacing w:after="0" w:line="251" w:lineRule="auto"/>
        <w:rPr>
          <w:sz w:val="20"/>
          <w:szCs w:val="20"/>
          <w:color w:val="auto"/>
        </w:rPr>
      </w:pPr>
      <w:r>
        <w:rPr>
          <w:rFonts w:ascii="Arial" w:cs="Arial" w:eastAsia="Arial" w:hAnsi="Arial"/>
          <w:sz w:val="16"/>
          <w:szCs w:val="16"/>
          <w:color w:val="auto"/>
        </w:rPr>
        <w:t>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have been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$171.09 through April 30, 2021.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222"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COVID-19 outbreak and any associated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or Tread products to the satisfaction of the CPSC in connection with the Company’s voluntary safety recalls, which it is conducting in collaboration with the CPSC;</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acquisition of Precor or other investments or acquisitions in the future;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ectPr>
          <w:pgSz w:w="11900" w:h="16838" w:orient="portrait"/>
          <w:cols w:equalWidth="0" w:num="1">
            <w:col w:w="11240"/>
          </w:cols>
          <w:pgMar w:left="320" w:top="627"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4" w:name="page65"/>
    <w:bookmarkEnd w:id="64"/>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were a total of 297,862,258 shares of our Class A common stock and Class B common stock outstanding as of March 31, 2021. All shares of our Class A common stock and Class B common stock are freely tradable, except for any shares purchased by our “affiliates” as defined in Rule 144 under the Securities Act of 1933, as amended, or the Securities Act.</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as of March 31, 2021, we had options outstanding that, if fully exercised, would result in the issuance of 45,879,446 shares of Class B common stock and 14,185,463 shares of Class A common stock. Subject to the satisfaction of applicable vesting requirements, the shares issued upon exercise of outstanding stock options will be available for immediate resale in the open market.</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March 31, 2021,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5" w:name="page66"/>
    <w:bookmarkEnd w:id="65"/>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230"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 xml:space="preserve">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w:t>
      </w:r>
    </w:p>
    <w:p>
      <w:pPr>
        <w:sectPr>
          <w:pgSz w:w="11900" w:h="16838" w:orient="portrait"/>
          <w:cols w:equalWidth="0" w:num="1">
            <w:col w:w="11240"/>
          </w:cols>
          <w:pgMar w:left="320" w:top="607"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color w:val="auto"/>
        </w:rPr>
        <w:t>our stockholders to enforce any duty or liability created by the Securities Act must be brought in federal court and cannot be brought in state court.</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Convertible Senior Notes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Notes are effectively subordinated to our existing and future secured indebtedness and structurally subordinated to the liabilities of our subsidiaries.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will guarantee the Notes, the Notes are structurally subordinated to all existing and future indebtedness and other liabilities, including trade payables, and (to the extent we are not a holder thereof) preferred equity, if any, of our subsidiaries. As of March 31, 2021, we had approximately $1.0 billion in total indebtedness and approximately $280.2 million of available borrowing capacity under our Amended Credit Agreement (after deducting $4.8 million of outstanding letters of credit). Our subsidiaries had no outstanding indebtedness as of March 31, 2021. The indenture governing the Notes does not prohibit us or our subsidiaries from incurring additional indebtedness, including senior or secured indebtedness, in the future.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2021, we had $1.0 billion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22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increasing our vulnerability to adverse economic and industry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w:t>
      </w:r>
    </w:p>
    <w:p>
      <w:pPr>
        <w:sectPr>
          <w:pgSz w:w="11900" w:h="16838" w:orient="portrait"/>
          <w:cols w:equalWidth="0" w:num="1">
            <w:col w:w="11240"/>
          </w:cols>
          <w:pgMar w:left="320" w:top="627"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7" w:name="page68"/>
    <w:bookmarkEnd w:id="67"/>
    <w:p>
      <w:pPr>
        <w:ind w:left="66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requiring the dedication of a substantial portion of our cash flow from operations to service our indebtedness, which will reduce the amount of cash available for other purposes;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limiting our flexibility to plan for, or react to, changes in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diluting the interests of our existing stockholders as a result of issuing shares of our Class A common stock upon conversion of the notes;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competitors that are less leveraged than us or have better access to capital.</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$285.0 million revolving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Notes could adversely affect our reported financial condition and results.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then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In addition, if accounting standards change in the future and we are not permitted to use the treasury stock method, then our diluted earnings per share may decline. For example,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capped call transactions may affect the value of the Notes and our Class A common stock.</w:t>
      </w: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8" w:name="page69"/>
    <w:bookmarkEnd w:id="68"/>
    <w:p>
      <w:pPr>
        <w:jc w:val="both"/>
        <w:ind w:right="20"/>
        <w:spacing w:after="0" w:line="260" w:lineRule="auto"/>
        <w:rPr>
          <w:sz w:val="20"/>
          <w:szCs w:val="20"/>
          <w:color w:val="auto"/>
        </w:rPr>
      </w:pPr>
      <w:r>
        <w:rPr>
          <w:rFonts w:ascii="Arial" w:cs="Arial" w:eastAsia="Arial" w:hAnsi="Arial"/>
          <w:sz w:val="16"/>
          <w:szCs w:val="16"/>
          <w:color w:val="auto"/>
        </w:rPr>
        <w:t>redemption date or any other date on which the Notes are retired by us). This activity could also cause or avoid an increase or a decrease in the market price of our Class A common stock or the Notes.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counterparty risk with respect to the capped call transactions, and the capped call may not operate as planned</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February 2021, we issued $1.0 billion in aggregate principal amount of 0% convertible senior notes due February 15, 2026, or the Notes, in a private placement to qualified institutional buyers pursuant to Rule 144A of the Securities Act of 1933, as amended. The Notes are convertible into shares of our Class A common stock on the terms set forth in the indenture governing the Notes. Information relating to the issuance of the Notes was provided in a Current Report on Form 8-K filed with the Securities and Exchange Commission on February 11, 2021.</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25, 2019, our Registration Statement on Form S-1, as amended (Reg. No. 333-233482), was declared effective in connection with the IPO of our Class A common stock.</w:t>
      </w:r>
    </w:p>
    <w:p>
      <w:pPr>
        <w:spacing w:after="0" w:line="222" w:lineRule="exact"/>
        <w:rPr>
          <w:sz w:val="20"/>
          <w:szCs w:val="20"/>
          <w:color w:val="auto"/>
        </w:rPr>
      </w:pPr>
    </w:p>
    <w:p>
      <w:pPr>
        <w:ind w:right="1080"/>
        <w:spacing w:after="0" w:line="260" w:lineRule="auto"/>
        <w:rPr>
          <w:sz w:val="20"/>
          <w:szCs w:val="20"/>
          <w:color w:val="auto"/>
        </w:rPr>
      </w:pPr>
      <w:r>
        <w:rPr>
          <w:rFonts w:ascii="Arial" w:cs="Arial" w:eastAsia="Arial" w:hAnsi="Arial"/>
          <w:sz w:val="16"/>
          <w:szCs w:val="16"/>
          <w:color w:val="auto"/>
        </w:rPr>
        <w:t>There has been no material change in the planned use of proceeds from our IPO as described in the Prospectus relating to that offering dated September 25,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Registrant Purchases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6"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5"/>
        </w:trPr>
        <w:tc>
          <w:tcPr>
            <w:tcW w:w="840" w:type="dxa"/>
            <w:vAlign w:val="bottom"/>
            <w:shd w:val="clear" w:color="auto" w:fill="FEFEFE"/>
          </w:tcPr>
          <w:p>
            <w:pPr>
              <w:spacing w:after="0"/>
              <w:rPr>
                <w:sz w:val="18"/>
                <w:szCs w:val="18"/>
                <w:color w:val="auto"/>
              </w:rPr>
            </w:pPr>
          </w:p>
        </w:tc>
        <w:tc>
          <w:tcPr>
            <w:tcW w:w="4580" w:type="dxa"/>
            <w:vAlign w:val="bottom"/>
            <w:shd w:val="clear" w:color="auto" w:fill="FEFEFE"/>
          </w:tcPr>
          <w:p>
            <w:pPr>
              <w:spacing w:after="0"/>
              <w:rPr>
                <w:sz w:val="18"/>
                <w:szCs w:val="18"/>
                <w:color w:val="auto"/>
              </w:rPr>
            </w:pPr>
          </w:p>
        </w:tc>
        <w:tc>
          <w:tcPr>
            <w:tcW w:w="860" w:type="dxa"/>
            <w:vAlign w:val="bottom"/>
            <w:shd w:val="clear" w:color="auto" w:fill="FEFEFE"/>
          </w:tcPr>
          <w:p>
            <w:pPr>
              <w:spacing w:after="0"/>
              <w:rPr>
                <w:sz w:val="18"/>
                <w:szCs w:val="18"/>
                <w:color w:val="auto"/>
              </w:rPr>
            </w:pPr>
          </w:p>
        </w:tc>
        <w:tc>
          <w:tcPr>
            <w:tcW w:w="2480" w:type="dxa"/>
            <w:vAlign w:val="bottom"/>
            <w:gridSpan w:val="2"/>
            <w:shd w:val="clear" w:color="auto" w:fill="FEFEFE"/>
          </w:tcPr>
          <w:p>
            <w:pPr>
              <w:ind w:left="420"/>
              <w:spacing w:after="0"/>
              <w:rPr>
                <w:sz w:val="20"/>
                <w:szCs w:val="20"/>
                <w:color w:val="auto"/>
              </w:rPr>
            </w:pPr>
            <w:r>
              <w:rPr>
                <w:rFonts w:ascii="Arial" w:cs="Arial" w:eastAsia="Arial" w:hAnsi="Arial"/>
                <w:sz w:val="16"/>
                <w:szCs w:val="16"/>
                <w:color w:val="auto"/>
              </w:rPr>
              <w:t>Incorporated by Reference</w:t>
            </w:r>
          </w:p>
        </w:tc>
        <w:tc>
          <w:tcPr>
            <w:tcW w:w="112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40" w:type="dxa"/>
            <w:vAlign w:val="bottom"/>
            <w:tcBorders>
              <w:bottom w:val="single" w:sz="8" w:color="FEFEFE"/>
            </w:tcBorders>
            <w:vMerge w:val="restart"/>
            <w:shd w:val="clear" w:color="auto" w:fill="FEFEFE"/>
          </w:tcPr>
          <w:p>
            <w:pPr>
              <w:jc w:val="center"/>
              <w:spacing w:after="0"/>
              <w:rPr>
                <w:sz w:val="20"/>
                <w:szCs w:val="20"/>
                <w:color w:val="auto"/>
              </w:rPr>
            </w:pPr>
            <w:r>
              <w:rPr>
                <w:rFonts w:ascii="Arial" w:cs="Arial" w:eastAsia="Arial" w:hAnsi="Arial"/>
                <w:sz w:val="16"/>
                <w:szCs w:val="16"/>
                <w:color w:val="auto"/>
                <w:w w:val="99"/>
              </w:rPr>
              <w:t>Exhibit</w:t>
            </w:r>
          </w:p>
        </w:tc>
        <w:tc>
          <w:tcPr>
            <w:tcW w:w="4580" w:type="dxa"/>
            <w:vAlign w:val="bottom"/>
            <w:tcBorders>
              <w:bottom w:val="single" w:sz="8" w:color="FEFEFE"/>
            </w:tcBorders>
            <w:vMerge w:val="restart"/>
            <w:shd w:val="clear" w:color="auto" w:fill="FEFEFE"/>
          </w:tcPr>
          <w:p>
            <w:pPr>
              <w:ind w:left="1940"/>
              <w:spacing w:after="0"/>
              <w:rPr>
                <w:sz w:val="20"/>
                <w:szCs w:val="20"/>
                <w:color w:val="auto"/>
              </w:rPr>
            </w:pPr>
            <w:r>
              <w:rPr>
                <w:rFonts w:ascii="Arial" w:cs="Arial" w:eastAsia="Arial" w:hAnsi="Arial"/>
                <w:sz w:val="16"/>
                <w:szCs w:val="16"/>
                <w:color w:val="auto"/>
              </w:rPr>
              <w:t>Exhibit Title</w:t>
            </w:r>
          </w:p>
        </w:tc>
        <w:tc>
          <w:tcPr>
            <w:tcW w:w="860" w:type="dxa"/>
            <w:vAlign w:val="bottom"/>
            <w:tcBorders>
              <w:bottom w:val="single" w:sz="8" w:color="auto"/>
            </w:tcBorders>
            <w:shd w:val="clear" w:color="auto" w:fill="FEFEFE"/>
          </w:tcPr>
          <w:p>
            <w:pPr>
              <w:spacing w:after="0"/>
              <w:rPr>
                <w:sz w:val="17"/>
                <w:szCs w:val="17"/>
                <w:color w:val="auto"/>
              </w:rPr>
            </w:pPr>
          </w:p>
        </w:tc>
        <w:tc>
          <w:tcPr>
            <w:tcW w:w="1140" w:type="dxa"/>
            <w:vAlign w:val="bottom"/>
            <w:tcBorders>
              <w:bottom w:val="single" w:sz="8" w:color="auto"/>
            </w:tcBorders>
            <w:shd w:val="clear" w:color="auto" w:fill="FEFEFE"/>
          </w:tcPr>
          <w:p>
            <w:pPr>
              <w:spacing w:after="0"/>
              <w:rPr>
                <w:sz w:val="17"/>
                <w:szCs w:val="17"/>
                <w:color w:val="auto"/>
              </w:rPr>
            </w:pPr>
          </w:p>
        </w:tc>
        <w:tc>
          <w:tcPr>
            <w:tcW w:w="1340" w:type="dxa"/>
            <w:vAlign w:val="bottom"/>
            <w:tcBorders>
              <w:bottom w:val="single" w:sz="8" w:color="auto"/>
            </w:tcBorders>
            <w:shd w:val="clear" w:color="auto" w:fill="FEFEFE"/>
          </w:tcPr>
          <w:p>
            <w:pPr>
              <w:spacing w:after="0"/>
              <w:rPr>
                <w:sz w:val="17"/>
                <w:szCs w:val="17"/>
                <w:color w:val="auto"/>
              </w:rPr>
            </w:pPr>
          </w:p>
        </w:tc>
        <w:tc>
          <w:tcPr>
            <w:tcW w:w="1120" w:type="dxa"/>
            <w:vAlign w:val="bottom"/>
            <w:tcBorders>
              <w:bottom w:val="single" w:sz="8" w:color="auto"/>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40" w:type="dxa"/>
            <w:vAlign w:val="bottom"/>
            <w:vMerge w:val="continue"/>
            <w:shd w:val="clear" w:color="auto" w:fill="FEFEFE"/>
          </w:tcPr>
          <w:p>
            <w:pPr>
              <w:spacing w:after="0"/>
              <w:rPr>
                <w:sz w:val="14"/>
                <w:szCs w:val="14"/>
                <w:color w:val="auto"/>
              </w:rPr>
            </w:pPr>
          </w:p>
        </w:tc>
        <w:tc>
          <w:tcPr>
            <w:tcW w:w="4580" w:type="dxa"/>
            <w:vAlign w:val="bottom"/>
            <w:vMerge w:val="continue"/>
            <w:shd w:val="clear" w:color="auto" w:fill="FEFEFE"/>
          </w:tcPr>
          <w:p>
            <w:pPr>
              <w:spacing w:after="0"/>
              <w:rPr>
                <w:sz w:val="14"/>
                <w:szCs w:val="14"/>
                <w:color w:val="auto"/>
              </w:rPr>
            </w:pPr>
          </w:p>
        </w:tc>
        <w:tc>
          <w:tcPr>
            <w:tcW w:w="860" w:type="dxa"/>
            <w:vAlign w:val="bottom"/>
            <w:shd w:val="clear" w:color="auto" w:fill="FEFEFE"/>
          </w:tcPr>
          <w:p>
            <w:pPr>
              <w:ind w:left="220"/>
              <w:spacing w:after="0" w:line="171" w:lineRule="exact"/>
              <w:rPr>
                <w:sz w:val="20"/>
                <w:szCs w:val="20"/>
                <w:color w:val="auto"/>
              </w:rPr>
            </w:pPr>
            <w:r>
              <w:rPr>
                <w:rFonts w:ascii="Arial" w:cs="Arial" w:eastAsia="Arial" w:hAnsi="Arial"/>
                <w:sz w:val="16"/>
                <w:szCs w:val="16"/>
                <w:color w:val="auto"/>
              </w:rPr>
              <w:t>Form</w:t>
            </w:r>
          </w:p>
        </w:tc>
        <w:tc>
          <w:tcPr>
            <w:tcW w:w="1140" w:type="dxa"/>
            <w:vAlign w:val="bottom"/>
            <w:shd w:val="clear" w:color="auto" w:fill="FEFEFE"/>
          </w:tcPr>
          <w:p>
            <w:pPr>
              <w:ind w:left="240"/>
              <w:spacing w:after="0" w:line="171" w:lineRule="exact"/>
              <w:rPr>
                <w:sz w:val="20"/>
                <w:szCs w:val="20"/>
                <w:color w:val="auto"/>
              </w:rPr>
            </w:pPr>
            <w:r>
              <w:rPr>
                <w:rFonts w:ascii="Arial" w:cs="Arial" w:eastAsia="Arial" w:hAnsi="Arial"/>
                <w:sz w:val="16"/>
                <w:szCs w:val="16"/>
                <w:color w:val="auto"/>
              </w:rPr>
              <w:t>File No.</w:t>
            </w:r>
          </w:p>
        </w:tc>
        <w:tc>
          <w:tcPr>
            <w:tcW w:w="1340" w:type="dxa"/>
            <w:vAlign w:val="bottom"/>
            <w:shd w:val="clear" w:color="auto" w:fill="FEFEFE"/>
          </w:tcPr>
          <w:p>
            <w:pPr>
              <w:ind w:left="360"/>
              <w:spacing w:after="0" w:line="171" w:lineRule="exact"/>
              <w:rPr>
                <w:sz w:val="20"/>
                <w:szCs w:val="20"/>
                <w:color w:val="auto"/>
              </w:rPr>
            </w:pPr>
            <w:r>
              <w:rPr>
                <w:rFonts w:ascii="Arial" w:cs="Arial" w:eastAsia="Arial" w:hAnsi="Arial"/>
                <w:sz w:val="16"/>
                <w:szCs w:val="16"/>
                <w:color w:val="auto"/>
              </w:rPr>
              <w:t>Exhibit</w:t>
            </w:r>
          </w:p>
        </w:tc>
        <w:tc>
          <w:tcPr>
            <w:tcW w:w="1120" w:type="dxa"/>
            <w:vAlign w:val="bottom"/>
            <w:shd w:val="clear" w:color="auto" w:fill="FEFEFE"/>
          </w:tcPr>
          <w:p>
            <w:pPr>
              <w:ind w:left="120"/>
              <w:spacing w:after="0" w:line="171" w:lineRule="exact"/>
              <w:rPr>
                <w:sz w:val="20"/>
                <w:szCs w:val="20"/>
                <w:color w:val="auto"/>
              </w:rPr>
            </w:pPr>
            <w:r>
              <w:rPr>
                <w:rFonts w:ascii="Arial" w:cs="Arial" w:eastAsia="Arial" w:hAnsi="Arial"/>
                <w:sz w:val="16"/>
                <w:szCs w:val="16"/>
                <w:color w:val="auto"/>
              </w:rPr>
              <w:t>Filing Date</w:t>
            </w:r>
          </w:p>
        </w:tc>
        <w:tc>
          <w:tcPr>
            <w:tcW w:w="0" w:type="dxa"/>
            <w:vAlign w:val="bottom"/>
          </w:tcPr>
          <w:p>
            <w:pPr>
              <w:spacing w:after="0"/>
              <w:rPr>
                <w:sz w:val="1"/>
                <w:szCs w:val="1"/>
                <w:color w:val="auto"/>
              </w:rPr>
            </w:pPr>
          </w:p>
        </w:tc>
      </w:tr>
      <w:tr>
        <w:trPr>
          <w:trHeight w:val="195"/>
        </w:trPr>
        <w:tc>
          <w:tcPr>
            <w:tcW w:w="84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8"/>
              </w:rPr>
              <w:t>Number</w:t>
            </w:r>
          </w:p>
        </w:tc>
        <w:tc>
          <w:tcPr>
            <w:tcW w:w="4580" w:type="dxa"/>
            <w:vAlign w:val="bottom"/>
            <w:shd w:val="clear" w:color="auto" w:fill="FEFEFE"/>
          </w:tcPr>
          <w:p>
            <w:pPr>
              <w:spacing w:after="0"/>
              <w:rPr>
                <w:sz w:val="16"/>
                <w:szCs w:val="16"/>
                <w:color w:val="auto"/>
              </w:rPr>
            </w:pPr>
          </w:p>
        </w:tc>
        <w:tc>
          <w:tcPr>
            <w:tcW w:w="860" w:type="dxa"/>
            <w:vAlign w:val="bottom"/>
            <w:shd w:val="clear" w:color="auto" w:fill="FEFEFE"/>
          </w:tcPr>
          <w:p>
            <w:pPr>
              <w:spacing w:after="0"/>
              <w:rPr>
                <w:sz w:val="16"/>
                <w:szCs w:val="16"/>
                <w:color w:val="auto"/>
              </w:rPr>
            </w:pPr>
          </w:p>
        </w:tc>
        <w:tc>
          <w:tcPr>
            <w:tcW w:w="1140" w:type="dxa"/>
            <w:vAlign w:val="bottom"/>
            <w:shd w:val="clear" w:color="auto" w:fill="FEFEFE"/>
          </w:tcPr>
          <w:p>
            <w:pPr>
              <w:spacing w:after="0"/>
              <w:rPr>
                <w:sz w:val="16"/>
                <w:szCs w:val="16"/>
                <w:color w:val="auto"/>
              </w:rPr>
            </w:pPr>
          </w:p>
        </w:tc>
        <w:tc>
          <w:tcPr>
            <w:tcW w:w="134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40" w:type="dxa"/>
            <w:vAlign w:val="bottom"/>
            <w:shd w:val="clear" w:color="auto" w:fill="FEFEFE"/>
          </w:tcPr>
          <w:p>
            <w:pPr>
              <w:spacing w:after="0"/>
              <w:rPr>
                <w:sz w:val="2"/>
                <w:szCs w:val="2"/>
                <w:color w:val="auto"/>
              </w:rPr>
            </w:pPr>
          </w:p>
        </w:tc>
        <w:tc>
          <w:tcPr>
            <w:tcW w:w="4580" w:type="dxa"/>
            <w:vAlign w:val="bottom"/>
            <w:shd w:val="clear" w:color="auto" w:fill="FEFEFE"/>
          </w:tcPr>
          <w:p>
            <w:pPr>
              <w:spacing w:after="0"/>
              <w:rPr>
                <w:sz w:val="2"/>
                <w:szCs w:val="2"/>
                <w:color w:val="auto"/>
              </w:rPr>
            </w:pPr>
          </w:p>
        </w:tc>
        <w:tc>
          <w:tcPr>
            <w:tcW w:w="860" w:type="dxa"/>
            <w:vAlign w:val="bottom"/>
            <w:shd w:val="clear" w:color="auto" w:fill="FEFEFE"/>
          </w:tcPr>
          <w:p>
            <w:pPr>
              <w:spacing w:after="0"/>
              <w:rPr>
                <w:sz w:val="2"/>
                <w:szCs w:val="2"/>
                <w:color w:val="auto"/>
              </w:rPr>
            </w:pPr>
          </w:p>
        </w:tc>
        <w:tc>
          <w:tcPr>
            <w:tcW w:w="1140" w:type="dxa"/>
            <w:vAlign w:val="bottom"/>
            <w:shd w:val="clear" w:color="auto" w:fill="FEFEFE"/>
          </w:tcPr>
          <w:p>
            <w:pPr>
              <w:spacing w:after="0"/>
              <w:rPr>
                <w:sz w:val="2"/>
                <w:szCs w:val="2"/>
                <w:color w:val="auto"/>
              </w:rPr>
            </w:pPr>
          </w:p>
        </w:tc>
        <w:tc>
          <w:tcPr>
            <w:tcW w:w="1340" w:type="dxa"/>
            <w:vAlign w:val="bottom"/>
            <w:shd w:val="clear" w:color="auto" w:fill="FEFEFE"/>
          </w:tcPr>
          <w:p>
            <w:pPr>
              <w:spacing w:after="0"/>
              <w:rPr>
                <w:sz w:val="2"/>
                <w:szCs w:val="2"/>
                <w:color w:val="auto"/>
              </w:rPr>
            </w:pPr>
          </w:p>
        </w:tc>
        <w:tc>
          <w:tcPr>
            <w:tcW w:w="112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280"/>
        <w:spacing w:after="0" w:line="237" w:lineRule="auto"/>
        <w:rPr>
          <w:sz w:val="20"/>
          <w:szCs w:val="20"/>
          <w:color w:val="auto"/>
        </w:rPr>
      </w:pPr>
      <w:r>
        <w:rPr>
          <w:rFonts w:ascii="Arial" w:cs="Arial" w:eastAsia="Arial" w:hAnsi="Arial"/>
          <w:sz w:val="16"/>
          <w:szCs w:val="16"/>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-354965</wp:posOffset>
            </wp:positionV>
            <wp:extent cx="771525" cy="5572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557212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9880" w:space="260"/>
            <w:col w:w="1000"/>
          </w:cols>
          <w:pgMar w:left="320" w:top="653"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4420" w:type="dxa"/>
            <w:vAlign w:val="bottom"/>
            <w:gridSpan w:val="12"/>
          </w:tcPr>
          <w:p>
            <w:pPr>
              <w:spacing w:after="0"/>
              <w:rPr>
                <w:sz w:val="20"/>
                <w:szCs w:val="20"/>
                <w:color w:val="auto"/>
              </w:rPr>
            </w:pPr>
            <w:r>
              <w:rPr>
                <w:rFonts w:ascii="Arial" w:cs="Arial" w:eastAsia="Arial" w:hAnsi="Arial"/>
                <w:sz w:val="16"/>
                <w:szCs w:val="16"/>
                <w:color w:val="auto"/>
              </w:rPr>
              <w:t>Indenture, dated as of February 11, 2021, between the</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Registrant and U.S. Bank National Association, as trustee</w:t>
            </w:r>
          </w:p>
        </w:tc>
      </w:tr>
      <w:tr>
        <w:trPr>
          <w:trHeight w:val="21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4420" w:type="dxa"/>
            <w:vAlign w:val="bottom"/>
            <w:gridSpan w:val="12"/>
          </w:tcPr>
          <w:p>
            <w:pPr>
              <w:spacing w:after="0"/>
              <w:rPr>
                <w:sz w:val="20"/>
                <w:szCs w:val="20"/>
                <w:color w:val="auto"/>
              </w:rPr>
            </w:pPr>
            <w:r>
              <w:rPr>
                <w:rFonts w:ascii="Arial" w:cs="Arial" w:eastAsia="Arial" w:hAnsi="Arial"/>
                <w:sz w:val="16"/>
                <w:szCs w:val="16"/>
                <w:color w:val="auto"/>
              </w:rPr>
              <w:t>Form of 0.00% Convertible Senior Notes due 2026 (included</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in Exhibit 4.1)</w:t>
            </w:r>
          </w:p>
        </w:tc>
      </w:tr>
      <w:tr>
        <w:trPr>
          <w:trHeight w:val="22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4420" w:type="dxa"/>
            <w:vAlign w:val="bottom"/>
            <w:gridSpan w:val="12"/>
          </w:tcPr>
          <w:p>
            <w:pPr>
              <w:spacing w:after="0"/>
              <w:rPr>
                <w:sz w:val="20"/>
                <w:szCs w:val="20"/>
                <w:color w:val="auto"/>
              </w:rPr>
            </w:pPr>
            <w:r>
              <w:rPr>
                <w:rFonts w:ascii="Arial" w:cs="Arial" w:eastAsia="Arial" w:hAnsi="Arial"/>
                <w:sz w:val="16"/>
                <w:szCs w:val="16"/>
                <w:color w:val="auto"/>
              </w:rPr>
              <w:t>Form of Base Capped Call Transaction Confirmation</w:t>
            </w:r>
          </w:p>
        </w:tc>
      </w:tr>
      <w:tr>
        <w:trPr>
          <w:trHeight w:val="23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4420" w:type="dxa"/>
            <w:vAlign w:val="bottom"/>
            <w:gridSpan w:val="12"/>
          </w:tcPr>
          <w:p>
            <w:pPr>
              <w:spacing w:after="0"/>
              <w:rPr>
                <w:sz w:val="20"/>
                <w:szCs w:val="20"/>
                <w:color w:val="auto"/>
              </w:rPr>
            </w:pPr>
            <w:r>
              <w:rPr>
                <w:rFonts w:ascii="Arial" w:cs="Arial" w:eastAsia="Arial" w:hAnsi="Arial"/>
                <w:sz w:val="16"/>
                <w:szCs w:val="16"/>
                <w:color w:val="auto"/>
              </w:rPr>
              <w:t>Form of Additional Capped Call Transaction Confirmation</w:t>
            </w:r>
          </w:p>
        </w:tc>
      </w:tr>
      <w:tr>
        <w:trPr>
          <w:trHeight w:val="21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4420" w:type="dxa"/>
            <w:vAlign w:val="bottom"/>
            <w:gridSpan w:val="12"/>
          </w:tcPr>
          <w:p>
            <w:pPr>
              <w:spacing w:after="0"/>
              <w:rPr>
                <w:sz w:val="20"/>
                <w:szCs w:val="20"/>
                <w:color w:val="auto"/>
              </w:rPr>
            </w:pPr>
            <w:r>
              <w:rPr>
                <w:rFonts w:ascii="Arial" w:cs="Arial" w:eastAsia="Arial" w:hAnsi="Arial"/>
                <w:sz w:val="16"/>
                <w:szCs w:val="16"/>
                <w:color w:val="auto"/>
              </w:rPr>
              <w:t>First Amendment to the Amended and Restated Revolving</w:t>
            </w:r>
          </w:p>
        </w:tc>
      </w:tr>
      <w:tr>
        <w:trPr>
          <w:trHeight w:val="175"/>
        </w:trPr>
        <w:tc>
          <w:tcPr>
            <w:tcW w:w="820" w:type="dxa"/>
            <w:vAlign w:val="bottom"/>
          </w:tcPr>
          <w:p>
            <w:pPr>
              <w:spacing w:after="0"/>
              <w:rPr>
                <w:sz w:val="15"/>
                <w:szCs w:val="15"/>
                <w:color w:val="auto"/>
              </w:rPr>
            </w:pPr>
          </w:p>
        </w:tc>
        <w:tc>
          <w:tcPr>
            <w:tcW w:w="4420" w:type="dxa"/>
            <w:vAlign w:val="bottom"/>
            <w:gridSpan w:val="12"/>
          </w:tcPr>
          <w:p>
            <w:pPr>
              <w:spacing w:after="0" w:line="175" w:lineRule="exact"/>
              <w:rPr>
                <w:sz w:val="20"/>
                <w:szCs w:val="20"/>
                <w:color w:val="auto"/>
              </w:rPr>
            </w:pPr>
            <w:r>
              <w:rPr>
                <w:rFonts w:ascii="Arial" w:cs="Arial" w:eastAsia="Arial" w:hAnsi="Arial"/>
                <w:sz w:val="16"/>
                <w:szCs w:val="16"/>
                <w:color w:val="auto"/>
              </w:rPr>
              <w:t>Credit Agreement, dated as of February 8, 2021, by and</w:t>
            </w:r>
          </w:p>
        </w:tc>
      </w:tr>
      <w:tr>
        <w:trPr>
          <w:trHeight w:val="176"/>
        </w:trPr>
        <w:tc>
          <w:tcPr>
            <w:tcW w:w="820" w:type="dxa"/>
            <w:vAlign w:val="bottom"/>
          </w:tcPr>
          <w:p>
            <w:pPr>
              <w:spacing w:after="0"/>
              <w:rPr>
                <w:sz w:val="15"/>
                <w:szCs w:val="15"/>
                <w:color w:val="auto"/>
              </w:rPr>
            </w:pPr>
          </w:p>
        </w:tc>
        <w:tc>
          <w:tcPr>
            <w:tcW w:w="4420" w:type="dxa"/>
            <w:vAlign w:val="bottom"/>
            <w:gridSpan w:val="12"/>
          </w:tcPr>
          <w:p>
            <w:pPr>
              <w:spacing w:after="0" w:line="175" w:lineRule="exact"/>
              <w:rPr>
                <w:sz w:val="20"/>
                <w:szCs w:val="20"/>
                <w:color w:val="auto"/>
              </w:rPr>
            </w:pPr>
            <w:r>
              <w:rPr>
                <w:rFonts w:ascii="Arial" w:cs="Arial" w:eastAsia="Arial" w:hAnsi="Arial"/>
                <w:sz w:val="16"/>
                <w:szCs w:val="16"/>
                <w:color w:val="auto"/>
              </w:rPr>
              <w:t>among the Registrant, JPMorgan Chase Bank, N.A., as</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administrative agent, and the other parties thereto</w:t>
            </w:r>
          </w:p>
        </w:tc>
      </w:tr>
      <w:tr>
        <w:trPr>
          <w:trHeight w:val="195"/>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4420" w:type="dxa"/>
            <w:vAlign w:val="bottom"/>
            <w:gridSpan w:val="12"/>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Joinder Agreement, by and between the Registrant, Citibank,</w:t>
              </w:r>
            </w:hyperlink>
          </w:p>
        </w:tc>
      </w:tr>
      <w:tr>
        <w:trPr>
          <w:trHeight w:val="155"/>
        </w:trPr>
        <w:tc>
          <w:tcPr>
            <w:tcW w:w="820" w:type="dxa"/>
            <w:vAlign w:val="bottom"/>
          </w:tcPr>
          <w:p>
            <w:pPr>
              <w:spacing w:after="0"/>
              <w:rPr>
                <w:sz w:val="13"/>
                <w:szCs w:val="13"/>
                <w:color w:val="auto"/>
              </w:rPr>
            </w:pPr>
          </w:p>
        </w:tc>
        <w:tc>
          <w:tcPr>
            <w:tcW w:w="436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w:anchor="page75">
              <w:r>
                <w:rPr>
                  <w:rFonts w:ascii="Arial" w:cs="Arial" w:eastAsia="Arial" w:hAnsi="Arial"/>
                  <w:sz w:val="16"/>
                  <w:szCs w:val="16"/>
                  <w:color w:val="0000FF"/>
                </w:rPr>
                <w:t>N.A., and JPMorgan Chase Bank, N.A., dated March 18,</w:t>
              </w:r>
            </w:hyperlink>
          </w:p>
        </w:tc>
        <w:tc>
          <w:tcPr>
            <w:tcW w:w="60" w:type="dxa"/>
            <w:vAlign w:val="bottom"/>
          </w:tcPr>
          <w:p>
            <w:pPr>
              <w:spacing w:after="0"/>
              <w:rPr>
                <w:sz w:val="13"/>
                <w:szCs w:val="13"/>
                <w:color w:val="auto"/>
              </w:rPr>
            </w:pPr>
          </w:p>
        </w:tc>
      </w:tr>
      <w:tr>
        <w:trPr>
          <w:trHeight w:val="156"/>
        </w:trPr>
        <w:tc>
          <w:tcPr>
            <w:tcW w:w="8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5"/>
              </w:rPr>
            </w:pPr>
            <w:hyperlink w:anchor="page75">
              <w:r>
                <w:rPr>
                  <w:rFonts w:ascii="Arial" w:cs="Arial" w:eastAsia="Arial" w:hAnsi="Arial"/>
                  <w:sz w:val="16"/>
                  <w:szCs w:val="16"/>
                  <w:color w:val="0000FF"/>
                  <w:w w:val="95"/>
                </w:rPr>
                <w:t>2021</w:t>
              </w:r>
            </w:hyperlink>
          </w:p>
        </w:tc>
        <w:tc>
          <w:tcPr>
            <w:tcW w:w="2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4300" w:type="dxa"/>
            <w:vAlign w:val="bottom"/>
            <w:tcBorders>
              <w:bottom w:val="single" w:sz="8" w:color="0000FF"/>
            </w:tcBorders>
            <w:gridSpan w:val="9"/>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Certification of Principal Executive Officer Pursuant to Rules</w:t>
              </w:r>
            </w:hyperlink>
          </w:p>
        </w:tc>
        <w:tc>
          <w:tcPr>
            <w:tcW w:w="120" w:type="dxa"/>
            <w:vAlign w:val="bottom"/>
            <w:gridSpan w:val="3"/>
          </w:tcPr>
          <w:p>
            <w:pPr>
              <w:spacing w:after="0"/>
              <w:rPr>
                <w:sz w:val="18"/>
                <w:szCs w:val="18"/>
                <w:color w:val="auto"/>
              </w:rPr>
            </w:pPr>
          </w:p>
        </w:tc>
      </w:tr>
      <w:tr>
        <w:trPr>
          <w:trHeight w:val="156"/>
        </w:trPr>
        <w:tc>
          <w:tcPr>
            <w:tcW w:w="820" w:type="dxa"/>
            <w:vAlign w:val="bottom"/>
          </w:tcPr>
          <w:p>
            <w:pPr>
              <w:spacing w:after="0"/>
              <w:rPr>
                <w:sz w:val="13"/>
                <w:szCs w:val="13"/>
                <w:color w:val="auto"/>
              </w:rPr>
            </w:pPr>
          </w:p>
        </w:tc>
        <w:tc>
          <w:tcPr>
            <w:tcW w:w="380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w:anchor="page83">
              <w:r>
                <w:rPr>
                  <w:rFonts w:ascii="Arial" w:cs="Arial" w:eastAsia="Arial" w:hAnsi="Arial"/>
                  <w:sz w:val="16"/>
                  <w:szCs w:val="16"/>
                  <w:color w:val="0000FF"/>
                </w:rPr>
                <w:t>13a-14(a) and 15d-14(a) under the Exchange Act, as</w:t>
              </w:r>
            </w:hyperlink>
          </w:p>
        </w:tc>
        <w:tc>
          <w:tcPr>
            <w:tcW w:w="620" w:type="dxa"/>
            <w:vAlign w:val="bottom"/>
            <w:gridSpan w:val="8"/>
          </w:tcPr>
          <w:p>
            <w:pPr>
              <w:spacing w:after="0"/>
              <w:rPr>
                <w:sz w:val="13"/>
                <w:szCs w:val="13"/>
                <w:color w:val="auto"/>
              </w:rPr>
            </w:pPr>
          </w:p>
        </w:tc>
      </w:tr>
      <w:tr>
        <w:trPr>
          <w:trHeight w:val="156"/>
        </w:trPr>
        <w:tc>
          <w:tcPr>
            <w:tcW w:w="820" w:type="dxa"/>
            <w:vAlign w:val="bottom"/>
          </w:tcPr>
          <w:p>
            <w:pPr>
              <w:spacing w:after="0"/>
              <w:rPr>
                <w:sz w:val="13"/>
                <w:szCs w:val="13"/>
                <w:color w:val="auto"/>
              </w:rPr>
            </w:pPr>
          </w:p>
        </w:tc>
        <w:tc>
          <w:tcPr>
            <w:tcW w:w="4420" w:type="dxa"/>
            <w:vAlign w:val="bottom"/>
            <w:gridSpan w:val="12"/>
          </w:tcPr>
          <w:p>
            <w:pPr>
              <w:spacing w:after="0" w:line="155" w:lineRule="exact"/>
              <w:rPr>
                <w:rFonts w:ascii="Arial" w:cs="Arial" w:eastAsia="Arial" w:hAnsi="Arial"/>
                <w:sz w:val="16"/>
                <w:szCs w:val="16"/>
                <w:color w:val="0000FF"/>
              </w:rPr>
            </w:pPr>
            <w:hyperlink w:anchor="page83">
              <w:r>
                <w:rPr>
                  <w:rFonts w:ascii="Arial" w:cs="Arial" w:eastAsia="Arial" w:hAnsi="Arial"/>
                  <w:sz w:val="16"/>
                  <w:szCs w:val="16"/>
                  <w:color w:val="0000FF"/>
                </w:rPr>
                <w:t>Adopted Pursuant to Section 302 of the Sarbanes-Oxley Act</w:t>
              </w:r>
            </w:hyperlink>
          </w:p>
        </w:tc>
      </w:tr>
      <w:tr>
        <w:trPr>
          <w:trHeight w:val="156"/>
        </w:trPr>
        <w:tc>
          <w:tcPr>
            <w:tcW w:w="8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6"/>
              </w:rPr>
            </w:pPr>
            <w:hyperlink w:anchor="page83">
              <w:r>
                <w:rPr>
                  <w:rFonts w:ascii="Arial" w:cs="Arial" w:eastAsia="Arial" w:hAnsi="Arial"/>
                  <w:sz w:val="16"/>
                  <w:szCs w:val="16"/>
                  <w:color w:val="0000FF"/>
                  <w:w w:val="96"/>
                </w:rPr>
                <w:t>of 2002.</w:t>
              </w:r>
            </w:hyperlink>
          </w:p>
        </w:tc>
        <w:tc>
          <w:tcPr>
            <w:tcW w:w="3720" w:type="dxa"/>
            <w:vAlign w:val="bottom"/>
            <w:tcBorders>
              <w:top w:val="single" w:sz="8" w:color="0000FF"/>
            </w:tcBorders>
            <w:gridSpan w:val="7"/>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4240" w:type="dxa"/>
            <w:vAlign w:val="bottom"/>
            <w:tcBorders>
              <w:bottom w:val="single" w:sz="8" w:color="0000FF"/>
            </w:tcBorders>
            <w:gridSpan w:val="8"/>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Certification of Principal Financial Officer Pursuant to Rules</w:t>
              </w:r>
            </w:hyperlink>
          </w:p>
        </w:tc>
        <w:tc>
          <w:tcPr>
            <w:tcW w:w="180" w:type="dxa"/>
            <w:vAlign w:val="bottom"/>
            <w:gridSpan w:val="4"/>
          </w:tcPr>
          <w:p>
            <w:pPr>
              <w:spacing w:after="0"/>
              <w:rPr>
                <w:sz w:val="18"/>
                <w:szCs w:val="18"/>
                <w:color w:val="auto"/>
              </w:rPr>
            </w:pPr>
          </w:p>
        </w:tc>
      </w:tr>
      <w:tr>
        <w:trPr>
          <w:trHeight w:val="156"/>
        </w:trPr>
        <w:tc>
          <w:tcPr>
            <w:tcW w:w="820" w:type="dxa"/>
            <w:vAlign w:val="bottom"/>
          </w:tcPr>
          <w:p>
            <w:pPr>
              <w:spacing w:after="0"/>
              <w:rPr>
                <w:sz w:val="13"/>
                <w:szCs w:val="13"/>
                <w:color w:val="auto"/>
              </w:rPr>
            </w:pPr>
          </w:p>
        </w:tc>
        <w:tc>
          <w:tcPr>
            <w:tcW w:w="380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w:anchor="page84">
              <w:r>
                <w:rPr>
                  <w:rFonts w:ascii="Arial" w:cs="Arial" w:eastAsia="Arial" w:hAnsi="Arial"/>
                  <w:sz w:val="16"/>
                  <w:szCs w:val="16"/>
                  <w:color w:val="0000FF"/>
                </w:rPr>
                <w:t>13a-14(a) and 15d-14(a) under the Exchange Act, as</w:t>
              </w:r>
            </w:hyperlink>
          </w:p>
        </w:tc>
        <w:tc>
          <w:tcPr>
            <w:tcW w:w="620" w:type="dxa"/>
            <w:vAlign w:val="bottom"/>
            <w:gridSpan w:val="8"/>
          </w:tcPr>
          <w:p>
            <w:pPr>
              <w:spacing w:after="0"/>
              <w:rPr>
                <w:sz w:val="13"/>
                <w:szCs w:val="13"/>
                <w:color w:val="auto"/>
              </w:rPr>
            </w:pPr>
          </w:p>
        </w:tc>
      </w:tr>
      <w:tr>
        <w:trPr>
          <w:trHeight w:val="155"/>
        </w:trPr>
        <w:tc>
          <w:tcPr>
            <w:tcW w:w="820" w:type="dxa"/>
            <w:vAlign w:val="bottom"/>
          </w:tcPr>
          <w:p>
            <w:pPr>
              <w:spacing w:after="0"/>
              <w:rPr>
                <w:sz w:val="13"/>
                <w:szCs w:val="13"/>
                <w:color w:val="auto"/>
              </w:rPr>
            </w:pPr>
          </w:p>
        </w:tc>
        <w:tc>
          <w:tcPr>
            <w:tcW w:w="4420" w:type="dxa"/>
            <w:vAlign w:val="bottom"/>
            <w:gridSpan w:val="12"/>
          </w:tcPr>
          <w:p>
            <w:pPr>
              <w:spacing w:after="0" w:line="155" w:lineRule="exact"/>
              <w:rPr>
                <w:rFonts w:ascii="Arial" w:cs="Arial" w:eastAsia="Arial" w:hAnsi="Arial"/>
                <w:sz w:val="16"/>
                <w:szCs w:val="16"/>
                <w:color w:val="0000FF"/>
              </w:rPr>
            </w:pPr>
            <w:hyperlink w:anchor="page84">
              <w:r>
                <w:rPr>
                  <w:rFonts w:ascii="Arial" w:cs="Arial" w:eastAsia="Arial" w:hAnsi="Arial"/>
                  <w:sz w:val="16"/>
                  <w:szCs w:val="16"/>
                  <w:color w:val="0000FF"/>
                </w:rPr>
                <w:t>Adopted Pursuant to Section 302 of the Sarbanes-Oxley Act</w:t>
              </w:r>
            </w:hyperlink>
          </w:p>
        </w:tc>
      </w:tr>
      <w:tr>
        <w:trPr>
          <w:trHeight w:val="156"/>
        </w:trPr>
        <w:tc>
          <w:tcPr>
            <w:tcW w:w="8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6"/>
              </w:rPr>
            </w:pPr>
            <w:hyperlink w:anchor="page84">
              <w:r>
                <w:rPr>
                  <w:rFonts w:ascii="Arial" w:cs="Arial" w:eastAsia="Arial" w:hAnsi="Arial"/>
                  <w:sz w:val="16"/>
                  <w:szCs w:val="16"/>
                  <w:color w:val="0000FF"/>
                  <w:w w:val="96"/>
                </w:rPr>
                <w:t>of 2002.</w:t>
              </w:r>
            </w:hyperlink>
          </w:p>
        </w:tc>
        <w:tc>
          <w:tcPr>
            <w:tcW w:w="3720" w:type="dxa"/>
            <w:vAlign w:val="bottom"/>
            <w:tcBorders>
              <w:top w:val="single" w:sz="8" w:color="0000FF"/>
            </w:tcBorders>
            <w:gridSpan w:val="7"/>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4060" w:type="dxa"/>
            <w:vAlign w:val="bottom"/>
            <w:tcBorders>
              <w:bottom w:val="single" w:sz="8" w:color="0000FF"/>
            </w:tcBorders>
            <w:gridSpan w:val="7"/>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Certification of Principal Executive Officer Pursuant to 18</w:t>
              </w:r>
            </w:hyperlink>
          </w:p>
        </w:tc>
        <w:tc>
          <w:tcPr>
            <w:tcW w:w="360" w:type="dxa"/>
            <w:vAlign w:val="bottom"/>
            <w:gridSpan w:val="5"/>
          </w:tcPr>
          <w:p>
            <w:pPr>
              <w:spacing w:after="0"/>
              <w:rPr>
                <w:sz w:val="18"/>
                <w:szCs w:val="18"/>
                <w:color w:val="auto"/>
              </w:rPr>
            </w:pPr>
          </w:p>
        </w:tc>
      </w:tr>
      <w:tr>
        <w:trPr>
          <w:trHeight w:val="155"/>
        </w:trPr>
        <w:tc>
          <w:tcPr>
            <w:tcW w:w="820" w:type="dxa"/>
            <w:vAlign w:val="bottom"/>
          </w:tcPr>
          <w:p>
            <w:pPr>
              <w:spacing w:after="0"/>
              <w:rPr>
                <w:sz w:val="13"/>
                <w:szCs w:val="13"/>
                <w:color w:val="auto"/>
              </w:rPr>
            </w:pPr>
          </w:p>
        </w:tc>
        <w:tc>
          <w:tcPr>
            <w:tcW w:w="4420" w:type="dxa"/>
            <w:vAlign w:val="bottom"/>
            <w:gridSpan w:val="12"/>
          </w:tcPr>
          <w:p>
            <w:pPr>
              <w:spacing w:after="0" w:line="155" w:lineRule="exact"/>
              <w:rPr>
                <w:rFonts w:ascii="Arial" w:cs="Arial" w:eastAsia="Arial" w:hAnsi="Arial"/>
                <w:sz w:val="16"/>
                <w:szCs w:val="16"/>
                <w:color w:val="0000FF"/>
              </w:rPr>
            </w:pPr>
            <w:hyperlink w:anchor="page85">
              <w:r>
                <w:rPr>
                  <w:rFonts w:ascii="Arial" w:cs="Arial" w:eastAsia="Arial" w:hAnsi="Arial"/>
                  <w:sz w:val="16"/>
                  <w:szCs w:val="16"/>
                  <w:color w:val="0000FF"/>
                </w:rPr>
                <w:t>U.S.C. Section 1350, as Adopted Pursuant to Section 906 of</w:t>
              </w:r>
            </w:hyperlink>
          </w:p>
        </w:tc>
      </w:tr>
      <w:tr>
        <w:trPr>
          <w:trHeight w:val="156"/>
        </w:trPr>
        <w:tc>
          <w:tcPr>
            <w:tcW w:w="8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rPr>
            </w:pPr>
            <w:hyperlink w:anchor="page85">
              <w:r>
                <w:rPr>
                  <w:rFonts w:ascii="Arial" w:cs="Arial" w:eastAsia="Arial" w:hAnsi="Arial"/>
                  <w:sz w:val="16"/>
                  <w:szCs w:val="16"/>
                  <w:color w:val="0000FF"/>
                </w:rPr>
                <w:t>the Sarbanes-Oxley Act of 2002.</w:t>
              </w:r>
            </w:hyperlink>
          </w:p>
        </w:tc>
        <w:tc>
          <w:tcPr>
            <w:tcW w:w="19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4420" w:type="dxa"/>
            <w:vAlign w:val="bottom"/>
            <w:gridSpan w:val="12"/>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Principal Financial Officer Pursuant to 18</w:t>
              </w:r>
            </w:hyperlink>
          </w:p>
        </w:tc>
      </w:tr>
      <w:tr>
        <w:trPr>
          <w:trHeight w:val="20"/>
        </w:trPr>
        <w:tc>
          <w:tcPr>
            <w:tcW w:w="820" w:type="dxa"/>
            <w:vAlign w:val="bottom"/>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56"/>
        </w:trPr>
        <w:tc>
          <w:tcPr>
            <w:tcW w:w="820" w:type="dxa"/>
            <w:vAlign w:val="bottom"/>
          </w:tcPr>
          <w:p>
            <w:pPr>
              <w:spacing w:after="0"/>
              <w:rPr>
                <w:sz w:val="13"/>
                <w:szCs w:val="13"/>
                <w:color w:val="auto"/>
              </w:rPr>
            </w:pPr>
          </w:p>
        </w:tc>
        <w:tc>
          <w:tcPr>
            <w:tcW w:w="4420" w:type="dxa"/>
            <w:vAlign w:val="bottom"/>
            <w:gridSpan w:val="12"/>
          </w:tcPr>
          <w:p>
            <w:pPr>
              <w:spacing w:after="0" w:line="155" w:lineRule="exact"/>
              <w:rPr>
                <w:rFonts w:ascii="Arial" w:cs="Arial" w:eastAsia="Arial" w:hAnsi="Arial"/>
                <w:sz w:val="16"/>
                <w:szCs w:val="16"/>
                <w:color w:val="0000FF"/>
              </w:rPr>
            </w:pPr>
            <w:hyperlink w:anchor="page86">
              <w:r>
                <w:rPr>
                  <w:rFonts w:ascii="Arial" w:cs="Arial" w:eastAsia="Arial" w:hAnsi="Arial"/>
                  <w:sz w:val="16"/>
                  <w:szCs w:val="16"/>
                  <w:color w:val="0000FF"/>
                </w:rPr>
                <w:t>U.S.C. Section 1350, as Adopted Pursuant to Section 906 of</w:t>
              </w:r>
            </w:hyperlink>
          </w:p>
        </w:tc>
      </w:tr>
      <w:tr>
        <w:trPr>
          <w:trHeight w:val="156"/>
        </w:trPr>
        <w:tc>
          <w:tcPr>
            <w:tcW w:w="8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rPr>
            </w:pPr>
            <w:hyperlink w:anchor="page86">
              <w:r>
                <w:rPr>
                  <w:rFonts w:ascii="Arial" w:cs="Arial" w:eastAsia="Arial" w:hAnsi="Arial"/>
                  <w:sz w:val="16"/>
                  <w:szCs w:val="16"/>
                  <w:color w:val="0000FF"/>
                </w:rPr>
                <w:t>the Sarbanes-Oxley Act of 2002.</w:t>
              </w:r>
            </w:hyperlink>
          </w:p>
        </w:tc>
        <w:tc>
          <w:tcPr>
            <w:tcW w:w="19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25"/>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101.INS</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Instance Document - the instance document</w:t>
            </w:r>
          </w:p>
        </w:tc>
      </w:tr>
      <w:tr>
        <w:trPr>
          <w:trHeight w:val="175"/>
        </w:trPr>
        <w:tc>
          <w:tcPr>
            <w:tcW w:w="820" w:type="dxa"/>
            <w:vAlign w:val="bottom"/>
          </w:tcPr>
          <w:p>
            <w:pPr>
              <w:spacing w:after="0"/>
              <w:rPr>
                <w:sz w:val="15"/>
                <w:szCs w:val="15"/>
                <w:color w:val="auto"/>
              </w:rPr>
            </w:pPr>
          </w:p>
        </w:tc>
        <w:tc>
          <w:tcPr>
            <w:tcW w:w="4420" w:type="dxa"/>
            <w:vAlign w:val="bottom"/>
            <w:gridSpan w:val="12"/>
          </w:tcPr>
          <w:p>
            <w:pPr>
              <w:spacing w:after="0" w:line="175" w:lineRule="exact"/>
              <w:rPr>
                <w:sz w:val="20"/>
                <w:szCs w:val="20"/>
                <w:color w:val="auto"/>
              </w:rPr>
            </w:pPr>
            <w:r>
              <w:rPr>
                <w:rFonts w:ascii="Arial" w:cs="Arial" w:eastAsia="Arial" w:hAnsi="Arial"/>
                <w:sz w:val="16"/>
                <w:szCs w:val="16"/>
                <w:color w:val="auto"/>
              </w:rPr>
              <w:t>does not appear in the Interactive Data File because its XBRL</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tags are embedded within the Inline XBRL document.</w:t>
            </w:r>
          </w:p>
        </w:tc>
      </w:tr>
      <w:tr>
        <w:trPr>
          <w:trHeight w:val="229"/>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8"/>
              </w:rPr>
              <w:t>101.SCH</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101.CAL</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r>
      <w:tr>
        <w:trPr>
          <w:trHeight w:val="21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101.DEF</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r>
      <w:tr>
        <w:trPr>
          <w:trHeight w:val="23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101.LAB</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0"/>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9"/>
              </w:rPr>
              <w:t>101.PRE</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195"/>
        </w:trPr>
        <w:tc>
          <w:tcPr>
            <w:tcW w:w="820" w:type="dxa"/>
            <w:vAlign w:val="bottom"/>
          </w:tcPr>
          <w:p>
            <w:pPr>
              <w:spacing w:after="0"/>
              <w:rPr>
                <w:sz w:val="16"/>
                <w:szCs w:val="16"/>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-3115945</wp:posOffset>
            </wp:positionV>
            <wp:extent cx="6275070" cy="33864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75070" cy="3386455"/>
                    </a:xfrm>
                    <a:prstGeom prst="rect">
                      <a:avLst/>
                    </a:prstGeom>
                    <a:noFill/>
                  </pic:spPr>
                </pic:pic>
              </a:graphicData>
            </a:graphic>
          </wp:anchor>
        </w:drawing>
      </w:r>
    </w:p>
    <w:p>
      <w:pPr>
        <w:spacing w:after="0" w:line="15" w:lineRule="exact"/>
        <w:rPr>
          <w:sz w:val="20"/>
          <w:szCs w:val="20"/>
          <w:color w:val="auto"/>
        </w:rPr>
      </w:pPr>
    </w:p>
    <w:p>
      <w:pPr>
        <w:ind w:left="980" w:right="320" w:hanging="437"/>
        <w:spacing w:after="0" w:line="2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c>
          <w:tcPr>
            <w:tcW w:w="122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405"/>
        </w:trPr>
        <w:tc>
          <w:tcPr>
            <w:tcW w:w="82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122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230"/>
        </w:trPr>
        <w:tc>
          <w:tcPr>
            <w:tcW w:w="82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c>
          <w:tcPr>
            <w:tcW w:w="122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229"/>
        </w:trPr>
        <w:tc>
          <w:tcPr>
            <w:tcW w:w="82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c>
          <w:tcPr>
            <w:tcW w:w="122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756"/>
        </w:trPr>
        <w:tc>
          <w:tcPr>
            <w:tcW w:w="820" w:type="dxa"/>
            <w:vAlign w:val="bottom"/>
          </w:tcPr>
          <w:p>
            <w:pPr>
              <w:ind w:left="20"/>
              <w:spacing w:after="0"/>
              <w:rPr>
                <w:sz w:val="20"/>
                <w:szCs w:val="20"/>
                <w:color w:val="auto"/>
              </w:rPr>
            </w:pPr>
            <w:r>
              <w:rPr>
                <w:rFonts w:ascii="Arial" w:cs="Arial" w:eastAsia="Arial" w:hAnsi="Arial"/>
                <w:sz w:val="16"/>
                <w:szCs w:val="16"/>
                <w:color w:val="auto"/>
              </w:rPr>
              <w:t>8-K</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122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267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0"/>
        </w:trPr>
        <w:tc>
          <w:tcPr>
            <w:tcW w:w="820" w:type="dxa"/>
            <w:vAlign w:val="bottom"/>
            <w:shd w:val="clear" w:color="auto" w:fill="FEFEFE"/>
          </w:tcPr>
          <w:p>
            <w:pPr>
              <w:spacing w:after="0"/>
              <w:rPr>
                <w:sz w:val="24"/>
                <w:szCs w:val="24"/>
                <w:color w:val="auto"/>
              </w:rPr>
            </w:pPr>
          </w:p>
        </w:tc>
        <w:tc>
          <w:tcPr>
            <w:tcW w:w="1120" w:type="dxa"/>
            <w:vAlign w:val="bottom"/>
            <w:shd w:val="clear" w:color="auto" w:fill="FEFEFE"/>
          </w:tcPr>
          <w:p>
            <w:pPr>
              <w:spacing w:after="0"/>
              <w:rPr>
                <w:sz w:val="24"/>
                <w:szCs w:val="24"/>
                <w:color w:val="auto"/>
              </w:rPr>
            </w:pPr>
          </w:p>
        </w:tc>
        <w:tc>
          <w:tcPr>
            <w:tcW w:w="1300" w:type="dxa"/>
            <w:vAlign w:val="bottom"/>
            <w:shd w:val="clear" w:color="auto" w:fill="FEFEFE"/>
          </w:tcPr>
          <w:p>
            <w:pPr>
              <w:spacing w:after="0"/>
              <w:rPr>
                <w:sz w:val="24"/>
                <w:szCs w:val="24"/>
                <w:color w:val="auto"/>
              </w:rPr>
            </w:pPr>
          </w:p>
        </w:tc>
        <w:tc>
          <w:tcPr>
            <w:tcW w:w="1220" w:type="dxa"/>
            <w:vAlign w:val="bottom"/>
            <w:shd w:val="clear" w:color="auto" w:fill="FEFEFE"/>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X</w:t>
      </w:r>
    </w:p>
    <w:p>
      <w:pPr>
        <w:spacing w:after="0" w:line="405" w:lineRule="exact"/>
        <w:rPr>
          <w:sz w:val="20"/>
          <w:szCs w:val="20"/>
          <w:color w:val="auto"/>
        </w:rPr>
      </w:pPr>
    </w:p>
    <w:p>
      <w:pPr>
        <w:sectPr>
          <w:pgSz w:w="11900" w:h="16838" w:orient="portrait"/>
          <w:cols w:equalWidth="0" w:num="3">
            <w:col w:w="5400" w:space="20"/>
            <w:col w:w="4460" w:space="560"/>
            <w:col w:w="700"/>
          </w:cols>
          <w:pgMar w:left="320" w:top="653" w:right="439" w:bottom="1440" w:gutter="0" w:footer="0" w:header="0"/>
          <w:type w:val="continuous"/>
        </w:sectPr>
      </w:pPr>
    </w:p>
    <w:p>
      <w:pPr>
        <w:spacing w:after="0" w:line="285" w:lineRule="exact"/>
        <w:rPr>
          <w:sz w:val="20"/>
          <w:szCs w:val="20"/>
          <w:color w:val="auto"/>
        </w:rPr>
      </w:pPr>
    </w:p>
    <w:p>
      <w:pPr>
        <w:jc w:val="both"/>
        <w:ind w:firstLine="8"/>
        <w:spacing w:after="0" w:line="246" w:lineRule="auto"/>
        <w:tabs>
          <w:tab w:leader="none" w:pos="10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3" w:right="439" w:bottom="1440" w:gutter="0" w:footer="0" w:header="0"/>
          <w:type w:val="continuous"/>
        </w:sectPr>
      </w:pPr>
    </w:p>
    <w:bookmarkStart w:id="72" w:name="page73"/>
    <w:bookmarkEnd w:id="72"/>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 May 6, 2021</w:t>
      </w:r>
    </w:p>
    <w:p>
      <w:pPr>
        <w:spacing w:after="0" w:line="269"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John Foley</w:t>
      </w:r>
    </w:p>
    <w:p>
      <w:pPr>
        <w:ind w:left="7120"/>
        <w:spacing w:after="0" w:line="228"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Jill Woodworth</w:t>
      </w:r>
    </w:p>
    <w:p>
      <w:pPr>
        <w:ind w:left="7120"/>
        <w:spacing w:after="0" w:line="228"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60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18, 2021</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Reference is made to the Amended and Restated Revolving Credit Agreement, dated as of June 20, 2019 (as amended by the First Amendment, dated as of February 8, 2021, and as otherwise amended, restated, amended and restated, supplemented or otherwise modified, refinanced or replaced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the terms defined therein being used herein as therein defined), among Peloton Interactive,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several banks and other financial institutions or entities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JPMorgan Chase Bank, N.A., as Administrative Agent.</w:t>
      </w:r>
    </w:p>
    <w:p>
      <w:pPr>
        <w:spacing w:after="0" w:line="193" w:lineRule="exact"/>
        <w:rPr>
          <w:sz w:val="20"/>
          <w:szCs w:val="20"/>
          <w:color w:val="auto"/>
        </w:rPr>
      </w:pPr>
    </w:p>
    <w:p>
      <w:pPr>
        <w:jc w:val="both"/>
        <w:ind w:firstLine="8"/>
        <w:spacing w:after="0" w:line="271" w:lineRule="auto"/>
        <w:tabs>
          <w:tab w:leader="none" w:pos="648" w:val="left"/>
        </w:tabs>
        <w:numPr>
          <w:ilvl w:val="0"/>
          <w:numId w:val="38"/>
        </w:numPr>
        <w:rPr>
          <w:rFonts w:ascii="Arial" w:cs="Arial" w:eastAsia="Arial" w:hAnsi="Arial"/>
          <w:sz w:val="21"/>
          <w:szCs w:val="21"/>
          <w:color w:val="auto"/>
        </w:rPr>
      </w:pPr>
      <w:r>
        <w:rPr>
          <w:rFonts w:ascii="Arial" w:cs="Arial" w:eastAsia="Arial" w:hAnsi="Arial"/>
          <w:sz w:val="21"/>
          <w:szCs w:val="21"/>
          <w:color w:val="auto"/>
        </w:rPr>
        <w:t>Upon execution and delivery of this Joinder Agreement (this “</w:t>
      </w:r>
      <w:r>
        <w:rPr>
          <w:rFonts w:ascii="Arial" w:cs="Arial" w:eastAsia="Arial" w:hAnsi="Arial"/>
          <w:sz w:val="21"/>
          <w:szCs w:val="21"/>
          <w:u w:val="single" w:color="auto"/>
          <w:color w:val="auto"/>
        </w:rPr>
        <w:t>Joinder</w:t>
      </w:r>
      <w:r>
        <w:rPr>
          <w:rFonts w:ascii="Arial" w:cs="Arial" w:eastAsia="Arial" w:hAnsi="Arial"/>
          <w:sz w:val="21"/>
          <w:szCs w:val="21"/>
          <w:color w:val="auto"/>
        </w:rPr>
        <w:t>”) by the parties hereto, Citibank, N.A. (the “</w:t>
      </w:r>
      <w:r>
        <w:rPr>
          <w:rFonts w:ascii="Arial" w:cs="Arial" w:eastAsia="Arial" w:hAnsi="Arial"/>
          <w:sz w:val="21"/>
          <w:szCs w:val="21"/>
          <w:u w:val="single" w:color="auto"/>
          <w:color w:val="auto"/>
        </w:rPr>
        <w:t>New</w:t>
      </w:r>
      <w:r>
        <w:rPr>
          <w:rFonts w:ascii="Arial" w:cs="Arial" w:eastAsia="Arial" w:hAnsi="Arial"/>
          <w:sz w:val="21"/>
          <w:szCs w:val="21"/>
          <w:color w:val="auto"/>
        </w:rPr>
        <w:t xml:space="preserve">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hereby (a) becomes a Lender having the New Commitment set forth under such Lender’s name in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 effective as of the date hereof, and (b) agrees to be bound by the provisions of the Credit Agreement.</w:t>
      </w:r>
    </w:p>
    <w:p>
      <w:pPr>
        <w:spacing w:after="0" w:line="194" w:lineRule="exact"/>
        <w:rPr>
          <w:rFonts w:ascii="Arial" w:cs="Arial" w:eastAsia="Arial" w:hAnsi="Arial"/>
          <w:sz w:val="21"/>
          <w:szCs w:val="21"/>
          <w:color w:val="auto"/>
        </w:rPr>
      </w:pPr>
    </w:p>
    <w:p>
      <w:pPr>
        <w:jc w:val="both"/>
        <w:ind w:firstLine="8"/>
        <w:spacing w:after="0" w:line="253" w:lineRule="auto"/>
        <w:tabs>
          <w:tab w:leader="none" w:pos="64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It is understood and agreed that, after giving effect to this Joinder, Schedule 2.01 to the Credit Agreement will be amended by replacing the table set forth therein with the table set forth in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which shall be the Commitments set forth in Schedule 2.01 to the Credit Agreement for all purposes thereof.</w:t>
      </w:r>
    </w:p>
    <w:p>
      <w:pPr>
        <w:spacing w:after="0" w:line="212" w:lineRule="exact"/>
        <w:rPr>
          <w:rFonts w:ascii="Arial" w:cs="Arial" w:eastAsia="Arial" w:hAnsi="Arial"/>
          <w:sz w:val="22"/>
          <w:szCs w:val="22"/>
          <w:color w:val="auto"/>
        </w:rPr>
      </w:pPr>
    </w:p>
    <w:p>
      <w:pPr>
        <w:jc w:val="both"/>
        <w:ind w:firstLine="8"/>
        <w:spacing w:after="0" w:line="287" w:lineRule="auto"/>
        <w:tabs>
          <w:tab w:leader="none" w:pos="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New Lender (a) represents and warrants that (i) it has full power and authority, and has taken all action necessary, to execute and deliver this Joinder and to consummate the transactions contemplated hereby and to become a Lender under the Credit Agreement, (ii) it satisfies the requirements, if any, specified in the Credit Agreement that are required to be satisfied by it in order to become a Lender, (iii) it has received a copy of the Credit Agreement, together with copies of the most recent financial statements delivered pursuant to Section 5.01 thereof, and such other documents and information as it has deemed appropriate to make its own credit analysis and decision to enter into this Joinder on the basis of which it has made such analysis and decision independently and without reliance on the Administrative Agent or any other Lender and (iv) if it is a Foreign Lender, it has delivered to the Administrative Agent any documentation required to be delivered by it pursuant to the terms of the Credit Agreement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5" w:lineRule="exact"/>
        <w:rPr>
          <w:rFonts w:ascii="Arial" w:cs="Arial" w:eastAsia="Arial" w:hAnsi="Arial"/>
          <w:sz w:val="19"/>
          <w:szCs w:val="19"/>
          <w:color w:val="auto"/>
        </w:rPr>
      </w:pPr>
    </w:p>
    <w:p>
      <w:pPr>
        <w:ind w:right="20" w:firstLine="8"/>
        <w:spacing w:after="0" w:line="263" w:lineRule="auto"/>
        <w:tabs>
          <w:tab w:leader="none" w:pos="64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Administrative Agent acknowledges that the notice and timing requirements under Section 2.18(a) have been satisfied. This Joinder is a Loan Document for all purposes under the Credit Agreement.</w:t>
      </w:r>
    </w:p>
    <w:p>
      <w:pPr>
        <w:spacing w:after="0" w:line="201" w:lineRule="exact"/>
        <w:rPr>
          <w:rFonts w:ascii="Arial" w:cs="Arial" w:eastAsia="Arial" w:hAnsi="Arial"/>
          <w:sz w:val="22"/>
          <w:szCs w:val="22"/>
          <w:color w:val="auto"/>
        </w:rPr>
      </w:pPr>
    </w:p>
    <w:p>
      <w:pPr>
        <w:ind w:firstLine="8"/>
        <w:spacing w:after="0" w:line="263" w:lineRule="auto"/>
        <w:tabs>
          <w:tab w:leader="none" w:pos="64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THIS JOINDER SHALL BE CONSTRUED IN ACCORDANCE WITH AND GOVERNED BY THE LAW OF THE STATE OF NEW YORK.</w:t>
      </w:r>
    </w:p>
    <w:p>
      <w:pPr>
        <w:sectPr>
          <w:pgSz w:w="11900" w:h="16838" w:orient="portrait"/>
          <w:cols w:equalWidth="0" w:num="1">
            <w:col w:w="11240"/>
          </w:cols>
          <w:pgMar w:left="320" w:top="1422" w:right="339" w:bottom="1440" w:gutter="0" w:footer="0" w:header="0"/>
        </w:sectPr>
      </w:pPr>
    </w:p>
    <w:bookmarkStart w:id="75" w:name="page76"/>
    <w:bookmarkEnd w:id="75"/>
    <w:p>
      <w:pPr>
        <w:spacing w:after="0" w:line="200" w:lineRule="exact"/>
        <w:rPr>
          <w:sz w:val="20"/>
          <w:szCs w:val="20"/>
          <w:color w:val="auto"/>
        </w:rPr>
      </w:pPr>
    </w:p>
    <w:p>
      <w:pPr>
        <w:spacing w:after="0" w:line="247" w:lineRule="exact"/>
        <w:rPr>
          <w:sz w:val="20"/>
          <w:szCs w:val="20"/>
          <w:color w:val="auto"/>
        </w:rPr>
      </w:pPr>
    </w:p>
    <w:p>
      <w:pPr>
        <w:jc w:val="both"/>
        <w:ind w:firstLine="8"/>
        <w:spacing w:after="0" w:line="285" w:lineRule="auto"/>
        <w:tabs>
          <w:tab w:leader="none" w:pos="64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This Joinder may be signed in any number of counterparts, each of which shall be an original, with the same effect as if the signatures thereto and hereto were upon the same instrument. Delivery of an executed counterpart of a signature page of this Joinder by telecopy, emailed pdf. or any other electronic means that reproduces an image of the actual executed signature page shall be effective as delivery of a manually executed counterpart of this Joinder. The words “execution,” “signed,” “signature,” “delivery,” and words of like import in or relating to this Joinder, any document to be signed in connection herewith and the transactions contemplated hereby shall be deemed to include any electronic sound, symbol, or process attached to, or associated with, this Joinder or such other document, as applicable, and adopted by a Person with the intent to sign, authenticate or accept such contract or record and any delivery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Loan Parties, electronic images of this Joinder (including with respect to any signature pages thereto) shall have the same legal effect, validity and enforceability as any paper original, and (ii) waives any argument, defense or right to contest the validity or enforceability of this Joinder based solely on the lack of paper original copies of the Joinder, including with respect to any signature pages hereto.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Joinder to be duly executed and delivered by their proper and duly authorized officers as of the date first written above.</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CITIBANK, N.A., as New Lender</w:t>
      </w:r>
    </w:p>
    <w:p>
      <w:pPr>
        <w:spacing w:after="0" w:line="58"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Collene M. Greenlee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29660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51"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Collene M. Greenlee</w:t>
      </w:r>
    </w:p>
    <w:p>
      <w:pPr>
        <w:spacing w:after="0" w:line="58"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Joinder Agreement]</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PELOTON INTERACTIVE,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Borrower</w:t>
      </w:r>
    </w:p>
    <w:p>
      <w:pPr>
        <w:spacing w:after="0" w:line="4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Name: Jill Woodworth</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839"/>
        <w:spacing w:after="0"/>
        <w:rPr>
          <w:sz w:val="20"/>
          <w:szCs w:val="20"/>
          <w:color w:val="auto"/>
        </w:rPr>
      </w:pPr>
      <w:r>
        <w:rPr>
          <w:rFonts w:ascii="Arial" w:cs="Arial" w:eastAsia="Arial" w:hAnsi="Arial"/>
          <w:sz w:val="22"/>
          <w:szCs w:val="22"/>
          <w:color w:val="auto"/>
        </w:rPr>
        <w:t>[Signature Page to Joinder Agreement]</w:t>
      </w:r>
    </w:p>
    <w:p>
      <w:pPr>
        <w:sectPr>
          <w:pgSz w:w="11900" w:h="16838" w:orient="portrait"/>
          <w:cols w:equalWidth="0" w:num="1">
            <w:col w:w="10139"/>
          </w:cols>
          <w:pgMar w:left="320" w:top="1440" w:right="1440" w:bottom="1440" w:gutter="0" w:footer="0" w:header="0"/>
        </w:sectPr>
      </w:pPr>
    </w:p>
    <w:bookmarkStart w:id="78" w:name="page79"/>
    <w:bookmarkEnd w:id="78"/>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Administrative Agent</w:t>
      </w:r>
    </w:p>
    <w:p>
      <w:pPr>
        <w:spacing w:after="0" w:line="4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Lauren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Lauren Daley</w:t>
      </w:r>
    </w:p>
    <w:p>
      <w:pPr>
        <w:spacing w:after="0" w:line="58"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2839"/>
        <w:spacing w:after="0"/>
        <w:rPr>
          <w:sz w:val="20"/>
          <w:szCs w:val="20"/>
          <w:color w:val="auto"/>
        </w:rPr>
      </w:pPr>
      <w:r>
        <w:rPr>
          <w:rFonts w:ascii="Arial" w:cs="Arial" w:eastAsia="Arial" w:hAnsi="Arial"/>
          <w:sz w:val="22"/>
          <w:szCs w:val="22"/>
          <w:color w:val="auto"/>
        </w:rPr>
        <w:t>[Signature Page to Joinder Agreement]</w:t>
      </w:r>
    </w:p>
    <w:p>
      <w:pPr>
        <w:sectPr>
          <w:pgSz w:w="11900" w:h="16838" w:orient="portrait"/>
          <w:cols w:equalWidth="0" w:num="1">
            <w:col w:w="10139"/>
          </w:cols>
          <w:pgMar w:left="320" w:top="1440" w:right="1440"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Joinder Agreement]</w:t>
      </w:r>
    </w:p>
    <w:p>
      <w:pPr>
        <w:sectPr>
          <w:pgSz w:w="11900" w:h="16838" w:orient="portrait"/>
          <w:cols w:equalWidth="0" w:num="1">
            <w:col w:w="9019"/>
          </w:cols>
          <w:pgMar w:left="1440" w:top="1440"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SCHEDULE 1</w:t>
            </w:r>
          </w:p>
        </w:tc>
        <w:tc>
          <w:tcPr>
            <w:tcW w:w="2600" w:type="dxa"/>
            <w:vAlign w:val="bottom"/>
          </w:tcPr>
          <w:p>
            <w:pPr>
              <w:spacing w:after="0"/>
              <w:rPr>
                <w:sz w:val="21"/>
                <w:szCs w:val="21"/>
                <w:color w:val="auto"/>
              </w:rPr>
            </w:pPr>
          </w:p>
        </w:tc>
      </w:tr>
      <w:tr>
        <w:trPr>
          <w:trHeight w:val="695"/>
        </w:trPr>
        <w:tc>
          <w:tcPr>
            <w:tcW w:w="1740" w:type="dxa"/>
            <w:vAlign w:val="bottom"/>
          </w:tcPr>
          <w:p>
            <w:pPr>
              <w:spacing w:after="0"/>
              <w:rPr>
                <w:sz w:val="24"/>
                <w:szCs w:val="24"/>
                <w:color w:val="auto"/>
              </w:rPr>
            </w:pPr>
          </w:p>
        </w:tc>
        <w:tc>
          <w:tcPr>
            <w:tcW w:w="6820" w:type="dxa"/>
            <w:vAlign w:val="bottom"/>
            <w:gridSpan w:val="4"/>
          </w:tcPr>
          <w:p>
            <w:pPr>
              <w:ind w:left="280"/>
              <w:spacing w:after="0"/>
              <w:rPr>
                <w:sz w:val="20"/>
                <w:szCs w:val="20"/>
                <w:color w:val="auto"/>
              </w:rPr>
            </w:pPr>
            <w:r>
              <w:rPr>
                <w:rFonts w:ascii="Arial" w:cs="Arial" w:eastAsia="Arial" w:hAnsi="Arial"/>
                <w:sz w:val="22"/>
                <w:szCs w:val="22"/>
                <w:b w:val="1"/>
                <w:bCs w:val="1"/>
                <w:color w:val="auto"/>
                <w:w w:val="99"/>
              </w:rPr>
              <w:t>NEW COMMITMENT AND NOTICE ADDRESS OF NEW LENDER</w:t>
            </w:r>
          </w:p>
        </w:tc>
      </w:tr>
      <w:tr>
        <w:trPr>
          <w:trHeight w:val="701"/>
        </w:trPr>
        <w:tc>
          <w:tcPr>
            <w:tcW w:w="1740" w:type="dxa"/>
            <w:vAlign w:val="bottom"/>
          </w:tcPr>
          <w:p>
            <w:pPr>
              <w:spacing w:after="0"/>
              <w:rPr>
                <w:sz w:val="20"/>
                <w:szCs w:val="20"/>
                <w:color w:val="auto"/>
              </w:rPr>
            </w:pPr>
            <w:r>
              <w:rPr>
                <w:rFonts w:ascii="Arial" w:cs="Arial" w:eastAsia="Arial" w:hAnsi="Arial"/>
                <w:sz w:val="22"/>
                <w:szCs w:val="22"/>
                <w:color w:val="auto"/>
              </w:rPr>
              <w:t>Name of Lender:</w:t>
            </w:r>
          </w:p>
        </w:tc>
        <w:tc>
          <w:tcPr>
            <w:tcW w:w="280" w:type="dxa"/>
            <w:vAlign w:val="bottom"/>
          </w:tcPr>
          <w:p>
            <w:pPr>
              <w:spacing w:after="0"/>
              <w:rPr>
                <w:sz w:val="24"/>
                <w:szCs w:val="24"/>
                <w:color w:val="auto"/>
              </w:rPr>
            </w:pPr>
          </w:p>
        </w:tc>
        <w:tc>
          <w:tcPr>
            <w:tcW w:w="654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Citibank, N.A.</w:t>
            </w:r>
          </w:p>
        </w:tc>
      </w:tr>
      <w:tr>
        <w:trPr>
          <w:trHeight w:val="257"/>
        </w:trPr>
        <w:tc>
          <w:tcPr>
            <w:tcW w:w="1740" w:type="dxa"/>
            <w:vAlign w:val="bottom"/>
          </w:tcPr>
          <w:p>
            <w:pPr>
              <w:spacing w:after="0"/>
              <w:rPr>
                <w:sz w:val="20"/>
                <w:szCs w:val="20"/>
                <w:color w:val="auto"/>
              </w:rPr>
            </w:pPr>
            <w:r>
              <w:rPr>
                <w:rFonts w:ascii="Arial" w:cs="Arial" w:eastAsia="Arial" w:hAnsi="Arial"/>
                <w:sz w:val="22"/>
                <w:szCs w:val="22"/>
                <w:color w:val="auto"/>
              </w:rPr>
              <w:t>Notice Address:</w:t>
            </w:r>
          </w:p>
        </w:tc>
        <w:tc>
          <w:tcPr>
            <w:tcW w:w="280" w:type="dxa"/>
            <w:vAlign w:val="bottom"/>
          </w:tcPr>
          <w:p>
            <w:pPr>
              <w:spacing w:after="0"/>
              <w:rPr>
                <w:sz w:val="22"/>
                <w:szCs w:val="22"/>
                <w:color w:val="auto"/>
              </w:rPr>
            </w:pPr>
          </w:p>
        </w:tc>
        <w:tc>
          <w:tcPr>
            <w:tcW w:w="6540" w:type="dxa"/>
            <w:vAlign w:val="bottom"/>
            <w:gridSpan w:val="3"/>
          </w:tcPr>
          <w:p>
            <w:pPr>
              <w:spacing w:after="0"/>
              <w:rPr>
                <w:sz w:val="20"/>
                <w:szCs w:val="20"/>
                <w:color w:val="auto"/>
              </w:rPr>
            </w:pPr>
            <w:r>
              <w:rPr>
                <w:rFonts w:ascii="Arial" w:cs="Arial" w:eastAsia="Arial" w:hAnsi="Arial"/>
                <w:sz w:val="22"/>
                <w:szCs w:val="22"/>
                <w:color w:val="auto"/>
              </w:rPr>
              <w:t>Attn: Kyle Scanlon</w:t>
            </w:r>
          </w:p>
        </w:tc>
      </w:tr>
      <w:tr>
        <w:trPr>
          <w:trHeight w:val="257"/>
        </w:trPr>
        <w:tc>
          <w:tcPr>
            <w:tcW w:w="1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540" w:type="dxa"/>
            <w:vAlign w:val="bottom"/>
            <w:gridSpan w:val="3"/>
          </w:tcPr>
          <w:p>
            <w:pPr>
              <w:ind w:left="880"/>
              <w:spacing w:after="0"/>
              <w:rPr>
                <w:sz w:val="20"/>
                <w:szCs w:val="20"/>
                <w:color w:val="auto"/>
              </w:rPr>
            </w:pPr>
            <w:r>
              <w:rPr>
                <w:rFonts w:ascii="Arial" w:cs="Arial" w:eastAsia="Arial" w:hAnsi="Arial"/>
                <w:sz w:val="22"/>
                <w:szCs w:val="22"/>
                <w:color w:val="auto"/>
              </w:rPr>
              <w:t>388 Greenwich St</w:t>
            </w:r>
          </w:p>
        </w:tc>
      </w:tr>
      <w:tr>
        <w:trPr>
          <w:trHeight w:val="274"/>
        </w:trPr>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540" w:type="dxa"/>
            <w:vAlign w:val="bottom"/>
            <w:gridSpan w:val="3"/>
          </w:tcPr>
          <w:p>
            <w:pPr>
              <w:ind w:left="880"/>
              <w:spacing w:after="0"/>
              <w:rPr>
                <w:sz w:val="20"/>
                <w:szCs w:val="20"/>
                <w:color w:val="auto"/>
              </w:rPr>
            </w:pPr>
            <w:r>
              <w:rPr>
                <w:rFonts w:ascii="Arial" w:cs="Arial" w:eastAsia="Arial" w:hAnsi="Arial"/>
                <w:sz w:val="22"/>
                <w:szCs w:val="22"/>
                <w:color w:val="auto"/>
              </w:rPr>
              <w:t>New York, NY 10013</w:t>
            </w:r>
          </w:p>
        </w:tc>
      </w:tr>
    </w:tbl>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41"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b w:val="1"/>
          <w:bCs w:val="1"/>
          <w:color w:val="auto"/>
        </w:rPr>
        <w:t>New Commitment:</w:t>
      </w:r>
      <w:r>
        <w:rPr>
          <w:sz w:val="20"/>
          <w:szCs w:val="20"/>
          <w:color w:val="auto"/>
        </w:rPr>
        <w:tab/>
      </w:r>
      <w:r>
        <w:rPr>
          <w:rFonts w:ascii="Arial" w:cs="Arial" w:eastAsia="Arial" w:hAnsi="Arial"/>
          <w:sz w:val="19"/>
          <w:szCs w:val="19"/>
          <w:color w:val="auto"/>
        </w:rPr>
        <w:t>$35,000,000.00</w:t>
      </w:r>
    </w:p>
    <w:p>
      <w:pPr>
        <w:sectPr>
          <w:pgSz w:w="11900" w:h="16838" w:orient="portrait"/>
          <w:cols w:equalWidth="0" w:num="1">
            <w:col w:w="9799"/>
          </w:cols>
          <w:pgMar w:left="660" w:top="1399"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SCHEDULE 2</w:t>
            </w:r>
          </w:p>
        </w:tc>
        <w:tc>
          <w:tcPr>
            <w:tcW w:w="4300" w:type="dxa"/>
            <w:vAlign w:val="bottom"/>
          </w:tcPr>
          <w:p>
            <w:pPr>
              <w:spacing w:after="0"/>
              <w:rPr>
                <w:sz w:val="21"/>
                <w:szCs w:val="21"/>
                <w:color w:val="auto"/>
              </w:rPr>
            </w:pPr>
          </w:p>
        </w:tc>
      </w:tr>
      <w:tr>
        <w:trPr>
          <w:trHeight w:val="713"/>
        </w:trPr>
        <w:tc>
          <w:tcPr>
            <w:tcW w:w="4120" w:type="dxa"/>
            <w:vAlign w:val="bottom"/>
          </w:tcPr>
          <w:p>
            <w:pPr>
              <w:spacing w:after="0"/>
              <w:rPr>
                <w:sz w:val="24"/>
                <w:szCs w:val="24"/>
                <w:color w:val="auto"/>
              </w:rPr>
            </w:pPr>
          </w:p>
        </w:tc>
        <w:tc>
          <w:tcPr>
            <w:tcW w:w="6460" w:type="dxa"/>
            <w:vAlign w:val="bottom"/>
            <w:gridSpan w:val="3"/>
          </w:tcPr>
          <w:p>
            <w:pPr>
              <w:jc w:val="center"/>
              <w:ind w:right="3500"/>
              <w:spacing w:after="0"/>
              <w:rPr>
                <w:sz w:val="20"/>
                <w:szCs w:val="20"/>
                <w:color w:val="auto"/>
              </w:rPr>
            </w:pPr>
            <w:r>
              <w:rPr>
                <w:rFonts w:ascii="Arial" w:cs="Arial" w:eastAsia="Arial" w:hAnsi="Arial"/>
                <w:sz w:val="20"/>
                <w:szCs w:val="20"/>
                <w:b w:val="1"/>
                <w:bCs w:val="1"/>
                <w:color w:val="auto"/>
                <w:w w:val="95"/>
              </w:rPr>
              <w:t>SCHEDULE 2.01</w:t>
            </w:r>
          </w:p>
        </w:tc>
      </w:tr>
      <w:tr>
        <w:trPr>
          <w:trHeight w:val="473"/>
        </w:trPr>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60" w:type="dxa"/>
            <w:vAlign w:val="bottom"/>
            <w:gridSpan w:val="2"/>
          </w:tcPr>
          <w:p>
            <w:pPr>
              <w:jc w:val="center"/>
              <w:ind w:right="4300"/>
              <w:spacing w:after="0"/>
              <w:rPr>
                <w:sz w:val="20"/>
                <w:szCs w:val="20"/>
                <w:color w:val="auto"/>
              </w:rPr>
            </w:pPr>
            <w:r>
              <w:rPr>
                <w:rFonts w:ascii="Arial" w:cs="Arial" w:eastAsia="Arial" w:hAnsi="Arial"/>
                <w:sz w:val="20"/>
                <w:szCs w:val="20"/>
                <w:b w:val="1"/>
                <w:bCs w:val="1"/>
                <w:color w:val="auto"/>
                <w:w w:val="89"/>
              </w:rPr>
              <w:t>Commitments</w:t>
            </w:r>
          </w:p>
        </w:tc>
      </w:tr>
      <w:tr>
        <w:trPr>
          <w:trHeight w:val="559"/>
        </w:trPr>
        <w:tc>
          <w:tcPr>
            <w:tcW w:w="4120" w:type="dxa"/>
            <w:vAlign w:val="bottom"/>
          </w:tcPr>
          <w:p>
            <w:pPr>
              <w:spacing w:after="0"/>
              <w:rPr>
                <w:sz w:val="20"/>
                <w:szCs w:val="20"/>
                <w:color w:val="auto"/>
              </w:rPr>
            </w:pPr>
            <w:r>
              <w:rPr>
                <w:rFonts w:ascii="Arial" w:cs="Arial" w:eastAsia="Arial" w:hAnsi="Arial"/>
                <w:sz w:val="22"/>
                <w:szCs w:val="22"/>
                <w:color w:val="auto"/>
              </w:rPr>
              <w:t>JPMorgan Chase Bank, N.A.</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$72,500,000</w:t>
            </w:r>
          </w:p>
        </w:tc>
      </w:tr>
      <w:tr>
        <w:trPr>
          <w:trHeight w:val="310"/>
        </w:trPr>
        <w:tc>
          <w:tcPr>
            <w:tcW w:w="4120" w:type="dxa"/>
            <w:vAlign w:val="bottom"/>
          </w:tcPr>
          <w:p>
            <w:pPr>
              <w:spacing w:after="0"/>
              <w:rPr>
                <w:sz w:val="20"/>
                <w:szCs w:val="20"/>
                <w:color w:val="auto"/>
              </w:rPr>
            </w:pPr>
            <w:r>
              <w:rPr>
                <w:rFonts w:ascii="Arial" w:cs="Arial" w:eastAsia="Arial" w:hAnsi="Arial"/>
                <w:sz w:val="22"/>
                <w:szCs w:val="22"/>
                <w:color w:val="auto"/>
              </w:rPr>
              <w:t>Goldman Sachs Lending Partners LLC</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$72,500,000</w:t>
            </w:r>
          </w:p>
        </w:tc>
      </w:tr>
      <w:tr>
        <w:trPr>
          <w:trHeight w:val="311"/>
        </w:trPr>
        <w:tc>
          <w:tcPr>
            <w:tcW w:w="4120" w:type="dxa"/>
            <w:vAlign w:val="bottom"/>
          </w:tcPr>
          <w:p>
            <w:pPr>
              <w:spacing w:after="0"/>
              <w:rPr>
                <w:sz w:val="20"/>
                <w:szCs w:val="20"/>
                <w:color w:val="auto"/>
              </w:rPr>
            </w:pPr>
            <w:r>
              <w:rPr>
                <w:rFonts w:ascii="Arial" w:cs="Arial" w:eastAsia="Arial" w:hAnsi="Arial"/>
                <w:sz w:val="22"/>
                <w:szCs w:val="22"/>
                <w:color w:val="auto"/>
              </w:rPr>
              <w:t>Silicon Valley Bank</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$35,000,000</w:t>
            </w:r>
          </w:p>
        </w:tc>
      </w:tr>
      <w:tr>
        <w:trPr>
          <w:trHeight w:val="311"/>
        </w:trPr>
        <w:tc>
          <w:tcPr>
            <w:tcW w:w="4120" w:type="dxa"/>
            <w:vAlign w:val="bottom"/>
          </w:tcPr>
          <w:p>
            <w:pPr>
              <w:spacing w:after="0"/>
              <w:rPr>
                <w:sz w:val="20"/>
                <w:szCs w:val="20"/>
                <w:color w:val="auto"/>
              </w:rPr>
            </w:pPr>
            <w:r>
              <w:rPr>
                <w:rFonts w:ascii="Arial" w:cs="Arial" w:eastAsia="Arial" w:hAnsi="Arial"/>
                <w:sz w:val="22"/>
                <w:szCs w:val="22"/>
                <w:color w:val="auto"/>
              </w:rPr>
              <w:t>Bank of America, N.A.</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$35,000,000</w:t>
            </w:r>
          </w:p>
        </w:tc>
      </w:tr>
      <w:tr>
        <w:trPr>
          <w:trHeight w:val="310"/>
        </w:trPr>
        <w:tc>
          <w:tcPr>
            <w:tcW w:w="4120" w:type="dxa"/>
            <w:vAlign w:val="bottom"/>
          </w:tcPr>
          <w:p>
            <w:pPr>
              <w:spacing w:after="0"/>
              <w:rPr>
                <w:sz w:val="20"/>
                <w:szCs w:val="20"/>
                <w:color w:val="auto"/>
              </w:rPr>
            </w:pPr>
            <w:r>
              <w:rPr>
                <w:rFonts w:ascii="Arial" w:cs="Arial" w:eastAsia="Arial" w:hAnsi="Arial"/>
                <w:sz w:val="22"/>
                <w:szCs w:val="22"/>
                <w:color w:val="auto"/>
              </w:rPr>
              <w:t>Barclays Bank PLC</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$35,000,000</w:t>
            </w:r>
          </w:p>
        </w:tc>
      </w:tr>
      <w:tr>
        <w:trPr>
          <w:trHeight w:val="311"/>
        </w:trPr>
        <w:tc>
          <w:tcPr>
            <w:tcW w:w="4120" w:type="dxa"/>
            <w:vAlign w:val="bottom"/>
          </w:tcPr>
          <w:p>
            <w:pPr>
              <w:spacing w:after="0"/>
              <w:rPr>
                <w:sz w:val="20"/>
                <w:szCs w:val="20"/>
                <w:color w:val="auto"/>
              </w:rPr>
            </w:pPr>
            <w:r>
              <w:rPr>
                <w:rFonts w:ascii="Arial" w:cs="Arial" w:eastAsia="Arial" w:hAnsi="Arial"/>
                <w:sz w:val="22"/>
                <w:szCs w:val="22"/>
                <w:color w:val="auto"/>
              </w:rPr>
              <w:t>Citibank, N.A.</w:t>
            </w:r>
          </w:p>
        </w:tc>
        <w:tc>
          <w:tcPr>
            <w:tcW w:w="6460" w:type="dxa"/>
            <w:vAlign w:val="bottom"/>
            <w:gridSpan w:val="3"/>
          </w:tcPr>
          <w:p>
            <w:pPr>
              <w:jc w:val="right"/>
              <w:spacing w:after="0"/>
              <w:rPr>
                <w:sz w:val="20"/>
                <w:szCs w:val="20"/>
                <w:color w:val="auto"/>
              </w:rPr>
            </w:pPr>
            <w:r>
              <w:rPr>
                <w:rFonts w:ascii="Arial" w:cs="Arial" w:eastAsia="Arial" w:hAnsi="Arial"/>
                <w:sz w:val="22"/>
                <w:szCs w:val="22"/>
                <w:color w:val="auto"/>
              </w:rPr>
              <w:t>$35,000,000</w:t>
            </w:r>
          </w:p>
        </w:tc>
      </w:tr>
      <w:tr>
        <w:trPr>
          <w:trHeight w:val="310"/>
        </w:trPr>
        <w:tc>
          <w:tcPr>
            <w:tcW w:w="4120" w:type="dxa"/>
            <w:vAlign w:val="bottom"/>
          </w:tcPr>
          <w:p>
            <w:pPr>
              <w:ind w:left="660"/>
              <w:spacing w:after="0"/>
              <w:rPr>
                <w:sz w:val="20"/>
                <w:szCs w:val="20"/>
                <w:color w:val="auto"/>
              </w:rPr>
            </w:pPr>
            <w:r>
              <w:rPr>
                <w:rFonts w:ascii="Arial" w:cs="Arial" w:eastAsia="Arial" w:hAnsi="Arial"/>
                <w:sz w:val="22"/>
                <w:szCs w:val="22"/>
                <w:b w:val="1"/>
                <w:bCs w:val="1"/>
                <w:color w:val="auto"/>
              </w:rPr>
              <w:t>Total</w:t>
            </w:r>
          </w:p>
        </w:tc>
        <w:tc>
          <w:tcPr>
            <w:tcW w:w="6460" w:type="dxa"/>
            <w:vAlign w:val="bottom"/>
            <w:gridSpan w:val="3"/>
          </w:tcPr>
          <w:p>
            <w:pPr>
              <w:jc w:val="right"/>
              <w:spacing w:after="0"/>
              <w:rPr>
                <w:sz w:val="20"/>
                <w:szCs w:val="20"/>
                <w:color w:val="auto"/>
              </w:rPr>
            </w:pPr>
            <w:r>
              <w:rPr>
                <w:rFonts w:ascii="Arial" w:cs="Arial" w:eastAsia="Arial" w:hAnsi="Arial"/>
                <w:sz w:val="22"/>
                <w:szCs w:val="22"/>
                <w:b w:val="1"/>
                <w:bCs w:val="1"/>
                <w:color w:val="auto"/>
              </w:rPr>
              <w:t>$285,000,000</w:t>
            </w:r>
          </w:p>
        </w:tc>
      </w:tr>
    </w:tbl>
    <w:p>
      <w:pPr>
        <w:sectPr>
          <w:pgSz w:w="11900" w:h="16838" w:orient="portrait"/>
          <w:cols w:equalWidth="0" w:num="1">
            <w:col w:w="10580"/>
          </w:cols>
          <w:pgMar w:left="340" w:top="1399" w:right="97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04"/>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6"/>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2021-05-07T05:39:29Z</dcterms:created>
  <dcterms:modified xsi:type="dcterms:W3CDTF">2021-05-07T05:39:29Z</dcterms:modified>
</cp:coreProperties>
</file>