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540385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520" w:hanging="34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-69850</wp:posOffset>
            </wp:positionV>
            <wp:extent cx="67945" cy="69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December 31, 2020</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220" w:lineRule="exact"/>
        <w:rPr>
          <w:sz w:val="24"/>
          <w:szCs w:val="24"/>
          <w:color w:val="auto"/>
        </w:rPr>
      </w:pPr>
    </w:p>
    <w:p>
      <w:pPr>
        <w:ind w:left="520" w:hanging="340"/>
        <w:spacing w:after="0"/>
        <w:tabs>
          <w:tab w:leader="none" w:pos="5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wp:posOffset>
            </wp:positionH>
            <wp:positionV relativeFrom="paragraph">
              <wp:posOffset>-69850</wp:posOffset>
            </wp:positionV>
            <wp:extent cx="67945" cy="69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296" w:lineRule="exact"/>
        <w:rPr>
          <w:sz w:val="24"/>
          <w:szCs w:val="24"/>
          <w:color w:val="auto"/>
        </w:rPr>
      </w:pPr>
    </w:p>
    <w:tbl>
      <w:tblPr>
        <w:tblLayout w:type="fixed"/>
        <w:tblInd w:w="650" w:type="dxa"/>
        <w:tblCellMar>
          <w:top w:w="0" w:type="dxa"/>
          <w:left w:w="0" w:type="dxa"/>
          <w:bottom w:w="0" w:type="dxa"/>
          <w:right w:w="0" w:type="dxa"/>
        </w:tblCellMar>
      </w:tblPr>
      <w:tr>
        <w:trPr>
          <w:trHeight w:val="200"/>
        </w:trPr>
        <w:tc>
          <w:tcPr>
            <w:tcW w:w="2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4"/>
                <w:szCs w:val="14"/>
                <w:b w:val="1"/>
                <w:bCs w:val="1"/>
                <w:color w:val="auto"/>
              </w:rPr>
              <w:t>For the transition period from to</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rPr>
              <w:t>Commission File Number: 001-39058</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2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40" w:type="dxa"/>
            <w:vAlign w:val="bottom"/>
            <w:gridSpan w:val="5"/>
          </w:tcPr>
          <w:p>
            <w:pPr>
              <w:jc w:val="center"/>
              <w:ind w:right="3415"/>
              <w:spacing w:after="0"/>
              <w:rPr>
                <w:sz w:val="20"/>
                <w:szCs w:val="20"/>
                <w:color w:val="auto"/>
              </w:rPr>
            </w:pPr>
            <w:r>
              <w:rPr>
                <w:rFonts w:ascii="Arial" w:cs="Arial" w:eastAsia="Arial" w:hAnsi="Arial"/>
                <w:sz w:val="25"/>
                <w:szCs w:val="25"/>
                <w:b w:val="1"/>
                <w:bCs w:val="1"/>
                <w:color w:val="auto"/>
              </w:rPr>
              <w:t>Peloton Interactive, Inc.</w:t>
            </w:r>
          </w:p>
        </w:tc>
        <w:tc>
          <w:tcPr>
            <w:tcW w:w="0" w:type="dxa"/>
            <w:vAlign w:val="bottom"/>
          </w:tcPr>
          <w:p>
            <w:pPr>
              <w:spacing w:after="0"/>
              <w:rPr>
                <w:sz w:val="1"/>
                <w:szCs w:val="1"/>
                <w:color w:val="auto"/>
              </w:rPr>
            </w:pPr>
          </w:p>
        </w:tc>
      </w:tr>
      <w:tr>
        <w:trPr>
          <w:trHeight w:val="240"/>
        </w:trPr>
        <w:tc>
          <w:tcPr>
            <w:tcW w:w="2880" w:type="dxa"/>
            <w:vAlign w:val="bottom"/>
          </w:tcPr>
          <w:p>
            <w:pPr>
              <w:spacing w:after="0"/>
              <w:rPr>
                <w:sz w:val="20"/>
                <w:szCs w:val="20"/>
                <w:color w:val="auto"/>
              </w:rPr>
            </w:pPr>
          </w:p>
        </w:tc>
        <w:tc>
          <w:tcPr>
            <w:tcW w:w="7140" w:type="dxa"/>
            <w:vAlign w:val="bottom"/>
            <w:gridSpan w:val="6"/>
          </w:tcPr>
          <w:p>
            <w:pPr>
              <w:jc w:val="center"/>
              <w:ind w:right="2815"/>
              <w:spacing w:after="0"/>
              <w:rPr>
                <w:sz w:val="20"/>
                <w:szCs w:val="20"/>
                <w:color w:val="auto"/>
              </w:rPr>
            </w:pPr>
            <w:r>
              <w:rPr>
                <w:rFonts w:ascii="Arial" w:cs="Arial" w:eastAsia="Arial" w:hAnsi="Arial"/>
                <w:sz w:val="17"/>
                <w:szCs w:val="17"/>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3"/>
        </w:trPr>
        <w:tc>
          <w:tcPr>
            <w:tcW w:w="2880" w:type="dxa"/>
            <w:vAlign w:val="bottom"/>
            <w:vMerge w:val="restart"/>
          </w:tcPr>
          <w:p>
            <w:pPr>
              <w:jc w:val="center"/>
              <w:ind w:left="594"/>
              <w:spacing w:after="0"/>
              <w:rPr>
                <w:sz w:val="20"/>
                <w:szCs w:val="20"/>
                <w:color w:val="auto"/>
              </w:rPr>
            </w:pPr>
            <w:r>
              <w:rPr>
                <w:rFonts w:ascii="Arial" w:cs="Arial" w:eastAsia="Arial" w:hAnsi="Arial"/>
                <w:sz w:val="14"/>
                <w:szCs w:val="14"/>
                <w:b w:val="1"/>
                <w:bCs w:val="1"/>
                <w:color w:val="auto"/>
              </w:rPr>
              <w:t>Delaware</w:t>
            </w: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vMerge w:val="restart"/>
          </w:tcPr>
          <w:p>
            <w:pPr>
              <w:jc w:val="right"/>
              <w:ind w:right="1335"/>
              <w:spacing w:after="0"/>
              <w:rPr>
                <w:sz w:val="20"/>
                <w:szCs w:val="20"/>
                <w:color w:val="auto"/>
              </w:rPr>
            </w:pPr>
            <w:r>
              <w:rPr>
                <w:rFonts w:ascii="Arial" w:cs="Arial" w:eastAsia="Arial" w:hAnsi="Arial"/>
                <w:sz w:val="14"/>
                <w:szCs w:val="14"/>
                <w:b w:val="1"/>
                <w:bCs w:val="1"/>
                <w:color w:val="auto"/>
              </w:rPr>
              <w:t>47-3533761</w:t>
            </w:r>
          </w:p>
        </w:tc>
        <w:tc>
          <w:tcPr>
            <w:tcW w:w="0" w:type="dxa"/>
            <w:vAlign w:val="bottom"/>
          </w:tcPr>
          <w:p>
            <w:pPr>
              <w:spacing w:after="0"/>
              <w:rPr>
                <w:sz w:val="1"/>
                <w:szCs w:val="1"/>
                <w:color w:val="auto"/>
              </w:rPr>
            </w:pPr>
          </w:p>
        </w:tc>
      </w:tr>
      <w:tr>
        <w:trPr>
          <w:trHeight w:val="212"/>
        </w:trPr>
        <w:tc>
          <w:tcPr>
            <w:tcW w:w="28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80" w:type="dxa"/>
            <w:vAlign w:val="bottom"/>
          </w:tcPr>
          <w:p>
            <w:pPr>
              <w:jc w:val="center"/>
              <w:ind w:left="594"/>
              <w:spacing w:after="0" w:line="120" w:lineRule="exact"/>
              <w:rPr>
                <w:sz w:val="20"/>
                <w:szCs w:val="20"/>
                <w:color w:val="auto"/>
              </w:rPr>
            </w:pPr>
            <w:r>
              <w:rPr>
                <w:rFonts w:ascii="Arial" w:cs="Arial" w:eastAsia="Arial" w:hAnsi="Arial"/>
                <w:sz w:val="11"/>
                <w:szCs w:val="11"/>
                <w:i w:val="1"/>
                <w:iCs w:val="1"/>
                <w:color w:val="auto"/>
              </w:rPr>
              <w:t>(State or other jurisdiction of</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60" w:type="dxa"/>
            <w:vAlign w:val="bottom"/>
          </w:tcPr>
          <w:p>
            <w:pPr>
              <w:jc w:val="center"/>
              <w:ind w:left="15"/>
              <w:spacing w:after="0" w:line="120" w:lineRule="exact"/>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2880" w:type="dxa"/>
            <w:vAlign w:val="bottom"/>
          </w:tcPr>
          <w:p>
            <w:pPr>
              <w:jc w:val="center"/>
              <w:ind w:left="594"/>
              <w:spacing w:after="0"/>
              <w:rPr>
                <w:sz w:val="20"/>
                <w:szCs w:val="20"/>
                <w:color w:val="auto"/>
              </w:rPr>
            </w:pPr>
            <w:r>
              <w:rPr>
                <w:rFonts w:ascii="Arial" w:cs="Arial" w:eastAsia="Arial" w:hAnsi="Arial"/>
                <w:sz w:val="11"/>
                <w:szCs w:val="11"/>
                <w:i w:val="1"/>
                <w:iCs w:val="1"/>
                <w:color w:val="auto"/>
              </w:rPr>
              <w:t>incorporation or organization)</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60" w:type="dxa"/>
            <w:vAlign w:val="bottom"/>
          </w:tcPr>
          <w:p>
            <w:pPr>
              <w:jc w:val="center"/>
              <w:ind w:left="35"/>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87"/>
        </w:trPr>
        <w:tc>
          <w:tcPr>
            <w:tcW w:w="2880" w:type="dxa"/>
            <w:vAlign w:val="bottom"/>
          </w:tcPr>
          <w:p>
            <w:pPr>
              <w:jc w:val="center"/>
              <w:ind w:left="594"/>
              <w:spacing w:after="0"/>
              <w:rPr>
                <w:sz w:val="20"/>
                <w:szCs w:val="20"/>
                <w:color w:val="auto"/>
              </w:rPr>
            </w:pPr>
            <w:r>
              <w:rPr>
                <w:rFonts w:ascii="Arial" w:cs="Arial" w:eastAsia="Arial" w:hAnsi="Arial"/>
                <w:sz w:val="14"/>
                <w:szCs w:val="14"/>
                <w:b w:val="1"/>
                <w:bCs w:val="1"/>
                <w:color w:val="auto"/>
              </w:rPr>
              <w:t>125 West 25th Street, 11th Floor</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right"/>
              <w:ind w:right="1515"/>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193"/>
        </w:trPr>
        <w:tc>
          <w:tcPr>
            <w:tcW w:w="2880" w:type="dxa"/>
            <w:vAlign w:val="bottom"/>
          </w:tcPr>
          <w:p>
            <w:pPr>
              <w:jc w:val="center"/>
              <w:ind w:left="594"/>
              <w:spacing w:after="0"/>
              <w:rPr>
                <w:sz w:val="20"/>
                <w:szCs w:val="20"/>
                <w:color w:val="auto"/>
              </w:rPr>
            </w:pPr>
            <w:r>
              <w:rPr>
                <w:rFonts w:ascii="Arial" w:cs="Arial" w:eastAsia="Arial" w:hAnsi="Arial"/>
                <w:sz w:val="14"/>
                <w:szCs w:val="14"/>
                <w:b w:val="1"/>
                <w:bCs w:val="1"/>
                <w:color w:val="auto"/>
                <w:w w:val="98"/>
              </w:rPr>
              <w:t>New York, New York</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center"/>
              <w:ind w:left="15"/>
              <w:spacing w:after="0"/>
              <w:rPr>
                <w:sz w:val="20"/>
                <w:szCs w:val="20"/>
                <w:color w:val="auto"/>
              </w:rPr>
            </w:pPr>
            <w:r>
              <w:rPr>
                <w:rFonts w:ascii="Arial" w:cs="Arial" w:eastAsia="Arial" w:hAnsi="Arial"/>
                <w:sz w:val="11"/>
                <w:szCs w:val="11"/>
                <w:i w:val="1"/>
                <w:iCs w:val="1"/>
                <w:color w:val="auto"/>
              </w:rPr>
              <w:t>(Zip Code)</w:t>
            </w:r>
          </w:p>
        </w:tc>
        <w:tc>
          <w:tcPr>
            <w:tcW w:w="0" w:type="dxa"/>
            <w:vAlign w:val="bottom"/>
          </w:tcPr>
          <w:p>
            <w:pPr>
              <w:spacing w:after="0"/>
              <w:rPr>
                <w:sz w:val="1"/>
                <w:szCs w:val="1"/>
                <w:color w:val="auto"/>
              </w:rPr>
            </w:pPr>
          </w:p>
        </w:tc>
      </w:tr>
      <w:tr>
        <w:trPr>
          <w:trHeight w:val="150"/>
        </w:trPr>
        <w:tc>
          <w:tcPr>
            <w:tcW w:w="2880" w:type="dxa"/>
            <w:vAlign w:val="bottom"/>
          </w:tcPr>
          <w:p>
            <w:pPr>
              <w:jc w:val="center"/>
              <w:ind w:left="594"/>
              <w:spacing w:after="0"/>
              <w:rPr>
                <w:sz w:val="20"/>
                <w:szCs w:val="20"/>
                <w:color w:val="auto"/>
              </w:rPr>
            </w:pPr>
            <w:r>
              <w:rPr>
                <w:rFonts w:ascii="Arial" w:cs="Arial" w:eastAsia="Arial" w:hAnsi="Arial"/>
                <w:sz w:val="11"/>
                <w:szCs w:val="11"/>
                <w:i w:val="1"/>
                <w:iCs w:val="1"/>
                <w:color w:val="auto"/>
              </w:rPr>
              <w:t>(Address of principal executive offices)</w:t>
            </w:r>
          </w:p>
        </w:tc>
        <w:tc>
          <w:tcPr>
            <w:tcW w:w="600" w:type="dxa"/>
            <w:vAlign w:val="bottom"/>
          </w:tcPr>
          <w:p>
            <w:pPr>
              <w:spacing w:after="0"/>
              <w:rPr>
                <w:sz w:val="13"/>
                <w:szCs w:val="13"/>
                <w:color w:val="auto"/>
              </w:rPr>
            </w:pPr>
          </w:p>
        </w:tc>
        <w:tc>
          <w:tcPr>
            <w:tcW w:w="2140" w:type="dxa"/>
            <w:vAlign w:val="bottom"/>
            <w:gridSpan w:val="2"/>
            <w:vMerge w:val="restart"/>
          </w:tcPr>
          <w:p>
            <w:pPr>
              <w:jc w:val="center"/>
              <w:ind w:left="822"/>
              <w:spacing w:after="0"/>
              <w:rPr>
                <w:sz w:val="20"/>
                <w:szCs w:val="20"/>
                <w:color w:val="auto"/>
              </w:rPr>
            </w:pPr>
            <w:r>
              <w:rPr>
                <w:rFonts w:ascii="Arial" w:cs="Arial" w:eastAsia="Arial" w:hAnsi="Arial"/>
                <w:sz w:val="14"/>
                <w:szCs w:val="14"/>
                <w:b w:val="1"/>
                <w:bCs w:val="1"/>
                <w:color w:val="auto"/>
              </w:rPr>
              <w:t>(866) 679-9129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gridSpan w:val="4"/>
          </w:tcPr>
          <w:p>
            <w:pPr>
              <w:jc w:val="center"/>
              <w:ind w:left="82"/>
              <w:spacing w:after="0"/>
              <w:rPr>
                <w:sz w:val="20"/>
                <w:szCs w:val="20"/>
                <w:color w:val="auto"/>
              </w:rPr>
            </w:pPr>
            <w:r>
              <w:rPr>
                <w:rFonts w:ascii="Arial" w:cs="Arial" w:eastAsia="Arial" w:hAnsi="Arial"/>
                <w:sz w:val="11"/>
                <w:szCs w:val="11"/>
                <w:i w:val="1"/>
                <w:iCs w:val="1"/>
                <w:color w:val="auto"/>
              </w:rPr>
              <w:t>(Registrant's telephone number, including area code)</w:t>
            </w: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28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6"/>
          </w:tcPr>
          <w:p>
            <w:pPr>
              <w:jc w:val="center"/>
              <w:ind w:right="2835"/>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71"/>
        </w:trPr>
        <w:tc>
          <w:tcPr>
            <w:tcW w:w="2880" w:type="dxa"/>
            <w:vAlign w:val="bottom"/>
            <w:tcBorders>
              <w:left w:val="single" w:sz="8" w:color="auto"/>
              <w:bottom w:val="single" w:sz="8" w:color="auto"/>
            </w:tcBorders>
          </w:tcPr>
          <w:p>
            <w:pPr>
              <w:jc w:val="center"/>
              <w:ind w:left="534"/>
              <w:spacing w:after="0"/>
              <w:rPr>
                <w:sz w:val="20"/>
                <w:szCs w:val="20"/>
                <w:color w:val="auto"/>
              </w:rPr>
            </w:pPr>
            <w:r>
              <w:rPr>
                <w:rFonts w:ascii="Arial" w:cs="Arial" w:eastAsia="Arial" w:hAnsi="Arial"/>
                <w:sz w:val="14"/>
                <w:szCs w:val="14"/>
                <w:color w:val="auto"/>
                <w:w w:val="99"/>
              </w:rPr>
              <w:t>Title of each class</w:t>
            </w:r>
          </w:p>
        </w:tc>
        <w:tc>
          <w:tcPr>
            <w:tcW w:w="60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9"/>
              </w:rPr>
              <w:t>Trading Symbol(s)</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60" w:type="dxa"/>
            <w:vAlign w:val="bottom"/>
            <w:tcBorders>
              <w:bottom w:val="single" w:sz="8" w:color="auto"/>
              <w:right w:val="single" w:sz="8" w:color="auto"/>
            </w:tcBorders>
          </w:tcPr>
          <w:p>
            <w:pPr>
              <w:jc w:val="center"/>
              <w:ind w:right="715"/>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29"/>
        </w:trPr>
        <w:tc>
          <w:tcPr>
            <w:tcW w:w="3480" w:type="dxa"/>
            <w:vAlign w:val="bottom"/>
            <w:tcBorders>
              <w:left w:val="single" w:sz="8" w:color="auto"/>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rPr>
              <w:t>Class A common stock, $0.000025 par value per</w:t>
            </w:r>
          </w:p>
        </w:tc>
        <w:tc>
          <w:tcPr>
            <w:tcW w:w="700" w:type="dxa"/>
            <w:vAlign w:val="bottom"/>
          </w:tcPr>
          <w:p>
            <w:pPr>
              <w:spacing w:after="0"/>
              <w:rPr>
                <w:sz w:val="11"/>
                <w:szCs w:val="11"/>
                <w:color w:val="auto"/>
              </w:rPr>
            </w:pPr>
          </w:p>
        </w:tc>
        <w:tc>
          <w:tcPr>
            <w:tcW w:w="1440" w:type="dxa"/>
            <w:vAlign w:val="bottom"/>
            <w:tcBorders>
              <w:right w:val="single" w:sz="8" w:color="auto"/>
            </w:tcBorders>
            <w:vMerge w:val="restart"/>
          </w:tcPr>
          <w:p>
            <w:pPr>
              <w:jc w:val="center"/>
              <w:ind w:right="669"/>
              <w:spacing w:after="0"/>
              <w:rPr>
                <w:sz w:val="20"/>
                <w:szCs w:val="20"/>
                <w:color w:val="auto"/>
              </w:rPr>
            </w:pPr>
            <w:r>
              <w:rPr>
                <w:rFonts w:ascii="Arial" w:cs="Arial" w:eastAsia="Arial" w:hAnsi="Arial"/>
                <w:sz w:val="14"/>
                <w:szCs w:val="14"/>
                <w:color w:val="auto"/>
                <w:w w:val="97"/>
              </w:rPr>
              <w:t>PTON</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60" w:type="dxa"/>
            <w:vAlign w:val="bottom"/>
            <w:tcBorders>
              <w:right w:val="single" w:sz="8" w:color="auto"/>
            </w:tcBorders>
            <w:vMerge w:val="restart"/>
          </w:tcPr>
          <w:p>
            <w:pPr>
              <w:jc w:val="center"/>
              <w:ind w:right="695"/>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2880" w:type="dxa"/>
            <w:vAlign w:val="bottom"/>
            <w:tcBorders>
              <w:left w:val="single" w:sz="8" w:color="auto"/>
            </w:tcBorders>
            <w:vMerge w:val="restart"/>
          </w:tcPr>
          <w:p>
            <w:pPr>
              <w:jc w:val="center"/>
              <w:ind w:left="534"/>
              <w:spacing w:after="0"/>
              <w:rPr>
                <w:sz w:val="20"/>
                <w:szCs w:val="20"/>
                <w:color w:val="auto"/>
              </w:rPr>
            </w:pPr>
            <w:r>
              <w:rPr>
                <w:rFonts w:ascii="Arial" w:cs="Arial" w:eastAsia="Arial" w:hAnsi="Arial"/>
                <w:sz w:val="14"/>
                <w:szCs w:val="14"/>
                <w:color w:val="auto"/>
              </w:rPr>
              <w:t>share</w:t>
            </w:r>
          </w:p>
        </w:tc>
        <w:tc>
          <w:tcPr>
            <w:tcW w:w="6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740" w:type="dxa"/>
            <w:vAlign w:val="bottom"/>
            <w:gridSpan w:val="2"/>
          </w:tcPr>
          <w:p>
            <w:pPr>
              <w:spacing w:after="0"/>
              <w:rPr>
                <w:sz w:val="9"/>
                <w:szCs w:val="9"/>
                <w:color w:val="auto"/>
              </w:rPr>
            </w:pP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880" w:type="dxa"/>
            <w:vAlign w:val="bottom"/>
            <w:tcBorders>
              <w:left w:val="single" w:sz="8" w:color="auto"/>
              <w:bottom w:val="single" w:sz="8" w:color="auto"/>
            </w:tcBorders>
            <w:vMerge w:val="continue"/>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570230</wp:posOffset>
            </wp:positionH>
            <wp:positionV relativeFrom="paragraph">
              <wp:posOffset>-104140</wp:posOffset>
            </wp:positionV>
            <wp:extent cx="67945" cy="69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-104140</wp:posOffset>
            </wp:positionV>
            <wp:extent cx="67945" cy="69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202"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5276850</wp:posOffset>
            </wp:positionH>
            <wp:positionV relativeFrom="paragraph">
              <wp:posOffset>-104775</wp:posOffset>
            </wp:positionV>
            <wp:extent cx="67945" cy="69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-104775</wp:posOffset>
            </wp:positionV>
            <wp:extent cx="67945" cy="69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680" w:type="dxa"/>
        <w:tblCellMar>
          <w:top w:w="0" w:type="dxa"/>
          <w:left w:w="0" w:type="dxa"/>
          <w:bottom w:w="0" w:type="dxa"/>
          <w:right w:w="0" w:type="dxa"/>
        </w:tblCellMar>
      </w:tblPr>
      <w:tr>
        <w:trPr>
          <w:trHeight w:val="191"/>
        </w:trPr>
        <w:tc>
          <w:tcPr>
            <w:tcW w:w="2000" w:type="dxa"/>
            <w:vAlign w:val="bottom"/>
          </w:tcPr>
          <w:p>
            <w:pPr>
              <w:jc w:val="center"/>
              <w:ind w:right="529"/>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000" w:type="dxa"/>
            <w:vAlign w:val="bottom"/>
          </w:tcPr>
          <w:p>
            <w:pPr>
              <w:jc w:val="center"/>
              <w:ind w:right="549"/>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-354965</wp:posOffset>
            </wp:positionV>
            <wp:extent cx="67945" cy="69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-354965</wp:posOffset>
            </wp:positionV>
            <wp:extent cx="67945" cy="69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-233680</wp:posOffset>
            </wp:positionV>
            <wp:extent cx="67945" cy="69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-233680</wp:posOffset>
            </wp:positionV>
            <wp:extent cx="67945" cy="69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-105410</wp:posOffset>
            </wp:positionV>
            <wp:extent cx="67945" cy="69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211" w:lineRule="exact"/>
        <w:rPr>
          <w:sz w:val="24"/>
          <w:szCs w:val="24"/>
          <w:color w:val="auto"/>
        </w:rPr>
      </w:pPr>
    </w:p>
    <w:p>
      <w:pPr>
        <w:ind w:right="54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3145790</wp:posOffset>
            </wp:positionH>
            <wp:positionV relativeFrom="paragraph">
              <wp:posOffset>-104775</wp:posOffset>
            </wp:positionV>
            <wp:extent cx="67945" cy="69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89" w:lineRule="exact"/>
        <w:rPr>
          <w:sz w:val="24"/>
          <w:szCs w:val="24"/>
          <w:color w:val="auto"/>
        </w:rPr>
      </w:pPr>
    </w:p>
    <w:p>
      <w:pPr>
        <w:spacing w:after="0" w:line="161" w:lineRule="exact"/>
        <w:tabs>
          <w:tab w:leader="none" w:pos="658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4393565</wp:posOffset>
            </wp:positionH>
            <wp:positionV relativeFrom="paragraph">
              <wp:posOffset>-67310</wp:posOffset>
            </wp:positionV>
            <wp:extent cx="67945" cy="69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692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-67310</wp:posOffset>
            </wp:positionV>
            <wp:extent cx="67945" cy="69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165" w:lineRule="exact"/>
        <w:rPr>
          <w:sz w:val="24"/>
          <w:szCs w:val="24"/>
          <w:color w:val="auto"/>
        </w:rPr>
      </w:pPr>
    </w:p>
    <w:p>
      <w:pPr>
        <w:ind w:right="40"/>
        <w:spacing w:after="0" w:line="248" w:lineRule="auto"/>
        <w:rPr>
          <w:sz w:val="20"/>
          <w:szCs w:val="20"/>
          <w:color w:val="auto"/>
        </w:rPr>
      </w:pPr>
      <w:r>
        <w:rPr>
          <w:rFonts w:ascii="Arial" w:cs="Arial" w:eastAsia="Arial" w:hAnsi="Arial"/>
          <w:sz w:val="14"/>
          <w:szCs w:val="14"/>
          <w:color w:val="auto"/>
        </w:rPr>
        <w:t>As of January 29, 2021, the number of shares of the registrant's Class A common stock outstanding was 263,637,415 and the number of shares of the registrant's Class B common stock outstanding was 30,864,250.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13"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587375</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607695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66"/>
        </w:trPr>
        <w:tc>
          <w:tcPr>
            <w:tcW w:w="88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Special Note Regarding Forward Looking Statements</w:t>
              </w:r>
            </w:hyperlink>
          </w:p>
        </w:tc>
        <w:tc>
          <w:tcPr>
            <w:tcW w:w="800" w:type="dxa"/>
            <w:vAlign w:val="bottom"/>
          </w:tcPr>
          <w:p>
            <w:pPr>
              <w:jc w:val="center"/>
              <w:ind w:right="56"/>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3</w:t>
              </w:r>
            </w:hyperlink>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8"/>
          </w:tcPr>
          <w:p>
            <w:pPr>
              <w:jc w:val="center"/>
              <w:ind w:right="3580"/>
              <w:spacing w:after="0"/>
              <w:rPr>
                <w:sz w:val="20"/>
                <w:szCs w:val="20"/>
                <w:color w:val="auto"/>
              </w:rPr>
            </w:pPr>
            <w:r>
              <w:rPr>
                <w:rFonts w:ascii="Arial" w:cs="Arial" w:eastAsia="Arial" w:hAnsi="Arial"/>
                <w:sz w:val="13"/>
                <w:szCs w:val="13"/>
                <w:b w:val="1"/>
                <w:bCs w:val="1"/>
                <w:color w:val="auto"/>
                <w:w w:val="98"/>
              </w:rPr>
              <w:t>Part I. Financial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80" w:type="dxa"/>
            <w:vAlign w:val="bottom"/>
          </w:tcPr>
          <w:p>
            <w:pPr>
              <w:ind w:left="20"/>
              <w:spacing w:after="0"/>
              <w:rPr>
                <w:rFonts w:ascii="Arial" w:cs="Arial" w:eastAsia="Arial" w:hAnsi="Arial"/>
                <w:sz w:val="13"/>
                <w:szCs w:val="13"/>
                <w:u w:val="single" w:color="auto"/>
                <w:color w:val="0000FF"/>
              </w:rPr>
            </w:pPr>
            <w:hyperlink w:anchor="page4">
              <w:r>
                <w:rPr>
                  <w:rFonts w:ascii="Arial" w:cs="Arial" w:eastAsia="Arial" w:hAnsi="Arial"/>
                  <w:sz w:val="13"/>
                  <w:szCs w:val="13"/>
                  <w:u w:val="single" w:color="auto"/>
                  <w:color w:val="0000FF"/>
                </w:rPr>
                <w:t>Item 1</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Financial Statements</w:t>
              </w:r>
            </w:hyperlink>
          </w:p>
        </w:tc>
        <w:tc>
          <w:tcPr>
            <w:tcW w:w="800" w:type="dxa"/>
            <w:vAlign w:val="bottom"/>
          </w:tcPr>
          <w:p>
            <w:pPr>
              <w:jc w:val="center"/>
              <w:ind w:right="56"/>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5</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600" w:type="dxa"/>
            <w:vAlign w:val="bottom"/>
            <w:gridSpan w:val="12"/>
          </w:tcPr>
          <w:p>
            <w:pPr>
              <w:spacing w:after="0" w:line="142" w:lineRule="exact"/>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Balance Sheets as of December 31, </w:t>
              </w:r>
              <w:r>
                <w:rPr>
                  <w:rFonts w:ascii="Arial" w:cs="Arial" w:eastAsia="Arial" w:hAnsi="Arial"/>
                  <w:sz w:val="13"/>
                  <w:szCs w:val="13"/>
                  <w:u w:val="single" w:color="auto"/>
                  <w:color w:val="0000FF"/>
                </w:rPr>
                <w:t>2020 and June 30, 2020 (unaudited)</w:t>
              </w:r>
            </w:hyperlink>
          </w:p>
        </w:tc>
        <w:tc>
          <w:tcPr>
            <w:tcW w:w="800" w:type="dxa"/>
            <w:vAlign w:val="bottom"/>
          </w:tcPr>
          <w:p>
            <w:pPr>
              <w:jc w:val="center"/>
              <w:ind w:right="56"/>
              <w:spacing w:after="0" w:line="142" w:lineRule="exact"/>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9600" w:type="dxa"/>
            <w:vAlign w:val="bottom"/>
            <w:gridSpan w:val="12"/>
          </w:tcPr>
          <w:p>
            <w:pPr>
              <w:spacing w:after="0"/>
              <w:rPr>
                <w:rFonts w:ascii="Arial" w:cs="Arial" w:eastAsia="Arial" w:hAnsi="Arial"/>
                <w:sz w:val="13"/>
                <w:szCs w:val="13"/>
                <w:color w:val="0000FF"/>
                <w:w w:val="99"/>
              </w:rPr>
            </w:pPr>
            <w:hyperlink w:anchor="page5">
              <w:r>
                <w:rPr>
                  <w:rFonts w:ascii="Arial" w:cs="Arial" w:eastAsia="Arial" w:hAnsi="Arial"/>
                  <w:sz w:val="13"/>
                  <w:szCs w:val="13"/>
                  <w:u w:val="single" w:color="auto"/>
                  <w:color w:val="0000FF"/>
                  <w:w w:val="99"/>
                </w:rPr>
                <w:t>Condensed Consolidated Statements of Operations and Comprehensive Income (Loss) for the Three</w:t>
              </w:r>
              <w:r>
                <w:rPr>
                  <w:rFonts w:ascii="Arial" w:cs="Arial" w:eastAsia="Arial" w:hAnsi="Arial"/>
                  <w:sz w:val="13"/>
                  <w:szCs w:val="13"/>
                  <w:color w:val="0000FF"/>
                  <w:w w:val="99"/>
                </w:rPr>
                <w:t xml:space="preserve"> and Six Months Ended December 31, </w:t>
              </w:r>
              <w:r>
                <w:rPr>
                  <w:rFonts w:ascii="Arial" w:cs="Arial" w:eastAsia="Arial" w:hAnsi="Arial"/>
                  <w:sz w:val="13"/>
                  <w:szCs w:val="13"/>
                  <w:u w:val="single" w:color="auto"/>
                  <w:color w:val="0000FF"/>
                  <w:w w:val="99"/>
                </w:rPr>
                <w:t>2020 and 2019 (unaudited)</w:t>
              </w:r>
            </w:hyperlink>
          </w:p>
        </w:tc>
        <w:tc>
          <w:tcPr>
            <w:tcW w:w="800" w:type="dxa"/>
            <w:vAlign w:val="bottom"/>
          </w:tcPr>
          <w:p>
            <w:pPr>
              <w:jc w:val="center"/>
              <w:ind w:right="56"/>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9600" w:type="dxa"/>
            <w:vAlign w:val="bottom"/>
            <w:gridSpan w:val="12"/>
          </w:tcPr>
          <w:p>
            <w:pPr>
              <w:spacing w:after="0"/>
              <w:rPr>
                <w:rFonts w:ascii="Arial" w:cs="Arial" w:eastAsia="Arial" w:hAnsi="Arial"/>
                <w:sz w:val="13"/>
                <w:szCs w:val="13"/>
                <w:color w:val="0000FF"/>
              </w:rPr>
            </w:pPr>
            <w:hyperlink w:anchor="page6">
              <w:r>
                <w:rPr>
                  <w:rFonts w:ascii="Arial" w:cs="Arial" w:eastAsia="Arial" w:hAnsi="Arial"/>
                  <w:sz w:val="13"/>
                  <w:szCs w:val="13"/>
                  <w:u w:val="single" w:color="auto"/>
                  <w:color w:val="0000FF"/>
                </w:rPr>
                <w:t>Condensed Consolidated Statements of Cash Flows for the</w:t>
              </w:r>
              <w:r>
                <w:rPr>
                  <w:rFonts w:ascii="Arial" w:cs="Arial" w:eastAsia="Arial" w:hAnsi="Arial"/>
                  <w:sz w:val="13"/>
                  <w:szCs w:val="13"/>
                  <w:color w:val="0000FF"/>
                </w:rPr>
                <w:t xml:space="preserve"> Six Months Ended December </w:t>
              </w:r>
              <w:r>
                <w:rPr>
                  <w:rFonts w:ascii="Arial" w:cs="Arial" w:eastAsia="Arial" w:hAnsi="Arial"/>
                  <w:sz w:val="13"/>
                  <w:szCs w:val="13"/>
                  <w:u w:val="single" w:color="auto"/>
                  <w:color w:val="0000FF"/>
                </w:rPr>
                <w:t>31, 2020 and 2019 (unaudited)</w:t>
              </w:r>
            </w:hyperlink>
          </w:p>
        </w:tc>
        <w:tc>
          <w:tcPr>
            <w:tcW w:w="800" w:type="dxa"/>
            <w:vAlign w:val="bottom"/>
          </w:tcPr>
          <w:p>
            <w:pPr>
              <w:jc w:val="center"/>
              <w:ind w:right="56"/>
              <w:spacing w:after="0"/>
              <w:rPr>
                <w:rFonts w:ascii="Arial" w:cs="Arial" w:eastAsia="Arial" w:hAnsi="Arial"/>
                <w:sz w:val="13"/>
                <w:szCs w:val="13"/>
                <w:u w:val="single" w:color="auto"/>
                <w:color w:val="0000FF"/>
              </w:rPr>
            </w:pPr>
            <w:hyperlink w:anchor="page6">
              <w:r>
                <w:rPr>
                  <w:rFonts w:ascii="Arial" w:cs="Arial" w:eastAsia="Arial" w:hAnsi="Arial"/>
                  <w:sz w:val="13"/>
                  <w:szCs w:val="13"/>
                  <w:u w:val="single" w:color="auto"/>
                  <w:color w:val="0000FF"/>
                </w:rPr>
                <w:t>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9600" w:type="dxa"/>
            <w:vAlign w:val="bottom"/>
            <w:gridSpan w:val="12"/>
          </w:tcPr>
          <w:p>
            <w:pPr>
              <w:spacing w:after="0"/>
              <w:rPr>
                <w:rFonts w:ascii="Arial" w:cs="Arial" w:eastAsia="Arial" w:hAnsi="Arial"/>
                <w:sz w:val="13"/>
                <w:szCs w:val="13"/>
                <w:color w:val="0000FF"/>
              </w:rPr>
            </w:pPr>
            <w:hyperlink w:anchor="page8">
              <w:r>
                <w:rPr>
                  <w:rFonts w:ascii="Arial" w:cs="Arial" w:eastAsia="Arial" w:hAnsi="Arial"/>
                  <w:sz w:val="13"/>
                  <w:szCs w:val="13"/>
                  <w:u w:val="single" w:color="auto"/>
                  <w:color w:val="0000FF"/>
                </w:rPr>
                <w:t>Condensed Consolidated Statements of Changes in Stockholders' Equity for the Three Months Ended December 31, 2020 and 2019 (unaudited) and</w:t>
              </w:r>
              <w:r>
                <w:rPr>
                  <w:rFonts w:ascii="Arial" w:cs="Arial" w:eastAsia="Arial" w:hAnsi="Arial"/>
                  <w:sz w:val="13"/>
                  <w:szCs w:val="13"/>
                  <w:color w:val="0000FF"/>
                </w:rPr>
                <w:t xml:space="preserve"> Condensed</w:t>
              </w:r>
            </w:hyperlink>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vMerge w:val="restart"/>
          </w:tcPr>
          <w:p>
            <w:pPr>
              <w:ind w:left="100"/>
              <w:spacing w:after="0" w:line="128" w:lineRule="exact"/>
              <w:rPr>
                <w:rFonts w:ascii="Arial" w:cs="Arial" w:eastAsia="Arial" w:hAnsi="Arial"/>
                <w:sz w:val="13"/>
                <w:szCs w:val="13"/>
                <w:color w:val="0000FF"/>
              </w:rPr>
            </w:pPr>
            <w:hyperlink w:anchor="page8">
              <w:r>
                <w:rPr>
                  <w:rFonts w:ascii="Arial" w:cs="Arial" w:eastAsia="Arial" w:hAnsi="Arial"/>
                  <w:sz w:val="13"/>
                  <w:szCs w:val="13"/>
                  <w:color w:val="0000FF"/>
                </w:rPr>
                <w:t>and</w:t>
              </w:r>
            </w:hyperlink>
          </w:p>
        </w:tc>
        <w:tc>
          <w:tcPr>
            <w:tcW w:w="800" w:type="dxa"/>
            <w:vAlign w:val="bottom"/>
            <w:vMerge w:val="restart"/>
          </w:tcPr>
          <w:p>
            <w:pPr>
              <w:jc w:val="center"/>
              <w:ind w:right="56"/>
              <w:spacing w:after="0" w:line="128" w:lineRule="exact"/>
              <w:rPr>
                <w:rFonts w:ascii="Arial" w:cs="Arial" w:eastAsia="Arial" w:hAnsi="Arial"/>
                <w:sz w:val="13"/>
                <w:szCs w:val="13"/>
                <w:u w:val="single" w:color="auto"/>
                <w:color w:val="0000FF"/>
              </w:rPr>
            </w:pPr>
            <w:hyperlink w:anchor="page8">
              <w:r>
                <w:rPr>
                  <w:rFonts w:ascii="Arial" w:cs="Arial" w:eastAsia="Arial" w:hAnsi="Arial"/>
                  <w:sz w:val="13"/>
                  <w:szCs w:val="13"/>
                  <w:u w:val="single" w:color="auto"/>
                  <w:color w:val="0000FF"/>
                </w:rPr>
                <w:t>9</w:t>
              </w:r>
            </w:hyperlink>
          </w:p>
        </w:tc>
        <w:tc>
          <w:tcPr>
            <w:tcW w:w="0" w:type="dxa"/>
            <w:vAlign w:val="bottom"/>
          </w:tcPr>
          <w:p>
            <w:pPr>
              <w:spacing w:after="0" w:line="20" w:lineRule="exact"/>
              <w:rPr>
                <w:sz w:val="1"/>
                <w:szCs w:val="1"/>
                <w:color w:val="auto"/>
              </w:rPr>
            </w:pPr>
          </w:p>
        </w:tc>
      </w:tr>
      <w:tr>
        <w:trPr>
          <w:trHeight w:val="107"/>
        </w:trPr>
        <w:tc>
          <w:tcPr>
            <w:tcW w:w="880" w:type="dxa"/>
            <w:vAlign w:val="bottom"/>
          </w:tcPr>
          <w:p>
            <w:pPr>
              <w:spacing w:after="0"/>
              <w:rPr>
                <w:sz w:val="9"/>
                <w:szCs w:val="9"/>
                <w:color w:val="auto"/>
              </w:rPr>
            </w:pPr>
          </w:p>
        </w:tc>
        <w:tc>
          <w:tcPr>
            <w:tcW w:w="9060" w:type="dxa"/>
            <w:vAlign w:val="bottom"/>
            <w:gridSpan w:val="10"/>
          </w:tcPr>
          <w:p>
            <w:pPr>
              <w:spacing w:after="0" w:line="107" w:lineRule="exact"/>
              <w:rPr>
                <w:rFonts w:ascii="Arial" w:cs="Arial" w:eastAsia="Arial" w:hAnsi="Arial"/>
                <w:sz w:val="12"/>
                <w:szCs w:val="12"/>
                <w:color w:val="0000FF"/>
              </w:rPr>
            </w:pPr>
            <w:hyperlink w:anchor="page8">
              <w:r>
                <w:rPr>
                  <w:rFonts w:ascii="Arial" w:cs="Arial" w:eastAsia="Arial" w:hAnsi="Arial"/>
                  <w:sz w:val="12"/>
                  <w:szCs w:val="12"/>
                  <w:color w:val="0000FF"/>
                </w:rPr>
                <w:t xml:space="preserve">Consolidated Statements of Changes in Redeemable Convertible Preferred Stock and Stockholders' </w:t>
              </w:r>
              <w:r>
                <w:rPr>
                  <w:rFonts w:ascii="Arial" w:cs="Arial" w:eastAsia="Arial" w:hAnsi="Arial"/>
                  <w:sz w:val="12"/>
                  <w:szCs w:val="12"/>
                  <w:u w:val="single" w:color="auto"/>
                  <w:color w:val="0000FF"/>
                </w:rPr>
                <w:t>(Deficit) Equity</w:t>
              </w:r>
              <w:r>
                <w:rPr>
                  <w:rFonts w:ascii="Arial" w:cs="Arial" w:eastAsia="Arial" w:hAnsi="Arial"/>
                  <w:sz w:val="12"/>
                  <w:szCs w:val="12"/>
                  <w:color w:val="0000FF"/>
                </w:rPr>
                <w:t xml:space="preserve"> for the Six Months Ended December 31, 2020</w:t>
              </w:r>
            </w:hyperlink>
          </w:p>
        </w:tc>
        <w:tc>
          <w:tcPr>
            <w:tcW w:w="5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5680" w:type="dxa"/>
            <w:vAlign w:val="bottom"/>
            <w:tcBorders>
              <w:top w:val="single" w:sz="8" w:color="0000FF"/>
            </w:tcBorders>
            <w:gridSpan w:val="6"/>
          </w:tcPr>
          <w:p>
            <w:pPr>
              <w:spacing w:after="0" w:line="107" w:lineRule="exact"/>
              <w:rPr>
                <w:rFonts w:ascii="Arial" w:cs="Arial" w:eastAsia="Arial" w:hAnsi="Arial"/>
                <w:sz w:val="12"/>
                <w:szCs w:val="12"/>
                <w:color w:val="0000FF"/>
              </w:rPr>
            </w:pPr>
            <w:hyperlink w:anchor="page8">
              <w:r>
                <w:rPr>
                  <w:rFonts w:ascii="Arial" w:cs="Arial" w:eastAsia="Arial" w:hAnsi="Arial"/>
                  <w:sz w:val="12"/>
                  <w:szCs w:val="12"/>
                  <w:color w:val="0000FF"/>
                </w:rPr>
                <w:t>2019 (unaudited)</w:t>
              </w:r>
            </w:hyperlink>
          </w:p>
        </w:tc>
        <w:tc>
          <w:tcPr>
            <w:tcW w:w="860" w:type="dxa"/>
            <w:vAlign w:val="bottom"/>
          </w:tcPr>
          <w:p>
            <w:pPr>
              <w:spacing w:after="0"/>
              <w:rPr>
                <w:sz w:val="9"/>
                <w:szCs w:val="9"/>
                <w:color w:val="auto"/>
              </w:rPr>
            </w:pPr>
          </w:p>
        </w:tc>
        <w:tc>
          <w:tcPr>
            <w:tcW w:w="2840" w:type="dxa"/>
            <w:vAlign w:val="bottom"/>
            <w:tcBorders>
              <w:top w:val="single" w:sz="8" w:color="0000FF"/>
            </w:tcBorders>
            <w:gridSpan w:val="4"/>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9600" w:type="dxa"/>
            <w:vAlign w:val="bottom"/>
            <w:gridSpan w:val="12"/>
          </w:tcPr>
          <w:p>
            <w:pPr>
              <w:spacing w:after="0"/>
              <w:rPr>
                <w:rFonts w:ascii="Arial" w:cs="Arial" w:eastAsia="Arial" w:hAnsi="Arial"/>
                <w:sz w:val="13"/>
                <w:szCs w:val="13"/>
                <w:color w:val="0000FF"/>
              </w:rPr>
            </w:pPr>
            <w:hyperlink w:anchor="page10">
              <w:r>
                <w:rPr>
                  <w:rFonts w:ascii="Arial" w:cs="Arial" w:eastAsia="Arial" w:hAnsi="Arial"/>
                  <w:sz w:val="13"/>
                  <w:szCs w:val="13"/>
                  <w:color w:val="0000FF"/>
                </w:rPr>
                <w:t xml:space="preserve">Notes to Condensed Consolidated Financial Statements </w:t>
              </w:r>
              <w:r>
                <w:rPr>
                  <w:rFonts w:ascii="Arial" w:cs="Arial" w:eastAsia="Arial" w:hAnsi="Arial"/>
                  <w:sz w:val="13"/>
                  <w:szCs w:val="13"/>
                  <w:u w:val="single" w:color="auto"/>
                  <w:color w:val="0000FF"/>
                </w:rPr>
                <w:t>(unaudited)</w:t>
              </w:r>
            </w:hyperlink>
          </w:p>
        </w:tc>
        <w:tc>
          <w:tcPr>
            <w:tcW w:w="800" w:type="dxa"/>
            <w:vAlign w:val="bottom"/>
          </w:tcPr>
          <w:p>
            <w:pPr>
              <w:jc w:val="center"/>
              <w:ind w:right="56"/>
              <w:spacing w:after="0"/>
              <w:rPr>
                <w:rFonts w:ascii="Arial" w:cs="Arial" w:eastAsia="Arial" w:hAnsi="Arial"/>
                <w:sz w:val="13"/>
                <w:szCs w:val="13"/>
                <w:u w:val="single" w:color="auto"/>
                <w:color w:val="0000FF"/>
                <w:w w:val="82"/>
              </w:rPr>
            </w:pPr>
            <w:hyperlink w:anchor="page10">
              <w:r>
                <w:rPr>
                  <w:rFonts w:ascii="Arial" w:cs="Arial" w:eastAsia="Arial" w:hAnsi="Arial"/>
                  <w:sz w:val="13"/>
                  <w:szCs w:val="13"/>
                  <w:u w:val="single" w:color="auto"/>
                  <w:color w:val="0000FF"/>
                  <w:w w:val="82"/>
                </w:rPr>
                <w:t>11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tcPr>
          <w:p>
            <w:pPr>
              <w:ind w:left="20"/>
              <w:spacing w:after="0"/>
              <w:rPr>
                <w:rFonts w:ascii="Arial" w:cs="Arial" w:eastAsia="Arial" w:hAnsi="Arial"/>
                <w:sz w:val="13"/>
                <w:szCs w:val="13"/>
                <w:u w:val="single" w:color="auto"/>
                <w:color w:val="0000FF"/>
              </w:rPr>
            </w:pPr>
            <w:hyperlink w:anchor="page21">
              <w:r>
                <w:rPr>
                  <w:rFonts w:ascii="Arial" w:cs="Arial" w:eastAsia="Arial" w:hAnsi="Arial"/>
                  <w:sz w:val="13"/>
                  <w:szCs w:val="13"/>
                  <w:u w:val="single" w:color="auto"/>
                  <w:color w:val="0000FF"/>
                </w:rPr>
                <w:t>Item 2</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21">
              <w:r>
                <w:rPr>
                  <w:rFonts w:ascii="Arial" w:cs="Arial" w:eastAsia="Arial" w:hAnsi="Arial"/>
                  <w:sz w:val="13"/>
                  <w:szCs w:val="13"/>
                  <w:u w:val="single" w:color="auto"/>
                  <w:color w:val="0000FF"/>
                </w:rPr>
                <w:t>Management's Discussion and Analysis of Financial Condition and Results of Operations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21">
              <w:r>
                <w:rPr>
                  <w:rFonts w:ascii="Arial" w:cs="Arial" w:eastAsia="Arial" w:hAnsi="Arial"/>
                  <w:sz w:val="13"/>
                  <w:szCs w:val="13"/>
                  <w:u w:val="single" w:color="auto"/>
                  <w:color w:val="0000FF"/>
                  <w:w w:val="96"/>
                </w:rPr>
                <w:t>22</w:t>
              </w:r>
            </w:hyperlink>
          </w:p>
        </w:tc>
        <w:tc>
          <w:tcPr>
            <w:tcW w:w="0" w:type="dxa"/>
            <w:vAlign w:val="bottom"/>
          </w:tcPr>
          <w:p>
            <w:pPr>
              <w:spacing w:after="0"/>
              <w:rPr>
                <w:sz w:val="1"/>
                <w:szCs w:val="1"/>
                <w:color w:val="auto"/>
              </w:rPr>
            </w:pPr>
          </w:p>
        </w:tc>
      </w:tr>
      <w:tr>
        <w:trPr>
          <w:trHeight w:val="170"/>
        </w:trPr>
        <w:tc>
          <w:tcPr>
            <w:tcW w:w="880" w:type="dxa"/>
            <w:vAlign w:val="bottom"/>
          </w:tcPr>
          <w:p>
            <w:pPr>
              <w:ind w:left="20"/>
              <w:spacing w:after="0"/>
              <w:rPr>
                <w:rFonts w:ascii="Arial" w:cs="Arial" w:eastAsia="Arial" w:hAnsi="Arial"/>
                <w:sz w:val="13"/>
                <w:szCs w:val="13"/>
                <w:u w:val="single" w:color="auto"/>
                <w:color w:val="0000FF"/>
              </w:rPr>
            </w:pPr>
            <w:hyperlink w:anchor="page36">
              <w:r>
                <w:rPr>
                  <w:rFonts w:ascii="Arial" w:cs="Arial" w:eastAsia="Arial" w:hAnsi="Arial"/>
                  <w:sz w:val="13"/>
                  <w:szCs w:val="13"/>
                  <w:u w:val="single" w:color="auto"/>
                  <w:color w:val="0000FF"/>
                </w:rPr>
                <w:t>Item 3</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36">
              <w:r>
                <w:rPr>
                  <w:rFonts w:ascii="Arial" w:cs="Arial" w:eastAsia="Arial" w:hAnsi="Arial"/>
                  <w:sz w:val="13"/>
                  <w:szCs w:val="13"/>
                  <w:u w:val="single" w:color="auto"/>
                  <w:color w:val="0000FF"/>
                </w:rPr>
                <w:t>Quantitative and Qualitative Disclosures About Market Risk</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36">
              <w:r>
                <w:rPr>
                  <w:rFonts w:ascii="Arial" w:cs="Arial" w:eastAsia="Arial" w:hAnsi="Arial"/>
                  <w:sz w:val="13"/>
                  <w:szCs w:val="13"/>
                  <w:u w:val="single" w:color="auto"/>
                  <w:color w:val="0000FF"/>
                  <w:w w:val="96"/>
                </w:rPr>
                <w:t>36</w:t>
              </w:r>
            </w:hyperlink>
          </w:p>
        </w:tc>
        <w:tc>
          <w:tcPr>
            <w:tcW w:w="0" w:type="dxa"/>
            <w:vAlign w:val="bottom"/>
          </w:tcPr>
          <w:p>
            <w:pPr>
              <w:spacing w:after="0"/>
              <w:rPr>
                <w:sz w:val="1"/>
                <w:szCs w:val="1"/>
                <w:color w:val="auto"/>
              </w:rPr>
            </w:pPr>
          </w:p>
        </w:tc>
      </w:tr>
      <w:tr>
        <w:trPr>
          <w:trHeight w:val="171"/>
        </w:trPr>
        <w:tc>
          <w:tcPr>
            <w:tcW w:w="880" w:type="dxa"/>
            <w:vAlign w:val="bottom"/>
          </w:tcPr>
          <w:p>
            <w:pPr>
              <w:ind w:left="20"/>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Item 4</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37">
              <w:r>
                <w:rPr>
                  <w:rFonts w:ascii="Arial" w:cs="Arial" w:eastAsia="Arial" w:hAnsi="Arial"/>
                  <w:sz w:val="13"/>
                  <w:szCs w:val="13"/>
                  <w:u w:val="single" w:color="auto"/>
                  <w:color w:val="0000FF"/>
                </w:rPr>
                <w:t>Controls and Procedures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37">
              <w:r>
                <w:rPr>
                  <w:rFonts w:ascii="Arial" w:cs="Arial" w:eastAsia="Arial" w:hAnsi="Arial"/>
                  <w:sz w:val="13"/>
                  <w:szCs w:val="13"/>
                  <w:u w:val="single" w:color="auto"/>
                  <w:color w:val="0000FF"/>
                  <w:w w:val="96"/>
                </w:rPr>
                <w:t>37</w:t>
              </w:r>
            </w:hyperlink>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8"/>
          </w:tcPr>
          <w:p>
            <w:pPr>
              <w:jc w:val="center"/>
              <w:ind w:right="3600"/>
              <w:spacing w:after="0"/>
              <w:rPr>
                <w:sz w:val="20"/>
                <w:szCs w:val="20"/>
                <w:color w:val="auto"/>
              </w:rPr>
            </w:pPr>
            <w:r>
              <w:rPr>
                <w:rFonts w:ascii="Arial" w:cs="Arial" w:eastAsia="Arial" w:hAnsi="Arial"/>
                <w:sz w:val="13"/>
                <w:szCs w:val="13"/>
                <w:b w:val="1"/>
                <w:bCs w:val="1"/>
                <w:color w:val="auto"/>
                <w:w w:val="97"/>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80" w:type="dxa"/>
            <w:vAlign w:val="bottom"/>
          </w:tcPr>
          <w:p>
            <w:pPr>
              <w:ind w:left="20"/>
              <w:spacing w:after="0"/>
              <w:rPr>
                <w:rFonts w:ascii="Arial" w:cs="Arial" w:eastAsia="Arial" w:hAnsi="Arial"/>
                <w:sz w:val="13"/>
                <w:szCs w:val="13"/>
                <w:u w:val="single" w:color="auto"/>
                <w:color w:val="0000FF"/>
              </w:rPr>
            </w:pPr>
            <w:hyperlink w:anchor="page39">
              <w:r>
                <w:rPr>
                  <w:rFonts w:ascii="Arial" w:cs="Arial" w:eastAsia="Arial" w:hAnsi="Arial"/>
                  <w:sz w:val="13"/>
                  <w:szCs w:val="13"/>
                  <w:u w:val="single" w:color="auto"/>
                  <w:color w:val="0000FF"/>
                </w:rPr>
                <w:t>Item 1</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39">
              <w:r>
                <w:rPr>
                  <w:rFonts w:ascii="Arial" w:cs="Arial" w:eastAsia="Arial" w:hAnsi="Arial"/>
                  <w:sz w:val="13"/>
                  <w:szCs w:val="13"/>
                  <w:u w:val="single" w:color="auto"/>
                  <w:color w:val="0000FF"/>
                </w:rPr>
                <w:t>Legal Proceedings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39">
              <w:r>
                <w:rPr>
                  <w:rFonts w:ascii="Arial" w:cs="Arial" w:eastAsia="Arial" w:hAnsi="Arial"/>
                  <w:sz w:val="13"/>
                  <w:szCs w:val="13"/>
                  <w:u w:val="single" w:color="auto"/>
                  <w:color w:val="0000FF"/>
                  <w:w w:val="96"/>
                </w:rPr>
                <w:t>39</w:t>
              </w:r>
            </w:hyperlink>
          </w:p>
        </w:tc>
        <w:tc>
          <w:tcPr>
            <w:tcW w:w="0" w:type="dxa"/>
            <w:vAlign w:val="bottom"/>
          </w:tcPr>
          <w:p>
            <w:pPr>
              <w:spacing w:after="0"/>
              <w:rPr>
                <w:sz w:val="1"/>
                <w:szCs w:val="1"/>
                <w:color w:val="auto"/>
              </w:rPr>
            </w:pPr>
          </w:p>
        </w:tc>
      </w:tr>
      <w:tr>
        <w:trPr>
          <w:trHeight w:val="170"/>
        </w:trPr>
        <w:tc>
          <w:tcPr>
            <w:tcW w:w="880" w:type="dxa"/>
            <w:vAlign w:val="bottom"/>
          </w:tcPr>
          <w:p>
            <w:pPr>
              <w:ind w:left="20"/>
              <w:spacing w:after="0"/>
              <w:rPr>
                <w:rFonts w:ascii="Arial" w:cs="Arial" w:eastAsia="Arial" w:hAnsi="Arial"/>
                <w:sz w:val="13"/>
                <w:szCs w:val="13"/>
                <w:u w:val="single" w:color="auto"/>
                <w:color w:val="0000FF"/>
              </w:rPr>
            </w:pPr>
            <w:hyperlink w:anchor="page39">
              <w:r>
                <w:rPr>
                  <w:rFonts w:ascii="Arial" w:cs="Arial" w:eastAsia="Arial" w:hAnsi="Arial"/>
                  <w:sz w:val="13"/>
                  <w:szCs w:val="13"/>
                  <w:u w:val="single" w:color="auto"/>
                  <w:color w:val="0000FF"/>
                </w:rPr>
                <w:t>Item 1A</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39">
              <w:r>
                <w:rPr>
                  <w:rFonts w:ascii="Arial" w:cs="Arial" w:eastAsia="Arial" w:hAnsi="Arial"/>
                  <w:sz w:val="13"/>
                  <w:szCs w:val="13"/>
                  <w:u w:val="single" w:color="auto"/>
                  <w:color w:val="0000FF"/>
                </w:rPr>
                <w:t>Risk Factors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39">
              <w:r>
                <w:rPr>
                  <w:rFonts w:ascii="Arial" w:cs="Arial" w:eastAsia="Arial" w:hAnsi="Arial"/>
                  <w:sz w:val="13"/>
                  <w:szCs w:val="13"/>
                  <w:u w:val="single" w:color="auto"/>
                  <w:color w:val="0000FF"/>
                  <w:w w:val="96"/>
                </w:rPr>
                <w:t>39</w:t>
              </w:r>
            </w:hyperlink>
          </w:p>
        </w:tc>
        <w:tc>
          <w:tcPr>
            <w:tcW w:w="0" w:type="dxa"/>
            <w:vAlign w:val="bottom"/>
          </w:tcPr>
          <w:p>
            <w:pPr>
              <w:spacing w:after="0"/>
              <w:rPr>
                <w:sz w:val="1"/>
                <w:szCs w:val="1"/>
                <w:color w:val="auto"/>
              </w:rPr>
            </w:pPr>
          </w:p>
        </w:tc>
      </w:tr>
      <w:tr>
        <w:trPr>
          <w:trHeight w:val="170"/>
        </w:trPr>
        <w:tc>
          <w:tcPr>
            <w:tcW w:w="880" w:type="dxa"/>
            <w:vAlign w:val="bottom"/>
          </w:tcPr>
          <w:p>
            <w:pPr>
              <w:ind w:left="20"/>
              <w:spacing w:after="0"/>
              <w:rPr>
                <w:rFonts w:ascii="Arial" w:cs="Arial" w:eastAsia="Arial" w:hAnsi="Arial"/>
                <w:sz w:val="13"/>
                <w:szCs w:val="13"/>
                <w:u w:val="single" w:color="auto"/>
                <w:color w:val="0000FF"/>
              </w:rPr>
            </w:pPr>
            <w:hyperlink w:anchor="page65">
              <w:r>
                <w:rPr>
                  <w:rFonts w:ascii="Arial" w:cs="Arial" w:eastAsia="Arial" w:hAnsi="Arial"/>
                  <w:sz w:val="13"/>
                  <w:szCs w:val="13"/>
                  <w:u w:val="single" w:color="auto"/>
                  <w:color w:val="0000FF"/>
                </w:rPr>
                <w:t>Item 2</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65">
              <w:r>
                <w:rPr>
                  <w:rFonts w:ascii="Arial" w:cs="Arial" w:eastAsia="Arial" w:hAnsi="Arial"/>
                  <w:sz w:val="13"/>
                  <w:szCs w:val="13"/>
                  <w:u w:val="single" w:color="auto"/>
                  <w:color w:val="0000FF"/>
                </w:rPr>
                <w:t>Unregistered Sales of Equity Securities and Use of Proceeds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65">
              <w:r>
                <w:rPr>
                  <w:rFonts w:ascii="Arial" w:cs="Arial" w:eastAsia="Arial" w:hAnsi="Arial"/>
                  <w:sz w:val="13"/>
                  <w:szCs w:val="13"/>
                  <w:u w:val="single" w:color="auto"/>
                  <w:color w:val="0000FF"/>
                  <w:w w:val="96"/>
                </w:rPr>
                <w:t>65</w:t>
              </w:r>
            </w:hyperlink>
          </w:p>
        </w:tc>
        <w:tc>
          <w:tcPr>
            <w:tcW w:w="0" w:type="dxa"/>
            <w:vAlign w:val="bottom"/>
          </w:tcPr>
          <w:p>
            <w:pPr>
              <w:spacing w:after="0"/>
              <w:rPr>
                <w:sz w:val="1"/>
                <w:szCs w:val="1"/>
                <w:color w:val="auto"/>
              </w:rPr>
            </w:pPr>
          </w:p>
        </w:tc>
      </w:tr>
      <w:tr>
        <w:trPr>
          <w:trHeight w:val="171"/>
        </w:trPr>
        <w:tc>
          <w:tcPr>
            <w:tcW w:w="880" w:type="dxa"/>
            <w:vAlign w:val="bottom"/>
          </w:tcPr>
          <w:p>
            <w:pPr>
              <w:ind w:left="20"/>
              <w:spacing w:after="0"/>
              <w:rPr>
                <w:rFonts w:ascii="Arial" w:cs="Arial" w:eastAsia="Arial" w:hAnsi="Arial"/>
                <w:sz w:val="13"/>
                <w:szCs w:val="13"/>
                <w:u w:val="single" w:color="auto"/>
                <w:color w:val="0000FF"/>
              </w:rPr>
            </w:pPr>
            <w:hyperlink w:anchor="page66">
              <w:r>
                <w:rPr>
                  <w:rFonts w:ascii="Arial" w:cs="Arial" w:eastAsia="Arial" w:hAnsi="Arial"/>
                  <w:sz w:val="13"/>
                  <w:szCs w:val="13"/>
                  <w:u w:val="single" w:color="auto"/>
                  <w:color w:val="0000FF"/>
                </w:rPr>
                <w:t>Item 6</w:t>
              </w:r>
            </w:hyperlink>
          </w:p>
        </w:tc>
        <w:tc>
          <w:tcPr>
            <w:tcW w:w="9600" w:type="dxa"/>
            <w:vAlign w:val="bottom"/>
            <w:gridSpan w:val="12"/>
          </w:tcPr>
          <w:p>
            <w:pPr>
              <w:spacing w:after="0"/>
              <w:rPr>
                <w:rFonts w:ascii="Arial" w:cs="Arial" w:eastAsia="Arial" w:hAnsi="Arial"/>
                <w:sz w:val="13"/>
                <w:szCs w:val="13"/>
                <w:u w:val="single" w:color="auto"/>
                <w:color w:val="0000FF"/>
              </w:rPr>
            </w:pPr>
            <w:hyperlink w:anchor="page66">
              <w:r>
                <w:rPr>
                  <w:rFonts w:ascii="Arial" w:cs="Arial" w:eastAsia="Arial" w:hAnsi="Arial"/>
                  <w:sz w:val="13"/>
                  <w:szCs w:val="13"/>
                  <w:u w:val="single" w:color="auto"/>
                  <w:color w:val="0000FF"/>
                </w:rPr>
                <w:t>Exhibits</w:t>
              </w:r>
            </w:hyperlink>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66">
              <w:r>
                <w:rPr>
                  <w:rFonts w:ascii="Arial" w:cs="Arial" w:eastAsia="Arial" w:hAnsi="Arial"/>
                  <w:sz w:val="13"/>
                  <w:szCs w:val="13"/>
                  <w:u w:val="single" w:color="auto"/>
                  <w:color w:val="0000FF"/>
                  <w:w w:val="96"/>
                </w:rPr>
                <w:t>66</w:t>
              </w:r>
            </w:hyperlink>
          </w:p>
        </w:tc>
        <w:tc>
          <w:tcPr>
            <w:tcW w:w="0" w:type="dxa"/>
            <w:vAlign w:val="bottom"/>
          </w:tcPr>
          <w:p>
            <w:pPr>
              <w:spacing w:after="0"/>
              <w:rPr>
                <w:sz w:val="1"/>
                <w:szCs w:val="1"/>
                <w:color w:val="auto"/>
              </w:rPr>
            </w:pPr>
          </w:p>
        </w:tc>
      </w:tr>
      <w:tr>
        <w:trPr>
          <w:trHeight w:val="382"/>
        </w:trPr>
        <w:tc>
          <w:tcPr>
            <w:tcW w:w="880" w:type="dxa"/>
            <w:vAlign w:val="bottom"/>
          </w:tcPr>
          <w:p>
            <w:pPr>
              <w:ind w:left="20"/>
              <w:spacing w:after="0"/>
              <w:rPr>
                <w:rFonts w:ascii="Arial" w:cs="Arial" w:eastAsia="Arial" w:hAnsi="Arial"/>
                <w:sz w:val="13"/>
                <w:szCs w:val="13"/>
                <w:u w:val="single" w:color="auto"/>
                <w:color w:val="0000FF"/>
                <w:w w:val="99"/>
              </w:rPr>
            </w:pPr>
            <w:hyperlink w:anchor="page66">
              <w:r>
                <w:rPr>
                  <w:rFonts w:ascii="Arial" w:cs="Arial" w:eastAsia="Arial" w:hAnsi="Arial"/>
                  <w:sz w:val="13"/>
                  <w:szCs w:val="13"/>
                  <w:u w:val="single" w:color="auto"/>
                  <w:color w:val="0000FF"/>
                  <w:w w:val="99"/>
                </w:rPr>
                <w:t>SIGNATURES</w:t>
              </w:r>
            </w:hyperlink>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ind w:right="36"/>
              <w:spacing w:after="0"/>
              <w:rPr>
                <w:rFonts w:ascii="Arial" w:cs="Arial" w:eastAsia="Arial" w:hAnsi="Arial"/>
                <w:sz w:val="13"/>
                <w:szCs w:val="13"/>
                <w:u w:val="single" w:color="auto"/>
                <w:color w:val="0000FF"/>
                <w:w w:val="96"/>
              </w:rPr>
            </w:pPr>
            <w:hyperlink w:anchor="page66">
              <w:r>
                <w:rPr>
                  <w:rFonts w:ascii="Arial" w:cs="Arial" w:eastAsia="Arial" w:hAnsi="Arial"/>
                  <w:sz w:val="13"/>
                  <w:szCs w:val="13"/>
                  <w:u w:val="single" w:color="auto"/>
                  <w:color w:val="0000FF"/>
                  <w:w w:val="96"/>
                </w:rPr>
                <w:t>67</w:t>
              </w:r>
            </w:hyperlink>
          </w:p>
        </w:tc>
        <w:tc>
          <w:tcPr>
            <w:tcW w:w="0" w:type="dxa"/>
            <w:vAlign w:val="bottom"/>
          </w:tcPr>
          <w:p>
            <w:pPr>
              <w:spacing w:after="0"/>
              <w:rPr>
                <w:sz w:val="1"/>
                <w:szCs w:val="1"/>
                <w:color w:val="auto"/>
              </w:rPr>
            </w:pPr>
          </w:p>
        </w:tc>
      </w:tr>
      <w:tr>
        <w:trPr>
          <w:trHeight w:val="746"/>
        </w:trPr>
        <w:tc>
          <w:tcPr>
            <w:tcW w:w="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SPECIAL NOTE REGARDING FORWARD LOOKING STATEMENTS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Forward-looking statements contained in this Quarterly Report on Form 10-Q include, but are not limited to, statements about:</w:t>
      </w:r>
    </w:p>
    <w:p>
      <w:pPr>
        <w:spacing w:after="0" w:line="190" w:lineRule="exact"/>
        <w:rPr>
          <w:sz w:val="20"/>
          <w:szCs w:val="20"/>
          <w:color w:val="auto"/>
        </w:rPr>
      </w:pPr>
    </w:p>
    <w:p>
      <w:pPr>
        <w:ind w:left="520" w:hanging="260"/>
        <w:spacing w:after="0" w:line="27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147"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business plan and our ability to effectively manage our growth;</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trends, growth rates, and challenges in our business and in the markets in which we operate;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international expansion plans and ability to continue to expand internationally;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release dates for new Connected Fitness Products and services;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market acceptance of our Connected Fitness Products and services;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beliefs and objectives for future operations;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increase sales of our Connected Fitness Products and services;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further penetrate our existing Subscription base and maintain and expand our Subscription base;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expected timing for completion of our acquisition of Precor Incorporated, a Delaware corporation ("Precor");</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expected benefits of the proposed acquisition of Precor;</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seasonal trends on our results of operations;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regarding content costs for past use;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protect, and enhance our intellectual property;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direct and indirect impacts to our business and financial performance from the COVID-19 pandemic;</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stay in compliance with laws and regulations that currently apply or become applicable to our business both in the United States and internationally;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economic and industry trends, projected growth, or trend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caution you that the foregoing list may not contain all of the forward-looking statements made in this Quarterly Report on Form 10-Q.</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1" w:right="31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and have filed with the Securities and Exchange Commission, or the SEC, with the understanding that our actual future results, performance, and events and circumstances may be materially different from what we expect.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In this Quarterly Report on Form 10-Q, the words "we," "us," "our" and "Peloton" refer to Peloton Interactive, Inc. and its wholly owned subsidiaries, unless the context requires otherwise.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December 31,</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2"/>
        </w:trPr>
        <w:tc>
          <w:tcPr>
            <w:tcW w:w="7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center"/>
              <w:ind w:right="216"/>
              <w:spacing w:after="0"/>
              <w:rPr>
                <w:sz w:val="20"/>
                <w:szCs w:val="20"/>
                <w:color w:val="auto"/>
              </w:rPr>
            </w:pPr>
            <w:r>
              <w:rPr>
                <w:rFonts w:ascii="Arial" w:cs="Arial" w:eastAsia="Arial" w:hAnsi="Arial"/>
                <w:sz w:val="13"/>
                <w:szCs w:val="13"/>
                <w:b w:val="1"/>
                <w:bCs w:val="1"/>
                <w:color w:val="auto"/>
                <w:w w:val="96"/>
              </w:rPr>
              <w:t>(unaudited)</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1,035.5</w:t>
            </w: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Marketable securities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862.1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719.5</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Inventories, net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522.8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244.5</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assets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2,860.0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2,158.6</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70"/>
        </w:trPr>
        <w:tc>
          <w:tcPr>
            <w:tcW w:w="768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85"/>
        </w:trPr>
        <w:tc>
          <w:tcPr>
            <w:tcW w:w="7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3,910.5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2,981.8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721.4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361.7</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Customer deposits and deferred revenue</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363.6</w:t>
            </w: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Operating lease liabilities, current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liabilities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1,384.4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772.2</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508.2</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liabilities</w:t>
            </w: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1,303.8</w:t>
            </w:r>
          </w:p>
        </w:tc>
        <w:tc>
          <w:tcPr>
            <w:tcW w:w="0" w:type="dxa"/>
            <w:vAlign w:val="bottom"/>
          </w:tcPr>
          <w:p>
            <w:pPr>
              <w:spacing w:after="0"/>
              <w:rPr>
                <w:sz w:val="1"/>
                <w:szCs w:val="1"/>
                <w:color w:val="auto"/>
              </w:rPr>
            </w:pPr>
          </w:p>
        </w:tc>
      </w:tr>
      <w:tr>
        <w:trPr>
          <w:trHeight w:val="150"/>
        </w:trPr>
        <w:tc>
          <w:tcPr>
            <w:tcW w:w="7680" w:type="dxa"/>
            <w:vAlign w:val="bottom"/>
          </w:tcPr>
          <w:p>
            <w:pPr>
              <w:ind w:left="20"/>
              <w:spacing w:after="0"/>
              <w:rPr>
                <w:sz w:val="20"/>
                <w:szCs w:val="20"/>
                <w:color w:val="auto"/>
              </w:rPr>
            </w:pPr>
            <w:r>
              <w:rPr>
                <w:rFonts w:ascii="Arial" w:cs="Arial" w:eastAsia="Arial" w:hAnsi="Arial"/>
                <w:sz w:val="13"/>
                <w:szCs w:val="13"/>
                <w:color w:val="auto"/>
              </w:rPr>
              <w:t>Commitments and contingencies (Note 9)</w:t>
            </w: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80" w:type="dxa"/>
            <w:vAlign w:val="bottom"/>
          </w:tcPr>
          <w:p>
            <w:pPr>
              <w:ind w:left="280"/>
              <w:spacing w:after="0" w:line="128" w:lineRule="exact"/>
              <w:rPr>
                <w:sz w:val="20"/>
                <w:szCs w:val="20"/>
                <w:color w:val="auto"/>
              </w:rPr>
            </w:pPr>
            <w:r>
              <w:rPr>
                <w:rFonts w:ascii="Arial" w:cs="Arial" w:eastAsia="Arial" w:hAnsi="Arial"/>
                <w:sz w:val="13"/>
                <w:szCs w:val="13"/>
                <w:color w:val="auto"/>
                <w:w w:val="98"/>
              </w:rPr>
              <w:t>Common stock, $0.000025 par value; 2,500,000,000 and 2,500,000,000 Class A shares authorized, 263,239,900 and 237,518,574</w:t>
            </w: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80" w:type="dxa"/>
            <w:vAlign w:val="bottom"/>
          </w:tcPr>
          <w:p>
            <w:pPr>
              <w:ind w:left="280"/>
              <w:spacing w:after="0" w:line="128" w:lineRule="exact"/>
              <w:rPr>
                <w:sz w:val="20"/>
                <w:szCs w:val="20"/>
                <w:color w:val="auto"/>
              </w:rPr>
            </w:pPr>
            <w:r>
              <w:rPr>
                <w:rFonts w:ascii="Arial" w:cs="Arial" w:eastAsia="Arial" w:hAnsi="Arial"/>
                <w:sz w:val="13"/>
                <w:szCs w:val="13"/>
                <w:color w:val="auto"/>
                <w:w w:val="98"/>
              </w:rPr>
              <w:t>shares issued and outstanding as of December 31, 2020 and June 30, 2020, respectively; 2,500,000,000 and 2,500,000,000 Class</w:t>
            </w: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80" w:type="dxa"/>
            <w:vAlign w:val="bottom"/>
          </w:tcPr>
          <w:p>
            <w:pPr>
              <w:ind w:left="280"/>
              <w:spacing w:after="0" w:line="128" w:lineRule="exact"/>
              <w:rPr>
                <w:sz w:val="20"/>
                <w:szCs w:val="20"/>
                <w:color w:val="auto"/>
              </w:rPr>
            </w:pPr>
            <w:r>
              <w:rPr>
                <w:rFonts w:ascii="Arial" w:cs="Arial" w:eastAsia="Arial" w:hAnsi="Arial"/>
                <w:sz w:val="13"/>
                <w:szCs w:val="13"/>
                <w:color w:val="auto"/>
              </w:rPr>
              <w:t>B shares authorized, 31,033,183 and 50,538,538 shares issued and outstanding as of December 31, 2020 and June 30, 2020,</w:t>
            </w:r>
          </w:p>
        </w:tc>
        <w:tc>
          <w:tcPr>
            <w:tcW w:w="280" w:type="dxa"/>
            <w:vAlign w:val="bottom"/>
          </w:tcPr>
          <w:p>
            <w:pPr>
              <w:spacing w:after="0"/>
              <w:rPr>
                <w:sz w:val="11"/>
                <w:szCs w:val="11"/>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respectively.</w:t>
            </w:r>
          </w:p>
        </w:tc>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2,361.8</w:t>
            </w:r>
          </w:p>
        </w:tc>
        <w:tc>
          <w:tcPr>
            <w:tcW w:w="0" w:type="dxa"/>
            <w:vAlign w:val="bottom"/>
          </w:tcPr>
          <w:p>
            <w:pPr>
              <w:spacing w:after="0"/>
              <w:rPr>
                <w:sz w:val="1"/>
                <w:szCs w:val="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deficit</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stockholders’ equity</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185"/>
        </w:trPr>
        <w:tc>
          <w:tcPr>
            <w:tcW w:w="7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Total liabilities and stockholders’ equity</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3,910.5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2,981.8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December 31,</w:t>
            </w:r>
          </w:p>
        </w:tc>
        <w:tc>
          <w:tcPr>
            <w:tcW w:w="280" w:type="dxa"/>
            <w:vAlign w:val="bottom"/>
          </w:tcPr>
          <w:p>
            <w:pPr>
              <w:spacing w:after="0"/>
              <w:rPr>
                <w:sz w:val="15"/>
                <w:szCs w:val="15"/>
                <w:color w:val="auto"/>
              </w:rPr>
            </w:pPr>
          </w:p>
        </w:tc>
        <w:tc>
          <w:tcPr>
            <w:tcW w:w="26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870.1</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389.1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1,471.5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revenue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1,822.7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694.3</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Cost of revenue: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562.8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927.0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330.1</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cost of revenue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1,069.2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392.1</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170"/>
        </w:trPr>
        <w:tc>
          <w:tcPr>
            <w:tcW w:w="5380" w:type="dxa"/>
            <w:vAlign w:val="bottom"/>
          </w:tcPr>
          <w:p>
            <w:pPr>
              <w:ind w:left="28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138.5</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414.6</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Other income, net:</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 net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expense, net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income, net</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Income (loss) before provision for income taxes</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Class A and Class B common stockholders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380" w:type="dxa"/>
            <w:vAlign w:val="bottom"/>
          </w:tcPr>
          <w:p>
            <w:pPr>
              <w:ind w:left="20"/>
              <w:spacing w:after="0" w:line="133" w:lineRule="exact"/>
              <w:rPr>
                <w:sz w:val="20"/>
                <w:szCs w:val="20"/>
                <w:color w:val="auto"/>
              </w:rPr>
            </w:pPr>
            <w:r>
              <w:rPr>
                <w:rFonts w:ascii="Arial" w:cs="Arial" w:eastAsia="Arial" w:hAnsi="Arial"/>
                <w:sz w:val="13"/>
                <w:szCs w:val="13"/>
                <w:color w:val="auto"/>
              </w:rPr>
              <w:t>Net income (loss) per share attributable to common stockholders, basic</w:t>
            </w: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0.22</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(0.20)</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0.46</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share attributable to common stockholders, diluted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380" w:type="dxa"/>
            <w:vAlign w:val="bottom"/>
          </w:tcPr>
          <w:p>
            <w:pPr>
              <w:ind w:left="20"/>
              <w:spacing w:after="0" w:line="133" w:lineRule="exact"/>
              <w:rPr>
                <w:sz w:val="20"/>
                <w:szCs w:val="20"/>
                <w:color w:val="auto"/>
              </w:rPr>
            </w:pPr>
            <w:r>
              <w:rPr>
                <w:rFonts w:ascii="Arial" w:cs="Arial" w:eastAsia="Arial" w:hAnsi="Arial"/>
                <w:sz w:val="13"/>
                <w:szCs w:val="13"/>
                <w:color w:val="auto"/>
              </w:rPr>
              <w:t>Weighted-average Class A and Class B common shares outstanding, basic</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292,462,184</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279,974,823</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290,591,037</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159,214,343</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Class A and Class B common shares outstanding, diluted</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347,886,695</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279,974,823</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344,994,314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159,214,343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unrealized losses on marketable securities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 in foreign currency translation adjustment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millions)</w:t>
      </w:r>
    </w:p>
    <w:p>
      <w:pPr>
        <w:spacing w:after="0" w:line="36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Six Months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40" w:type="dxa"/>
            <w:vAlign w:val="bottom"/>
          </w:tcPr>
          <w:p>
            <w:pPr>
              <w:spacing w:after="0"/>
              <w:rPr>
                <w:sz w:val="13"/>
                <w:szCs w:val="13"/>
                <w:color w:val="auto"/>
              </w:rPr>
            </w:pPr>
          </w:p>
        </w:tc>
        <w:tc>
          <w:tcPr>
            <w:tcW w:w="338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7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5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2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Net income (loss)</w:t>
            </w:r>
          </w:p>
        </w:tc>
        <w:tc>
          <w:tcPr>
            <w:tcW w:w="3380" w:type="dxa"/>
            <w:vAlign w:val="bottom"/>
            <w:gridSpan w:val="2"/>
          </w:tcPr>
          <w:p>
            <w:pPr>
              <w:jc w:val="right"/>
              <w:ind w:right="99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Depreciation and amortization expense</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Non-cash operating lease expense</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Amortization of premium from marketable securities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Other non-cash items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Accounts receivable</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Inventories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Prepaid expenses and other current assets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Other assets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Accounts payable and accrued expenses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Customer deposits and deferred revenue</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0" w:type="dxa"/>
            <w:vAlign w:val="bottom"/>
          </w:tcPr>
          <w:p>
            <w:pPr>
              <w:spacing w:after="0"/>
              <w:rPr>
                <w:sz w:val="1"/>
                <w:szCs w:val="1"/>
                <w:color w:val="auto"/>
              </w:rPr>
            </w:pPr>
          </w:p>
        </w:tc>
      </w:tr>
      <w:tr>
        <w:trPr>
          <w:trHeight w:val="170"/>
        </w:trPr>
        <w:tc>
          <w:tcPr>
            <w:tcW w:w="5440" w:type="dxa"/>
            <w:vAlign w:val="bottom"/>
          </w:tcPr>
          <w:p>
            <w:pPr>
              <w:ind w:left="620"/>
              <w:spacing w:after="0"/>
              <w:rPr>
                <w:sz w:val="20"/>
                <w:szCs w:val="20"/>
                <w:color w:val="auto"/>
              </w:rPr>
            </w:pPr>
            <w:r>
              <w:rPr>
                <w:rFonts w:ascii="Arial" w:cs="Arial" w:eastAsia="Arial" w:hAnsi="Arial"/>
                <w:sz w:val="13"/>
                <w:szCs w:val="13"/>
                <w:color w:val="auto"/>
              </w:rPr>
              <w:t>Operating lease liabilities, net</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Other liabilities</w:t>
            </w:r>
          </w:p>
        </w:tc>
        <w:tc>
          <w:tcPr>
            <w:tcW w:w="22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operating activities</w:t>
            </w:r>
          </w:p>
        </w:tc>
        <w:tc>
          <w:tcPr>
            <w:tcW w:w="22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5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2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Purchases of marketable securities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(449.1)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(973.1)</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Maturities of marketable securities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Sales of marketable securities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paid for cost method investment</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Purchases of property and equipment</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Capitalization of internal-use software costs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Business combination, net of cash acquired</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 acquisitions, net of cash acquired</w:t>
            </w:r>
          </w:p>
        </w:tc>
        <w:tc>
          <w:tcPr>
            <w:tcW w:w="22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used in investing activities</w:t>
            </w:r>
          </w:p>
        </w:tc>
        <w:tc>
          <w:tcPr>
            <w:tcW w:w="22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(870.8)</w:t>
            </w:r>
          </w:p>
        </w:tc>
        <w:tc>
          <w:tcPr>
            <w:tcW w:w="0" w:type="dxa"/>
            <w:vAlign w:val="bottom"/>
          </w:tcPr>
          <w:p>
            <w:pPr>
              <w:spacing w:after="0"/>
              <w:rPr>
                <w:sz w:val="1"/>
                <w:szCs w:val="1"/>
                <w:color w:val="auto"/>
              </w:rPr>
            </w:pPr>
          </w:p>
        </w:tc>
      </w:tr>
      <w:tr>
        <w:trPr>
          <w:trHeight w:val="15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2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Proceeds from issuance of common stock upon initial public offering, net of offering costs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1,195.7</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employee stock purchase plan withholdings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Proceeds from exercise of stock options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withheld and paid on employee stock awards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Principal repayments of finance leases</w:t>
            </w:r>
          </w:p>
        </w:tc>
        <w:tc>
          <w:tcPr>
            <w:tcW w:w="2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44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provided by financing activities</w:t>
            </w:r>
          </w:p>
        </w:tc>
        <w:tc>
          <w:tcPr>
            <w:tcW w:w="224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1,201.9</w:t>
            </w:r>
          </w:p>
        </w:tc>
        <w:tc>
          <w:tcPr>
            <w:tcW w:w="0" w:type="dxa"/>
            <w:vAlign w:val="bottom"/>
          </w:tcPr>
          <w:p>
            <w:pPr>
              <w:spacing w:after="0"/>
              <w:rPr>
                <w:sz w:val="1"/>
                <w:szCs w:val="1"/>
                <w:color w:val="auto"/>
              </w:rPr>
            </w:pPr>
          </w:p>
        </w:tc>
      </w:tr>
      <w:tr>
        <w:trPr>
          <w:trHeight w:val="160"/>
        </w:trPr>
        <w:tc>
          <w:tcPr>
            <w:tcW w:w="544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371.4</w:t>
            </w:r>
          </w:p>
        </w:tc>
        <w:tc>
          <w:tcPr>
            <w:tcW w:w="0" w:type="dxa"/>
            <w:vAlign w:val="bottom"/>
          </w:tcPr>
          <w:p>
            <w:pPr>
              <w:spacing w:after="0"/>
              <w:rPr>
                <w:sz w:val="1"/>
                <w:szCs w:val="1"/>
                <w:color w:val="auto"/>
              </w:rPr>
            </w:pPr>
          </w:p>
        </w:tc>
      </w:tr>
      <w:tr>
        <w:trPr>
          <w:trHeight w:val="1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2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163.0</w:t>
            </w:r>
          </w:p>
        </w:tc>
        <w:tc>
          <w:tcPr>
            <w:tcW w:w="0" w:type="dxa"/>
            <w:vAlign w:val="bottom"/>
          </w:tcPr>
          <w:p>
            <w:pPr>
              <w:spacing w:after="0"/>
              <w:rPr>
                <w:sz w:val="1"/>
                <w:szCs w:val="1"/>
                <w:color w:val="auto"/>
              </w:rPr>
            </w:pPr>
          </w:p>
        </w:tc>
      </w:tr>
      <w:tr>
        <w:trPr>
          <w:trHeight w:val="18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2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2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4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Cash paid for interest</w:t>
            </w:r>
          </w:p>
        </w:tc>
        <w:tc>
          <w:tcPr>
            <w:tcW w:w="2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tcPr>
          <w:p>
            <w:pPr>
              <w:ind w:left="280"/>
              <w:spacing w:after="0" w:line="133" w:lineRule="exact"/>
              <w:rPr>
                <w:sz w:val="20"/>
                <w:szCs w:val="20"/>
                <w:color w:val="auto"/>
              </w:rPr>
            </w:pPr>
            <w:r>
              <w:rPr>
                <w:rFonts w:ascii="Arial" w:cs="Arial" w:eastAsia="Arial" w:hAnsi="Arial"/>
                <w:sz w:val="13"/>
                <w:szCs w:val="13"/>
                <w:color w:val="auto"/>
              </w:rPr>
              <w:t>Cash paid for income taxes</w:t>
            </w:r>
          </w:p>
        </w:tc>
        <w:tc>
          <w:tcPr>
            <w:tcW w:w="224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996"/>
              <w:spacing w:after="0" w:line="13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276"/>
              <w:spacing w:after="0" w:line="133"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Supplemental Disclosures of Non-Cash Investing and Financing Information:</w:t>
            </w:r>
          </w:p>
        </w:tc>
        <w:tc>
          <w:tcPr>
            <w:tcW w:w="2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80"/>
              <w:spacing w:after="0"/>
              <w:rPr>
                <w:sz w:val="20"/>
                <w:szCs w:val="20"/>
                <w:color w:val="auto"/>
              </w:rPr>
            </w:pPr>
            <w:r>
              <w:rPr>
                <w:rFonts w:ascii="Arial" w:cs="Arial" w:eastAsia="Arial" w:hAnsi="Arial"/>
                <w:sz w:val="13"/>
                <w:szCs w:val="13"/>
                <w:color w:val="auto"/>
              </w:rPr>
              <w:t>Conversion of convertible preferred stock to common stock</w:t>
            </w:r>
          </w:p>
        </w:tc>
        <w:tc>
          <w:tcPr>
            <w:tcW w:w="3380" w:type="dxa"/>
            <w:vAlign w:val="bottom"/>
            <w:gridSpan w:val="2"/>
          </w:tcPr>
          <w:p>
            <w:pPr>
              <w:jc w:val="right"/>
              <w:ind w:right="99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Property and equipment accrued but unpaid</w:t>
            </w:r>
          </w:p>
        </w:tc>
        <w:tc>
          <w:tcPr>
            <w:tcW w:w="22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tcPr>
          <w:p>
            <w:pPr>
              <w:ind w:left="280"/>
              <w:spacing w:after="0" w:line="133" w:lineRule="exact"/>
              <w:rPr>
                <w:sz w:val="20"/>
                <w:szCs w:val="20"/>
                <w:color w:val="auto"/>
              </w:rPr>
            </w:pPr>
            <w:r>
              <w:rPr>
                <w:rFonts w:ascii="Arial" w:cs="Arial" w:eastAsia="Arial" w:hAnsi="Arial"/>
                <w:sz w:val="13"/>
                <w:szCs w:val="13"/>
                <w:color w:val="auto"/>
              </w:rPr>
              <w:t>Stock-based compensation capitalized for software development costs</w:t>
            </w:r>
          </w:p>
        </w:tc>
        <w:tc>
          <w:tcPr>
            <w:tcW w:w="224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996"/>
              <w:spacing w:after="0" w:line="13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276"/>
              <w:spacing w:after="0" w:line="133"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40" w:type="dxa"/>
            <w:vAlign w:val="bottom"/>
            <w:vMerge w:val="restart"/>
          </w:tcPr>
          <w:p>
            <w:pPr>
              <w:jc w:val="right"/>
              <w:ind w:right="1936"/>
              <w:spacing w:after="0"/>
              <w:rPr>
                <w:sz w:val="20"/>
                <w:szCs w:val="20"/>
                <w:color w:val="auto"/>
              </w:rPr>
            </w:pPr>
            <w:r>
              <w:rPr>
                <w:rFonts w:ascii="Arial" w:cs="Arial" w:eastAsia="Arial" w:hAnsi="Arial"/>
                <w:sz w:val="13"/>
                <w:szCs w:val="13"/>
                <w:color w:val="auto"/>
              </w:rPr>
              <w:t>7</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4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544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See accompanying notes to these unaudited condensed consolidated financial statements.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62230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REDEEMABLE CONVERTIBLE PREFERRED STOCK AND STOCKHOLDERS’ EQUITY (DEFICIT)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2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Class A and Class B</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116"/>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1620" w:type="dxa"/>
            <w:vAlign w:val="bottom"/>
            <w:gridSpan w:val="3"/>
          </w:tcPr>
          <w:p>
            <w:pPr>
              <w:jc w:val="right"/>
              <w:ind w:right="176"/>
              <w:spacing w:after="0" w:line="128"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5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180"/>
              <w:spacing w:after="0" w:line="85" w:lineRule="exact"/>
              <w:rPr>
                <w:sz w:val="20"/>
                <w:szCs w:val="20"/>
                <w:color w:val="auto"/>
              </w:rPr>
            </w:pPr>
            <w:r>
              <w:rPr>
                <w:rFonts w:ascii="Arial" w:cs="Arial" w:eastAsia="Arial" w:hAnsi="Arial"/>
                <w:sz w:val="8"/>
                <w:szCs w:val="8"/>
                <w:b w:val="1"/>
                <w:bCs w:val="1"/>
                <w:color w:val="auto"/>
              </w:rPr>
              <w:t>Paid-In</w:t>
            </w:r>
          </w:p>
        </w:tc>
        <w:tc>
          <w:tcPr>
            <w:tcW w:w="1140" w:type="dxa"/>
            <w:vAlign w:val="bottom"/>
            <w:gridSpan w:val="3"/>
            <w:vMerge w:val="restart"/>
          </w:tcPr>
          <w:p>
            <w:pPr>
              <w:jc w:val="center"/>
              <w:ind w:right="80"/>
              <w:spacing w:after="0" w:line="85" w:lineRule="exact"/>
              <w:rPr>
                <w:sz w:val="20"/>
                <w:szCs w:val="20"/>
                <w:color w:val="auto"/>
              </w:rPr>
            </w:pPr>
            <w:r>
              <w:rPr>
                <w:rFonts w:ascii="Arial" w:cs="Arial" w:eastAsia="Arial" w:hAnsi="Arial"/>
                <w:sz w:val="8"/>
                <w:szCs w:val="8"/>
                <w:b w:val="1"/>
                <w:bCs w:val="1"/>
                <w:color w:val="auto"/>
              </w:rPr>
              <w:t>Comprehensive</w:t>
            </w:r>
          </w:p>
        </w:tc>
        <w:tc>
          <w:tcPr>
            <w:tcW w:w="960" w:type="dxa"/>
            <w:vAlign w:val="bottom"/>
            <w:gridSpan w:val="3"/>
            <w:vMerge w:val="restart"/>
          </w:tcPr>
          <w:p>
            <w:pPr>
              <w:jc w:val="center"/>
              <w:ind w:right="80"/>
              <w:spacing w:after="0" w:line="85" w:lineRule="exact"/>
              <w:rPr>
                <w:sz w:val="20"/>
                <w:szCs w:val="20"/>
                <w:color w:val="auto"/>
              </w:rPr>
            </w:pPr>
            <w:r>
              <w:rPr>
                <w:rFonts w:ascii="Arial" w:cs="Arial" w:eastAsia="Arial" w:hAnsi="Arial"/>
                <w:sz w:val="8"/>
                <w:szCs w:val="8"/>
                <w:b w:val="1"/>
                <w:bCs w:val="1"/>
                <w:color w:val="auto"/>
              </w:rPr>
              <w:t>Accumulated</w:t>
            </w:r>
          </w:p>
        </w:tc>
        <w:tc>
          <w:tcPr>
            <w:tcW w:w="920" w:type="dxa"/>
            <w:vAlign w:val="bottom"/>
            <w:gridSpan w:val="2"/>
            <w:vMerge w:val="restart"/>
          </w:tcPr>
          <w:p>
            <w:pPr>
              <w:jc w:val="center"/>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(Loss) Income</w:t>
            </w: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4"/>
                <w:szCs w:val="14"/>
                <w:color w:val="auto"/>
              </w:rPr>
            </w:pPr>
          </w:p>
        </w:tc>
        <w:tc>
          <w:tcPr>
            <w:tcW w:w="740" w:type="dxa"/>
            <w:vAlign w:val="bottom"/>
          </w:tcPr>
          <w:p>
            <w:pPr>
              <w:jc w:val="center"/>
              <w:ind w:right="116"/>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 September 30,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2,249.1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1,576.0</w:t>
            </w:r>
          </w:p>
        </w:tc>
        <w:tc>
          <w:tcPr>
            <w:tcW w:w="0" w:type="dxa"/>
            <w:vAlign w:val="bottom"/>
          </w:tcPr>
          <w:p>
            <w:pPr>
              <w:spacing w:after="0"/>
              <w:rPr>
                <w:sz w:val="1"/>
                <w:szCs w:val="1"/>
                <w:color w:val="auto"/>
              </w:rPr>
            </w:pPr>
          </w:p>
        </w:tc>
      </w:tr>
      <w:tr>
        <w:trPr>
          <w:trHeight w:val="170"/>
        </w:trPr>
        <w:tc>
          <w:tcPr>
            <w:tcW w:w="542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70"/>
        </w:trPr>
        <w:tc>
          <w:tcPr>
            <w:tcW w:w="542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60"/>
        </w:trPr>
        <w:tc>
          <w:tcPr>
            <w:tcW w:w="5420" w:type="dxa"/>
            <w:vAlign w:val="bottom"/>
          </w:tcPr>
          <w:p>
            <w:pPr>
              <w:ind w:left="20"/>
              <w:spacing w:after="0"/>
              <w:rPr>
                <w:sz w:val="20"/>
                <w:szCs w:val="20"/>
                <w:color w:val="auto"/>
              </w:rPr>
            </w:pPr>
            <w:r>
              <w:rPr>
                <w:rFonts w:ascii="Arial" w:cs="Arial" w:eastAsia="Arial" w:hAnsi="Arial"/>
                <w:sz w:val="13"/>
                <w:szCs w:val="13"/>
                <w:color w:val="auto"/>
              </w:rPr>
              <w:t>Balance –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280.6</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(727.4)</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1,545.2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20"/>
              <w:spacing w:after="0"/>
              <w:rPr>
                <w:sz w:val="20"/>
                <w:szCs w:val="20"/>
                <w:color w:val="auto"/>
              </w:rPr>
            </w:pPr>
            <w:r>
              <w:rPr>
                <w:rFonts w:ascii="Arial" w:cs="Arial" w:eastAsia="Arial" w:hAnsi="Arial"/>
                <w:sz w:val="13"/>
                <w:szCs w:val="13"/>
                <w:color w:val="auto"/>
              </w:rPr>
              <w:t>Balance — September 30, 2020</w:t>
            </w:r>
          </w:p>
        </w:tc>
        <w:tc>
          <w:tcPr>
            <w:tcW w:w="860" w:type="dxa"/>
            <w:vAlign w:val="bottom"/>
          </w:tcPr>
          <w:p>
            <w:pPr>
              <w:jc w:val="right"/>
              <w:spacing w:after="0"/>
              <w:rPr>
                <w:sz w:val="20"/>
                <w:szCs w:val="20"/>
                <w:color w:val="auto"/>
              </w:rPr>
            </w:pPr>
            <w:r>
              <w:rPr>
                <w:rFonts w:ascii="Arial" w:cs="Arial" w:eastAsia="Arial" w:hAnsi="Arial"/>
                <w:sz w:val="13"/>
                <w:szCs w:val="13"/>
                <w:color w:val="auto"/>
              </w:rPr>
              <w:t>291.8</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2,412.9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4"/>
                <w:szCs w:val="14"/>
                <w:color w:val="auto"/>
              </w:rPr>
            </w:pP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(624.6)</w:t>
            </w:r>
          </w:p>
        </w:tc>
        <w:tc>
          <w:tcPr>
            <w:tcW w:w="80" w:type="dxa"/>
            <w:vAlign w:val="bottom"/>
          </w:tcPr>
          <w:p>
            <w:pPr>
              <w:spacing w:after="0"/>
              <w:rPr>
                <w:sz w:val="14"/>
                <w:szCs w:val="14"/>
                <w:color w:val="auto"/>
              </w:rPr>
            </w:pP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1,801.0</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pursuant to stock-based awards, net of withholding taxes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70"/>
        </w:trPr>
        <w:tc>
          <w:tcPr>
            <w:tcW w:w="542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0"/>
        </w:trPr>
        <w:tc>
          <w:tcPr>
            <w:tcW w:w="54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85"/>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1,928.3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260"/>
          </w:cols>
          <w:pgMar w:left="320" w:top="120" w:right="3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left="3480"/>
        <w:spacing w:after="0"/>
        <w:rPr>
          <w:sz w:val="20"/>
          <w:szCs w:val="20"/>
          <w:color w:val="auto"/>
        </w:rPr>
      </w:pPr>
      <w:r>
        <w:rPr>
          <w:rFonts w:ascii="Arial" w:cs="Arial" w:eastAsia="Arial" w:hAnsi="Arial"/>
          <w:sz w:val="13"/>
          <w:szCs w:val="13"/>
          <w:b w:val="1"/>
          <w:bCs w:val="1"/>
          <w:color w:val="auto"/>
        </w:rPr>
        <w:t>Redeemable Convertible</w:t>
      </w:r>
    </w:p>
    <w:p>
      <w:pPr>
        <w:jc w:val="center"/>
        <w:ind w:left="3480"/>
        <w:spacing w:after="0"/>
        <w:rPr>
          <w:sz w:val="20"/>
          <w:szCs w:val="20"/>
          <w:color w:val="auto"/>
        </w:rPr>
      </w:pPr>
      <w:r>
        <w:rPr>
          <w:rFonts w:ascii="Arial" w:cs="Arial" w:eastAsia="Arial" w:hAnsi="Arial"/>
          <w:sz w:val="13"/>
          <w:szCs w:val="13"/>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5080</wp:posOffset>
            </wp:positionV>
            <wp:extent cx="11722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2210" cy="698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20"/>
                <w:szCs w:val="20"/>
                <w:color w:val="auto"/>
              </w:rPr>
            </w:pPr>
            <w:r>
              <w:rPr>
                <w:rFonts w:ascii="Arial" w:cs="Arial" w:eastAsia="Arial" w:hAnsi="Arial"/>
                <w:sz w:val="13"/>
                <w:szCs w:val="13"/>
                <w:color w:val="auto"/>
              </w:rPr>
              <w:t>Balance - June 30,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210.6</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Initial public offering, net of issuance costs of $6.3 million</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480" w:type="dxa"/>
            <w:vAlign w:val="bottom"/>
          </w:tcPr>
          <w:p>
            <w:pPr>
              <w:ind w:left="160"/>
              <w:spacing w:after="0" w:line="131" w:lineRule="exact"/>
              <w:rPr>
                <w:sz w:val="20"/>
                <w:szCs w:val="20"/>
                <w:color w:val="auto"/>
              </w:rPr>
            </w:pPr>
            <w:r>
              <w:rPr>
                <w:rFonts w:ascii="Arial" w:cs="Arial" w:eastAsia="Arial" w:hAnsi="Arial"/>
                <w:sz w:val="13"/>
                <w:szCs w:val="13"/>
                <w:color w:val="auto"/>
              </w:rPr>
              <w:t>Conversion of redeemable convertible preferred stock to</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(210.6)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166"/>
        </w:trPr>
        <w:tc>
          <w:tcPr>
            <w:tcW w:w="3480" w:type="dxa"/>
            <w:vAlign w:val="bottom"/>
          </w:tcPr>
          <w:p>
            <w:pPr>
              <w:ind w:left="160"/>
              <w:spacing w:after="0"/>
              <w:rPr>
                <w:sz w:val="20"/>
                <w:szCs w:val="20"/>
                <w:color w:val="auto"/>
              </w:rPr>
            </w:pPr>
            <w:r>
              <w:rPr>
                <w:rFonts w:ascii="Arial" w:cs="Arial" w:eastAsia="Arial" w:hAnsi="Arial"/>
                <w:sz w:val="13"/>
                <w:szCs w:val="13"/>
                <w:color w:val="auto"/>
              </w:rPr>
              <w:t>common stock</w:t>
            </w: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Exercise of stock warrants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480" w:type="dxa"/>
            <w:vAlign w:val="bottom"/>
          </w:tcPr>
          <w:p>
            <w:pPr>
              <w:ind w:left="160"/>
              <w:spacing w:after="0" w:line="131" w:lineRule="exact"/>
              <w:rPr>
                <w:sz w:val="20"/>
                <w:szCs w:val="20"/>
                <w:color w:val="auto"/>
              </w:rPr>
            </w:pPr>
            <w:r>
              <w:rPr>
                <w:rFonts w:ascii="Arial" w:cs="Arial" w:eastAsia="Arial" w:hAnsi="Arial"/>
                <w:sz w:val="13"/>
                <w:szCs w:val="13"/>
                <w:color w:val="auto"/>
              </w:rPr>
              <w:t>Cumulative effect adjustment in connection with adoption</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of ASU 2016-02</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Balance -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480" w:type="dxa"/>
            <w:vAlign w:val="bottom"/>
          </w:tcPr>
          <w:p>
            <w:pPr>
              <w:spacing w:after="0"/>
              <w:rPr>
                <w:sz w:val="20"/>
                <w:szCs w:val="20"/>
                <w:color w:val="auto"/>
              </w:rPr>
            </w:pPr>
            <w:r>
              <w:rPr>
                <w:rFonts w:ascii="Arial" w:cs="Arial" w:eastAsia="Arial" w:hAnsi="Arial"/>
                <w:sz w:val="13"/>
                <w:szCs w:val="13"/>
                <w:color w:val="auto"/>
              </w:rPr>
              <w:t>Balance - June 30, 2020</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480" w:type="dxa"/>
            <w:vAlign w:val="bottom"/>
          </w:tcPr>
          <w:p>
            <w:pPr>
              <w:ind w:left="160"/>
              <w:spacing w:after="0" w:line="131" w:lineRule="exact"/>
              <w:rPr>
                <w:sz w:val="20"/>
                <w:szCs w:val="20"/>
                <w:color w:val="auto"/>
              </w:rPr>
            </w:pPr>
            <w:r>
              <w:rPr>
                <w:rFonts w:ascii="Arial" w:cs="Arial" w:eastAsia="Arial" w:hAnsi="Arial"/>
                <w:sz w:val="13"/>
                <w:szCs w:val="13"/>
                <w:color w:val="auto"/>
              </w:rPr>
              <w:t>Issuance of common stock pursuant to stock-based</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3480" w:type="dxa"/>
            <w:vAlign w:val="bottom"/>
          </w:tcPr>
          <w:p>
            <w:pPr>
              <w:ind w:left="160"/>
              <w:spacing w:after="0"/>
              <w:rPr>
                <w:sz w:val="20"/>
                <w:szCs w:val="20"/>
                <w:color w:val="auto"/>
              </w:rPr>
            </w:pPr>
            <w:r>
              <w:rPr>
                <w:rFonts w:ascii="Arial" w:cs="Arial" w:eastAsia="Arial" w:hAnsi="Arial"/>
                <w:sz w:val="13"/>
                <w:szCs w:val="13"/>
                <w:color w:val="auto"/>
              </w:rPr>
              <w:t>awards, net of withholding taxes</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80" w:type="dxa"/>
            <w:vAlign w:val="bottom"/>
          </w:tcPr>
          <w:p>
            <w:pPr>
              <w:ind w:left="160"/>
              <w:spacing w:after="0" w:line="131" w:lineRule="exact"/>
              <w:rPr>
                <w:sz w:val="20"/>
                <w:szCs w:val="20"/>
                <w:color w:val="auto"/>
              </w:rPr>
            </w:pPr>
            <w:r>
              <w:rPr>
                <w:rFonts w:ascii="Arial" w:cs="Arial" w:eastAsia="Arial" w:hAnsi="Arial"/>
                <w:sz w:val="13"/>
                <w:szCs w:val="13"/>
                <w:color w:val="auto"/>
              </w:rPr>
              <w:t>Issuance of common stock under employee stock</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3480" w:type="dxa"/>
            <w:vAlign w:val="bottom"/>
          </w:tcPr>
          <w:p>
            <w:pPr>
              <w:ind w:left="160"/>
              <w:spacing w:after="0"/>
              <w:rPr>
                <w:sz w:val="20"/>
                <w:szCs w:val="20"/>
                <w:color w:val="auto"/>
              </w:rPr>
            </w:pPr>
            <w:r>
              <w:rPr>
                <w:rFonts w:ascii="Arial" w:cs="Arial" w:eastAsia="Arial" w:hAnsi="Arial"/>
                <w:sz w:val="13"/>
                <w:szCs w:val="13"/>
                <w:color w:val="auto"/>
              </w:rPr>
              <w:t>purchase plan</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48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48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Balance - December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2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Class A and Class B</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5"/>
                <w:szCs w:val="15"/>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1620" w:type="dxa"/>
            <w:vAlign w:val="bottom"/>
            <w:gridSpan w:val="3"/>
          </w:tcPr>
          <w:p>
            <w:pPr>
              <w:jc w:val="right"/>
              <w:ind w:right="176"/>
              <w:spacing w:after="0" w:line="128"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42"/>
        </w:trPr>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180"/>
              <w:spacing w:after="0" w:line="85" w:lineRule="exact"/>
              <w:rPr>
                <w:sz w:val="20"/>
                <w:szCs w:val="20"/>
                <w:color w:val="auto"/>
              </w:rPr>
            </w:pPr>
            <w:r>
              <w:rPr>
                <w:rFonts w:ascii="Arial" w:cs="Arial" w:eastAsia="Arial" w:hAnsi="Arial"/>
                <w:sz w:val="8"/>
                <w:szCs w:val="8"/>
                <w:b w:val="1"/>
                <w:bCs w:val="1"/>
                <w:color w:val="auto"/>
              </w:rPr>
              <w:t>Paid-In</w:t>
            </w:r>
          </w:p>
        </w:tc>
        <w:tc>
          <w:tcPr>
            <w:tcW w:w="1140" w:type="dxa"/>
            <w:vAlign w:val="bottom"/>
            <w:gridSpan w:val="3"/>
            <w:vMerge w:val="restart"/>
          </w:tcPr>
          <w:p>
            <w:pPr>
              <w:jc w:val="center"/>
              <w:ind w:right="80"/>
              <w:spacing w:after="0" w:line="85" w:lineRule="exact"/>
              <w:rPr>
                <w:sz w:val="20"/>
                <w:szCs w:val="20"/>
                <w:color w:val="auto"/>
              </w:rPr>
            </w:pPr>
            <w:r>
              <w:rPr>
                <w:rFonts w:ascii="Arial" w:cs="Arial" w:eastAsia="Arial" w:hAnsi="Arial"/>
                <w:sz w:val="8"/>
                <w:szCs w:val="8"/>
                <w:b w:val="1"/>
                <w:bCs w:val="1"/>
                <w:color w:val="auto"/>
              </w:rPr>
              <w:t>Comprehensive</w:t>
            </w:r>
          </w:p>
        </w:tc>
        <w:tc>
          <w:tcPr>
            <w:tcW w:w="960" w:type="dxa"/>
            <w:vAlign w:val="bottom"/>
            <w:gridSpan w:val="3"/>
            <w:vMerge w:val="restart"/>
          </w:tcPr>
          <w:p>
            <w:pPr>
              <w:jc w:val="center"/>
              <w:ind w:right="8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760" w:type="dxa"/>
            <w:vAlign w:val="bottom"/>
            <w:vMerge w:val="restart"/>
          </w:tcPr>
          <w:p>
            <w:pPr>
              <w:jc w:val="center"/>
              <w:ind w:right="97"/>
              <w:spacing w:after="0" w:line="85" w:lineRule="exact"/>
              <w:rPr>
                <w:sz w:val="20"/>
                <w:szCs w:val="20"/>
                <w:color w:val="auto"/>
              </w:rPr>
            </w:pPr>
            <w:r>
              <w:rPr>
                <w:rFonts w:ascii="Arial" w:cs="Arial" w:eastAsia="Arial" w:hAnsi="Arial"/>
                <w:sz w:val="8"/>
                <w:szCs w:val="8"/>
                <w:b w:val="1"/>
                <w:bCs w:val="1"/>
                <w:color w:val="auto"/>
              </w:rPr>
              <w:t>(Deficit)</w:t>
            </w:r>
          </w:p>
        </w:tc>
        <w:tc>
          <w:tcPr>
            <w:tcW w:w="0" w:type="dxa"/>
            <w:vAlign w:val="bottom"/>
          </w:tcPr>
          <w:p>
            <w:pPr>
              <w:spacing w:after="0"/>
              <w:rPr>
                <w:sz w:val="1"/>
                <w:szCs w:val="1"/>
                <w:color w:val="auto"/>
              </w:rPr>
            </w:pPr>
          </w:p>
        </w:tc>
      </w:tr>
      <w:tr>
        <w:trPr>
          <w:trHeight w:val="22"/>
        </w:trPr>
        <w:tc>
          <w:tcPr>
            <w:tcW w:w="9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760" w:type="dxa"/>
            <w:vAlign w:val="bottom"/>
          </w:tcPr>
          <w:p>
            <w:pPr>
              <w:jc w:val="center"/>
              <w:ind w:right="9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(629.5)</w:t>
            </w:r>
          </w:p>
        </w:tc>
        <w:tc>
          <w:tcPr>
            <w:tcW w:w="8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(538.6)</w:t>
            </w:r>
          </w:p>
        </w:tc>
        <w:tc>
          <w:tcPr>
            <w:tcW w:w="0" w:type="dxa"/>
            <w:vAlign w:val="bottom"/>
          </w:tcPr>
          <w:p>
            <w:pPr>
              <w:spacing w:after="0"/>
              <w:rPr>
                <w:sz w:val="1"/>
                <w:szCs w:val="1"/>
                <w:color w:val="auto"/>
              </w:rPr>
            </w:pPr>
          </w:p>
        </w:tc>
      </w:tr>
      <w:tr>
        <w:trPr>
          <w:trHeight w:val="171"/>
        </w:trPr>
        <w:tc>
          <w:tcPr>
            <w:tcW w:w="860" w:type="dxa"/>
            <w:vAlign w:val="bottom"/>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1,195.7</w:t>
            </w:r>
          </w:p>
        </w:tc>
        <w:tc>
          <w:tcPr>
            <w:tcW w:w="0" w:type="dxa"/>
            <w:vAlign w:val="bottom"/>
          </w:tcPr>
          <w:p>
            <w:pPr>
              <w:spacing w:after="0"/>
              <w:rPr>
                <w:sz w:val="1"/>
                <w:szCs w:val="1"/>
                <w:color w:val="auto"/>
              </w:rPr>
            </w:pPr>
          </w:p>
        </w:tc>
      </w:tr>
      <w:tr>
        <w:trPr>
          <w:trHeight w:val="296"/>
        </w:trPr>
        <w:tc>
          <w:tcPr>
            <w:tcW w:w="860" w:type="dxa"/>
            <w:vAlign w:val="bottom"/>
          </w:tcPr>
          <w:p>
            <w:pPr>
              <w:jc w:val="right"/>
              <w:spacing w:after="0"/>
              <w:rPr>
                <w:sz w:val="20"/>
                <w:szCs w:val="20"/>
                <w:color w:val="auto"/>
              </w:rPr>
            </w:pPr>
            <w:r>
              <w:rPr>
                <w:rFonts w:ascii="Arial" w:cs="Arial" w:eastAsia="Arial" w:hAnsi="Arial"/>
                <w:sz w:val="13"/>
                <w:szCs w:val="13"/>
                <w:color w:val="auto"/>
              </w:rPr>
              <w:t>210.6</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170"/>
        </w:trPr>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0"/>
        </w:trPr>
        <w:tc>
          <w:tcPr>
            <w:tcW w:w="8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0"/>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1"/>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298"/>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2"/>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280.6</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(727.4)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1,545.2</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60" w:type="dxa"/>
            <w:vAlign w:val="bottom"/>
          </w:tcPr>
          <w:p>
            <w:pPr>
              <w:jc w:val="right"/>
              <w:spacing w:after="0"/>
              <w:rPr>
                <w:sz w:val="20"/>
                <w:szCs w:val="20"/>
                <w:color w:val="auto"/>
              </w:rPr>
            </w:pPr>
            <w:r>
              <w:rPr>
                <w:rFonts w:ascii="Arial" w:cs="Arial" w:eastAsia="Arial" w:hAnsi="Arial"/>
                <w:sz w:val="13"/>
                <w:szCs w:val="13"/>
                <w:color w:val="auto"/>
              </w:rPr>
              <w:t>288.1</w:t>
            </w:r>
          </w:p>
        </w:tc>
        <w:tc>
          <w:tcPr>
            <w:tcW w:w="80" w:type="dxa"/>
            <w:vAlign w:val="bottom"/>
          </w:tcPr>
          <w:p>
            <w:pPr>
              <w:spacing w:after="0"/>
              <w:rPr>
                <w:sz w:val="24"/>
                <w:szCs w:val="2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2,361.8</w:t>
            </w:r>
          </w:p>
        </w:tc>
        <w:tc>
          <w:tcPr>
            <w:tcW w:w="80" w:type="dxa"/>
            <w:vAlign w:val="bottom"/>
          </w:tcPr>
          <w:p>
            <w:pPr>
              <w:spacing w:after="0"/>
              <w:rPr>
                <w:sz w:val="24"/>
                <w:szCs w:val="24"/>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24"/>
                <w:szCs w:val="24"/>
                <w:color w:val="auto"/>
              </w:rPr>
            </w:pP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(693.9)</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297"/>
        </w:trPr>
        <w:tc>
          <w:tcPr>
            <w:tcW w:w="86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296"/>
        </w:trPr>
        <w:tc>
          <w:tcPr>
            <w:tcW w:w="8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0"/>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70"/>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2"/>
        </w:trPr>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62"/>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294.3</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2,472.7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1,928.3</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-3437890</wp:posOffset>
            </wp:positionH>
            <wp:positionV relativeFrom="paragraph">
              <wp:posOffset>-2350770</wp:posOffset>
            </wp:positionV>
            <wp:extent cx="716153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-2128520</wp:posOffset>
            </wp:positionV>
            <wp:extent cx="716153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-1831975</wp:posOffset>
            </wp:positionV>
            <wp:extent cx="7161530" cy="107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-1616075</wp:posOffset>
            </wp:positionV>
            <wp:extent cx="7161530" cy="107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-1400810</wp:posOffset>
            </wp:positionV>
            <wp:extent cx="716153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-1083945</wp:posOffset>
            </wp:positionV>
            <wp:extent cx="716153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-841375</wp:posOffset>
            </wp:positionV>
            <wp:extent cx="716153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8859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-464185</wp:posOffset>
            </wp:positionV>
            <wp:extent cx="7161530" cy="107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-248920</wp:posOffset>
            </wp:positionV>
            <wp:extent cx="716153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60"/>
            <w:col w:w="5860"/>
          </w:cols>
          <w:pgMar w:left="320" w:top="120" w:right="319" w:bottom="1440" w:gutter="0" w:footer="0" w:header="0"/>
          <w:type w:val="continuous"/>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these unaudited condensed consolidated financial statements.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Business and Basis of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Description and Organization</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2020,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2020, filed with the SEC on September 10, 2020 (the "Form 10-K"). However, the Company believes that the disclosures provided herein are adequate to prevent the information presented from being misleading.</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condensed consolidated financial statements include the accounts of the Company and its wholly-owned subsidiaries. All significant intercompany balances and transactions have been eliminated in consolidation.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December 31, 2020 are not necessarily indicative of the results to be expected for any subsequent quarter, the fiscal year ending June 30, 2021, or any other period.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in the Company's Annual Report on Form 10-K.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useful lives of property and equipment, product warranty, goodwill and finite-lived intangible assets, accounting for income taxes, stock-based compensation expense, transaction price estimates, the fair values of assets acquired and liabilities assumed in business combinations, contingent consideration, and commitments and contingencies.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2016-13</w:t>
      </w:r>
    </w:p>
    <w:p>
      <w:pPr>
        <w:spacing w:after="0" w:line="20" w:lineRule="exact"/>
        <w:rPr>
          <w:sz w:val="20"/>
          <w:szCs w:val="20"/>
          <w:color w:val="auto"/>
        </w:rPr>
      </w:pPr>
    </w:p>
    <w:p>
      <w:pPr>
        <w:ind w:right="100"/>
        <w:spacing w:after="0" w:line="234" w:lineRule="auto"/>
        <w:rPr>
          <w:sz w:val="20"/>
          <w:szCs w:val="20"/>
          <w:color w:val="auto"/>
        </w:rPr>
      </w:pPr>
      <w:r>
        <w:rPr>
          <w:rFonts w:ascii="Arial" w:cs="Arial" w:eastAsia="Arial" w:hAnsi="Arial"/>
          <w:sz w:val="13"/>
          <w:szCs w:val="13"/>
          <w:color w:val="auto"/>
        </w:rPr>
        <w:t xml:space="preserve">In June 2016, the Financial Accounting Standards Board (“FASB") issued ASU 2016-13, </w:t>
      </w:r>
      <w:r>
        <w:rPr>
          <w:rFonts w:ascii="Arial" w:cs="Arial" w:eastAsia="Arial" w:hAnsi="Arial"/>
          <w:sz w:val="13"/>
          <w:szCs w:val="13"/>
          <w:i w:val="1"/>
          <w:iCs w:val="1"/>
          <w:color w:val="auto"/>
        </w:rPr>
        <w:t>Financial Instruments - Credit Losses: Measurement of Credit Losses on Financial Instruments.</w:t>
      </w:r>
      <w:r>
        <w:rPr>
          <w:rFonts w:ascii="Arial" w:cs="Arial" w:eastAsia="Arial" w:hAnsi="Arial"/>
          <w:sz w:val="13"/>
          <w:szCs w:val="13"/>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adopted this standard and related amendments on July 1, 2020. The adoption of this standard did not materially impact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2019-12</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Simplifying the Accounting for Income Taxes</w:t>
      </w:r>
      <w:r>
        <w:rPr>
          <w:rFonts w:ascii="Arial" w:cs="Arial" w:eastAsia="Arial" w:hAnsi="Arial"/>
          <w:sz w:val="13"/>
          <w:szCs w:val="13"/>
          <w:color w:val="auto"/>
        </w:rPr>
        <w:t xml:space="preserve">, which amends ASC Topic 740, </w:t>
      </w:r>
      <w:r>
        <w:rPr>
          <w:rFonts w:ascii="Arial" w:cs="Arial" w:eastAsia="Arial" w:hAnsi="Arial"/>
          <w:sz w:val="13"/>
          <w:szCs w:val="13"/>
          <w:i w:val="1"/>
          <w:iCs w:val="1"/>
          <w:color w:val="auto"/>
        </w:rPr>
        <w:t>Income Taxes</w:t>
      </w:r>
      <w:r>
        <w:rPr>
          <w:rFonts w:ascii="Arial" w:cs="Arial" w:eastAsia="Arial" w:hAnsi="Arial"/>
          <w:sz w:val="13"/>
          <w:szCs w:val="13"/>
          <w:color w:val="auto"/>
        </w:rPr>
        <w:t>. This ASU simplifies the accounting for income taxes by modifying the treatment of intraperiod tax allocation in certain circumstances, eliminating an exception to recognizing deferred tax liabilities for outside basis differences for foreign equity method investments and foreign subsidiaries when ownership or control changes, and modifying interim period tax calculations when a loss is forecast. In addition, this ASU also requires that enacted changes in tax laws or rates be included in the annual effective rate determination in the period that includes the enactment date and clarifies the tax accounting of a step up in tax basis of goodwill. The Company adopted this standard on July 1, 2020. The adoption of this standard did not materially impact the Company's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2020-01</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In January 2020, the FASB issued ASU No. 2020-01, </w:t>
      </w:r>
      <w:r>
        <w:rPr>
          <w:rFonts w:ascii="Arial" w:cs="Arial" w:eastAsia="Arial" w:hAnsi="Arial"/>
          <w:sz w:val="13"/>
          <w:szCs w:val="13"/>
          <w:i w:val="1"/>
          <w:iCs w:val="1"/>
          <w:color w:val="auto"/>
        </w:rPr>
        <w:t>Investments-Equity Securities (Topic 321), Investments-Equity Method and Joint Ventures (Topic 323), and Derivatives and Hedging (Topic 815):</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Clarifying the Interactions between Topic 321, Topic 323, and Topic 815. </w:t>
      </w:r>
      <w:r>
        <w:rPr>
          <w:rFonts w:ascii="Arial" w:cs="Arial" w:eastAsia="Arial" w:hAnsi="Arial"/>
          <w:sz w:val="13"/>
          <w:szCs w:val="13"/>
          <w:color w:val="auto"/>
        </w:rPr>
        <w:t>This guidance clarifies the interaction of the accounting for equity investments under Topic 321 and investments accounted for</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is currently evaluating the potential impact of adopting this new accounting guidance, but does not expect the adoption of the standard to have a material impact on its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2020-04</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In March 2020, the FASB issued ASU No.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This guidance provides temporary optional expedients and exceptions to accounting guidance on contract modifications and hedge accounting to ease entities' financial reporting burdens as the market transitions from the London Interbank Offered Rate (LIBOR) and other interbank offered rates to alternative reference rates. The guidance was effective upon issuance and generally can be applied through December 31, 2022. The Company plans to adopt this standard when LIBOR is discontinued. The Company is currently evaluating the potential impact of adopting this new accounting guidance, but does not expect the adoption of the standard to have a material impact on its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primary source of revenue is from sales of its Connected Fitness Products and associated recurring Subscription revenue.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 determines revenue recognition through the following steps:</w:t>
      </w:r>
    </w:p>
    <w:p>
      <w:pPr>
        <w:spacing w:after="0" w:line="190"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and incentives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3"/>
          <w:szCs w:val="13"/>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Company applies the practical expedient as per ASC 606-10-50-14 and does not disclose information related to remaining performance obligations due to their original expected terms being one year or less.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Company expenses sales commissions on its Connected Fitness Products when incurred because the amortization period would have been less than one year. These costs are recorded in sales and marketing expense.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Connected Fitness Products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Connected Fitness Products include the Company’s portfolio of Connected Fitness Products and related accessories, branded apparel, and extended warranty agreements. The Company recognizes Connected Fitness Product revenue net of sales returns and discounts when the product has been delivered to the customer, except for extended warranty revenue which is recognized over the warranty period. The Company allows customers to return products within thirty days of purchase, as stated in its return policy.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Subscription</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Company’s subscriptions provide unlimited access to content in its library of live and on-demand fitness classes. The Company’s subscriptions are offered on a month-to-month basis.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Amounts paid for subscription fees are included within customer deposits and deferred revenue on the Company's condensed consolidated balance sheets and recognized ratably on a month-to-month basis. The Company records payment processing fees for its monthly subscription charges within cost of subscription revenue in the Company's condensed consolidated statements of operations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Sales tax collected from customers and remitted to governmental authorities is not included in revenue and is reflected as a liability on the Company's condensed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Warranty</w:t>
      </w:r>
    </w:p>
    <w:p>
      <w:pPr>
        <w:spacing w:after="0" w:line="31"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The Company offers a standard product warranty that its Connected Fitness Products will operate under normal, non-commercial use for a period of one year covering the touchscreen and most original Bike, Bike+, Tread, and Tread+ components from the date of original delivery. The Company has the obligation, at its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Disaggregation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Company's revenue from contracts with customers disaggregated by major product lines, excluding sales-based taxes, are included in Note 13 under the heading "Segment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20"/>
                <w:szCs w:val="20"/>
                <w:color w:val="auto"/>
              </w:rPr>
            </w:pPr>
            <w:r>
              <w:rPr>
                <w:rFonts w:ascii="Arial" w:cs="Arial" w:eastAsia="Arial" w:hAnsi="Arial"/>
                <w:sz w:val="13"/>
                <w:szCs w:val="13"/>
                <w:color w:val="auto"/>
              </w:rPr>
              <w:t>The Company's revenue disaggregated by geographic region, were as follows: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8"/>
        </w:trPr>
        <w:tc>
          <w:tcPr>
            <w:tcW w:w="5380" w:type="dxa"/>
            <w:vAlign w:val="bottom"/>
          </w:tcPr>
          <w:p>
            <w:pPr>
              <w:spacing w:after="0"/>
              <w:rPr>
                <w:sz w:val="23"/>
                <w:szCs w:val="23"/>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120"/>
              <w:spacing w:after="0" w:line="170" w:lineRule="exact"/>
              <w:rPr>
                <w:sz w:val="20"/>
                <w:szCs w:val="20"/>
                <w:color w:val="auto"/>
              </w:rPr>
            </w:pPr>
            <w:r>
              <w:rPr>
                <w:rFonts w:ascii="Arial" w:cs="Arial" w:eastAsia="Arial" w:hAnsi="Arial"/>
                <w:sz w:val="13"/>
                <w:szCs w:val="13"/>
                <w:color w:val="auto"/>
              </w:rPr>
              <w:t>North America</w:t>
            </w:r>
            <w:r>
              <w:rPr>
                <w:rFonts w:ascii="Arial" w:cs="Arial" w:eastAsia="Arial" w:hAnsi="Arial"/>
                <w:sz w:val="16"/>
                <w:szCs w:val="16"/>
                <w:color w:val="auto"/>
                <w:vertAlign w:val="superscript"/>
              </w:rPr>
              <w:t>(1)</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451.0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672.7</w:t>
            </w:r>
          </w:p>
        </w:tc>
      </w:tr>
      <w:tr>
        <w:trPr>
          <w:trHeight w:val="170"/>
        </w:trPr>
        <w:tc>
          <w:tcPr>
            <w:tcW w:w="538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Rest of world</w:t>
            </w:r>
            <w:r>
              <w:rPr>
                <w:rFonts w:ascii="Arial" w:cs="Arial" w:eastAsia="Arial" w:hAnsi="Arial"/>
                <w:sz w:val="16"/>
                <w:szCs w:val="16"/>
                <w:color w:val="auto"/>
                <w:vertAlign w:val="superscript"/>
              </w:rPr>
              <w:t>(2)</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w:t>
            </w:r>
          </w:p>
        </w:tc>
      </w:tr>
      <w:tr>
        <w:trPr>
          <w:trHeight w:val="185"/>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466.3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1,822.7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5380" w:type="dxa"/>
            <w:vAlign w:val="bottom"/>
          </w:tcPr>
          <w:p>
            <w:pPr>
              <w:spacing w:after="0"/>
              <w:rPr>
                <w:sz w:val="24"/>
                <w:szCs w:val="24"/>
                <w:color w:val="auto"/>
              </w:rPr>
            </w:pPr>
          </w:p>
        </w:tc>
        <w:tc>
          <w:tcPr>
            <w:tcW w:w="900" w:type="dxa"/>
            <w:vAlign w:val="bottom"/>
          </w:tcPr>
          <w:p>
            <w:pPr>
              <w:jc w:val="right"/>
              <w:ind w:right="496"/>
              <w:spacing w:after="0"/>
              <w:rPr>
                <w:sz w:val="20"/>
                <w:szCs w:val="20"/>
                <w:color w:val="auto"/>
              </w:rPr>
            </w:pPr>
            <w:r>
              <w:rPr>
                <w:rFonts w:ascii="Arial" w:cs="Arial" w:eastAsia="Arial" w:hAnsi="Arial"/>
                <w:sz w:val="13"/>
                <w:szCs w:val="13"/>
                <w:color w:val="auto"/>
              </w:rPr>
              <w:t>13</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8"/>
        </w:trPr>
        <w:tc>
          <w:tcPr>
            <w:tcW w:w="53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i w:val="1"/>
          <w:iCs w:val="1"/>
          <w:color w:val="auto"/>
        </w:rPr>
        <w:t>_________________________</w:t>
      </w:r>
    </w:p>
    <w:p>
      <w:pPr>
        <w:spacing w:after="0" w:line="39" w:lineRule="exact"/>
        <w:rPr>
          <w:sz w:val="20"/>
          <w:szCs w:val="20"/>
          <w:color w:val="auto"/>
        </w:rPr>
      </w:pPr>
    </w:p>
    <w:p>
      <w:pPr>
        <w:ind w:left="160" w:hanging="155"/>
        <w:spacing w:after="0"/>
        <w:tabs>
          <w:tab w:leader="none" w:pos="160" w:val="left"/>
        </w:tabs>
        <w:numPr>
          <w:ilvl w:val="0"/>
          <w:numId w:val="5"/>
        </w:numPr>
        <w:rPr>
          <w:rFonts w:ascii="Arial" w:cs="Arial" w:eastAsia="Arial" w:hAnsi="Arial"/>
          <w:sz w:val="10"/>
          <w:szCs w:val="10"/>
          <w:color w:val="auto"/>
        </w:rPr>
      </w:pPr>
      <w:r>
        <w:rPr>
          <w:rFonts w:ascii="Arial" w:cs="Arial" w:eastAsia="Arial" w:hAnsi="Arial"/>
          <w:sz w:val="10"/>
          <w:szCs w:val="10"/>
          <w:color w:val="auto"/>
        </w:rPr>
        <w:t>Consists of United States and Canada.</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5"/>
        </w:numPr>
        <w:rPr>
          <w:rFonts w:ascii="Arial" w:cs="Arial" w:eastAsia="Arial" w:hAnsi="Arial"/>
          <w:sz w:val="10"/>
          <w:szCs w:val="10"/>
          <w:color w:val="auto"/>
        </w:rPr>
      </w:pPr>
      <w:r>
        <w:rPr>
          <w:rFonts w:ascii="Arial" w:cs="Arial" w:eastAsia="Arial" w:hAnsi="Arial"/>
          <w:sz w:val="10"/>
          <w:szCs w:val="10"/>
          <w:color w:val="auto"/>
        </w:rPr>
        <w:t>Consists of United Kingdom and Germany.</w:t>
      </w:r>
    </w:p>
    <w:p>
      <w:pPr>
        <w:spacing w:after="0" w:line="28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the three and six months ended December 31, 2020, the Company's revenue attributable to the United States represented 91% and 92% of total revenue, respectively, and 94% and 95% of total revenue for the three and six months ended December 31,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Customer Deposits and Deferred Revenue</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As of December 31, 2020 and June 30, 2020, customer deposits of $576.3 million and $341.5 million, respectively, and deferred revenue of $34.8 million and $22.1 million, respectively, were included in customer deposits and deferred revenue on the Company's condensed consolidated balance sheet.</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the six months ended December 31, 2020 and 2019, the Company recognized revenue of $22.1 million and $9.5 million, respectively, that was included in the deferred revenue balance as of June 30, 2020 and 2019,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80" w:type="dxa"/>
            <w:vAlign w:val="bottom"/>
          </w:tcPr>
          <w:p>
            <w:pPr>
              <w:spacing w:after="0"/>
              <w:rPr>
                <w:sz w:val="20"/>
                <w:szCs w:val="20"/>
                <w:color w:val="auto"/>
              </w:rPr>
            </w:pPr>
            <w:r>
              <w:rPr>
                <w:rFonts w:ascii="Arial" w:cs="Arial" w:eastAsia="Arial" w:hAnsi="Arial"/>
                <w:sz w:val="13"/>
                <w:szCs w:val="13"/>
                <w:b w:val="1"/>
                <w:bCs w:val="1"/>
                <w:color w:val="auto"/>
              </w:rPr>
              <w:t>4. Investments in Marketable Securities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5380" w:type="dxa"/>
            <w:vAlign w:val="bottom"/>
          </w:tcPr>
          <w:p>
            <w:pPr>
              <w:spacing w:after="0"/>
              <w:rPr>
                <w:sz w:val="20"/>
                <w:szCs w:val="20"/>
                <w:color w:val="auto"/>
              </w:rPr>
            </w:pPr>
            <w:r>
              <w:rPr>
                <w:rFonts w:ascii="Arial" w:cs="Arial" w:eastAsia="Arial" w:hAnsi="Arial"/>
                <w:sz w:val="13"/>
                <w:szCs w:val="13"/>
                <w:color w:val="auto"/>
              </w:rPr>
              <w:t>The following table summarizes the Company's investments in marketable securities: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97"/>
              </w:rPr>
              <w:t>December 31, 2020</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Amortized Cost</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7"/>
              </w:rPr>
              <w:t>Gross Unrealized</w:t>
            </w:r>
          </w:p>
        </w:tc>
        <w:tc>
          <w:tcPr>
            <w:tcW w:w="120" w:type="dxa"/>
            <w:vAlign w:val="bottom"/>
          </w:tcPr>
          <w:p>
            <w:pPr>
              <w:spacing w:after="0"/>
              <w:rPr>
                <w:sz w:val="10"/>
                <w:szCs w:val="10"/>
                <w:color w:val="auto"/>
              </w:rPr>
            </w:pPr>
          </w:p>
        </w:tc>
        <w:tc>
          <w:tcPr>
            <w:tcW w:w="138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Gross Unrealized</w:t>
            </w:r>
          </w:p>
        </w:tc>
        <w:tc>
          <w:tcPr>
            <w:tcW w:w="24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9"/>
              </w:rPr>
              <w:t>Gains</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Losses</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8"/>
              </w:rPr>
              <w:t>(in millions)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Corporate bonds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97"/>
              </w:rPr>
              <w:t>(0.1)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631.6</w:t>
            </w:r>
          </w:p>
        </w:tc>
        <w:tc>
          <w:tcPr>
            <w:tcW w:w="0" w:type="dxa"/>
            <w:vAlign w:val="bottom"/>
          </w:tcPr>
          <w:p>
            <w:pPr>
              <w:spacing w:after="0"/>
              <w:rPr>
                <w:sz w:val="1"/>
                <w:szCs w:val="1"/>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U.S. treasury securities</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166.8</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paper</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Supranational securities</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8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Certificate of deposits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899.1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3"/>
                <w:szCs w:val="13"/>
                <w:color w:val="auto"/>
                <w:w w:val="97"/>
              </w:rPr>
              <w:t>(0.1)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900.4</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80" w:type="dxa"/>
            <w:vAlign w:val="bottom"/>
            <w:shd w:val="clear" w:color="auto" w:fill="CCEEFF"/>
          </w:tcPr>
          <w:p>
            <w:pPr>
              <w:ind w:left="100"/>
              <w:spacing w:after="0" w:line="152" w:lineRule="exact"/>
              <w:rPr>
                <w:sz w:val="20"/>
                <w:szCs w:val="20"/>
                <w:color w:val="auto"/>
              </w:rPr>
            </w:pPr>
            <w:r>
              <w:rPr>
                <w:rFonts w:ascii="Arial" w:cs="Arial" w:eastAsia="Arial" w:hAnsi="Arial"/>
                <w:sz w:val="13"/>
                <w:szCs w:val="13"/>
                <w:color w:val="auto"/>
              </w:rPr>
              <w:t xml:space="preserve">Less: Restricted marketable securities </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60"/>
        </w:trPr>
        <w:tc>
          <w:tcPr>
            <w:tcW w:w="5380" w:type="dxa"/>
            <w:vAlign w:val="bottom"/>
          </w:tcPr>
          <w:p>
            <w:pPr>
              <w:ind w:left="100"/>
              <w:spacing w:after="0"/>
              <w:rPr>
                <w:sz w:val="20"/>
                <w:szCs w:val="20"/>
                <w:color w:val="auto"/>
              </w:rPr>
            </w:pPr>
            <w:r>
              <w:rPr>
                <w:rFonts w:ascii="Arial" w:cs="Arial" w:eastAsia="Arial" w:hAnsi="Arial"/>
                <w:sz w:val="13"/>
                <w:szCs w:val="13"/>
                <w:color w:val="auto"/>
              </w:rPr>
              <w:t>Total marketable securities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39" w:lineRule="exact"/>
        <w:rPr>
          <w:sz w:val="20"/>
          <w:szCs w:val="20"/>
          <w:color w:val="auto"/>
        </w:rPr>
      </w:pPr>
    </w:p>
    <w:p>
      <w:pPr>
        <w:ind w:right="500" w:firstLine="5"/>
        <w:spacing w:after="0" w:line="282" w:lineRule="auto"/>
        <w:tabs>
          <w:tab w:leader="none" w:pos="149"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 Company is required to pledge or otherwise restrict a portion of cash, cash equivalents, and marketable securities as collateral for standby letters of credit. The Company classifies cash, cash equivalents, and marketable securities with use restrictions of less than twelve months as "Prepaid expenses and other current assets" and of twelve months or longer as non-current "Other assets" on its condensed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Company's assets and liabilities that are measured at fair value on a recurring basis, by level, within the fair value hierarchy: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3"/>
                <w:szCs w:val="13"/>
                <w:b w:val="1"/>
                <w:bCs w:val="1"/>
                <w:color w:val="auto"/>
                <w:w w:val="97"/>
              </w:rPr>
              <w:t>As of December 31, 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0"/>
        </w:trPr>
        <w:tc>
          <w:tcPr>
            <w:tcW w:w="53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556"/>
              <w:spacing w:after="0"/>
              <w:rPr>
                <w:sz w:val="20"/>
                <w:szCs w:val="20"/>
                <w:color w:val="auto"/>
              </w:rPr>
            </w:pPr>
            <w:r>
              <w:rPr>
                <w:rFonts w:ascii="Arial" w:cs="Arial" w:eastAsia="Arial" w:hAnsi="Arial"/>
                <w:sz w:val="13"/>
                <w:szCs w:val="13"/>
                <w:b w:val="1"/>
                <w:bCs w:val="1"/>
                <w:color w:val="auto"/>
                <w:w w:val="98"/>
              </w:rPr>
              <w:t>(in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900.4</w:t>
            </w:r>
          </w:p>
        </w:tc>
        <w:tc>
          <w:tcPr>
            <w:tcW w:w="80" w:type="dxa"/>
            <w:vAlign w:val="bottom"/>
          </w:tcPr>
          <w:p>
            <w:pPr>
              <w:spacing w:after="0"/>
              <w:rPr>
                <w:sz w:val="14"/>
                <w:szCs w:val="14"/>
                <w:color w:val="auto"/>
              </w:rPr>
            </w:pP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900.4</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Cost-method investments</w:t>
            </w:r>
          </w:p>
        </w:tc>
        <w:tc>
          <w:tcPr>
            <w:tcW w:w="9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0"/>
        </w:trPr>
        <w:tc>
          <w:tcPr>
            <w:tcW w:w="5380" w:type="dxa"/>
            <w:vAlign w:val="bottom"/>
          </w:tcPr>
          <w:p>
            <w:pPr>
              <w:ind w:left="360"/>
              <w:spacing w:after="0"/>
              <w:rPr>
                <w:sz w:val="20"/>
                <w:szCs w:val="20"/>
                <w:color w:val="auto"/>
              </w:rPr>
            </w:pPr>
            <w:r>
              <w:rPr>
                <w:rFonts w:ascii="Arial" w:cs="Arial" w:eastAsia="Arial" w:hAnsi="Arial"/>
                <w:sz w:val="13"/>
                <w:szCs w:val="13"/>
                <w:color w:val="auto"/>
              </w:rPr>
              <w:t>Total</w:t>
            </w:r>
          </w:p>
        </w:tc>
        <w:tc>
          <w:tcPr>
            <w:tcW w:w="98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900.4</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901.1</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5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53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380" w:type="dxa"/>
            <w:vAlign w:val="bottom"/>
          </w:tcPr>
          <w:p>
            <w:pPr>
              <w:ind w:left="180"/>
              <w:spacing w:after="0"/>
              <w:rPr>
                <w:sz w:val="20"/>
                <w:szCs w:val="20"/>
                <w:color w:val="auto"/>
              </w:rPr>
            </w:pPr>
            <w:r>
              <w:rPr>
                <w:rFonts w:ascii="Arial" w:cs="Arial" w:eastAsia="Arial" w:hAnsi="Arial"/>
                <w:sz w:val="13"/>
                <w:szCs w:val="13"/>
                <w:color w:val="auto"/>
              </w:rPr>
              <w:t>Contingent consideration</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380" w:type="dxa"/>
            <w:vAlign w:val="bottom"/>
          </w:tcPr>
          <w:p>
            <w:pPr>
              <w:ind w:left="180"/>
              <w:spacing w:after="0"/>
              <w:rPr>
                <w:sz w:val="20"/>
                <w:szCs w:val="20"/>
                <w:color w:val="auto"/>
              </w:rPr>
            </w:pPr>
            <w:r>
              <w:rPr>
                <w:rFonts w:ascii="Arial" w:cs="Arial" w:eastAsia="Arial" w:hAnsi="Arial"/>
                <w:sz w:val="13"/>
                <w:szCs w:val="13"/>
                <w:color w:val="auto"/>
              </w:rPr>
              <w:t>Contingent consideration</w:t>
            </w:r>
          </w:p>
        </w:tc>
        <w:tc>
          <w:tcPr>
            <w:tcW w:w="9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85"/>
        </w:trPr>
        <w:tc>
          <w:tcPr>
            <w:tcW w:w="5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w:t>
            </w: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Cash equivalents are highly liquid investments with maturities of three months or less when purchased. These investments are carried at fair value. All investments classified as available-for-sale are recorded at fair value within marketable securities in the condensed consolidated balance sheets. The Company’s investments classified as Level 1 are based on quoted prices that are available in active markets.</w:t>
      </w:r>
    </w:p>
    <w:p>
      <w:pPr>
        <w:spacing w:after="0" w:line="13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contingent consideration represents the estimated fair value of cash consideration payable in connection with an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condensed consolidated statements of operations and comprehensive income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80" w:type="dxa"/>
            <w:vAlign w:val="bottom"/>
          </w:tcPr>
          <w:p>
            <w:pPr>
              <w:spacing w:after="0"/>
              <w:rPr>
                <w:sz w:val="20"/>
                <w:szCs w:val="20"/>
                <w:color w:val="auto"/>
              </w:rPr>
            </w:pPr>
            <w:r>
              <w:rPr>
                <w:rFonts w:ascii="Arial" w:cs="Arial" w:eastAsia="Arial" w:hAnsi="Arial"/>
                <w:sz w:val="13"/>
                <w:szCs w:val="13"/>
                <w:b w:val="1"/>
                <w:bCs w:val="1"/>
                <w:color w:val="auto"/>
              </w:rPr>
              <w:t>6. Inventory</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12"/>
        </w:trPr>
        <w:tc>
          <w:tcPr>
            <w:tcW w:w="7680" w:type="dxa"/>
            <w:vAlign w:val="bottom"/>
          </w:tcPr>
          <w:p>
            <w:pPr>
              <w:spacing w:after="0"/>
              <w:rPr>
                <w:sz w:val="20"/>
                <w:szCs w:val="20"/>
                <w:color w:val="auto"/>
              </w:rPr>
            </w:pPr>
            <w:r>
              <w:rPr>
                <w:rFonts w:ascii="Arial" w:cs="Arial" w:eastAsia="Arial" w:hAnsi="Arial"/>
                <w:sz w:val="13"/>
                <w:szCs w:val="13"/>
                <w:color w:val="auto"/>
              </w:rPr>
              <w:t>Inventories were as follows: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8"/>
        </w:trPr>
        <w:tc>
          <w:tcPr>
            <w:tcW w:w="76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December 31, 2020</w:t>
            </w: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June 30, 2020</w:t>
            </w:r>
          </w:p>
        </w:tc>
      </w:tr>
      <w:tr>
        <w:trPr>
          <w:trHeight w:val="160"/>
        </w:trPr>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(in millions)</w:t>
            </w:r>
          </w:p>
        </w:tc>
        <w:tc>
          <w:tcPr>
            <w:tcW w:w="1360" w:type="dxa"/>
            <w:vAlign w:val="bottom"/>
          </w:tcPr>
          <w:p>
            <w:pPr>
              <w:spacing w:after="0"/>
              <w:rPr>
                <w:sz w:val="13"/>
                <w:szCs w:val="13"/>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70"/>
        </w:trPr>
        <w:tc>
          <w:tcPr>
            <w:tcW w:w="768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products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232.5</w:t>
            </w:r>
          </w:p>
        </w:tc>
      </w:tr>
      <w:tr>
        <w:trPr>
          <w:trHeight w:val="160"/>
        </w:trPr>
        <w:tc>
          <w:tcPr>
            <w:tcW w:w="7680" w:type="dxa"/>
            <w:vAlign w:val="bottom"/>
          </w:tcPr>
          <w:p>
            <w:pPr>
              <w:ind w:left="20"/>
              <w:spacing w:after="0"/>
              <w:rPr>
                <w:sz w:val="20"/>
                <w:szCs w:val="20"/>
                <w:color w:val="auto"/>
              </w:rPr>
            </w:pPr>
            <w:r>
              <w:rPr>
                <w:rFonts w:ascii="Arial" w:cs="Arial" w:eastAsia="Arial" w:hAnsi="Arial"/>
                <w:sz w:val="13"/>
                <w:szCs w:val="13"/>
                <w:color w:val="auto"/>
              </w:rPr>
              <w:t>Total inventories</w:t>
            </w:r>
          </w:p>
        </w:tc>
        <w:tc>
          <w:tcPr>
            <w:tcW w:w="2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536.6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254.9</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Reserves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60"/>
        </w:trPr>
        <w:tc>
          <w:tcPr>
            <w:tcW w:w="7680" w:type="dxa"/>
            <w:vAlign w:val="bottom"/>
          </w:tcPr>
          <w:p>
            <w:pPr>
              <w:ind w:left="180"/>
              <w:spacing w:after="0"/>
              <w:rPr>
                <w:sz w:val="20"/>
                <w:szCs w:val="20"/>
                <w:color w:val="auto"/>
              </w:rPr>
            </w:pPr>
            <w:r>
              <w:rPr>
                <w:rFonts w:ascii="Arial" w:cs="Arial" w:eastAsia="Arial" w:hAnsi="Arial"/>
                <w:sz w:val="13"/>
                <w:szCs w:val="13"/>
                <w:color w:val="auto"/>
              </w:rPr>
              <w:t>Total inventories, net</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522.8</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244.5</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Asset Acquisitions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During the three months ended December 31, 2020, the Company completed three separate transactions to acquire certain software, developed technology, and an assembled workforce for use in the development of the Company's connected fitness products and services, for total net cash consideration paid of approximately $78.1 million, inclusive of $2.4 million of direct transaction costs. The Company accounted for each transaction as an asset acquisition in accordance with ASC 805.</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Total aggregate consideration allocated for the three transactions was $84.0 million, inclusive of the deferred tax liability of $5.9 million. The Company allocated the consideration based on the relative fair values of the assets acquired in each transaction, resulting in $57.4 million being allocated to developed software, $22.7 million being allocated to developed technology, and $3.9 million being allocated to the assembled workforce.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3"/>
          <w:szCs w:val="13"/>
          <w:color w:val="auto"/>
        </w:rPr>
        <w:t>The developed software acquired was assigned a useful life of 5 years, and is recorded in Property and equipment, net. The developed technology assets acquired were assigned a useful life of 3 years and the assembled workforce was assigned a useful life of 4 years. Both of these acquired assets are recorded in Intangible assets, net.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Pending Transaction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On December 21, 2020, the Company entered into a Stock and Purchase Agreement ("Purchase Agreement") with Amer Sports Corporation ("Parent"), a Finnish corporation, pursuant to which the Company will acquire Precor Incorporated, a Delaware corporation (“Precor”), and certain related entities and assets from Parent and certain of its subsidiaries. Precor manufactures, sells, and distributes cardiovascular and strength-building exercise machines, fitness equipment, and associated technical and digital services.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Under the terms of the Purchase Agreement, the Company has agreed to acquire Precor for $420.0 million in cash, subject to customary adjustments for working capital, transaction expenses, cash, and indebtedness.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closing of the transactions contemplated by the Purchase Agreement is anticipated to occur during early calendar 2021 and is subject to customary closing conditions, including the expiration or termination of the applicable waiting period under the Hart-Scott-Rodino Antitrust Improvements Act of 1976, as amended. The Purchase Agreement also provides customary termination rights to each of the parties.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Debt and Financing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Amended and Restated Credit Agreement</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2019, the Company entered into an amended and restated loan and security agreement (“Amended Credit Agreement”).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the three and six months ended December 31, 2020, the Company incurred total commitment fees of $0.2 million and $0.5 million, respectively, and $0.2 million and $0.4 million during the three and six months ended December 31, 2019, respectively, which are included in interest expense in the condensed consolidated statements of operations and comprehensive income (loss).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outstanding balance, if any, is payable in full in June 2024. As of December 31, 2020, the Company has not drawn on the credit facility and did not have outstanding borrowings under the Amended Credit Agreement.</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connection with the execution of the Amended Credit Agreement, the Company incurred debt issuance costs of $0.9 million, which are capitalized and presented as other assets on the Company's condensed consolidated balance sheets. These costs are being amortized to interest expense using the effective interest method over the term of the Amended Credit Agreement.</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the Company's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December 31, 2020, the Company was in compliance with the covenants under the Amended Credit Agreement. At December 31, 2020, the Company was contingently liable for approximately $4.8 million in standby letters of credit as security for an operating lease obligation.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Commitments and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Content Costs for Past Use Reserve</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Prior to the execution of go-forward music license agreements, the Company estimates and records expenses inclusive of estimated content costs for past use as well as normal and recurring music royalty expenses. During the three and six months ended December 31, 2020, the Company recorded content costs for past use and estimates for normal and recurring royalty expense of $3.3 million and $5.6 million, respectively, and $0.9 million and $3.5 million during the three and six months ended December 31, 2019, respectively. The Company includes both of these components in its reserve. As of December 31, 2020 and 2019, the Company recorded reserves of $17.6 million and $21.7 million, respectively, included in Accounts payable and accrued expenses in the accompanying condensed 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is, or may become, a party to legal and regulatory proceedings with respect to a variety of matters in the ordinary course of business. Some of these proceedings may be based on complex claims involving substantial uncertainties and unascertainable damages, such as litigation that centers around intellectual property claims. Accordingly, it is not possible to determine the probability of loss or estimate damages,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The Company does not believe that the outcome of any existing legal or regulatory proceeding to which it is a party, either individually or in the aggregate, will have a material adverse effect on its results of operations, financial condition or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Equity-Based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2019 Equity Incentive Plan</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2020, the number of shares of Class A common stock available for issuance under the 2019 Plan was automatically increased according to its terms by 14,401,954 shares. As of December 31, 2020, the number of shares of Class A common stock available for future award under the 2019 Plan is 50,054,907.</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summary sets forth the stock option activity under the 2019 Plan: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w w:val="97"/>
              </w:rPr>
              <w:t>Options Outstanding</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center"/>
              <w:ind w:right="100"/>
              <w:spacing w:after="0" w:line="118" w:lineRule="exact"/>
              <w:rPr>
                <w:sz w:val="20"/>
                <w:szCs w:val="20"/>
                <w:color w:val="auto"/>
              </w:rPr>
            </w:pPr>
            <w:r>
              <w:rPr>
                <w:rFonts w:ascii="Arial" w:cs="Arial" w:eastAsia="Arial" w:hAnsi="Arial"/>
                <w:sz w:val="13"/>
                <w:szCs w:val="13"/>
                <w:b w:val="1"/>
                <w:bCs w:val="1"/>
                <w:color w:val="auto"/>
                <w:w w:val="98"/>
              </w:rPr>
              <w:t>Weighted-Average</w:t>
            </w:r>
          </w:p>
        </w:tc>
        <w:tc>
          <w:tcPr>
            <w:tcW w:w="120" w:type="dxa"/>
            <w:vAlign w:val="bottom"/>
          </w:tcPr>
          <w:p>
            <w:pPr>
              <w:spacing w:after="0"/>
              <w:rPr>
                <w:sz w:val="10"/>
                <w:szCs w:val="10"/>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Number of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1"/>
                <w:szCs w:val="11"/>
                <w:color w:val="auto"/>
              </w:rPr>
            </w:pPr>
          </w:p>
        </w:tc>
        <w:tc>
          <w:tcPr>
            <w:tcW w:w="106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right"/>
              <w:ind w:right="280"/>
              <w:spacing w:after="0" w:line="128" w:lineRule="exact"/>
              <w:rPr>
                <w:sz w:val="20"/>
                <w:szCs w:val="20"/>
                <w:color w:val="auto"/>
              </w:rPr>
            </w:pPr>
            <w:r>
              <w:rPr>
                <w:rFonts w:ascii="Arial" w:cs="Arial" w:eastAsia="Arial" w:hAnsi="Arial"/>
                <w:sz w:val="13"/>
                <w:szCs w:val="13"/>
                <w:b w:val="1"/>
                <w:bCs w:val="1"/>
                <w:color w:val="auto"/>
              </w:rPr>
              <w:t>Contractual Term</w:t>
            </w:r>
          </w:p>
        </w:tc>
        <w:tc>
          <w:tcPr>
            <w:tcW w:w="120" w:type="dxa"/>
            <w:vAlign w:val="bottom"/>
          </w:tcPr>
          <w:p>
            <w:pPr>
              <w:spacing w:after="0"/>
              <w:rPr>
                <w:sz w:val="11"/>
                <w:szCs w:val="11"/>
                <w:color w:val="auto"/>
              </w:rPr>
            </w:pPr>
          </w:p>
        </w:tc>
        <w:tc>
          <w:tcPr>
            <w:tcW w:w="1280" w:type="dxa"/>
            <w:vAlign w:val="bottom"/>
          </w:tcPr>
          <w:p>
            <w:pPr>
              <w:jc w:val="center"/>
              <w:ind w:right="76"/>
              <w:spacing w:after="0" w:line="128"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8"/>
              </w:rPr>
              <w:t>(years)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Value (in millions)</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66,818,860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3,153.6</w:t>
            </w:r>
          </w:p>
        </w:tc>
        <w:tc>
          <w:tcPr>
            <w:tcW w:w="0" w:type="dxa"/>
            <w:vAlign w:val="bottom"/>
          </w:tcPr>
          <w:p>
            <w:pPr>
              <w:spacing w:after="0"/>
              <w:rPr>
                <w:sz w:val="1"/>
                <w:szCs w:val="1"/>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2,653,078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86.81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(6,031,747)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Forfeited</w:t>
            </w:r>
          </w:p>
        </w:tc>
        <w:tc>
          <w:tcPr>
            <w:tcW w:w="1420" w:type="dxa"/>
            <w:vAlign w:val="bottom"/>
          </w:tcPr>
          <w:p>
            <w:pPr>
              <w:jc w:val="right"/>
              <w:spacing w:after="0"/>
              <w:rPr>
                <w:sz w:val="20"/>
                <w:szCs w:val="20"/>
                <w:color w:val="auto"/>
              </w:rPr>
            </w:pPr>
            <w:r>
              <w:rPr>
                <w:rFonts w:ascii="Arial" w:cs="Arial" w:eastAsia="Arial" w:hAnsi="Arial"/>
                <w:sz w:val="13"/>
                <w:szCs w:val="13"/>
                <w:color w:val="auto"/>
              </w:rPr>
              <w:t>(1,141,370)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17.24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62,298,821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14.01</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8,578.9</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Vested and Exercisable—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28,599,374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6.28</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4,159.6</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Unvested option activity is as follows:</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gridSpan w:val="2"/>
            <w:vMerge w:val="restart"/>
          </w:tcPr>
          <w:p>
            <w:pPr>
              <w:jc w:val="right"/>
              <w:ind w:right="576"/>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24"/>
                <w:szCs w:val="24"/>
                <w:color w:val="auto"/>
              </w:rPr>
            </w:pPr>
          </w:p>
        </w:tc>
        <w:tc>
          <w:tcPr>
            <w:tcW w:w="176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rPr>
              <w:t>Weighted-Average Grant</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 June 30, 2020</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39,674,590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70"/>
        </w:trPr>
        <w:tc>
          <w:tcPr>
            <w:tcW w:w="53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2,653,078</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36.05</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Early exercised unvested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(39,117)</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70"/>
        </w:trPr>
        <w:tc>
          <w:tcPr>
            <w:tcW w:w="5380" w:type="dxa"/>
            <w:vAlign w:val="bottom"/>
          </w:tcPr>
          <w:p>
            <w:pPr>
              <w:ind w:left="100"/>
              <w:spacing w:after="0"/>
              <w:rPr>
                <w:sz w:val="20"/>
                <w:szCs w:val="20"/>
                <w:color w:val="auto"/>
              </w:rPr>
            </w:pPr>
            <w:r>
              <w:rPr>
                <w:rFonts w:ascii="Arial" w:cs="Arial" w:eastAsia="Arial" w:hAnsi="Arial"/>
                <w:sz w:val="13"/>
                <w:szCs w:val="13"/>
                <w:color w:val="auto"/>
              </w:rPr>
              <w:t>Vested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(7,454,067)</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(1,135,037)</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Unvested - December 31, 2020</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33,699,447</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During the six months ended December 31, 2020, 633,896 shares of common stock were issued upon cashless exercise of 898,390 options.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aggregate intrinsic value of options outstanding, vested and exercisable, were calculated as the difference between the exercise price of the options and the fair value of the Company’s common stock as of December 31, 2020. The fair value of the common stock is the closing stock price of the Company's Class A common stock as reported on the Nasdaq Global Select Market.</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As part of the 2015 Plan and 2019 Plan (collectively, the "Plans"), the Company issued options to certain key management that vest upon the achievement of certain performance milestones. During the three and six months ended December 31, 2020, the Company recorded stock-based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3"/>
          <w:szCs w:val="13"/>
          <w:color w:val="auto"/>
        </w:rPr>
        <w:t>compensation expense related to the performance-based options of $0.2 million and $0.4 million, respectively, and $0.1 million and $3.9 million for the three and six months ended December 31, 2019, respectively.</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For the six months ended December 31, 2020 the weighted-average grant date fair value per option was $36.05. The fair value of each option was estimated at the grant date using the Black-Scholes method with the following assumptions: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60" w:type="dxa"/>
            <w:vAlign w:val="bottom"/>
          </w:tcPr>
          <w:p>
            <w:pPr>
              <w:spacing w:after="0"/>
              <w:rPr>
                <w:sz w:val="13"/>
                <w:szCs w:val="13"/>
                <w:color w:val="auto"/>
              </w:rPr>
            </w:pPr>
          </w:p>
        </w:tc>
        <w:tc>
          <w:tcPr>
            <w:tcW w:w="2220" w:type="dxa"/>
            <w:vAlign w:val="bottom"/>
          </w:tcPr>
          <w:p>
            <w:pPr>
              <w:ind w:left="140"/>
              <w:spacing w:after="0"/>
              <w:rPr>
                <w:sz w:val="20"/>
                <w:szCs w:val="20"/>
                <w:color w:val="auto"/>
              </w:rPr>
            </w:pPr>
            <w:r>
              <w:rPr>
                <w:rFonts w:ascii="Arial" w:cs="Arial" w:eastAsia="Arial" w:hAnsi="Arial"/>
                <w:sz w:val="13"/>
                <w:szCs w:val="13"/>
                <w:b w:val="1"/>
                <w:bCs w:val="1"/>
                <w:color w:val="auto"/>
              </w:rPr>
              <w:t>Six Months Ended December 31,</w:t>
            </w:r>
          </w:p>
        </w:tc>
      </w:tr>
      <w:tr>
        <w:trPr>
          <w:trHeight w:val="170"/>
        </w:trPr>
        <w:tc>
          <w:tcPr>
            <w:tcW w:w="906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60"/>
        </w:trPr>
        <w:tc>
          <w:tcPr>
            <w:tcW w:w="90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Weighted average risk-free interest rate </w:t>
            </w:r>
            <w:r>
              <w:rPr>
                <w:rFonts w:ascii="Arial" w:cs="Arial" w:eastAsia="Arial" w:hAnsi="Arial"/>
                <w:sz w:val="16"/>
                <w:szCs w:val="16"/>
                <w:color w:val="auto"/>
                <w:vertAlign w:val="superscript"/>
              </w:rPr>
              <w:t>(1)</w:t>
            </w: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0.4%</w:t>
            </w:r>
          </w:p>
        </w:tc>
      </w:tr>
      <w:tr>
        <w:trPr>
          <w:trHeight w:val="170"/>
        </w:trPr>
        <w:tc>
          <w:tcPr>
            <w:tcW w:w="906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2220" w:type="dxa"/>
            <w:vAlign w:val="bottom"/>
          </w:tcPr>
          <w:p>
            <w:pPr>
              <w:jc w:val="center"/>
              <w:spacing w:after="0"/>
              <w:rPr>
                <w:sz w:val="20"/>
                <w:szCs w:val="20"/>
                <w:color w:val="auto"/>
              </w:rPr>
            </w:pPr>
            <w:r>
              <w:rPr>
                <w:rFonts w:ascii="Arial" w:cs="Arial" w:eastAsia="Arial" w:hAnsi="Arial"/>
                <w:sz w:val="13"/>
                <w:szCs w:val="13"/>
                <w:color w:val="auto"/>
                <w:w w:val="99"/>
              </w:rPr>
              <w:t>6.2</w:t>
            </w:r>
          </w:p>
        </w:tc>
      </w:tr>
      <w:tr>
        <w:trPr>
          <w:trHeight w:val="170"/>
        </w:trPr>
        <w:tc>
          <w:tcPr>
            <w:tcW w:w="90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Weighted average expected volatility </w:t>
            </w:r>
            <w:r>
              <w:rPr>
                <w:rFonts w:ascii="Arial" w:cs="Arial" w:eastAsia="Arial" w:hAnsi="Arial"/>
                <w:sz w:val="16"/>
                <w:szCs w:val="16"/>
                <w:color w:val="auto"/>
                <w:vertAlign w:val="superscript"/>
              </w:rPr>
              <w:t>(2)</w:t>
            </w: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42.8%</w:t>
            </w:r>
          </w:p>
        </w:tc>
      </w:tr>
      <w:tr>
        <w:trPr>
          <w:trHeight w:val="171"/>
        </w:trPr>
        <w:tc>
          <w:tcPr>
            <w:tcW w:w="906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22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40"/>
        </w:trPr>
        <w:tc>
          <w:tcPr>
            <w:tcW w:w="9060" w:type="dxa"/>
            <w:vAlign w:val="bottom"/>
          </w:tcPr>
          <w:p>
            <w:pPr>
              <w:spacing w:after="0"/>
              <w:rPr>
                <w:sz w:val="20"/>
                <w:szCs w:val="20"/>
                <w:color w:val="auto"/>
              </w:rPr>
            </w:pPr>
            <w:r>
              <w:rPr>
                <w:rFonts w:ascii="Arial" w:cs="Arial" w:eastAsia="Arial" w:hAnsi="Arial"/>
                <w:sz w:val="13"/>
                <w:szCs w:val="13"/>
                <w:color w:val="auto"/>
              </w:rPr>
              <w:t>____________________________</w:t>
            </w:r>
          </w:p>
        </w:tc>
        <w:tc>
          <w:tcPr>
            <w:tcW w:w="2220" w:type="dxa"/>
            <w:vAlign w:val="bottom"/>
          </w:tcPr>
          <w:p>
            <w:pPr>
              <w:spacing w:after="0"/>
              <w:rPr>
                <w:sz w:val="20"/>
                <w:szCs w:val="20"/>
                <w:color w:val="auto"/>
              </w:rPr>
            </w:pPr>
          </w:p>
        </w:tc>
      </w:tr>
      <w:tr>
        <w:trPr>
          <w:trHeight w:val="151"/>
        </w:trPr>
        <w:tc>
          <w:tcPr>
            <w:tcW w:w="9060" w:type="dxa"/>
            <w:vAlign w:val="bottom"/>
          </w:tcPr>
          <w:p>
            <w:pPr>
              <w:spacing w:after="0"/>
              <w:rPr>
                <w:sz w:val="20"/>
                <w:szCs w:val="20"/>
                <w:color w:val="auto"/>
              </w:rPr>
            </w:pPr>
            <w:r>
              <w:rPr>
                <w:rFonts w:ascii="Arial" w:cs="Arial" w:eastAsia="Arial" w:hAnsi="Arial"/>
                <w:sz w:val="10"/>
                <w:szCs w:val="10"/>
                <w:color w:val="auto"/>
              </w:rPr>
              <w:t>(1) Based on U.S. Treasury seven-year constant maturity interest rate whose term is consistent with the expected term of the option.</w:t>
            </w:r>
          </w:p>
        </w:tc>
        <w:tc>
          <w:tcPr>
            <w:tcW w:w="2220" w:type="dxa"/>
            <w:vAlign w:val="bottom"/>
          </w:tcPr>
          <w:p>
            <w:pPr>
              <w:spacing w:after="0"/>
              <w:rPr>
                <w:sz w:val="13"/>
                <w:szCs w:val="13"/>
                <w:color w:val="auto"/>
              </w:rPr>
            </w:pPr>
          </w:p>
        </w:tc>
      </w:tr>
      <w:tr>
        <w:trPr>
          <w:trHeight w:val="159"/>
        </w:trPr>
        <w:tc>
          <w:tcPr>
            <w:tcW w:w="9060" w:type="dxa"/>
            <w:vAlign w:val="bottom"/>
          </w:tcPr>
          <w:p>
            <w:pPr>
              <w:spacing w:after="0"/>
              <w:rPr>
                <w:sz w:val="20"/>
                <w:szCs w:val="20"/>
                <w:color w:val="auto"/>
              </w:rPr>
            </w:pPr>
            <w:r>
              <w:rPr>
                <w:rFonts w:ascii="Arial" w:cs="Arial" w:eastAsia="Arial" w:hAnsi="Arial"/>
                <w:sz w:val="10"/>
                <w:szCs w:val="10"/>
                <w:color w:val="auto"/>
              </w:rPr>
              <w:t>(2) Expected volatility is based on an analysis of comparable public company volatilities and adjusted for the Company’s stage of development.</w:t>
            </w:r>
          </w:p>
        </w:tc>
        <w:tc>
          <w:tcPr>
            <w:tcW w:w="2220" w:type="dxa"/>
            <w:vAlign w:val="bottom"/>
          </w:tcPr>
          <w:p>
            <w:pPr>
              <w:spacing w:after="0"/>
              <w:rPr>
                <w:sz w:val="13"/>
                <w:szCs w:val="13"/>
                <w:color w:val="auto"/>
              </w:rPr>
            </w:pPr>
          </w:p>
        </w:tc>
      </w:tr>
      <w:tr>
        <w:trPr>
          <w:trHeight w:val="428"/>
        </w:trPr>
        <w:tc>
          <w:tcPr>
            <w:tcW w:w="9060" w:type="dxa"/>
            <w:vAlign w:val="bottom"/>
          </w:tcPr>
          <w:p>
            <w:pPr>
              <w:spacing w:after="0"/>
              <w:rPr>
                <w:sz w:val="20"/>
                <w:szCs w:val="20"/>
                <w:color w:val="auto"/>
              </w:rPr>
            </w:pPr>
            <w:r>
              <w:rPr>
                <w:rFonts w:ascii="Arial" w:cs="Arial" w:eastAsia="Arial" w:hAnsi="Arial"/>
                <w:sz w:val="13"/>
                <w:szCs w:val="13"/>
                <w:b w:val="1"/>
                <w:bCs w:val="1"/>
                <w:i w:val="1"/>
                <w:iCs w:val="1"/>
                <w:color w:val="auto"/>
              </w:rPr>
              <w:t>Restricted Stock and Restricted Stock Units</w:t>
            </w:r>
          </w:p>
        </w:tc>
        <w:tc>
          <w:tcPr>
            <w:tcW w:w="2220" w:type="dxa"/>
            <w:vAlign w:val="bottom"/>
          </w:tcPr>
          <w:p>
            <w:pPr>
              <w:spacing w:after="0"/>
              <w:rPr>
                <w:sz w:val="24"/>
                <w:szCs w:val="24"/>
                <w:color w:val="auto"/>
              </w:rPr>
            </w:pPr>
          </w:p>
        </w:tc>
      </w:tr>
      <w:tr>
        <w:trPr>
          <w:trHeight w:val="174"/>
        </w:trPr>
        <w:tc>
          <w:tcPr>
            <w:tcW w:w="9060" w:type="dxa"/>
            <w:vAlign w:val="bottom"/>
          </w:tcPr>
          <w:p>
            <w:pPr>
              <w:spacing w:after="0"/>
              <w:rPr>
                <w:sz w:val="20"/>
                <w:szCs w:val="20"/>
                <w:color w:val="auto"/>
              </w:rPr>
            </w:pPr>
            <w:r>
              <w:rPr>
                <w:rFonts w:ascii="Arial" w:cs="Arial" w:eastAsia="Arial" w:hAnsi="Arial"/>
                <w:sz w:val="13"/>
                <w:szCs w:val="13"/>
                <w:color w:val="auto"/>
              </w:rPr>
              <w:t>The following table summarizes the activity related to the Company's restricted stock and restricted stock units:</w:t>
            </w:r>
          </w:p>
        </w:tc>
        <w:tc>
          <w:tcPr>
            <w:tcW w:w="2220" w:type="dxa"/>
            <w:vAlign w:val="bottom"/>
          </w:tcPr>
          <w:p>
            <w:pPr>
              <w:spacing w:after="0"/>
              <w:rPr>
                <w:sz w:val="15"/>
                <w:szCs w:val="15"/>
                <w:color w:val="auto"/>
              </w:rPr>
            </w:pP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6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Restricted Stock Units Outstanding</w:t>
            </w:r>
          </w:p>
        </w:tc>
        <w:tc>
          <w:tcPr>
            <w:tcW w:w="0" w:type="dxa"/>
            <w:vAlign w:val="bottom"/>
          </w:tcPr>
          <w:p>
            <w:pPr>
              <w:spacing w:after="0"/>
              <w:rPr>
                <w:sz w:val="1"/>
                <w:szCs w:val="1"/>
                <w:color w:val="auto"/>
              </w:rPr>
            </w:pPr>
          </w:p>
        </w:tc>
      </w:tr>
      <w:tr>
        <w:trPr>
          <w:trHeight w:val="118"/>
        </w:trPr>
        <w:tc>
          <w:tcPr>
            <w:tcW w:w="7680" w:type="dxa"/>
            <w:vAlign w:val="bottom"/>
          </w:tcPr>
          <w:p>
            <w:pPr>
              <w:spacing w:after="0"/>
              <w:rPr>
                <w:sz w:val="10"/>
                <w:szCs w:val="10"/>
                <w:color w:val="auto"/>
              </w:rPr>
            </w:pPr>
          </w:p>
        </w:tc>
        <w:tc>
          <w:tcPr>
            <w:tcW w:w="176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Number of Awards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right"/>
              <w:ind w:right="76"/>
              <w:spacing w:after="0" w:line="118" w:lineRule="exact"/>
              <w:rPr>
                <w:sz w:val="20"/>
                <w:szCs w:val="20"/>
                <w:color w:val="auto"/>
              </w:rPr>
            </w:pPr>
            <w:r>
              <w:rPr>
                <w:rFonts w:ascii="Arial" w:cs="Arial" w:eastAsia="Arial" w:hAnsi="Arial"/>
                <w:sz w:val="13"/>
                <w:szCs w:val="13"/>
                <w:b w:val="1"/>
                <w:bCs w:val="1"/>
                <w:color w:val="auto"/>
                <w:w w:val="97"/>
              </w:rPr>
              <w:t>Weighted-Average Grant</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2020</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616,113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0" w:type="dxa"/>
            <w:vAlign w:val="bottom"/>
          </w:tcPr>
          <w:p>
            <w:pPr>
              <w:spacing w:after="0"/>
              <w:rPr>
                <w:sz w:val="1"/>
                <w:szCs w:val="1"/>
                <w:color w:val="auto"/>
              </w:rPr>
            </w:pPr>
          </w:p>
        </w:tc>
      </w:tr>
      <w:tr>
        <w:trPr>
          <w:trHeight w:val="170"/>
        </w:trPr>
        <w:tc>
          <w:tcPr>
            <w:tcW w:w="76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760" w:type="dxa"/>
            <w:vAlign w:val="bottom"/>
          </w:tcPr>
          <w:p>
            <w:pPr>
              <w:jc w:val="right"/>
              <w:spacing w:after="0"/>
              <w:rPr>
                <w:sz w:val="20"/>
                <w:szCs w:val="20"/>
                <w:color w:val="auto"/>
              </w:rPr>
            </w:pPr>
            <w:r>
              <w:rPr>
                <w:rFonts w:ascii="Arial" w:cs="Arial" w:eastAsia="Arial" w:hAnsi="Arial"/>
                <w:sz w:val="13"/>
                <w:szCs w:val="13"/>
                <w:color w:val="auto"/>
              </w:rPr>
              <w:t>804,740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89.09</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0" w:type="dxa"/>
            <w:vAlign w:val="bottom"/>
          </w:tcPr>
          <w:p>
            <w:pPr>
              <w:spacing w:after="0"/>
              <w:rPr>
                <w:sz w:val="1"/>
                <w:szCs w:val="1"/>
                <w:color w:val="auto"/>
              </w:rPr>
            </w:pPr>
          </w:p>
        </w:tc>
      </w:tr>
      <w:tr>
        <w:trPr>
          <w:trHeight w:val="170"/>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86.67</w:t>
            </w:r>
          </w:p>
        </w:tc>
        <w:tc>
          <w:tcPr>
            <w:tcW w:w="0" w:type="dxa"/>
            <w:vAlign w:val="bottom"/>
          </w:tcPr>
          <w:p>
            <w:pPr>
              <w:spacing w:after="0"/>
              <w:rPr>
                <w:sz w:val="1"/>
                <w:szCs w:val="1"/>
                <w:color w:val="auto"/>
              </w:rPr>
            </w:pPr>
          </w:p>
        </w:tc>
      </w:tr>
      <w:tr>
        <w:trPr>
          <w:trHeight w:val="18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December 31, 2020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1,253,300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67.31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2020, the number of shares of Class A common stock available for issuance under the ESPP was automatically increased according to its terms by 2,880,390 shares. As of December 31, 2020, a total of 8,101,657 shares of Class A common stock are available for sale to employees under the ESPP.</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Black-Scholes option pricing model assumptions used to calculate the fair value of shares estimated to be purchased at the commencement of the ESPP offering periods were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9060" w:type="dxa"/>
            <w:vAlign w:val="bottom"/>
          </w:tcPr>
          <w:p>
            <w:pPr>
              <w:spacing w:after="0"/>
              <w:rPr>
                <w:sz w:val="13"/>
                <w:szCs w:val="13"/>
                <w:color w:val="auto"/>
              </w:rPr>
            </w:pPr>
          </w:p>
        </w:tc>
        <w:tc>
          <w:tcPr>
            <w:tcW w:w="2220" w:type="dxa"/>
            <w:vAlign w:val="bottom"/>
          </w:tcPr>
          <w:p>
            <w:pPr>
              <w:ind w:left="140"/>
              <w:spacing w:after="0"/>
              <w:rPr>
                <w:sz w:val="20"/>
                <w:szCs w:val="20"/>
                <w:color w:val="auto"/>
              </w:rPr>
            </w:pPr>
            <w:r>
              <w:rPr>
                <w:rFonts w:ascii="Arial" w:cs="Arial" w:eastAsia="Arial" w:hAnsi="Arial"/>
                <w:sz w:val="13"/>
                <w:szCs w:val="13"/>
                <w:b w:val="1"/>
                <w:bCs w:val="1"/>
                <w:color w:val="auto"/>
              </w:rPr>
              <w:t>Six Months Ended December 31,</w:t>
            </w:r>
          </w:p>
        </w:tc>
      </w:tr>
      <w:tr>
        <w:trPr>
          <w:trHeight w:val="170"/>
        </w:trPr>
        <w:tc>
          <w:tcPr>
            <w:tcW w:w="906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60"/>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risk-free interest rate</w:t>
            </w: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1.1%</w:t>
            </w:r>
          </w:p>
        </w:tc>
      </w:tr>
      <w:tr>
        <w:trPr>
          <w:trHeight w:val="170"/>
        </w:trPr>
        <w:tc>
          <w:tcPr>
            <w:tcW w:w="906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2220" w:type="dxa"/>
            <w:vAlign w:val="bottom"/>
          </w:tcPr>
          <w:p>
            <w:pPr>
              <w:jc w:val="center"/>
              <w:spacing w:after="0"/>
              <w:rPr>
                <w:sz w:val="20"/>
                <w:szCs w:val="20"/>
                <w:color w:val="auto"/>
              </w:rPr>
            </w:pPr>
            <w:r>
              <w:rPr>
                <w:rFonts w:ascii="Arial" w:cs="Arial" w:eastAsia="Arial" w:hAnsi="Arial"/>
                <w:sz w:val="13"/>
                <w:szCs w:val="13"/>
                <w:color w:val="auto"/>
                <w:w w:val="99"/>
              </w:rPr>
              <w:t>1.2</w:t>
            </w:r>
          </w:p>
        </w:tc>
      </w:tr>
      <w:tr>
        <w:trPr>
          <w:trHeight w:val="170"/>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60.0%</w:t>
            </w:r>
          </w:p>
        </w:tc>
      </w:tr>
      <w:tr>
        <w:trPr>
          <w:trHeight w:val="171"/>
        </w:trPr>
        <w:tc>
          <w:tcPr>
            <w:tcW w:w="906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222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During the three and six months ended December 31, 2020, the Company recorded stock-based compensation expense associated with the ESPP of $2.2 million and $3.8 million, respectively and $0.9 million for each of the three and six months ended December 31, 2019.</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connection with the offering period which ended on August 31, 2020, employees purchased approximately 216,094 shares of Class A common stock at a weighted-average price of $23.73 under the ESPP. As of December 31, 2020, total unrecognized compensation cost related to the ESPP was $12.1 million, which will be amortized over a weighted-average remaining period of 1.4 years.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total stock-based compensation expense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Connected Fitness Products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24.6</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0"/>
        </w:trPr>
        <w:tc>
          <w:tcPr>
            <w:tcW w:w="5380" w:type="dxa"/>
            <w:vAlign w:val="bottom"/>
          </w:tcPr>
          <w:p>
            <w:pPr>
              <w:ind w:left="260"/>
              <w:spacing w:after="0"/>
              <w:rPr>
                <w:sz w:val="20"/>
                <w:szCs w:val="20"/>
                <w:color w:val="auto"/>
              </w:rPr>
            </w:pPr>
            <w:r>
              <w:rPr>
                <w:rFonts w:ascii="Arial" w:cs="Arial" w:eastAsia="Arial" w:hAnsi="Arial"/>
                <w:sz w:val="13"/>
                <w:szCs w:val="13"/>
                <w:color w:val="auto"/>
              </w:rPr>
              <w:t>Total stock-based compensation expense</w:t>
            </w:r>
          </w:p>
        </w:tc>
        <w:tc>
          <w:tcPr>
            <w:tcW w:w="98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As of December 31, 2020, the Company had $385.3 million of unrecognized stock-based compensation expense related to unvested stock-based awards that is expected to be recognized over a weighted-average period of 3.2 years.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Income Taxes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recorded a benefit from income taxes of $3.0 million and $1.7 million for the three and six months ended December 31, 2020, respectively, and $0.4 million for each of the three and six months ended December 31, 2019. Furthermore, the Company's effective tax rates were (4.60)% and (1.24)% for the three and six months ended December 31, 2020, respectively, and 0.79% and 0.32% for the three and six months ended December 31, 2019, respectively. The income tax benefit is driven by adjustments to the valuation allowance resulting from the acquisitions disclosed in Note 7, partially offset by state and international taxes.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The Company maintains a valuation allowance on the majority of its deferred tax assets as it has concluded that it is more likely than not that the deferred assets will not be utilized.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Net Income (Loss)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computation of basic and diluted net income (loss) per share is as follows: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20"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December 31,</w:t>
            </w:r>
          </w:p>
        </w:tc>
        <w:tc>
          <w:tcPr>
            <w:tcW w:w="280" w:type="dxa"/>
            <w:vAlign w:val="bottom"/>
          </w:tcPr>
          <w:p>
            <w:pPr>
              <w:spacing w:after="0"/>
              <w:rPr>
                <w:sz w:val="15"/>
                <w:szCs w:val="15"/>
                <w:color w:val="auto"/>
              </w:rPr>
            </w:pPr>
          </w:p>
        </w:tc>
        <w:tc>
          <w:tcPr>
            <w:tcW w:w="26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80" w:type="dxa"/>
            <w:vAlign w:val="bottom"/>
            <w:gridSpan w:val="7"/>
          </w:tcPr>
          <w:p>
            <w:pPr>
              <w:ind w:left="40"/>
              <w:spacing w:after="0"/>
              <w:rPr>
                <w:sz w:val="20"/>
                <w:szCs w:val="20"/>
                <w:color w:val="auto"/>
              </w:rPr>
            </w:pPr>
            <w:r>
              <w:rPr>
                <w:rFonts w:ascii="Arial" w:cs="Arial" w:eastAsia="Arial" w:hAnsi="Arial"/>
                <w:sz w:val="13"/>
                <w:szCs w:val="13"/>
                <w:b w:val="1"/>
                <w:bCs w:val="1"/>
                <w:color w:val="auto"/>
                <w:w w:val="98"/>
              </w:rPr>
              <w:t>(in millions, except share and per share amounts)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net income (loss) per share:</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Net income (loss) attributable to common stockholders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70"/>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292,462,184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279,974,823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290,591,037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159,214,343</w:t>
            </w:r>
          </w:p>
        </w:tc>
      </w:tr>
      <w:tr>
        <w:trPr>
          <w:trHeight w:val="18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 net income (loss) per share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net income (loss) per share:</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Net income (loss) attributable to common stockholders</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70"/>
        </w:trPr>
        <w:tc>
          <w:tcPr>
            <w:tcW w:w="5380" w:type="dxa"/>
            <w:vAlign w:val="bottom"/>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292,462,184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279,974,823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290,591,037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159,214,343</w:t>
            </w:r>
          </w:p>
        </w:tc>
      </w:tr>
      <w:tr>
        <w:trPr>
          <w:trHeight w:val="170"/>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Weighted-average effect of potentially dilutive securities: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380" w:type="dxa"/>
            <w:vAlign w:val="bottom"/>
          </w:tcPr>
          <w:p>
            <w:pPr>
              <w:ind w:left="360"/>
              <w:spacing w:after="0"/>
              <w:rPr>
                <w:sz w:val="20"/>
                <w:szCs w:val="20"/>
                <w:color w:val="auto"/>
              </w:rPr>
            </w:pPr>
            <w:r>
              <w:rPr>
                <w:rFonts w:ascii="Arial" w:cs="Arial" w:eastAsia="Arial" w:hAnsi="Arial"/>
                <w:sz w:val="13"/>
                <w:szCs w:val="13"/>
                <w:color w:val="auto"/>
              </w:rPr>
              <w:t>Employee stock options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54,271,831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53,426,104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Restricted stock units and awards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636,056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552,394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380" w:type="dxa"/>
            <w:vAlign w:val="bottom"/>
          </w:tcPr>
          <w:p>
            <w:pPr>
              <w:ind w:left="360"/>
              <w:spacing w:after="0"/>
              <w:rPr>
                <w:sz w:val="20"/>
                <w:szCs w:val="20"/>
                <w:color w:val="auto"/>
              </w:rPr>
            </w:pPr>
            <w:r>
              <w:rPr>
                <w:rFonts w:ascii="Arial" w:cs="Arial" w:eastAsia="Arial" w:hAnsi="Arial"/>
                <w:sz w:val="13"/>
                <w:szCs w:val="13"/>
                <w:color w:val="auto"/>
              </w:rPr>
              <w:t>Shares estimated to be purchased under ESPP</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516,624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424,779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 weighted-average common shares outstanding</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347,886,695</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279,974,823</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344,994,314</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159,214,343</w:t>
            </w: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Diluted net income (loss) per share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(0.66)</w:t>
            </w:r>
          </w:p>
        </w:tc>
      </w:tr>
      <w:tr>
        <w:trPr>
          <w:trHeight w:val="20"/>
        </w:trPr>
        <w:tc>
          <w:tcPr>
            <w:tcW w:w="5380" w:type="dxa"/>
            <w:vAlign w:val="bottom"/>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5"/>
        </w:trPr>
        <w:tc>
          <w:tcPr>
            <w:tcW w:w="8380" w:type="dxa"/>
            <w:vAlign w:val="bottom"/>
            <w:gridSpan w:val="7"/>
          </w:tcPr>
          <w:p>
            <w:pPr>
              <w:spacing w:after="0"/>
              <w:rPr>
                <w:sz w:val="20"/>
                <w:szCs w:val="20"/>
                <w:color w:val="auto"/>
              </w:rPr>
            </w:pPr>
            <w:r>
              <w:rPr>
                <w:rFonts w:ascii="Arial" w:cs="Arial" w:eastAsia="Arial" w:hAnsi="Arial"/>
                <w:sz w:val="13"/>
                <w:szCs w:val="13"/>
                <w:color w:val="auto"/>
                <w:w w:val="98"/>
              </w:rPr>
              <w:t>The following potentially dilutive shares were not included in the calculation of diluted shares outstanding as the effect would have been anti-dilutive:</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8"/>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December 31,</w:t>
            </w:r>
          </w:p>
        </w:tc>
        <w:tc>
          <w:tcPr>
            <w:tcW w:w="280" w:type="dxa"/>
            <w:vAlign w:val="bottom"/>
          </w:tcPr>
          <w:p>
            <w:pPr>
              <w:spacing w:after="0"/>
              <w:rPr>
                <w:sz w:val="23"/>
                <w:szCs w:val="23"/>
                <w:color w:val="auto"/>
              </w:rPr>
            </w:pPr>
          </w:p>
        </w:tc>
        <w:tc>
          <w:tcPr>
            <w:tcW w:w="26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options</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65,236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40,863,282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206,467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39,488,218</w:t>
            </w:r>
          </w:p>
        </w:tc>
      </w:tr>
      <w:tr>
        <w:trPr>
          <w:trHeight w:val="171"/>
        </w:trPr>
        <w:tc>
          <w:tcPr>
            <w:tcW w:w="538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Segment Information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The Company applies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in determining reportable segments for its financial statement disclosure.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48"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Key financial performance measures of the segments including Revenue, Cost of revenue, and Gross profit are as follows: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Connected Fitness Products: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0"/>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870.1</w:t>
            </w:r>
          </w:p>
        </w:tc>
        <w:tc>
          <w:tcPr>
            <w:tcW w:w="80" w:type="dxa"/>
            <w:vAlign w:val="bottom"/>
          </w:tcPr>
          <w:p>
            <w:pPr>
              <w:spacing w:after="0"/>
              <w:rPr>
                <w:sz w:val="14"/>
                <w:szCs w:val="14"/>
                <w:color w:val="auto"/>
              </w:rPr>
            </w:pP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389.1</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1,471.5</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550.0</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236.7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330.1</w:t>
            </w:r>
          </w:p>
        </w:tc>
      </w:tr>
      <w:tr>
        <w:trPr>
          <w:trHeight w:val="160"/>
        </w:trPr>
        <w:tc>
          <w:tcPr>
            <w:tcW w:w="5380" w:type="dxa"/>
            <w:vAlign w:val="bottom"/>
            <w:tcBorders>
              <w:bottom w:val="single" w:sz="8" w:color="CCEEFF"/>
            </w:tcBorders>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152.4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219.8</w:t>
            </w: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0"/>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194.7</w:t>
            </w:r>
          </w:p>
        </w:tc>
        <w:tc>
          <w:tcPr>
            <w:tcW w:w="80" w:type="dxa"/>
            <w:vAlign w:val="bottom"/>
          </w:tcPr>
          <w:p>
            <w:pPr>
              <w:spacing w:after="0"/>
              <w:rPr>
                <w:sz w:val="14"/>
                <w:szCs w:val="14"/>
                <w:color w:val="auto"/>
              </w:rPr>
            </w:pP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77.1</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351.2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144.3</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r>
      <w:tr>
        <w:trPr>
          <w:trHeight w:val="160"/>
        </w:trPr>
        <w:tc>
          <w:tcPr>
            <w:tcW w:w="5380" w:type="dxa"/>
            <w:vAlign w:val="bottom"/>
            <w:tcBorders>
              <w:bottom w:val="single" w:sz="8" w:color="CCEEFF"/>
            </w:tcBorders>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w:t>
            </w: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0"/>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Pr>
          <w:p>
            <w:pPr>
              <w:spacing w:after="0"/>
              <w:rPr>
                <w:sz w:val="14"/>
                <w:szCs w:val="14"/>
                <w:color w:val="auto"/>
              </w:rPr>
            </w:pP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466.3</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1,822.7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694.3</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269.1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392.1</w:t>
            </w:r>
          </w:p>
        </w:tc>
      </w:tr>
      <w:tr>
        <w:trPr>
          <w:trHeight w:val="160"/>
        </w:trPr>
        <w:tc>
          <w:tcPr>
            <w:tcW w:w="53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424.8</w:t>
            </w: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197.1</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753.5</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302.2</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Reconciliation of Gross Profit</w:t>
      </w:r>
    </w:p>
    <w:p>
      <w:pPr>
        <w:spacing w:after="0" w:line="31" w:lineRule="exact"/>
        <w:rPr>
          <w:sz w:val="20"/>
          <w:szCs w:val="20"/>
          <w:color w:val="auto"/>
        </w:rPr>
      </w:pPr>
    </w:p>
    <w:p>
      <w:pPr>
        <w:ind w:right="460"/>
        <w:spacing w:after="0" w:line="273" w:lineRule="auto"/>
        <w:rPr>
          <w:sz w:val="20"/>
          <w:szCs w:val="20"/>
          <w:color w:val="auto"/>
        </w:rPr>
      </w:pPr>
      <w:r>
        <w:rPr>
          <w:rFonts w:ascii="Arial" w:cs="Arial" w:eastAsia="Arial" w:hAnsi="Arial"/>
          <w:sz w:val="13"/>
          <w:szCs w:val="13"/>
          <w:color w:val="auto"/>
        </w:rPr>
        <w:t>Operating expenditures, interest income and other expense, and taxes are not allocated to individual segments as these are managed on an entity wide group basis. The reconciliation between reportable Segment Gross Profit to consolidated Income (loss) before tax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300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Pr>
          <w:p>
            <w:pPr>
              <w:spacing w:after="0"/>
              <w:rPr>
                <w:sz w:val="15"/>
                <w:szCs w:val="15"/>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0"/>
        </w:trPr>
        <w:tc>
          <w:tcPr>
            <w:tcW w:w="5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r>
      <w:tr>
        <w:trPr>
          <w:trHeight w:val="160"/>
        </w:trPr>
        <w:tc>
          <w:tcPr>
            <w:tcW w:w="5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Gross Profit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424.8</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(177.4)</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(238.1)</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w:t>
            </w: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(38.1)</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other income, net</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Income (loss) before provision for income taxes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60.6</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(105.5)</w:t>
            </w: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On January 31, 2021, the Company entered into an agreement and plan of merger to purchase various developed technology, intellectual property and related assets for approximately $57.5 million.</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Company has not yet completed its evaluation and determination of consideration paid, certain assets and liabilities acquired, or treatment of these transactions as either a business combination or asset acquisition in accordance with Topic 805.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2020 filed with the SEC on September 10, 2020 (the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Overview</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Peloton is the largest interactive fitness platform in the world with a loyal community of over 4.4 million Members as of December 31, 2020.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Our Connected Fitness Product portfolio currently include the Peloton Bike, Bike+, and the Peloton Tread and Tread+. Our revenue is generated primarily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Subscriptions. From the three months ended December 31, 2019 to the three months ended December 31, 2020, total revenue grew 128%, and our Connected Fitness Subscription base grew 134%.</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able to offset our subscription acquisition costs with the gross profit earned on our Connected Fitness Products. This allows for rapid payback of our sales and marketing investments and results in a robust unit economic model.</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050505"/>
        </w:rPr>
        <w:t>F</w:t>
      </w:r>
      <w:r>
        <w:rPr>
          <w:rFonts w:ascii="Arial" w:cs="Arial" w:eastAsia="Arial" w:hAnsi="Arial"/>
          <w:sz w:val="13"/>
          <w:szCs w:val="13"/>
          <w:color w:val="000000"/>
        </w:rPr>
        <w:t>or the three months ended December 31, 2020 and 2019:</w:t>
      </w:r>
    </w:p>
    <w:p>
      <w:pPr>
        <w:spacing w:after="0" w:line="190"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generated total revenue of $1,064.8 million and $466.3 million, respectively, representing 128% year-over-year growth;</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December 31, 2020 and 2019, we had 1,667,223 and 712,005 Connected Fitness Subscriptions, respectively, representing 134% year-over-year growth;</w:t>
      </w: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Average Net Monthly Connected Fitness Churn was 0.76%, and 0.74%, respectively;</w:t>
      </w: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recognized net income (loss) of $63.6 million and $(55.4) million, respectively; and</w:t>
      </w: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Adjusted EBITDA was $116.9 million and $(28.4)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050505"/>
        </w:rPr>
        <w:t>For a definition of Connected Fitness Subscriptions and Average Net Monthly Connected Fitness Churn, see the section titled “—Key Operational and Business Metrics”.</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050505"/>
        </w:rPr>
        <w:t>See the section titled “—Non-GAAP Financial Measures” for definitions of and information regarding our use of Adjusted EBITDA, Adjusted EBITDA Margin, Subscription Contribution and Subscription Contribution Margin, and a reconciliation of each of net income (loss) to Adjusted EBITDA and Subscription Gross Profit to Subscription Contribution.</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Q2 update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050505"/>
        </w:rPr>
        <w:t>We were pleased to announce strong results for the quarter ended December 31, 2020. We continued to see robust demand for our connected fitness platform through the Holiday selling season, and Member engagement gains continue to validate our hardware, software, and content investments. Our new Peloton Tread officially debuted in the U.K. on December 26th and we look forward to extending distribution to additional geographies in the coming months.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050505"/>
        </w:rPr>
        <w:t>On December 21, 2020, we entered into a Stock and Asset Purchase Agreement (the “Purchase Agreement”) with Amer Sports Corporation, a Finnish corporation, pursuant to which we will acquire Precor Incorporated, a Delaware corporation (“Precor”), and certain related entities and assets for $420.0 million in cash, subject to customary adjustments for working capital, transaction expenses, cash and indebtedness. Precor manufactures, sells and distributes cardiovascular and strength-building exercise machines, fitness equipment, and associated technical and digital services. The consummation of the acquisition is subject to customary closing conditions, including regulatory approval among other conditions. We currently anticipate that the closing of the transactions contemplated by the Purchase Agreement will occur in early calendar year 2021 and is subject to customary closing conditions, including the expiration or termination of the applicable waiting period under the Hart-Scott-Rodino Antitrust Improvements Act of 1976, as amended.</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050505"/>
        </w:rPr>
        <w:t>Precor has long been a leader in the commercial fitness industry and brings substantial domestic manufacturing capabilities and a deep bench of R&amp;D and manufacturing talent to Peloton. With Precor we see an opportunity to accelerate our plan to produce Peloton products domestically and further enhance our consumer and commercial offerings.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22" w:name="page23"/>
    <w:bookmarkEnd w:id="22"/>
    <w:p>
      <w:pPr>
        <w:jc w:val="both"/>
        <w:spacing w:after="0" w:line="244" w:lineRule="auto"/>
        <w:rPr>
          <w:sz w:val="20"/>
          <w:szCs w:val="20"/>
          <w:color w:val="auto"/>
        </w:rPr>
      </w:pPr>
      <w:r>
        <w:rPr>
          <w:rFonts w:ascii="Arial" w:cs="Arial" w:eastAsia="Arial" w:hAnsi="Arial"/>
          <w:sz w:val="13"/>
          <w:szCs w:val="13"/>
          <w:color w:val="auto"/>
        </w:rPr>
        <w:t>The ongoing COVID-19 pandemic continues to present a challenging operating landscape and we continue to work to address long order-to-delivery timeframes. However, our supply chain investments over the last several months are helping us better match our supply and demand going forward. Our manufacturing output has significantly increased and we have officially begun ramping up production at our new Shin Ji factory in Taiwan. Unfortunately, well-publicized West Coast port delays and COVID-related factors continue to present challenges to returning our delivery times to pre-pandemic levels. With many of our markets reaching record level COVID-19 cases and new stay-at-home orders, we continue to see robust demand for our products. As a consequence, we are carrying a substantial number of deliveries into our fiscal third quarter. While we have significantly increased Bike and Bike+ production over the last several months, we remain supply constrained with longer than acceptable wait times for the delivery of our products. To directly address this situation, we will making significant additional investments in the near term in order to improve our order-to-delivery windows. While this investment will dampen our near-term profitability, improving our Member experience is our first priority.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Content</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global Content team was exceptionally busy in the quarter. In December, we introduced Peloton Pilates, an eagerly awaited series of 20 classes led by instructors Hannah Corbin, Emma Lovewell, Kristin McGee, Aditi Shah and Sam Yo. Members immediately responded, driving over 650,000 workouts in just three weeks.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050505"/>
        </w:rPr>
        <w:t>Seasonally themed content featured the debut of Gratitude Week, encompassing the Thanksgiving holiday, featured 17 classes across 9 fitness disciplines, driving over 870,000 workouts. A perennial favorite among our Member base, our Annual Thanksgiving Day Turkey Burn live rides led by Robin A</w:t>
      </w:r>
      <w:r>
        <w:rPr>
          <w:rFonts w:ascii="Arial" w:cs="Arial" w:eastAsia="Arial" w:hAnsi="Arial"/>
          <w:sz w:val="12"/>
          <w:szCs w:val="12"/>
          <w:color w:val="000000"/>
        </w:rPr>
        <w:t>rzón</w:t>
      </w:r>
      <w:r>
        <w:rPr>
          <w:rFonts w:ascii="Arial" w:cs="Arial" w:eastAsia="Arial" w:hAnsi="Arial"/>
          <w:sz w:val="12"/>
          <w:szCs w:val="12"/>
          <w:color w:val="050505"/>
        </w:rPr>
        <w:t xml:space="preserve"> and Alex Toussaint were our single largest live rides ever, with a combined live audience of over 88,000 Connected Fitness Members. Another highlight of Gratitude Week was our first ever Live Fit Family class. The quarter we also launched Pre/Postnatal classes led by Robin Arz</w:t>
      </w:r>
      <w:r>
        <w:rPr>
          <w:rFonts w:ascii="Arial" w:cs="Arial" w:eastAsia="Arial" w:hAnsi="Arial"/>
          <w:sz w:val="12"/>
          <w:szCs w:val="12"/>
          <w:color w:val="000000"/>
        </w:rPr>
        <w:t>ó</w:t>
      </w:r>
      <w:r>
        <w:rPr>
          <w:rFonts w:ascii="Arial" w:cs="Arial" w:eastAsia="Arial" w:hAnsi="Arial"/>
          <w:sz w:val="12"/>
          <w:szCs w:val="12"/>
          <w:color w:val="050505"/>
        </w:rPr>
        <w:t>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050505"/>
        </w:rPr>
        <w:t xml:space="preserve">Heritage months have become widely popular points of engagement on the Peloton platform. This quarter we celebrated LatinX/Hispancic Heritage Month, producing over 25 classes and driving over 330,000 workouts. This year we also extended our Heritage celebrations to our international markets, launching Black History Month in the U.K., and produced a series of Unification Rides hosted by our German instructors </w:t>
      </w:r>
      <w:r>
        <w:rPr>
          <w:rFonts w:ascii="Arial" w:cs="Arial" w:eastAsia="Arial" w:hAnsi="Arial"/>
          <w:sz w:val="13"/>
          <w:szCs w:val="13"/>
          <w:color w:val="000000"/>
        </w:rPr>
        <w:t>Irèn</w:t>
      </w:r>
      <w:r>
        <w:rPr>
          <w:rFonts w:ascii="Arial" w:cs="Arial" w:eastAsia="Arial" w:hAnsi="Arial"/>
          <w:sz w:val="13"/>
          <w:szCs w:val="13"/>
          <w:color w:val="050505"/>
        </w:rPr>
        <w:t>e Scholz and Erik J</w:t>
      </w:r>
      <w:r>
        <w:rPr>
          <w:rFonts w:ascii="Arial" w:cs="Arial" w:eastAsia="Arial" w:hAnsi="Arial"/>
          <w:sz w:val="13"/>
          <w:szCs w:val="13"/>
          <w:color w:val="000000"/>
        </w:rPr>
        <w:t>ä</w:t>
      </w:r>
      <w:r>
        <w:rPr>
          <w:rFonts w:ascii="Arial" w:cs="Arial" w:eastAsia="Arial" w:hAnsi="Arial"/>
          <w:sz w:val="13"/>
          <w:szCs w:val="13"/>
          <w:color w:val="050505"/>
        </w:rPr>
        <w:t>ger.</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050505"/>
        </w:rPr>
        <w:t>From the beginning it has been clear that music is a critical component of the Peloton workout experience for our Members. Our music team is committed to providing the most compelling music experience in Connected Fitness, continuing to produce collaborations with artists and music rights holders to bring exclusive “only on Peloton” experiences to our Members. During the quarter ended December 31, 2020, we proudly announced our Beyoncé partnership with seven Beyoncé-themed classes. These classes drove over 1 million workouts in the quarter and included our largest live audiences to date for Yoga and Bike Bootcamp. Other Artist Series launches in the quarter included Metallica, Outkast and--on Christmas Day--The Beatles. Overall, our Artist Series themed classes were taken over 3.6 million times in the quarter, with over 148,000 live class participants across ten fitness disciplines.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050505"/>
        </w:rPr>
        <w:t>And, in another first for our Peloton Music team, this quarter we partnered with the Elvis Presley Estate and Sony Music to produce three original Elvis remixes featuring Big Boi, Dillon Francis and Chromeo. These remixes debuted exclusively on our platform, providing a unique music discovery experience for our Member base.</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050505"/>
        </w:rPr>
        <w:t>We were also excited by the early results of our November “Sessions” beta test. Sessions offers Connected Fitness Members the ability to take pre-recorded classes with a synchronized start time, providing Members with a live leaderboard experience and the ability to more easily schedule shared rides with other Peloton Community Members. Sessions represented our first platform-wide feature beta test, logging over 2.1 million workouts by 890,000 Members over just a three-week period. After further refinements, we are looking forward to the relaunch of Sessions in the coming months.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050505"/>
        </w:rPr>
        <w:t>As our international Member community grows, so too does our investment in foreign language content. This quarter we were excited to announce the addition of two German language instructors: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050505"/>
        </w:rPr>
        <w:t>Mayla Wedekind and Cliff Dwenger. Based in London, Mayla and Cliff will lead cycling classes in both German and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b w:val="1"/>
          <w:bCs w:val="1"/>
          <w:color w:val="auto"/>
        </w:rPr>
        <w:t>Key Operational and Business Metrics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Three Months Ended December 31,</w:t>
            </w:r>
          </w:p>
        </w:tc>
        <w:tc>
          <w:tcPr>
            <w:tcW w:w="700" w:type="dxa"/>
            <w:vAlign w:val="bottom"/>
            <w:tcBorders>
              <w:bottom w:val="single" w:sz="8" w:color="auto"/>
            </w:tcBorders>
          </w:tcPr>
          <w:p>
            <w:pPr>
              <w:spacing w:after="0"/>
              <w:rPr>
                <w:sz w:val="15"/>
                <w:szCs w:val="15"/>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tcPr>
          <w:p>
            <w:pPr>
              <w:spacing w:after="0"/>
              <w:rPr>
                <w:sz w:val="14"/>
                <w:szCs w:val="14"/>
                <w:color w:val="auto"/>
              </w:rPr>
            </w:pPr>
          </w:p>
        </w:tc>
      </w:tr>
      <w:tr>
        <w:trPr>
          <w:trHeight w:val="16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Connected Fitness Subscriptions</w:t>
            </w:r>
          </w:p>
        </w:tc>
        <w:tc>
          <w:tcPr>
            <w:tcW w:w="1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6"/>
              </w:rPr>
              <w:t>1,667,223</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712,005</w:t>
            </w:r>
          </w:p>
        </w:tc>
      </w:tr>
      <w:tr>
        <w:trPr>
          <w:trHeight w:val="170"/>
        </w:trPr>
        <w:tc>
          <w:tcPr>
            <w:tcW w:w="7500" w:type="dxa"/>
            <w:vAlign w:val="bottom"/>
          </w:tcPr>
          <w:p>
            <w:pPr>
              <w:ind w:left="20"/>
              <w:spacing w:after="0"/>
              <w:rPr>
                <w:sz w:val="20"/>
                <w:szCs w:val="20"/>
                <w:color w:val="auto"/>
              </w:rPr>
            </w:pPr>
            <w:r>
              <w:rPr>
                <w:rFonts w:ascii="Arial" w:cs="Arial" w:eastAsia="Arial" w:hAnsi="Arial"/>
                <w:sz w:val="13"/>
                <w:szCs w:val="13"/>
                <w:color w:val="auto"/>
              </w:rPr>
              <w:t>Average Net Monthly Connected Fitness Churn</w:t>
            </w:r>
          </w:p>
        </w:tc>
        <w:tc>
          <w:tcPr>
            <w:tcW w:w="1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0.76 %</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0.74 %</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Workouts (in millions)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98.1</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24.3</w:t>
            </w:r>
          </w:p>
        </w:tc>
      </w:tr>
      <w:tr>
        <w:trPr>
          <w:trHeight w:val="170"/>
        </w:trPr>
        <w:tc>
          <w:tcPr>
            <w:tcW w:w="7500" w:type="dxa"/>
            <w:vAlign w:val="bottom"/>
          </w:tcPr>
          <w:p>
            <w:pPr>
              <w:ind w:left="20"/>
              <w:spacing w:after="0"/>
              <w:rPr>
                <w:sz w:val="20"/>
                <w:szCs w:val="20"/>
                <w:color w:val="auto"/>
              </w:rPr>
            </w:pPr>
            <w:r>
              <w:rPr>
                <w:rFonts w:ascii="Arial" w:cs="Arial" w:eastAsia="Arial" w:hAnsi="Arial"/>
                <w:sz w:val="13"/>
                <w:szCs w:val="13"/>
                <w:color w:val="auto"/>
              </w:rPr>
              <w:t>Average Monthly Workouts per Connected Fitness Subscription</w:t>
            </w:r>
          </w:p>
        </w:tc>
        <w:tc>
          <w:tcPr>
            <w:tcW w:w="110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12.6</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Profit (in millions)</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117.5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44.7</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Subscription Contribution (in millions)</w:t>
            </w:r>
            <w:r>
              <w:rPr>
                <w:rFonts w:ascii="Arial" w:cs="Arial" w:eastAsia="Arial" w:hAnsi="Arial"/>
                <w:sz w:val="16"/>
                <w:szCs w:val="16"/>
                <w:color w:val="auto"/>
                <w:vertAlign w:val="superscript"/>
              </w:rPr>
              <w:t>(1)</w:t>
            </w:r>
          </w:p>
        </w:tc>
        <w:tc>
          <w:tcPr>
            <w:tcW w:w="110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127.2</w:t>
            </w:r>
          </w:p>
        </w:tc>
        <w:tc>
          <w:tcPr>
            <w:tcW w:w="80" w:type="dxa"/>
            <w:vAlign w:val="bottom"/>
          </w:tcPr>
          <w:p>
            <w:pPr>
              <w:spacing w:after="0"/>
              <w:rPr>
                <w:sz w:val="15"/>
                <w:szCs w:val="15"/>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96"/>
              <w:spacing w:after="0"/>
              <w:rPr>
                <w:sz w:val="20"/>
                <w:szCs w:val="20"/>
                <w:color w:val="auto"/>
              </w:rPr>
            </w:pPr>
            <w:r>
              <w:rPr>
                <w:rFonts w:ascii="Arial" w:cs="Arial" w:eastAsia="Arial" w:hAnsi="Arial"/>
                <w:sz w:val="13"/>
                <w:szCs w:val="13"/>
                <w:color w:val="auto"/>
              </w:rPr>
              <w:t>49.7</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Margin</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60.3 %</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58.0 %</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Subscription Contribution Margin</w:t>
            </w:r>
            <w:r>
              <w:rPr>
                <w:rFonts w:ascii="Arial" w:cs="Arial" w:eastAsia="Arial" w:hAnsi="Arial"/>
                <w:sz w:val="16"/>
                <w:szCs w:val="16"/>
                <w:color w:val="auto"/>
                <w:vertAlign w:val="superscript"/>
              </w:rPr>
              <w:t>(1)</w:t>
            </w:r>
          </w:p>
        </w:tc>
        <w:tc>
          <w:tcPr>
            <w:tcW w:w="1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65.3 %</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64.4 %</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(in millions)</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63.6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(55.4)</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Adjusted EBITDA (in millions)</w:t>
            </w:r>
            <w:r>
              <w:rPr>
                <w:rFonts w:ascii="Arial" w:cs="Arial" w:eastAsia="Arial" w:hAnsi="Arial"/>
                <w:sz w:val="16"/>
                <w:szCs w:val="16"/>
                <w:color w:val="auto"/>
                <w:vertAlign w:val="superscript"/>
              </w:rPr>
              <w:t>(2)</w:t>
            </w:r>
          </w:p>
        </w:tc>
        <w:tc>
          <w:tcPr>
            <w:tcW w:w="110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116.9</w:t>
            </w:r>
          </w:p>
        </w:tc>
        <w:tc>
          <w:tcPr>
            <w:tcW w:w="80" w:type="dxa"/>
            <w:vAlign w:val="bottom"/>
          </w:tcPr>
          <w:p>
            <w:pPr>
              <w:spacing w:after="0"/>
              <w:rPr>
                <w:sz w:val="15"/>
                <w:szCs w:val="15"/>
                <w:color w:val="auto"/>
              </w:rPr>
            </w:pP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(28.4)</w:t>
            </w:r>
          </w:p>
        </w:tc>
      </w:tr>
      <w:tr>
        <w:trPr>
          <w:trHeight w:val="180"/>
        </w:trPr>
        <w:tc>
          <w:tcPr>
            <w:tcW w:w="750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Adjusted EBITDA Margin</w:t>
            </w:r>
            <w:r>
              <w:rPr>
                <w:rFonts w:ascii="Arial" w:cs="Arial" w:eastAsia="Arial" w:hAnsi="Arial"/>
                <w:sz w:val="16"/>
                <w:szCs w:val="16"/>
                <w:color w:val="auto"/>
                <w:vertAlign w:val="superscript"/>
              </w:rPr>
              <w:t>(2)</w:t>
            </w:r>
          </w:p>
        </w:tc>
        <w:tc>
          <w:tcPr>
            <w:tcW w:w="1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39" w:lineRule="exact"/>
        <w:rPr>
          <w:sz w:val="20"/>
          <w:szCs w:val="20"/>
          <w:color w:val="auto"/>
        </w:rPr>
      </w:pPr>
    </w:p>
    <w:p>
      <w:pPr>
        <w:ind w:right="520" w:firstLine="5"/>
        <w:spacing w:after="0" w:line="260" w:lineRule="auto"/>
        <w:tabs>
          <w:tab w:leader="none" w:pos="149" w:val="left"/>
        </w:tabs>
        <w:numPr>
          <w:ilvl w:val="0"/>
          <w:numId w:val="8"/>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5" w:lineRule="exact"/>
        <w:rPr>
          <w:rFonts w:ascii="Arial" w:cs="Arial" w:eastAsia="Arial" w:hAnsi="Arial"/>
          <w:sz w:val="10"/>
          <w:szCs w:val="10"/>
          <w:color w:val="auto"/>
        </w:rPr>
      </w:pPr>
    </w:p>
    <w:p>
      <w:pPr>
        <w:ind w:right="120" w:firstLine="5"/>
        <w:spacing w:after="0" w:line="260" w:lineRule="auto"/>
        <w:tabs>
          <w:tab w:leader="none" w:pos="149" w:val="left"/>
        </w:tabs>
        <w:numPr>
          <w:ilvl w:val="0"/>
          <w:numId w:val="8"/>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Measures—Adjusted EBITDA and Adjusted EBITDA Margin” for a reconciliation of Net income (loss) to Adjusted EBITDA and an explanation of why we consider Adjusted EBITDA to be a helpful metric for investors.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Subscriptions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3 months. We do not include canceled or unpaid Connected Fitness Subscriptions in the Connected Fitness Subscription count.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Net Monthly Connected Fitness Churn</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Workouts and Average Monthly Workouts per Connected Fitness Subscription</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a Connected Fitness Subscription for Members either completing at least 50% of an instructor-led or scenic ride or run, or ten or more minutes of “Just Ride” or “Just Run” mode. We define Average Monthly Workouts per Connected Fitness Subscription as the Total Workouts completed in the quarter divided by the average number of Connected Fitness Subscriptions in each month, divided by three months.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 and Adjusted EBITDA Margin</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050505"/>
        </w:rPr>
        <w:t>We calculate Adjusted EBITDA as net income (loss) adjusted to exclude: other (income) expense, net; income tax (benefit); depreciation and amortization expense; stock-based compensation expense; transaction costs; certain litigation expenses, consisting of legal settlements and related fees for specific proceedings that arise outside of the ordinary course of our business; and specific non-recurring costs associated with COVID-19. Adjusted EBITDA Margin is calculated by dividing Adjusted EBITDA by total revenue.</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48" w:lineRule="exact"/>
        <w:rPr>
          <w:sz w:val="20"/>
          <w:szCs w:val="20"/>
          <w:color w:val="auto"/>
        </w:rPr>
      </w:pPr>
    </w:p>
    <w:p>
      <w:pPr>
        <w:jc w:val="both"/>
        <w:ind w:left="520" w:hanging="260"/>
        <w:spacing w:after="0" w:line="247"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ind w:left="520" w:hanging="260"/>
        <w:spacing w:after="0" w:line="238"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ind w:left="520" w:hanging="260"/>
        <w:spacing w:after="0" w:line="247"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48" w:lineRule="exact"/>
        <w:rPr>
          <w:sz w:val="20"/>
          <w:szCs w:val="20"/>
          <w:color w:val="auto"/>
        </w:rPr>
      </w:pPr>
    </w:p>
    <w:p>
      <w:pPr>
        <w:ind w:left="520" w:hanging="260"/>
        <w:spacing w:after="0" w:line="251"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ind w:left="520" w:hanging="260"/>
        <w:spacing w:after="0" w:line="238"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ind w:left="520" w:hanging="260"/>
        <w:spacing w:after="0" w:line="238"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ind w:left="520" w:hanging="260"/>
        <w:spacing w:after="0" w:line="238"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certain litigation expenses, consisting of legal settlements and related fees for specific proceedings, that arise outside of the ordinary course of our business;</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transaction costs related to acquisitions;</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incremental costs associated with COVID-19, which consist of hazard pay for field operations employees; and</w:t>
      </w:r>
    </w:p>
    <w:p>
      <w:pPr>
        <w:jc w:val="both"/>
        <w:ind w:left="520" w:hanging="260"/>
        <w:spacing w:after="0" w:line="243"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Because of these limitations, Adjusted EBITDA and Adjusted EBITDA Margin should be considered along with other operating and financial performance measures presented in accordance with GAAP.</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following table presents a reconciliation of Adjusted EBITDA to net income (loss), the most directly comparable financial measure prepared in accordance with GAAP, for each of the periods indicated:</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Adjusted EBITDA and Adjusted EBITDA Margin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08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December 31,</w:t>
            </w:r>
          </w:p>
        </w:tc>
        <w:tc>
          <w:tcPr>
            <w:tcW w:w="440" w:type="dxa"/>
            <w:vAlign w:val="bottom"/>
          </w:tcPr>
          <w:p>
            <w:pPr>
              <w:spacing w:after="0"/>
              <w:rPr>
                <w:sz w:val="15"/>
                <w:szCs w:val="15"/>
                <w:color w:val="auto"/>
              </w:rPr>
            </w:pPr>
          </w:p>
        </w:tc>
        <w:tc>
          <w:tcPr>
            <w:tcW w:w="2600" w:type="dxa"/>
            <w:vAlign w:val="bottom"/>
            <w:gridSpan w:val="4"/>
          </w:tcPr>
          <w:p>
            <w:pPr>
              <w:jc w:val="right"/>
              <w:ind w:right="476"/>
              <w:spacing w:after="0"/>
              <w:rPr>
                <w:sz w:val="20"/>
                <w:szCs w:val="20"/>
                <w:color w:val="auto"/>
              </w:rPr>
            </w:pPr>
            <w:r>
              <w:rPr>
                <w:rFonts w:ascii="Arial" w:cs="Arial" w:eastAsia="Arial" w:hAnsi="Arial"/>
                <w:sz w:val="13"/>
                <w:szCs w:val="13"/>
                <w:b w:val="1"/>
                <w:bCs w:val="1"/>
                <w:color w:val="auto"/>
              </w:rPr>
              <w:t>Six Months Ended December 31,</w:t>
            </w:r>
          </w:p>
        </w:tc>
      </w:tr>
      <w:tr>
        <w:trPr>
          <w:trHeight w:val="171"/>
        </w:trPr>
        <w:tc>
          <w:tcPr>
            <w:tcW w:w="51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r>
      <w:tr>
        <w:trPr>
          <w:trHeight w:val="17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(105.2)</w:t>
            </w: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Income tax (benefit)</w:t>
            </w:r>
          </w:p>
        </w:tc>
        <w:tc>
          <w:tcPr>
            <w:tcW w:w="92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(0.4)</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 expense</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17.2</w:t>
            </w:r>
          </w:p>
        </w:tc>
      </w:tr>
      <w:tr>
        <w:trPr>
          <w:trHeight w:val="170"/>
        </w:trPr>
        <w:tc>
          <w:tcPr>
            <w:tcW w:w="5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67.1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35.8</w:t>
            </w: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Litigation and settlement expenses</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9.7</w:t>
            </w:r>
          </w:p>
        </w:tc>
      </w:tr>
      <w:tr>
        <w:trPr>
          <w:trHeight w:val="170"/>
        </w:trPr>
        <w:tc>
          <w:tcPr>
            <w:tcW w:w="51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Other adjustment items </w:t>
            </w:r>
            <w:r>
              <w:rPr>
                <w:rFonts w:ascii="Arial" w:cs="Arial" w:eastAsia="Arial" w:hAnsi="Arial"/>
                <w:sz w:val="16"/>
                <w:szCs w:val="16"/>
                <w:color w:val="auto"/>
                <w:vertAlign w:val="superscript"/>
              </w:rPr>
              <w:t>(1)</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0.3</w:t>
            </w: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116.9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(28.4)</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235.8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(49.4)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160" w:type="dxa"/>
            <w:vAlign w:val="bottom"/>
          </w:tcPr>
          <w:p>
            <w:pPr>
              <w:ind w:left="20"/>
              <w:spacing w:after="0" w:line="133" w:lineRule="exact"/>
              <w:rPr>
                <w:sz w:val="20"/>
                <w:szCs w:val="20"/>
                <w:color w:val="auto"/>
              </w:rPr>
            </w:pPr>
            <w:r>
              <w:rPr>
                <w:rFonts w:ascii="Arial" w:cs="Arial" w:eastAsia="Arial" w:hAnsi="Arial"/>
                <w:sz w:val="13"/>
                <w:szCs w:val="13"/>
                <w:color w:val="auto"/>
              </w:rPr>
              <w:t>Adjusted EBITDA Margin</w:t>
            </w: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11.0 %</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12.9 %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188" w:lineRule="exact"/>
        <w:rPr>
          <w:sz w:val="20"/>
          <w:szCs w:val="20"/>
          <w:color w:val="auto"/>
        </w:rPr>
      </w:pPr>
    </w:p>
    <w:p>
      <w:pPr>
        <w:ind w:firstLine="5"/>
        <w:spacing w:after="0" w:line="282" w:lineRule="auto"/>
        <w:tabs>
          <w:tab w:leader="none" w:pos="150"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incremental costs associated with COVID-19 of zero and $5.9 million, respectively, and transaction costs of $3.4 million for each of the three and six months ended December 31, 2020, respectively, and $0.1 million and $0.3 million of transaction costs for the three and six months ended December 31, 2019,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We expect Adjusted EBITDA Margin to increase over the long-term as we continue to scale our business and achieve greater leverage in our operating expenses.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 Contribution and Subscription Contribution Margin</w:t>
      </w:r>
    </w:p>
    <w:p>
      <w:pPr>
        <w:spacing w:after="0" w:line="3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48" w:lineRule="exact"/>
        <w:rPr>
          <w:sz w:val="20"/>
          <w:szCs w:val="20"/>
          <w:color w:val="auto"/>
        </w:rPr>
      </w:pPr>
    </w:p>
    <w:p>
      <w:pPr>
        <w:ind w:left="520" w:hanging="260"/>
        <w:spacing w:after="0" w:line="251"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ind w:left="520" w:hanging="260"/>
        <w:spacing w:after="0" w:line="247"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Because of these limitations, Subscription Contribution and Subscription Contribution Margin should be considered along with other operating and financial performance measures presented in accordance with GAAP.</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09"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3"/>
                <w:szCs w:val="13"/>
                <w:b w:val="1"/>
                <w:bCs w:val="1"/>
                <w:color w:val="auto"/>
              </w:rPr>
              <w:t>Six Months Ended December 31,</w:t>
            </w:r>
          </w:p>
        </w:tc>
      </w:tr>
      <w:tr>
        <w:trPr>
          <w:trHeight w:val="170"/>
        </w:trPr>
        <w:tc>
          <w:tcPr>
            <w:tcW w:w="5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2019</w:t>
            </w:r>
          </w:p>
        </w:tc>
      </w:tr>
      <w:tr>
        <w:trPr>
          <w:trHeight w:val="172"/>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Revenue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4"/>
              </w:rPr>
              <w:t>77.1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144.3</w:t>
            </w:r>
          </w:p>
        </w:tc>
      </w:tr>
      <w:tr>
        <w:trPr>
          <w:trHeight w:val="17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Cost of Subscription</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77.2</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4"/>
              </w:rPr>
              <w:t>32.4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61.9</w:t>
            </w: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Gross Profit</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117.5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94"/>
              </w:rPr>
              <w:t>44.7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209.0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82.4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160" w:type="dxa"/>
            <w:vAlign w:val="bottom"/>
          </w:tcPr>
          <w:p>
            <w:pPr>
              <w:ind w:left="20"/>
              <w:spacing w:after="0" w:line="133" w:lineRule="exact"/>
              <w:rPr>
                <w:sz w:val="20"/>
                <w:szCs w:val="20"/>
                <w:color w:val="auto"/>
              </w:rPr>
            </w:pPr>
            <w:r>
              <w:rPr>
                <w:rFonts w:ascii="Arial" w:cs="Arial" w:eastAsia="Arial" w:hAnsi="Arial"/>
                <w:sz w:val="13"/>
                <w:szCs w:val="13"/>
                <w:color w:val="auto"/>
              </w:rPr>
              <w:t>Subscription Gross Margin</w:t>
            </w: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60.3 %</w:t>
            </w:r>
          </w:p>
        </w:tc>
        <w:tc>
          <w:tcPr>
            <w:tcW w:w="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93"/>
              </w:rPr>
              <w:t>58.0 %</w:t>
            </w: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59.5 %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57.1 %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51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Add back:</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70"/>
        </w:trPr>
        <w:tc>
          <w:tcPr>
            <w:tcW w:w="5160" w:type="dxa"/>
            <w:vAlign w:val="bottom"/>
          </w:tcPr>
          <w:p>
            <w:pPr>
              <w:ind w:left="100"/>
              <w:spacing w:after="0"/>
              <w:rPr>
                <w:sz w:val="20"/>
                <w:szCs w:val="20"/>
                <w:color w:val="auto"/>
              </w:rPr>
            </w:pPr>
            <w:r>
              <w:rPr>
                <w:rFonts w:ascii="Arial" w:cs="Arial" w:eastAsia="Arial" w:hAnsi="Arial"/>
                <w:sz w:val="13"/>
                <w:szCs w:val="13"/>
                <w:color w:val="auto"/>
              </w:rPr>
              <w:t>Depreciation and amortization expense</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040" w:type="dxa"/>
            <w:vAlign w:val="bottom"/>
          </w:tcPr>
          <w:p>
            <w:pPr>
              <w:jc w:val="right"/>
              <w:ind w:right="89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96"/>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16"/>
              <w:spacing w:after="0"/>
              <w:rPr>
                <w:sz w:val="20"/>
                <w:szCs w:val="20"/>
                <w:color w:val="auto"/>
              </w:rPr>
            </w:pPr>
            <w:r>
              <w:rPr>
                <w:rFonts w:ascii="Arial" w:cs="Arial" w:eastAsia="Arial" w:hAnsi="Arial"/>
                <w:sz w:val="13"/>
                <w:szCs w:val="13"/>
                <w:color w:val="auto"/>
              </w:rPr>
              <w:t>7.5</w:t>
            </w:r>
          </w:p>
        </w:tc>
      </w:tr>
      <w:tr>
        <w:trPr>
          <w:trHeight w:val="170"/>
        </w:trPr>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2.2</w:t>
            </w:r>
          </w:p>
        </w:tc>
      </w:tr>
      <w:tr>
        <w:trPr>
          <w:trHeight w:val="160"/>
        </w:trPr>
        <w:tc>
          <w:tcPr>
            <w:tcW w:w="5160" w:type="dxa"/>
            <w:vAlign w:val="bottom"/>
          </w:tcPr>
          <w:p>
            <w:pPr>
              <w:ind w:left="20"/>
              <w:spacing w:after="0"/>
              <w:rPr>
                <w:sz w:val="20"/>
                <w:szCs w:val="20"/>
                <w:color w:val="auto"/>
              </w:rPr>
            </w:pPr>
            <w:r>
              <w:rPr>
                <w:rFonts w:ascii="Arial" w:cs="Arial" w:eastAsia="Arial" w:hAnsi="Arial"/>
                <w:sz w:val="13"/>
                <w:szCs w:val="13"/>
                <w:color w:val="auto"/>
              </w:rPr>
              <w:t>Subscription Contribution</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127.2</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4"/>
              </w:rPr>
              <w:t>49.7</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227.6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92.0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Contribution Margin</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65.3 %</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64.4 %</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Connected Fitness Product revenue consists of sales of our portfolio of Connected Fitness Products and related accessories, delivery and installation services, branded apparel, and extended warranty agreements. Connected Fitness Product revenue is recognized at the time of delivery, except for extended warranty revenue which is recognized over the warranty period, and is recorded net of returns and discounts and third-party financing program fees, when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Subscription revenue consists of revenue generated from our monthly $39.00 Connected Fitness Subscription and $12.99 Peloton Digital subscription.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2020, 97% and 100% of our Connected Fitness Subscription and Peloton Digital subscription bases were paying month-to-month, respectively.</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If a Connected Fitness Subscription owns both a Bike and Tread product in the same household, the price of the Subscription remains $39.00 monthly. As of December 31, 2020, approximately 3% of our Connected Fitness Subscriptions owned both a Bike and Tread product.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and certain allocated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3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3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33"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 as well as litigation settlement costs.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3"/>
          <w:szCs w:val="13"/>
          <w:color w:val="auto"/>
        </w:rPr>
        <w:t>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net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Other income, net consists of interest (expense) income, realized gains (losses) on investments, amortization of debt issuance costs, and impacts from foreign exchange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Provision for income taxes</w:t>
      </w:r>
    </w:p>
    <w:p>
      <w:pPr>
        <w:spacing w:after="0" w:line="33"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b w:val="1"/>
          <w:bCs w:val="1"/>
          <w:color w:val="auto"/>
        </w:rPr>
        <w:t>Results of Operations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following tables set forth our condensed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 of Operations Data:</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Revenue</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389.1</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194.7</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1,064.8</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466.3</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694.3</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line="161"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236.7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330.1</w:t>
            </w:r>
          </w:p>
        </w:tc>
        <w:tc>
          <w:tcPr>
            <w:tcW w:w="0" w:type="dxa"/>
            <w:vAlign w:val="bottom"/>
          </w:tcPr>
          <w:p>
            <w:pPr>
              <w:spacing w:after="0"/>
              <w:rPr>
                <w:sz w:val="1"/>
                <w:szCs w:val="1"/>
                <w:color w:val="auto"/>
              </w:rPr>
            </w:pPr>
          </w:p>
        </w:tc>
      </w:tr>
      <w:tr>
        <w:trPr>
          <w:trHeight w:val="179"/>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269.1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392.1</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424.8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197.1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20"/>
              <w:spacing w:after="0" w:line="181" w:lineRule="exact"/>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177.4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160.5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120"/>
              <w:spacing w:after="0" w:line="181" w:lineRule="exact"/>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(1)(2)</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w:t>
            </w:r>
          </w:p>
        </w:tc>
        <w:tc>
          <w:tcPr>
            <w:tcW w:w="0" w:type="dxa"/>
            <w:vAlign w:val="bottom"/>
          </w:tcPr>
          <w:p>
            <w:pPr>
              <w:spacing w:after="0"/>
              <w:rPr>
                <w:sz w:val="1"/>
                <w:szCs w:val="1"/>
                <w:color w:val="auto"/>
              </w:rPr>
            </w:pPr>
          </w:p>
        </w:tc>
      </w:tr>
      <w:tr>
        <w:trPr>
          <w:trHeight w:val="180"/>
        </w:trPr>
        <w:tc>
          <w:tcPr>
            <w:tcW w:w="5380" w:type="dxa"/>
            <w:vAlign w:val="bottom"/>
            <w:tcBorders>
              <w:bottom w:val="single" w:sz="8" w:color="CCEEFF"/>
            </w:tcBorders>
          </w:tcPr>
          <w:p>
            <w:pPr>
              <w:ind w:left="120"/>
              <w:spacing w:after="0" w:line="181" w:lineRule="exact"/>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(1)(2)</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operating expenses</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258.7</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58.8</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9"/>
              </w:rPr>
              <w:t>(61.5)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(112.4)</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provision for income tax</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(55.8)</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(55.4)</w:t>
            </w:r>
          </w:p>
        </w:tc>
        <w:tc>
          <w:tcPr>
            <w:tcW w:w="80" w:type="dxa"/>
            <w:vAlign w:val="bottom"/>
          </w:tcPr>
          <w:p>
            <w:pPr>
              <w:spacing w:after="0"/>
              <w:rPr>
                <w:sz w:val="13"/>
                <w:szCs w:val="13"/>
                <w:color w:val="auto"/>
              </w:rPr>
            </w:pPr>
          </w:p>
        </w:tc>
        <w:tc>
          <w:tcPr>
            <w:tcW w:w="40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____________________</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380" w:type="dxa"/>
            <w:vAlign w:val="bottom"/>
          </w:tcPr>
          <w:p>
            <w:pPr>
              <w:spacing w:after="0"/>
              <w:rPr>
                <w:sz w:val="20"/>
                <w:szCs w:val="20"/>
                <w:color w:val="auto"/>
              </w:rPr>
            </w:pPr>
            <w:r>
              <w:rPr>
                <w:rFonts w:ascii="Arial" w:cs="Arial" w:eastAsia="Arial" w:hAnsi="Arial"/>
                <w:sz w:val="10"/>
                <w:szCs w:val="10"/>
                <w:color w:val="auto"/>
              </w:rPr>
              <w:t>(1) Includes stock-based compensation expense as follows: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3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20"/>
              <w:spacing w:after="0"/>
              <w:rPr>
                <w:sz w:val="20"/>
                <w:szCs w:val="20"/>
                <w:color w:val="auto"/>
              </w:rPr>
            </w:pPr>
            <w:r>
              <w:rPr>
                <w:rFonts w:ascii="Arial" w:cs="Arial" w:eastAsia="Arial" w:hAnsi="Arial"/>
                <w:sz w:val="13"/>
                <w:szCs w:val="13"/>
                <w:color w:val="auto"/>
              </w:rPr>
              <w:t>Connected Fitness Products</w:t>
            </w:r>
          </w:p>
        </w:tc>
        <w:tc>
          <w:tcPr>
            <w:tcW w:w="880" w:type="dxa"/>
            <w:vAlign w:val="bottom"/>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04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400" w:type="dxa"/>
            <w:vAlign w:val="bottom"/>
            <w:gridSpan w:val="2"/>
          </w:tcPr>
          <w:p>
            <w:pPr>
              <w:jc w:val="right"/>
              <w:ind w:right="23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0"/>
        </w:trPr>
        <w:tc>
          <w:tcPr>
            <w:tcW w:w="5380" w:type="dxa"/>
            <w:vAlign w:val="bottom"/>
          </w:tcPr>
          <w:p>
            <w:pPr>
              <w:ind w:left="260"/>
              <w:spacing w:after="0"/>
              <w:rPr>
                <w:sz w:val="20"/>
                <w:szCs w:val="20"/>
                <w:color w:val="auto"/>
              </w:rPr>
            </w:pPr>
            <w:r>
              <w:rPr>
                <w:rFonts w:ascii="Arial" w:cs="Arial" w:eastAsia="Arial" w:hAnsi="Arial"/>
                <w:sz w:val="13"/>
                <w:szCs w:val="13"/>
                <w:color w:val="auto"/>
              </w:rPr>
              <w:t>Total stock-based compensation expense</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(2) Includes depreciation and amortization expense as follows: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7"/>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gridSpan w:val="6"/>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5"/>
          </w:tcPr>
          <w:p>
            <w:pPr>
              <w:jc w:val="center"/>
              <w:ind w:left="696"/>
              <w:spacing w:after="0"/>
              <w:rPr>
                <w:sz w:val="20"/>
                <w:szCs w:val="20"/>
                <w:color w:val="auto"/>
              </w:rPr>
            </w:pPr>
            <w:r>
              <w:rPr>
                <w:rFonts w:ascii="Arial" w:cs="Arial" w:eastAsia="Arial" w:hAnsi="Arial"/>
                <w:sz w:val="13"/>
                <w:szCs w:val="13"/>
                <w:b w:val="1"/>
                <w:bCs w:val="1"/>
                <w:color w:val="auto"/>
                <w:w w:val="98"/>
              </w:rPr>
              <w:t>(in millions)</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0"/>
        </w:trPr>
        <w:tc>
          <w:tcPr>
            <w:tcW w:w="240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0"/>
        </w:trPr>
        <w:tc>
          <w:tcPr>
            <w:tcW w:w="2780" w:type="dxa"/>
            <w:vAlign w:val="bottom"/>
            <w:gridSpan w:val="2"/>
          </w:tcPr>
          <w:p>
            <w:pPr>
              <w:ind w:left="260"/>
              <w:spacing w:after="0"/>
              <w:rPr>
                <w:sz w:val="20"/>
                <w:szCs w:val="20"/>
                <w:color w:val="auto"/>
              </w:rPr>
            </w:pPr>
            <w:r>
              <w:rPr>
                <w:rFonts w:ascii="Arial" w:cs="Arial" w:eastAsia="Arial" w:hAnsi="Arial"/>
                <w:sz w:val="13"/>
                <w:szCs w:val="13"/>
                <w:color w:val="auto"/>
                <w:w w:val="97"/>
              </w:rPr>
              <w:t>Total depreciation and amortization expense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0"/>
        </w:trPr>
        <w:tc>
          <w:tcPr>
            <w:tcW w:w="48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Comparison of the Three and Six Months Ended December 31, 2020 and 2019</w:t>
            </w: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800" w:type="dxa"/>
            <w:vAlign w:val="bottom"/>
            <w:gridSpan w:val="5"/>
            <w:vMerge w:val="continue"/>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0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w w:val="97"/>
              </w:rPr>
              <w:t>Three Months Ended December 31,</w:t>
            </w:r>
          </w:p>
        </w:tc>
        <w:tc>
          <w:tcPr>
            <w:tcW w:w="18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3"/>
                <w:szCs w:val="13"/>
                <w:b w:val="1"/>
                <w:bCs w:val="1"/>
                <w:color w:val="auto"/>
                <w:w w:val="98"/>
              </w:rPr>
              <w:t>Six Months Ended December 31,</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 Change</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(dollars in millions)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870.1</w:t>
            </w:r>
          </w:p>
        </w:tc>
        <w:tc>
          <w:tcPr>
            <w:tcW w:w="80" w:type="dxa"/>
            <w:vAlign w:val="bottom"/>
          </w:tcPr>
          <w:p>
            <w:pPr>
              <w:spacing w:after="0"/>
              <w:rPr>
                <w:sz w:val="14"/>
                <w:szCs w:val="14"/>
                <w:color w:val="auto"/>
              </w:rPr>
            </w:pPr>
          </w:p>
        </w:tc>
        <w:tc>
          <w:tcPr>
            <w:tcW w:w="900" w:type="dxa"/>
            <w:vAlign w:val="bottom"/>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6"/>
              <w:spacing w:after="0"/>
              <w:rPr>
                <w:sz w:val="20"/>
                <w:szCs w:val="20"/>
                <w:color w:val="auto"/>
              </w:rPr>
            </w:pPr>
            <w:r>
              <w:rPr>
                <w:rFonts w:ascii="Arial" w:cs="Arial" w:eastAsia="Arial" w:hAnsi="Arial"/>
                <w:sz w:val="13"/>
                <w:szCs w:val="13"/>
                <w:color w:val="auto"/>
              </w:rPr>
              <w:t>389.1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ind w:left="780"/>
              <w:spacing w:after="0"/>
              <w:rPr>
                <w:sz w:val="20"/>
                <w:szCs w:val="20"/>
                <w:color w:val="auto"/>
              </w:rPr>
            </w:pPr>
            <w:r>
              <w:rPr>
                <w:rFonts w:ascii="Arial" w:cs="Arial" w:eastAsia="Arial" w:hAnsi="Arial"/>
                <w:sz w:val="13"/>
                <w:szCs w:val="13"/>
                <w:color w:val="auto"/>
              </w:rPr>
              <w:t>123.6 %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1,471.5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21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550.0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ind w:left="680"/>
              <w:spacing w:after="0"/>
              <w:rPr>
                <w:sz w:val="20"/>
                <w:szCs w:val="20"/>
                <w:color w:val="auto"/>
              </w:rPr>
            </w:pPr>
            <w:r>
              <w:rPr>
                <w:rFonts w:ascii="Arial" w:cs="Arial" w:eastAsia="Arial" w:hAnsi="Arial"/>
                <w:sz w:val="13"/>
                <w:szCs w:val="13"/>
                <w:color w:val="auto"/>
                <w:w w:val="96"/>
              </w:rPr>
              <w:t>167.6 %</w:t>
            </w:r>
          </w:p>
        </w:tc>
        <w:tc>
          <w:tcPr>
            <w:tcW w:w="0" w:type="dxa"/>
            <w:vAlign w:val="bottom"/>
          </w:tcPr>
          <w:p>
            <w:pPr>
              <w:spacing w:after="0"/>
              <w:rPr>
                <w:sz w:val="1"/>
                <w:szCs w:val="1"/>
                <w:color w:val="auto"/>
              </w:rPr>
            </w:pPr>
          </w:p>
        </w:tc>
      </w:tr>
      <w:tr>
        <w:trPr>
          <w:trHeight w:val="170"/>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77.1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152.4</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351.2</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144.3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143.4</w:t>
            </w:r>
          </w:p>
        </w:tc>
        <w:tc>
          <w:tcPr>
            <w:tcW w:w="0" w:type="dxa"/>
            <w:vAlign w:val="bottom"/>
          </w:tcPr>
          <w:p>
            <w:pPr>
              <w:spacing w:after="0"/>
              <w:rPr>
                <w:sz w:val="1"/>
                <w:szCs w:val="1"/>
                <w:color w:val="auto"/>
              </w:rPr>
            </w:pPr>
          </w:p>
        </w:tc>
      </w:tr>
      <w:tr>
        <w:trPr>
          <w:trHeight w:val="160"/>
        </w:trPr>
        <w:tc>
          <w:tcPr>
            <w:tcW w:w="240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1,064.8</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466.3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ind w:left="780"/>
              <w:spacing w:after="0"/>
              <w:rPr>
                <w:sz w:val="20"/>
                <w:szCs w:val="20"/>
                <w:color w:val="auto"/>
              </w:rPr>
            </w:pPr>
            <w:r>
              <w:rPr>
                <w:rFonts w:ascii="Arial" w:cs="Arial" w:eastAsia="Arial" w:hAnsi="Arial"/>
                <w:sz w:val="13"/>
                <w:szCs w:val="13"/>
                <w:color w:val="auto"/>
              </w:rPr>
              <w:t>128.4 %</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1,822.7</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694.3</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680"/>
              <w:spacing w:after="0"/>
              <w:rPr>
                <w:sz w:val="20"/>
                <w:szCs w:val="20"/>
                <w:color w:val="auto"/>
              </w:rPr>
            </w:pPr>
            <w:r>
              <w:rPr>
                <w:rFonts w:ascii="Arial" w:cs="Arial" w:eastAsia="Arial" w:hAnsi="Arial"/>
                <w:sz w:val="13"/>
                <w:szCs w:val="13"/>
                <w:color w:val="auto"/>
                <w:w w:val="96"/>
              </w:rPr>
              <w:t>162.5 %</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Percentage of revenue</w:t>
            </w: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81.7 %</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83.5 %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color w:val="auto"/>
              </w:rPr>
              <w:t>80.7 %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79.2 %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16.5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19.3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20.8</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0" w:type="dxa"/>
            <w:vAlign w:val="bottom"/>
          </w:tcPr>
          <w:p>
            <w:pPr>
              <w:ind w:left="28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2020 and 2019</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Connected Fitness Products revenue increased $481.0 million and $921.5 million for the three and six month periods ended December 31, 2020 compared to the three and six month periods ended December 31, 2019, respectively. These increases were primarily attributable to the significant growth in the number of Connected Fitness Products delivered during the periods, which was the result of investments made in brand and product awareness, compounded by a strong increase in demand driven by the stay-at-home orders issued by governments around the world in response to the COVID-19 pandemic. This was partially impacted by the longer wait times for deliveries of our products due to slower than anticipated deliveries due to port congestion and unforeseen COVID -19 related closures.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Subscription revenue increased $117.5 million and $206.9 million for the three and six months ended December 31, 2020 compared to the three and six months ended December 31, 2019, respectively. These increases were primarily attributable to the year-over-year growth in our Connected Fitness Subscriptions. The growth of our Connected Fitness Subscriptions was primarily driven by the increased number of Connected Fitness Products delivered during the period and our low Average Net Monthly Connected Fitness Churn of 0.76% and 0.71% for the three and six months ended December 31, 2020, respectively. We believe engagement is a leading indicator of retention. Our Member engagement continued to grow with 21.1 and 20.9 Average Monthly Workouts per Connected Fitness Subscription during the three and six months ended December 31, 2020 compared to 12.6 and 12.2 Average Monthly Workouts per Connected Fitness Subscription for the three and six months ended December 31, 2019, respectively. Members with Connected Fitness Subscriptions worked out with us 98.1 million and 175.8 million times in the three and six months ended December 31, 2020, up from 24.3 million and 43.5 million workouts during the three and six months ended December 31, 2019, respectively, representing over 300% year-over-year growth.</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 Gross Profit, and Gross Margin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Three Months Ended December 31,</w:t>
            </w:r>
          </w:p>
        </w:tc>
        <w:tc>
          <w:tcPr>
            <w:tcW w:w="1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71"/>
        </w:trPr>
        <w:tc>
          <w:tcPr>
            <w:tcW w:w="24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 Change</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 Change</w:t>
            </w:r>
          </w:p>
        </w:tc>
      </w:tr>
      <w:tr>
        <w:trPr>
          <w:trHeight w:val="160"/>
        </w:trPr>
        <w:tc>
          <w:tcPr>
            <w:tcW w:w="2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20" w:type="dxa"/>
            <w:vAlign w:val="bottom"/>
          </w:tcPr>
          <w:p>
            <w:pPr>
              <w:jc w:val="right"/>
              <w:ind w:right="56"/>
              <w:spacing w:after="0"/>
              <w:rPr>
                <w:sz w:val="20"/>
                <w:szCs w:val="20"/>
                <w:color w:val="auto"/>
              </w:rPr>
            </w:pPr>
            <w:r>
              <w:rPr>
                <w:rFonts w:ascii="Arial" w:cs="Arial" w:eastAsia="Arial" w:hAnsi="Arial"/>
                <w:sz w:val="13"/>
                <w:szCs w:val="13"/>
                <w:b w:val="1"/>
                <w:bCs w:val="1"/>
                <w:color w:val="auto"/>
              </w:rPr>
              <w:t>(dollars in millions)</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562.8</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6"/>
              <w:spacing w:after="0"/>
              <w:rPr>
                <w:sz w:val="20"/>
                <w:szCs w:val="20"/>
                <w:color w:val="auto"/>
              </w:rPr>
            </w:pPr>
            <w:r>
              <w:rPr>
                <w:rFonts w:ascii="Arial" w:cs="Arial" w:eastAsia="Arial" w:hAnsi="Arial"/>
                <w:sz w:val="13"/>
                <w:szCs w:val="13"/>
                <w:color w:val="auto"/>
              </w:rPr>
              <w:t>236.7</w:t>
            </w:r>
          </w:p>
        </w:tc>
        <w:tc>
          <w:tcPr>
            <w:tcW w:w="1520" w:type="dxa"/>
            <w:vAlign w:val="bottom"/>
          </w:tcPr>
          <w:p>
            <w:pPr>
              <w:jc w:val="right"/>
              <w:ind w:right="16"/>
              <w:spacing w:after="0"/>
              <w:rPr>
                <w:sz w:val="20"/>
                <w:szCs w:val="20"/>
                <w:color w:val="auto"/>
              </w:rPr>
            </w:pPr>
            <w:r>
              <w:rPr>
                <w:rFonts w:ascii="Arial" w:cs="Arial" w:eastAsia="Arial" w:hAnsi="Arial"/>
                <w:sz w:val="13"/>
                <w:szCs w:val="13"/>
                <w:color w:val="auto"/>
              </w:rPr>
              <w:t>137.8 %</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927.0</w:t>
            </w:r>
          </w:p>
        </w:tc>
        <w:tc>
          <w:tcPr>
            <w:tcW w:w="8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96"/>
              <w:spacing w:after="0"/>
              <w:rPr>
                <w:sz w:val="20"/>
                <w:szCs w:val="20"/>
                <w:color w:val="auto"/>
              </w:rPr>
            </w:pPr>
            <w:r>
              <w:rPr>
                <w:rFonts w:ascii="Arial" w:cs="Arial" w:eastAsia="Arial" w:hAnsi="Arial"/>
                <w:sz w:val="13"/>
                <w:szCs w:val="13"/>
                <w:color w:val="auto"/>
                <w:w w:val="92"/>
              </w:rPr>
              <w:t>330.1</w:t>
            </w:r>
          </w:p>
        </w:tc>
        <w:tc>
          <w:tcPr>
            <w:tcW w:w="1460" w:type="dxa"/>
            <w:vAlign w:val="bottom"/>
            <w:gridSpan w:val="2"/>
          </w:tcPr>
          <w:p>
            <w:pPr>
              <w:ind w:left="980"/>
              <w:spacing w:after="0"/>
              <w:rPr>
                <w:sz w:val="20"/>
                <w:szCs w:val="20"/>
                <w:color w:val="auto"/>
              </w:rPr>
            </w:pPr>
            <w:r>
              <w:rPr>
                <w:rFonts w:ascii="Arial" w:cs="Arial" w:eastAsia="Arial" w:hAnsi="Arial"/>
                <w:sz w:val="13"/>
                <w:szCs w:val="13"/>
                <w:color w:val="auto"/>
                <w:w w:val="96"/>
              </w:rPr>
              <w:t>180.8 %</w:t>
            </w:r>
          </w:p>
        </w:tc>
      </w:tr>
      <w:tr>
        <w:trPr>
          <w:trHeight w:val="170"/>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32.4</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138.0</w:t>
            </w: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142.2</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61.9</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129.6</w:t>
            </w:r>
          </w:p>
        </w:tc>
      </w:tr>
      <w:tr>
        <w:trPr>
          <w:trHeight w:val="160"/>
        </w:trPr>
        <w:tc>
          <w:tcPr>
            <w:tcW w:w="240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640.0</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269.1</w:t>
            </w:r>
          </w:p>
        </w:tc>
        <w:tc>
          <w:tcPr>
            <w:tcW w:w="1520" w:type="dxa"/>
            <w:vAlign w:val="bottom"/>
          </w:tcPr>
          <w:p>
            <w:pPr>
              <w:jc w:val="right"/>
              <w:ind w:right="16"/>
              <w:spacing w:after="0"/>
              <w:rPr>
                <w:sz w:val="20"/>
                <w:szCs w:val="20"/>
                <w:color w:val="auto"/>
              </w:rPr>
            </w:pPr>
            <w:r>
              <w:rPr>
                <w:rFonts w:ascii="Arial" w:cs="Arial" w:eastAsia="Arial" w:hAnsi="Arial"/>
                <w:sz w:val="13"/>
                <w:szCs w:val="13"/>
                <w:color w:val="auto"/>
              </w:rPr>
              <w:t>137.8 %</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1,069.2</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392.1</w:t>
            </w:r>
          </w:p>
        </w:tc>
        <w:tc>
          <w:tcPr>
            <w:tcW w:w="1460" w:type="dxa"/>
            <w:vAlign w:val="bottom"/>
            <w:gridSpan w:val="2"/>
          </w:tcPr>
          <w:p>
            <w:pPr>
              <w:ind w:left="980"/>
              <w:spacing w:after="0"/>
              <w:rPr>
                <w:sz w:val="20"/>
                <w:szCs w:val="20"/>
                <w:color w:val="auto"/>
              </w:rPr>
            </w:pPr>
            <w:r>
              <w:rPr>
                <w:rFonts w:ascii="Arial" w:cs="Arial" w:eastAsia="Arial" w:hAnsi="Arial"/>
                <w:sz w:val="13"/>
                <w:szCs w:val="13"/>
                <w:color w:val="auto"/>
                <w:w w:val="96"/>
              </w:rPr>
              <w:t>172.7 %</w:t>
            </w: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31"/>
        </w:trPr>
        <w:tc>
          <w:tcPr>
            <w:tcW w:w="24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Gross Profit:</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17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307.3</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6"/>
              <w:spacing w:after="0"/>
              <w:rPr>
                <w:sz w:val="20"/>
                <w:szCs w:val="20"/>
                <w:color w:val="auto"/>
              </w:rPr>
            </w:pPr>
            <w:r>
              <w:rPr>
                <w:rFonts w:ascii="Arial" w:cs="Arial" w:eastAsia="Arial" w:hAnsi="Arial"/>
                <w:sz w:val="13"/>
                <w:szCs w:val="13"/>
                <w:color w:val="auto"/>
              </w:rPr>
              <w:t>152.4</w:t>
            </w:r>
          </w:p>
        </w:tc>
        <w:tc>
          <w:tcPr>
            <w:tcW w:w="1520" w:type="dxa"/>
            <w:vAlign w:val="bottom"/>
          </w:tcPr>
          <w:p>
            <w:pPr>
              <w:jc w:val="right"/>
              <w:ind w:right="16"/>
              <w:spacing w:after="0"/>
              <w:rPr>
                <w:sz w:val="20"/>
                <w:szCs w:val="20"/>
                <w:color w:val="auto"/>
              </w:rPr>
            </w:pPr>
            <w:r>
              <w:rPr>
                <w:rFonts w:ascii="Arial" w:cs="Arial" w:eastAsia="Arial" w:hAnsi="Arial"/>
                <w:sz w:val="13"/>
                <w:szCs w:val="13"/>
                <w:color w:val="auto"/>
              </w:rPr>
              <w:t>101.6 %</w:t>
            </w: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544.5</w:t>
            </w:r>
          </w:p>
        </w:tc>
        <w:tc>
          <w:tcPr>
            <w:tcW w:w="8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96"/>
              <w:spacing w:after="0"/>
              <w:rPr>
                <w:sz w:val="20"/>
                <w:szCs w:val="20"/>
                <w:color w:val="auto"/>
              </w:rPr>
            </w:pPr>
            <w:r>
              <w:rPr>
                <w:rFonts w:ascii="Arial" w:cs="Arial" w:eastAsia="Arial" w:hAnsi="Arial"/>
                <w:sz w:val="13"/>
                <w:szCs w:val="13"/>
                <w:color w:val="auto"/>
                <w:w w:val="92"/>
              </w:rPr>
              <w:t>219.8</w:t>
            </w:r>
          </w:p>
        </w:tc>
        <w:tc>
          <w:tcPr>
            <w:tcW w:w="1460" w:type="dxa"/>
            <w:vAlign w:val="bottom"/>
            <w:gridSpan w:val="2"/>
          </w:tcPr>
          <w:p>
            <w:pPr>
              <w:ind w:left="980"/>
              <w:spacing w:after="0"/>
              <w:rPr>
                <w:sz w:val="20"/>
                <w:szCs w:val="20"/>
                <w:color w:val="auto"/>
              </w:rPr>
            </w:pPr>
            <w:r>
              <w:rPr>
                <w:rFonts w:ascii="Arial" w:cs="Arial" w:eastAsia="Arial" w:hAnsi="Arial"/>
                <w:sz w:val="13"/>
                <w:szCs w:val="13"/>
                <w:color w:val="auto"/>
                <w:w w:val="96"/>
              </w:rPr>
              <w:t>147.7 %</w:t>
            </w:r>
          </w:p>
        </w:tc>
      </w:tr>
      <w:tr>
        <w:trPr>
          <w:trHeight w:val="170"/>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117.5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44.7</w:t>
            </w:r>
          </w:p>
        </w:tc>
        <w:tc>
          <w:tcPr>
            <w:tcW w:w="15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162.8</w:t>
            </w:r>
          </w:p>
        </w:tc>
        <w:tc>
          <w:tcPr>
            <w:tcW w:w="3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209.0</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82.4</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153.7</w:t>
            </w:r>
          </w:p>
        </w:tc>
      </w:tr>
      <w:tr>
        <w:trPr>
          <w:trHeight w:val="160"/>
        </w:trPr>
        <w:tc>
          <w:tcPr>
            <w:tcW w:w="240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424.8</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197.1</w:t>
            </w:r>
          </w:p>
        </w:tc>
        <w:tc>
          <w:tcPr>
            <w:tcW w:w="1520" w:type="dxa"/>
            <w:vAlign w:val="bottom"/>
          </w:tcPr>
          <w:p>
            <w:pPr>
              <w:jc w:val="right"/>
              <w:ind w:right="16"/>
              <w:spacing w:after="0"/>
              <w:rPr>
                <w:sz w:val="20"/>
                <w:szCs w:val="20"/>
                <w:color w:val="auto"/>
              </w:rPr>
            </w:pPr>
            <w:r>
              <w:rPr>
                <w:rFonts w:ascii="Arial" w:cs="Arial" w:eastAsia="Arial" w:hAnsi="Arial"/>
                <w:sz w:val="13"/>
                <w:szCs w:val="13"/>
                <w:color w:val="auto"/>
              </w:rPr>
              <w:t>115.5 %</w:t>
            </w: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753.5</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92"/>
              </w:rPr>
              <w:t>302.2</w:t>
            </w:r>
          </w:p>
        </w:tc>
        <w:tc>
          <w:tcPr>
            <w:tcW w:w="1460" w:type="dxa"/>
            <w:vAlign w:val="bottom"/>
            <w:gridSpan w:val="2"/>
          </w:tcPr>
          <w:p>
            <w:pPr>
              <w:ind w:left="980"/>
              <w:spacing w:after="0"/>
              <w:rPr>
                <w:sz w:val="20"/>
                <w:szCs w:val="20"/>
                <w:color w:val="auto"/>
              </w:rPr>
            </w:pPr>
            <w:r>
              <w:rPr>
                <w:rFonts w:ascii="Arial" w:cs="Arial" w:eastAsia="Arial" w:hAnsi="Arial"/>
                <w:sz w:val="13"/>
                <w:szCs w:val="13"/>
                <w:color w:val="auto"/>
                <w:w w:val="96"/>
              </w:rPr>
              <w:t>149.3 %</w:t>
            </w: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5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90"/>
        </w:trPr>
        <w:tc>
          <w:tcPr>
            <w:tcW w:w="240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35.3 %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39.2 %</w:t>
            </w: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37.0 %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40.0 %</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2"/>
        </w:trPr>
        <w:tc>
          <w:tcPr>
            <w:tcW w:w="2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58.0</w:t>
            </w: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57.1</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Months Ended December 31, 2020 and 2019</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Connected Fitness Products cost of revenue for the three months ended December 31, 2020 increased $326.1 million, or 137.8%, compared to the three months ended December 31, 2019. This increase was primarily driven by costs associated with the growth in the number of Connected Fitness Products delivered during the period.</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Connected Fitness Product Gross Margin decreased by 385 basis points for the three months ended December 31, 2020 compared to the three months ended December 31, 2019 primarily driven by the price reduction on our Bike from $2,245 to $1,895 as well as increased shipping costs associated with temporary expedited shipping costs.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Subscription cost of revenue for the three months ended December 31, 2020 increased $44.8 million, or 138.0%, compared to the three months ended December 31, 2019. This increase was primarily driven by an increase of $27.2 million in music royalty and streaming delivery fees driven by increased usage of our platform as our Subscription base and engagement continued to increase, an increase of $4.9 million in personnel-related expenses excluding stock-based compensation expense, due to increased headcount, an increase of $3.9 million in stock-based compensation expense, and an increase of $3.1 million in payment processing fees for our monthly subscription billing.</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Subscription Gross Margin increased by 240 basis points for the three months ended December 31, 2020 compared to the three months ended December 31, 2019 primarily driven by fixed cost leverage with more Connected Fitness Subscriptions.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Six Months Ended December 31, 2020 and 2019</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Connected Fitness Products cost of revenue for the six months ended December 31, 2020 increased $596.9 million, or 180.8%, compared to the six months ended December 31, 2019. This increase was primarily driven by costs associated with the growth in the number of Connected Fitness Products delivered during the period.</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Connected Fitness Product Gross Margin decreased by 297 basis points for the six months ended December 31, 2020 compared to the six months ended December 31, 2019 primarily driven by the price reduction on our Bike from $2,245 to $1,895 as well as temporary expedited shipping costs.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Subscription cost of revenue for the six months ended December 31, 2020 increased $80.3 million, or 129.6%, compared to the six months ended December 31, 2019. This increase was primarily driven by an increase of $50.2 million in music royalty and streaming delivery fees driven by increased usage of our platform as our Subscription base and engagement continued to increase, an increase of $9.7 million in personnel-related expenses excluding stock-based compensation expense, due to increased headcount, an increase of $7.4 million in stock-based compensation expense, and an increase of $5.5 million in payment processing fees for our monthly subscription billing.</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Subscription Gross Margin increased by 243 basis points for the six months ended December 31, 2020 compared to the six months ended December 31, 2019 primarily driven by fixed cost leverage with more Connected Fitness Subscriptions.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Sales and Marketing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Three Months Ended December 31,</w:t>
            </w:r>
          </w:p>
        </w:tc>
        <w:tc>
          <w:tcPr>
            <w:tcW w:w="1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Pr>
          <w:p>
            <w:pPr>
              <w:spacing w:after="0"/>
              <w:rPr>
                <w:sz w:val="15"/>
                <w:szCs w:val="15"/>
                <w:color w:val="auto"/>
              </w:rPr>
            </w:pPr>
          </w:p>
        </w:tc>
      </w:tr>
      <w:tr>
        <w:trPr>
          <w:trHeight w:val="171"/>
        </w:trPr>
        <w:tc>
          <w:tcPr>
            <w:tcW w:w="24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(dollars in millions)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177.4</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160.5</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10.6%</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292.1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238.1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22.7%</w:t>
            </w:r>
          </w:p>
        </w:tc>
      </w:tr>
      <w:tr>
        <w:trPr>
          <w:trHeight w:val="189"/>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16.7 %</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34.4 %</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16.0 %</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34.3 %</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2020 and 2019</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Sales and marketing expense increased $16.9 million and $54.0 million when comparing the three and six months ended December 31, 2020 with the three and six months ended December 31, 2019, respectively. These increases were primarily due to a volume-based increase in payment processing fees of $13.4 million and $25.4 million, an increase in personnel-related expenses of $12.9 million and $25.5 million, excluding stock-based compensation expense, due to increased headcount, an increase in expenses related to our showrooms of $5.1 million and $9.5 million, and an increase in stock-based compensation expense of $2.6 million and $4.4 million, partially offset by a deliberate and temporary decrease in spending on advertising and marketing programs of $19.2 million and $16.9 million, respectively to allow us the ability to alleviate our current supply chain challenges.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5"/>
        </w:trPr>
        <w:tc>
          <w:tcPr>
            <w:tcW w:w="2460" w:type="dxa"/>
            <w:vAlign w:val="bottom"/>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2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171"/>
        </w:trPr>
        <w:tc>
          <w:tcPr>
            <w:tcW w:w="24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(dollars in millions)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141.1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77.5</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82.0%</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249.7</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138.5</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80.3%</w:t>
            </w:r>
          </w:p>
        </w:tc>
      </w:tr>
      <w:tr>
        <w:trPr>
          <w:trHeight w:val="189"/>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13.2 %</w:t>
            </w:r>
          </w:p>
        </w:tc>
        <w:tc>
          <w:tcPr>
            <w:tcW w:w="106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auto"/>
                <w:w w:val="93"/>
              </w:rPr>
              <w:t>16.6 %</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13.7 %</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19.9 %</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2020 and 2019</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General and administrative expense increased $63.5 million and $111.2 million when comparing the three and six months ended December 31, 2020 with the three and six months ended December 31, 2019, respectively. These increases were primarily due to our build out of our corporate support teams as we comply with additional public company requirements in our second year, as well as our Member support teams to support our growing Member base. This drove an increase in personnel-related expenses of $24.1 million and $40.6 million, excluding stock-based compensation expense, due to increased headcount, an increase in professional fees, comprised of legal, audit and consulting fees of $19.9 million and $31.8 million, and an increase in stock-based compensation expense of $10.0 million and $13.2 million,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5"/>
        </w:trPr>
        <w:tc>
          <w:tcPr>
            <w:tcW w:w="2460" w:type="dxa"/>
            <w:vAlign w:val="bottom"/>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2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r>
      <w:tr>
        <w:trPr>
          <w:trHeight w:val="171"/>
        </w:trPr>
        <w:tc>
          <w:tcPr>
            <w:tcW w:w="246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Change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2020</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7"/>
              </w:rPr>
              <w:t>(dollars in millions)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47.5</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4"/>
              </w:rPr>
              <w:t>20.7</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129.9%</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84.1</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120.7%</w:t>
            </w:r>
          </w:p>
        </w:tc>
      </w:tr>
      <w:tr>
        <w:trPr>
          <w:trHeight w:val="189"/>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4.5 %</w:t>
            </w: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4.4 %</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4.6 %</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5.5 %</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2020 and 2019</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Research and development expense increased $26.8 million and $46.0 million when comparing the three and six months ended December 31, 2020 with the three and six months ended December 31, 2019, respectively. These increases were primarily due to an increase in personnel-related expenses, which, excluding stock-based compensation expense, increased $12.2 million and $21.1 million, due to increased headcount, an increase of $6.7 million and $11.1 million in product development and research costs associated with development of new software features and products, and an increase of $4.4 million and $7.9 million in software expense, respectively.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tcPr>
          <w:p>
            <w:pPr>
              <w:spacing w:after="0"/>
              <w:rPr>
                <w:sz w:val="20"/>
                <w:szCs w:val="20"/>
                <w:color w:val="auto"/>
              </w:rPr>
            </w:pPr>
            <w:r>
              <w:rPr>
                <w:rFonts w:ascii="Arial" w:cs="Arial" w:eastAsia="Arial" w:hAnsi="Arial"/>
                <w:sz w:val="13"/>
                <w:szCs w:val="13"/>
                <w:b w:val="1"/>
                <w:bCs w:val="1"/>
                <w:i w:val="1"/>
                <w:iCs w:val="1"/>
                <w:color w:val="auto"/>
                <w:w w:val="97"/>
              </w:rPr>
              <w:t>Other Income, Net and Income Tax Benefit</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9"/>
        </w:trPr>
        <w:tc>
          <w:tcPr>
            <w:tcW w:w="2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3"/>
                <w:szCs w:val="13"/>
                <w:b w:val="1"/>
                <w:bCs w:val="1"/>
                <w:color w:val="auto"/>
              </w:rPr>
              <w:t>Three Months Ended December 31,</w:t>
            </w:r>
          </w:p>
        </w:tc>
        <w:tc>
          <w:tcPr>
            <w:tcW w:w="1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Six Months Ended December 31,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171"/>
        </w:trPr>
        <w:tc>
          <w:tcPr>
            <w:tcW w:w="2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(dollars in millions)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(68.6)%</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(49.5)%</w:t>
            </w:r>
          </w:p>
        </w:tc>
      </w:tr>
      <w:tr>
        <w:trPr>
          <w:trHeight w:val="171"/>
        </w:trPr>
        <w:tc>
          <w:tcPr>
            <w:tcW w:w="2580" w:type="dxa"/>
            <w:vAlign w:val="bottom"/>
          </w:tcPr>
          <w:p>
            <w:pPr>
              <w:ind w:left="20"/>
              <w:spacing w:after="0"/>
              <w:rPr>
                <w:sz w:val="20"/>
                <w:szCs w:val="20"/>
                <w:color w:val="auto"/>
              </w:rPr>
            </w:pPr>
            <w:r>
              <w:rPr>
                <w:rFonts w:ascii="Arial" w:cs="Arial" w:eastAsia="Arial" w:hAnsi="Arial"/>
                <w:sz w:val="13"/>
                <w:szCs w:val="13"/>
                <w:color w:val="auto"/>
              </w:rPr>
              <w:t>Income tax benefit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(3.0)</w:t>
            </w:r>
          </w:p>
        </w:tc>
        <w:tc>
          <w:tcPr>
            <w:tcW w:w="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(0.4)</w:t>
            </w:r>
          </w:p>
        </w:tc>
        <w:tc>
          <w:tcPr>
            <w:tcW w:w="1500" w:type="dxa"/>
            <w:vAlign w:val="bottom"/>
          </w:tcPr>
          <w:p>
            <w:pPr>
              <w:jc w:val="center"/>
              <w:spacing w:after="0"/>
              <w:rPr>
                <w:sz w:val="20"/>
                <w:szCs w:val="20"/>
                <w:color w:val="auto"/>
              </w:rPr>
            </w:pPr>
            <w:r>
              <w:rPr>
                <w:rFonts w:ascii="Arial" w:cs="Arial" w:eastAsia="Arial" w:hAnsi="Arial"/>
                <w:sz w:val="13"/>
                <w:szCs w:val="13"/>
                <w:color w:val="auto"/>
                <w:w w:val="98"/>
              </w:rPr>
              <w:t>NM</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w:t>
            </w:r>
          </w:p>
        </w:tc>
        <w:tc>
          <w:tcPr>
            <w:tcW w:w="108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NM</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color w:val="auto"/>
        </w:rPr>
        <w:t>Three and Six Months Ended December 31,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Other income, net, was comprised of the following for the three and six months ended December 31, 2020:</w:t>
      </w:r>
    </w:p>
    <w:p>
      <w:pPr>
        <w:spacing w:after="0" w:line="190"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3"/>
          <w:szCs w:val="13"/>
          <w:i w:val="1"/>
          <w:iCs w:val="1"/>
          <w:color w:val="auto"/>
        </w:rPr>
      </w:pPr>
      <w:r>
        <w:rPr>
          <w:rFonts w:ascii="Arial" w:cs="Arial" w:eastAsia="Arial" w:hAnsi="Arial"/>
          <w:sz w:val="13"/>
          <w:szCs w:val="13"/>
          <w:color w:val="auto"/>
        </w:rPr>
        <w:t>Unrealized gains from the impacts of changes in foreign exchange rates of $4.0 million and $6.5 million;</w:t>
      </w:r>
    </w:p>
    <w:p>
      <w:pPr>
        <w:spacing w:after="0" w:line="41" w:lineRule="exact"/>
        <w:rPr>
          <w:rFonts w:ascii="Arial" w:cs="Arial" w:eastAsia="Arial" w:hAnsi="Arial"/>
          <w:sz w:val="13"/>
          <w:szCs w:val="13"/>
          <w:i w:val="1"/>
          <w:iCs w:val="1"/>
          <w:color w:val="auto"/>
        </w:rPr>
      </w:pPr>
    </w:p>
    <w:p>
      <w:pPr>
        <w:ind w:left="520" w:hanging="260"/>
        <w:spacing w:after="0"/>
        <w:tabs>
          <w:tab w:leader="none" w:pos="520" w:val="left"/>
        </w:tabs>
        <w:numPr>
          <w:ilvl w:val="0"/>
          <w:numId w:val="13"/>
        </w:numPr>
        <w:rPr>
          <w:rFonts w:ascii="Arial" w:cs="Arial" w:eastAsia="Arial" w:hAnsi="Arial"/>
          <w:sz w:val="13"/>
          <w:szCs w:val="13"/>
          <w:i w:val="1"/>
          <w:iCs w:val="1"/>
          <w:color w:val="auto"/>
        </w:rPr>
      </w:pPr>
      <w:r>
        <w:rPr>
          <w:rFonts w:ascii="Arial" w:cs="Arial" w:eastAsia="Arial" w:hAnsi="Arial"/>
          <w:sz w:val="13"/>
          <w:szCs w:val="13"/>
          <w:color w:val="auto"/>
        </w:rPr>
        <w:t>Net interest earned on cash, cash equivalents, and short-term investments of $1.9 million and $4.3 million; and</w:t>
      </w:r>
    </w:p>
    <w:p>
      <w:pPr>
        <w:spacing w:after="0" w:line="41" w:lineRule="exact"/>
        <w:rPr>
          <w:rFonts w:ascii="Arial" w:cs="Arial" w:eastAsia="Arial" w:hAnsi="Arial"/>
          <w:sz w:val="13"/>
          <w:szCs w:val="13"/>
          <w:i w:val="1"/>
          <w:iCs w:val="1"/>
          <w:color w:val="auto"/>
        </w:rPr>
      </w:pPr>
    </w:p>
    <w:p>
      <w:pPr>
        <w:ind w:left="520" w:hanging="260"/>
        <w:spacing w:after="0"/>
        <w:tabs>
          <w:tab w:leader="none" w:pos="520" w:val="left"/>
        </w:tabs>
        <w:numPr>
          <w:ilvl w:val="0"/>
          <w:numId w:val="13"/>
        </w:numPr>
        <w:rPr>
          <w:rFonts w:ascii="Arial" w:cs="Arial" w:eastAsia="Arial" w:hAnsi="Arial"/>
          <w:sz w:val="13"/>
          <w:szCs w:val="13"/>
          <w:i w:val="1"/>
          <w:iCs w:val="1"/>
          <w:color w:val="auto"/>
        </w:rPr>
      </w:pPr>
      <w:r>
        <w:rPr>
          <w:rFonts w:ascii="Arial" w:cs="Arial" w:eastAsia="Arial" w:hAnsi="Arial"/>
          <w:sz w:val="13"/>
          <w:szCs w:val="13"/>
          <w:color w:val="auto"/>
        </w:rPr>
        <w:t>Foreign exchange losses of $(4.1) million and $(7.3)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Other income, net, was comprised of the following for the three and six months ended December 31, 2019:</w:t>
      </w:r>
    </w:p>
    <w:p>
      <w:pPr>
        <w:spacing w:after="0" w:line="275"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3"/>
          <w:szCs w:val="13"/>
          <w:i w:val="1"/>
          <w:iCs w:val="1"/>
          <w:color w:val="auto"/>
        </w:rPr>
      </w:pPr>
      <w:r>
        <w:rPr>
          <w:rFonts w:ascii="Arial" w:cs="Arial" w:eastAsia="Arial" w:hAnsi="Arial"/>
          <w:sz w:val="13"/>
          <w:szCs w:val="13"/>
          <w:color w:val="auto"/>
        </w:rPr>
        <w:t>Net interest earned on cash, cash equivalents, and short-term investments of $5.9 million and $7.1 million; and</w:t>
      </w:r>
    </w:p>
    <w:p>
      <w:pPr>
        <w:spacing w:after="0" w:line="41" w:lineRule="exact"/>
        <w:rPr>
          <w:rFonts w:ascii="Arial" w:cs="Arial" w:eastAsia="Arial" w:hAnsi="Arial"/>
          <w:sz w:val="13"/>
          <w:szCs w:val="13"/>
          <w:i w:val="1"/>
          <w:iCs w:val="1"/>
          <w:color w:val="auto"/>
        </w:rPr>
      </w:pPr>
    </w:p>
    <w:p>
      <w:pPr>
        <w:ind w:left="520" w:hanging="260"/>
        <w:spacing w:after="0"/>
        <w:tabs>
          <w:tab w:leader="none" w:pos="520" w:val="left"/>
        </w:tabs>
        <w:numPr>
          <w:ilvl w:val="0"/>
          <w:numId w:val="14"/>
        </w:numPr>
        <w:rPr>
          <w:rFonts w:ascii="Arial" w:cs="Arial" w:eastAsia="Arial" w:hAnsi="Arial"/>
          <w:sz w:val="13"/>
          <w:szCs w:val="13"/>
          <w:i w:val="1"/>
          <w:iCs w:val="1"/>
          <w:color w:val="auto"/>
        </w:rPr>
      </w:pPr>
      <w:r>
        <w:rPr>
          <w:rFonts w:ascii="Arial" w:cs="Arial" w:eastAsia="Arial" w:hAnsi="Arial"/>
          <w:sz w:val="13"/>
          <w:szCs w:val="13"/>
          <w:color w:val="auto"/>
        </w:rPr>
        <w:t>Foreign exchange losses of $(0.1) million and $(0.1) million, respectively.</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Income tax benefit increased for the three and six months ended December 31, 2020 primarily due to adjustments to the valuation allowance resulting from acquisitions during the period, partially offset by state and international taxes.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operations have been funded primarily through cash flow from operating activities and net proceeds from the sales of our equity securities. As of December 31, 2020, we had cash and cash equivalents of approximately $1.2 billion and marketable securities of $862.1 million.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2020, our marketable securities portfolio primarily consists of U.S. government notes and investment grade corporate securities.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and amount of spending related to acquisitions, the timing and amount of spending on research and development,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Amended Credit Agreement</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December 31, 2020, we had not drawn on the credit facility and did not have outstanding borrowings under the Amended Credit Agreement. As of December 31, 2020, we had outstanding letters of credit totaling $4.8 million issued primarily to cover security deposits for an operating lease obligation.</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Flows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00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3"/>
                <w:szCs w:val="13"/>
                <w:b w:val="1"/>
                <w:bCs w:val="1"/>
                <w:color w:val="auto"/>
                <w:w w:val="97"/>
              </w:rPr>
              <w:t>Six Months Ended December 31,</w:t>
            </w:r>
          </w:p>
        </w:tc>
        <w:tc>
          <w:tcPr>
            <w:tcW w:w="600" w:type="dxa"/>
            <w:vAlign w:val="bottom"/>
            <w:tcBorders>
              <w:bottom w:val="single" w:sz="8" w:color="auto"/>
            </w:tcBorders>
          </w:tcPr>
          <w:p>
            <w:pPr>
              <w:spacing w:after="0"/>
              <w:rPr>
                <w:sz w:val="15"/>
                <w:szCs w:val="15"/>
                <w:color w:val="auto"/>
              </w:rPr>
            </w:pPr>
          </w:p>
        </w:tc>
      </w:tr>
      <w:tr>
        <w:trPr>
          <w:trHeight w:val="171"/>
        </w:trPr>
        <w:tc>
          <w:tcPr>
            <w:tcW w:w="7680" w:type="dxa"/>
            <w:vAlign w:val="bottom"/>
          </w:tcPr>
          <w:p>
            <w:pPr>
              <w:spacing w:after="0"/>
              <w:rPr>
                <w:sz w:val="14"/>
                <w:szCs w:val="14"/>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2"/>
          </w:tcPr>
          <w:p>
            <w:pPr>
              <w:jc w:val="center"/>
              <w:ind w:right="516"/>
              <w:spacing w:after="0"/>
              <w:rPr>
                <w:sz w:val="20"/>
                <w:szCs w:val="20"/>
                <w:color w:val="auto"/>
              </w:rPr>
            </w:pPr>
            <w:r>
              <w:rPr>
                <w:rFonts w:ascii="Arial" w:cs="Arial" w:eastAsia="Arial" w:hAnsi="Arial"/>
                <w:sz w:val="13"/>
                <w:szCs w:val="13"/>
                <w:b w:val="1"/>
                <w:bCs w:val="1"/>
                <w:color w:val="auto"/>
                <w:w w:val="98"/>
              </w:rPr>
              <w:t>(in millions)</w:t>
            </w:r>
          </w:p>
        </w:tc>
        <w:tc>
          <w:tcPr>
            <w:tcW w:w="600" w:type="dxa"/>
            <w:vAlign w:val="bottom"/>
          </w:tcPr>
          <w:p>
            <w:pPr>
              <w:spacing w:after="0"/>
              <w:rPr>
                <w:sz w:val="14"/>
                <w:szCs w:val="14"/>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flows provided by operating activities</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510.5</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r>
      <w:tr>
        <w:trPr>
          <w:trHeight w:val="170"/>
        </w:trPr>
        <w:tc>
          <w:tcPr>
            <w:tcW w:w="7680" w:type="dxa"/>
            <w:vAlign w:val="bottom"/>
          </w:tcPr>
          <w:p>
            <w:pPr>
              <w:ind w:left="20"/>
              <w:spacing w:after="0"/>
              <w:rPr>
                <w:sz w:val="20"/>
                <w:szCs w:val="20"/>
                <w:color w:val="auto"/>
              </w:rPr>
            </w:pPr>
            <w:r>
              <w:rPr>
                <w:rFonts w:ascii="Arial" w:cs="Arial" w:eastAsia="Arial" w:hAnsi="Arial"/>
                <w:sz w:val="13"/>
                <w:szCs w:val="13"/>
                <w:color w:val="auto"/>
              </w:rPr>
              <w:t>Net cash flows used in investing activities</w:t>
            </w:r>
          </w:p>
        </w:tc>
        <w:tc>
          <w:tcPr>
            <w:tcW w:w="1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(346.7)</w:t>
            </w:r>
          </w:p>
        </w:tc>
        <w:tc>
          <w:tcPr>
            <w:tcW w:w="1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(870.8)</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flows provided by financing activities</w:t>
            </w:r>
          </w:p>
        </w:tc>
        <w:tc>
          <w:tcPr>
            <w:tcW w:w="1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43.6</w:t>
            </w:r>
          </w:p>
        </w:tc>
        <w:tc>
          <w:tcPr>
            <w:tcW w:w="1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1,201.9</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Net cash provided by operating activities of $510.5 million for the six months ended December 31, 2020 was primarily due to an increase in net change in operating assets and liabilities of $252.3 million, net income of $132.8 million and non-cash adjustments of $125.3 million. The increase in net operating assets and liabilities was primarily due to a $331.9 million increase in accounts payable and accrued expenses related to increased inventory and other expenditures to support general business growth, as well as the timing of payments, and a $245.7 million increase in customer deposits and deferred revenue driven by elevated sales volumes and longer delivery windows, partially offset by a $273.0 million increase in inventory levels as we ramped up supply to meet the current increased demand. Non-cash adjustments primarily consisted of stock-based compensation expense, operating lease expense, and depreciation and amortization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Net cash used in investing activities for the six months ended December 31, 2020 of $346.7 million was primarily related to purchases of marketable securities of $449.1 million, $ 119.4 million used for capital expenditures primarily related to the continued build out of our New York City headquarters, our new Peloton studios in London, our new manufacturing facilities in Taiwan, and new showrooms, and $78.1 million relating to acquisitions, partially offset by maturities of marketable securities of $300.6 million.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2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Net cash provided by financing activities of $43.6 million for the six months ended December 31, 2020 was primarily related to proceeds from exercise of stock options of $53.3 million, partially offset by $7.2 million of taxes withheld and paid on employee stock awards.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Contractual Obligations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2020, our contractual obligations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Payments due by period</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Less than</w:t>
            </w:r>
          </w:p>
        </w:tc>
        <w:tc>
          <w:tcPr>
            <w:tcW w:w="300" w:type="dxa"/>
            <w:vAlign w:val="bottom"/>
          </w:tcPr>
          <w:p>
            <w:pPr>
              <w:spacing w:after="0"/>
              <w:rPr>
                <w:sz w:val="17"/>
                <w:szCs w:val="17"/>
                <w:color w:val="auto"/>
              </w:rPr>
            </w:pPr>
          </w:p>
        </w:tc>
        <w:tc>
          <w:tcPr>
            <w:tcW w:w="1240" w:type="dxa"/>
            <w:vAlign w:val="bottom"/>
            <w:vMerge w:val="restart"/>
          </w:tcPr>
          <w:p>
            <w:pPr>
              <w:jc w:val="center"/>
              <w:ind w:right="236"/>
              <w:spacing w:after="0"/>
              <w:rPr>
                <w:sz w:val="20"/>
                <w:szCs w:val="20"/>
                <w:color w:val="auto"/>
              </w:rPr>
            </w:pPr>
            <w:r>
              <w:rPr>
                <w:rFonts w:ascii="Arial" w:cs="Arial" w:eastAsia="Arial" w:hAnsi="Arial"/>
                <w:sz w:val="13"/>
                <w:szCs w:val="13"/>
                <w:b w:val="1"/>
                <w:bCs w:val="1"/>
                <w:color w:val="auto"/>
                <w:w w:val="95"/>
              </w:rPr>
              <w:t>1-3 years</w:t>
            </w:r>
          </w:p>
        </w:tc>
        <w:tc>
          <w:tcPr>
            <w:tcW w:w="240" w:type="dxa"/>
            <w:vAlign w:val="bottom"/>
          </w:tcPr>
          <w:p>
            <w:pPr>
              <w:spacing w:after="0"/>
              <w:rPr>
                <w:sz w:val="17"/>
                <w:szCs w:val="17"/>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3-5 years</w:t>
            </w:r>
          </w:p>
        </w:tc>
        <w:tc>
          <w:tcPr>
            <w:tcW w:w="28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85"/>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8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vMerge w:val="restart"/>
          </w:tcPr>
          <w:p>
            <w:pPr>
              <w:jc w:val="right"/>
              <w:ind w:right="436"/>
              <w:spacing w:after="0"/>
              <w:rPr>
                <w:sz w:val="20"/>
                <w:szCs w:val="20"/>
                <w:color w:val="auto"/>
              </w:rPr>
            </w:pPr>
            <w:r>
              <w:rPr>
                <w:rFonts w:ascii="Arial" w:cs="Arial" w:eastAsia="Arial" w:hAnsi="Arial"/>
                <w:sz w:val="13"/>
                <w:szCs w:val="13"/>
                <w:b w:val="1"/>
                <w:bCs w:val="1"/>
                <w:color w:val="auto"/>
              </w:rPr>
              <w:t>1 year</w:t>
            </w:r>
          </w:p>
        </w:tc>
        <w:tc>
          <w:tcPr>
            <w:tcW w:w="3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24"/>
        </w:trPr>
        <w:tc>
          <w:tcPr>
            <w:tcW w:w="4120" w:type="dxa"/>
            <w:vAlign w:val="bottom"/>
            <w:tcBorders>
              <w:bottom w:val="single" w:sz="8" w:color="CCEEFF"/>
            </w:tcBorders>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216"/>
              <w:spacing w:after="0"/>
              <w:rPr>
                <w:sz w:val="20"/>
                <w:szCs w:val="20"/>
                <w:color w:val="auto"/>
              </w:rPr>
            </w:pPr>
            <w:r>
              <w:rPr>
                <w:rFonts w:ascii="Arial" w:cs="Arial" w:eastAsia="Arial" w:hAnsi="Arial"/>
                <w:sz w:val="13"/>
                <w:szCs w:val="13"/>
                <w:b w:val="1"/>
                <w:bCs w:val="1"/>
                <w:color w:val="auto"/>
                <w:w w:val="98"/>
              </w:rPr>
              <w:t>(in millions)</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Lease obligations </w:t>
            </w:r>
            <w:r>
              <w:rPr>
                <w:rFonts w:ascii="Arial" w:cs="Arial" w:eastAsia="Arial" w:hAnsi="Arial"/>
                <w:sz w:val="16"/>
                <w:szCs w:val="16"/>
                <w:color w:val="auto"/>
                <w:vertAlign w:val="superscript"/>
              </w:rPr>
              <w:t>(1)</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908.9</w:t>
            </w:r>
          </w:p>
        </w:tc>
        <w:tc>
          <w:tcPr>
            <w:tcW w:w="2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40.9</w:t>
            </w:r>
          </w:p>
        </w:tc>
        <w:tc>
          <w:tcPr>
            <w:tcW w:w="3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153.1</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156.2</w:t>
            </w:r>
          </w:p>
        </w:tc>
        <w:tc>
          <w:tcPr>
            <w:tcW w:w="2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558.7</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Minimum guarantees </w:t>
            </w:r>
            <w:r>
              <w:rPr>
                <w:rFonts w:ascii="Arial" w:cs="Arial" w:eastAsia="Arial" w:hAnsi="Arial"/>
                <w:sz w:val="16"/>
                <w:szCs w:val="16"/>
                <w:color w:val="auto"/>
                <w:vertAlign w:val="superscript"/>
              </w:rPr>
              <w:t>(2)</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47.4</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9.3</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Unused credit facility fee payments </w:t>
            </w:r>
            <w:r>
              <w:rPr>
                <w:rFonts w:ascii="Arial" w:cs="Arial" w:eastAsia="Arial" w:hAnsi="Arial"/>
                <w:sz w:val="16"/>
                <w:szCs w:val="16"/>
                <w:color w:val="auto"/>
                <w:vertAlign w:val="superscript"/>
              </w:rPr>
              <w:t>(3)</w:t>
            </w:r>
          </w:p>
        </w:tc>
        <w:tc>
          <w:tcPr>
            <w:tcW w:w="8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0.9</w:t>
            </w:r>
          </w:p>
        </w:tc>
        <w:tc>
          <w:tcPr>
            <w:tcW w:w="300" w:type="dxa"/>
            <w:vAlign w:val="bottom"/>
          </w:tcPr>
          <w:p>
            <w:pPr>
              <w:spacing w:after="0"/>
              <w:rPr>
                <w:sz w:val="14"/>
                <w:szCs w:val="14"/>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0.4</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purchase obligations </w:t>
            </w:r>
            <w:r>
              <w:rPr>
                <w:rFonts w:ascii="Arial" w:cs="Arial" w:eastAsia="Arial" w:hAnsi="Arial"/>
                <w:sz w:val="16"/>
                <w:szCs w:val="16"/>
                <w:color w:val="auto"/>
                <w:vertAlign w:val="superscript"/>
              </w:rPr>
              <w:t>(4)</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69.4</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33.1</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Acquisition of Precor </w:t>
            </w:r>
            <w:r>
              <w:rPr>
                <w:rFonts w:ascii="Arial" w:cs="Arial" w:eastAsia="Arial" w:hAnsi="Arial"/>
                <w:sz w:val="16"/>
                <w:szCs w:val="16"/>
                <w:color w:val="auto"/>
                <w:vertAlign w:val="superscript"/>
              </w:rPr>
              <w:t>(5)</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420.0</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420.0</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1,448.9</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533.8</w:t>
            </w: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197.3</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159.1</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39" w:lineRule="exact"/>
        <w:rPr>
          <w:sz w:val="20"/>
          <w:szCs w:val="20"/>
          <w:color w:val="auto"/>
        </w:rPr>
      </w:pPr>
    </w:p>
    <w:p>
      <w:pPr>
        <w:ind w:firstLine="5"/>
        <w:spacing w:after="0" w:line="282" w:lineRule="auto"/>
        <w:tabs>
          <w:tab w:leader="none" w:pos="151" w:val="left"/>
        </w:tabs>
        <w:numPr>
          <w:ilvl w:val="0"/>
          <w:numId w:val="15"/>
        </w:numPr>
        <w:rPr>
          <w:rFonts w:ascii="Arial" w:cs="Arial" w:eastAsia="Arial" w:hAnsi="Arial"/>
          <w:sz w:val="10"/>
          <w:szCs w:val="10"/>
          <w:color w:val="050505"/>
        </w:rPr>
      </w:pPr>
      <w:r>
        <w:rPr>
          <w:rFonts w:ascii="Arial" w:cs="Arial" w:eastAsia="Arial" w:hAnsi="Arial"/>
          <w:sz w:val="10"/>
          <w:szCs w:val="10"/>
          <w:color w:val="050505"/>
        </w:rPr>
        <w:t>Lease obligations relate to our office space, warehouses, production studios, equipment, and retail showrooms and microstores. The lease terms are between one and twenty-one years, and the majority of the lease agreements are renewable at the end of the lease period.</w:t>
      </w:r>
    </w:p>
    <w:p>
      <w:pPr>
        <w:spacing w:after="0" w:line="5" w:lineRule="exact"/>
        <w:rPr>
          <w:rFonts w:ascii="Arial" w:cs="Arial" w:eastAsia="Arial" w:hAnsi="Arial"/>
          <w:sz w:val="10"/>
          <w:szCs w:val="10"/>
          <w:color w:val="050505"/>
        </w:rPr>
      </w:pPr>
    </w:p>
    <w:p>
      <w:pPr>
        <w:ind w:firstLine="5"/>
        <w:spacing w:after="0" w:line="287" w:lineRule="auto"/>
        <w:tabs>
          <w:tab w:leader="none" w:pos="150" w:val="left"/>
        </w:tabs>
        <w:numPr>
          <w:ilvl w:val="0"/>
          <w:numId w:val="15"/>
        </w:numPr>
        <w:rPr>
          <w:rFonts w:ascii="Arial" w:cs="Arial" w:eastAsia="Arial" w:hAnsi="Arial"/>
          <w:sz w:val="10"/>
          <w:szCs w:val="10"/>
          <w:color w:val="050505"/>
        </w:rPr>
      </w:pPr>
      <w:r>
        <w:rPr>
          <w:rFonts w:ascii="Arial" w:cs="Arial" w:eastAsia="Arial" w:hAnsi="Arial"/>
          <w:sz w:val="10"/>
          <w:szCs w:val="10"/>
          <w:color w:val="050505"/>
        </w:rPr>
        <w:t xml:space="preserve">We are subject to minimum royalty payments associated with our license agreements for the use of licensed content. See "Risk Factors --Our Most Material Financial, Operational, and Execution Risks— </w:t>
      </w:r>
      <w:r>
        <w:rPr>
          <w:rFonts w:ascii="Arial" w:cs="Arial" w:eastAsia="Arial" w:hAnsi="Arial"/>
          <w:sz w:val="10"/>
          <w:szCs w:val="10"/>
          <w:color w:val="000000"/>
        </w:rPr>
        <w:t>We are a party to many music license agreements</w:t>
      </w:r>
      <w:r>
        <w:rPr>
          <w:rFonts w:ascii="Arial" w:cs="Arial" w:eastAsia="Arial" w:hAnsi="Arial"/>
          <w:sz w:val="10"/>
          <w:szCs w:val="10"/>
          <w:color w:val="050505"/>
        </w:rPr>
        <w:t xml:space="preserve"> </w:t>
      </w:r>
      <w:r>
        <w:rPr>
          <w:rFonts w:ascii="Arial" w:cs="Arial" w:eastAsia="Arial" w:hAnsi="Arial"/>
          <w:sz w:val="10"/>
          <w:szCs w:val="10"/>
          <w:color w:val="000000"/>
        </w:rPr>
        <w:t>that are complex and impose numerous obligations upon us that may make it difficult to operate our business, and a breach of such agreements could adversely affect our business, operating results, and financial condition.</w:t>
      </w:r>
      <w:r>
        <w:rPr>
          <w:rFonts w:ascii="Arial" w:cs="Arial" w:eastAsia="Arial" w:hAnsi="Arial"/>
          <w:sz w:val="10"/>
          <w:szCs w:val="10"/>
          <w:b w:val="1"/>
          <w:bCs w:val="1"/>
          <w:color w:val="000000"/>
        </w:rPr>
        <w:t>"</w:t>
      </w:r>
    </w:p>
    <w:p>
      <w:pPr>
        <w:ind w:firstLine="5"/>
        <w:spacing w:after="0" w:line="282" w:lineRule="auto"/>
        <w:tabs>
          <w:tab w:leader="none" w:pos="158" w:val="left"/>
        </w:tabs>
        <w:numPr>
          <w:ilvl w:val="0"/>
          <w:numId w:val="15"/>
        </w:numPr>
        <w:rPr>
          <w:rFonts w:ascii="Arial" w:cs="Arial" w:eastAsia="Arial" w:hAnsi="Arial"/>
          <w:sz w:val="10"/>
          <w:szCs w:val="10"/>
          <w:color w:val="auto"/>
        </w:rPr>
      </w:pPr>
      <w:r>
        <w:rPr>
          <w:rFonts w:ascii="Arial" w:cs="Arial" w:eastAsia="Arial" w:hAnsi="Arial"/>
          <w:sz w:val="10"/>
          <w:szCs w:val="10"/>
          <w:color w:val="auto"/>
        </w:rPr>
        <w:t>We are required to pay a commitment fee of 0.375% based on the unused portion of the revolving credit facility. As of December 31, 2020, we were contingently liable for approximately $4.8 million in standby letters of credit for our operating lease obligations.</w:t>
      </w:r>
    </w:p>
    <w:p>
      <w:pPr>
        <w:spacing w:after="0" w:line="5" w:lineRule="exact"/>
        <w:rPr>
          <w:rFonts w:ascii="Arial" w:cs="Arial" w:eastAsia="Arial" w:hAnsi="Arial"/>
          <w:sz w:val="10"/>
          <w:szCs w:val="10"/>
          <w:color w:val="auto"/>
        </w:rPr>
      </w:pPr>
    </w:p>
    <w:p>
      <w:pPr>
        <w:ind w:left="160" w:hanging="155"/>
        <w:spacing w:after="0"/>
        <w:tabs>
          <w:tab w:leader="none" w:pos="1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Other purchase obligations include all other non-cancelable contractual obligations. These contracts are primarily related to cloud computing costs.</w:t>
      </w:r>
    </w:p>
    <w:p>
      <w:pPr>
        <w:spacing w:after="0" w:line="44" w:lineRule="exact"/>
        <w:rPr>
          <w:rFonts w:ascii="Arial" w:cs="Arial" w:eastAsia="Arial" w:hAnsi="Arial"/>
          <w:sz w:val="10"/>
          <w:szCs w:val="10"/>
          <w:color w:val="auto"/>
        </w:rPr>
      </w:pPr>
    </w:p>
    <w:p>
      <w:pPr>
        <w:ind w:firstLine="5"/>
        <w:spacing w:after="0" w:line="282" w:lineRule="auto"/>
        <w:tabs>
          <w:tab w:leader="none" w:pos="163" w:val="left"/>
        </w:tabs>
        <w:numPr>
          <w:ilvl w:val="0"/>
          <w:numId w:val="15"/>
        </w:numPr>
        <w:rPr>
          <w:rFonts w:ascii="Arial" w:cs="Arial" w:eastAsia="Arial" w:hAnsi="Arial"/>
          <w:sz w:val="10"/>
          <w:szCs w:val="10"/>
          <w:color w:val="auto"/>
        </w:rPr>
      </w:pPr>
      <w:r>
        <w:rPr>
          <w:rFonts w:ascii="Arial" w:cs="Arial" w:eastAsia="Arial" w:hAnsi="Arial"/>
          <w:sz w:val="10"/>
          <w:szCs w:val="10"/>
          <w:color w:val="auto"/>
        </w:rPr>
        <w:t>On December 21, 2020, we entered into a Stock and Purchase Agreementv with Amer Sports Corporation pursuant to which we will acquire Precor in cash, subject to customary adjustments for working capital, transaction expenses, cash, and indebtedness. See Note 7 in the “Notes to our Condensed Consolidated Financial Statements” in Part I, Item 1 of this Quarterly Report on Form 10-Q.</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3"/>
          <w:szCs w:val="13"/>
          <w:color w:val="auto"/>
        </w:rPr>
        <w:t>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Off-Balance Sheet Arrangements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We did not have any undisclosed off-balance sheet arrangements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our Annual Report on Form 10-K.</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Item 3. Quantitative and Qualitative Disclosure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had cash and cash equivalents and marketable securities of approximately $2.1 billion as of December 31, 2020.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condensed consolidated financial statements.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Risk</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31"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as of December 31, 2020. Based on this evaluation, our Chief Executive Officer and Chief Financial Officer concluded that, as of December 31, 2020,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There were no changes in our internal control over financial reporting identified in connection with the evaluation required by Rule 13a-15(d) and 15d-15(d) of the Exchange Act that occurred during the quarter ended December 31, 2020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the Effectiveness of Disclosure Controls and Procedures</w:t>
      </w:r>
    </w:p>
    <w:p>
      <w:pPr>
        <w:spacing w:after="0" w:line="31"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PART II</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For a discussion of legal proceedings, see Note 9 in the “Notes to our Condensed Consolidated Financial Statements” in Part I, Item 1 of this Quarterly Report on Form 10-Q.</w:t>
      </w:r>
    </w:p>
    <w:p>
      <w:pPr>
        <w:spacing w:after="0" w:line="169" w:lineRule="exact"/>
        <w:rPr>
          <w:sz w:val="20"/>
          <w:szCs w:val="20"/>
          <w:color w:val="auto"/>
        </w:rPr>
      </w:pPr>
    </w:p>
    <w:p>
      <w:pPr>
        <w:jc w:val="both"/>
        <w:spacing w:after="0" w:line="216" w:lineRule="auto"/>
        <w:rPr>
          <w:sz w:val="20"/>
          <w:szCs w:val="20"/>
          <w:color w:val="auto"/>
        </w:rPr>
      </w:pPr>
      <w:r>
        <w:rPr>
          <w:rFonts w:ascii="Arial" w:cs="Arial" w:eastAsia="Arial" w:hAnsi="Arial"/>
          <w:sz w:val="13"/>
          <w:szCs w:val="13"/>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Factors Summary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59"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have incurred operating losses in the past, may incur operating losses in the future, and may not achieve or maintain profitability in the future.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unable to attract and retain Subscribers, which could have an adverse effect on our business and rate of growth.</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ind w:left="520" w:hanging="260"/>
        <w:spacing w:after="0" w:line="272"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ind w:left="500" w:hanging="240"/>
        <w:spacing w:after="0"/>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a limited operating history and our past financial results may not be indicative of our future performance. Further, our revenue growth rate is likely to slow as our business matures.</w:t>
      </w:r>
    </w:p>
    <w:p>
      <w:pPr>
        <w:spacing w:after="0" w:line="52" w:lineRule="exact"/>
        <w:rPr>
          <w:rFonts w:ascii="Arial" w:cs="Arial" w:eastAsia="Arial" w:hAnsi="Arial"/>
          <w:sz w:val="12"/>
          <w:szCs w:val="12"/>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outbreak of the COVID-19 coronavirus pandemic, or COVID-19, could have an adverse effect on our business, results of operations, and financial condition.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operate in a highly competitive market and we may be unable to compete successfully against existing and future competitors.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derive a significant majority of our revenue from sales of our Bike. A decline in sales of our Bike would negatively affect our future revenue and operating results.</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rely on a limited number of suppliers, contract manufacturers, and logistics partners for our Connected Fitness Products. A loss of any of these partners could negatively affect our business.</w:t>
      </w:r>
    </w:p>
    <w:p>
      <w:pPr>
        <w:ind w:left="520" w:hanging="260"/>
        <w:spacing w:after="0" w:line="272"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ind w:left="520" w:hanging="260"/>
        <w:spacing w:after="0" w:line="272"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depend upon third-party licenses for the use of music in our content. An adverse change to, loss of, or claim that we do not hold necessary licenses may have an adverse effect on our business, operating results, and financial condition.</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depends on our ability to maintain the value and reputation of the Peloton brand.</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Factors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Our Most Material Financial, Operational and Execution Risks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operating losses in the past, may incur operating losses in the future, and may not achieve or maintain profitability in the future.</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 xml:space="preserve">While we had net income of $63.6 million and $132.8 million in the three and six months ended December 31, 2020, respectively, we have incurred operating losses each year since our inception in 2012, including net losses of $(71.6) </w:t>
      </w:r>
      <w:r>
        <w:rPr>
          <w:rFonts w:ascii="Arial" w:cs="Arial" w:eastAsia="Arial" w:hAnsi="Arial"/>
          <w:sz w:val="13"/>
          <w:szCs w:val="13"/>
          <w:color w:val="050505"/>
        </w:rPr>
        <w:t>million, $(195.6) million, and $(47.9) million</w:t>
      </w:r>
      <w:r>
        <w:rPr>
          <w:rFonts w:ascii="Arial" w:cs="Arial" w:eastAsia="Arial" w:hAnsi="Arial"/>
          <w:sz w:val="13"/>
          <w:szCs w:val="13"/>
          <w:color w:val="auto"/>
        </w:rPr>
        <w:t xml:space="preserve"> for fiscal 2020, 2019, and 2018, respectively, and may continue to incur net losses in the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new public company. These efforts and additional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9" w:name="page40"/>
    <w:bookmarkEnd w:id="39"/>
    <w:p>
      <w:pPr>
        <w:jc w:val="both"/>
        <w:spacing w:after="0" w:line="234" w:lineRule="auto"/>
        <w:rPr>
          <w:sz w:val="20"/>
          <w:szCs w:val="20"/>
          <w:color w:val="auto"/>
        </w:rPr>
      </w:pPr>
      <w:r>
        <w:rPr>
          <w:rFonts w:ascii="Arial" w:cs="Arial" w:eastAsia="Arial" w:hAnsi="Arial"/>
          <w:sz w:val="13"/>
          <w:szCs w:val="13"/>
          <w:color w:val="auto"/>
        </w:rPr>
        <w:t>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attract and retain Subscribers, which could have an adverse effect on our business and rate of growth.</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60" w:lineRule="exact"/>
        <w:rPr>
          <w:sz w:val="20"/>
          <w:szCs w:val="20"/>
          <w:color w:val="auto"/>
        </w:rPr>
      </w:pPr>
    </w:p>
    <w:p>
      <w:pPr>
        <w:ind w:left="520" w:hanging="260"/>
        <w:spacing w:after="0" w:line="272"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failure to introduce new features, products, or services that Members find engaging or our introduction of new products or services, or changes to existing products and services that are not favorably received;</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harm to our brand and reputation;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pricing and perceived value of our offerings;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inability to deliver quality products, content, and services;</w:t>
      </w:r>
    </w:p>
    <w:p>
      <w:pPr>
        <w:spacing w:after="0" w:line="30" w:lineRule="exact"/>
        <w:rPr>
          <w:rFonts w:ascii="Arial" w:cs="Arial" w:eastAsia="Arial" w:hAnsi="Arial"/>
          <w:sz w:val="13"/>
          <w:szCs w:val="13"/>
          <w:color w:val="auto"/>
        </w:rPr>
      </w:pPr>
    </w:p>
    <w:p>
      <w:pPr>
        <w:ind w:left="520" w:hanging="260"/>
        <w:spacing w:after="0" w:line="242"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Members engaging with competitive products and services;</w:t>
      </w:r>
    </w:p>
    <w:p>
      <w:pPr>
        <w:spacing w:after="0" w:line="25"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technical or other problems preventing Members from accessing our content and services in a rapid and reliable manner or otherwise affecting the Member experience;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decline in the public’s interest in indoor cycling or running, or other fitness disciplines that we invest most heavily in;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deteriorating general economic conditions or a change in consumer spending preferences or buying trends, whether as a result of the COVID-19 pandemic or otherwise; and</w:t>
      </w:r>
    </w:p>
    <w:p>
      <w:pPr>
        <w:spacing w:after="0" w:line="30"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interruptions in our ability to sell or deliver our Connected Fitness Products or to create content and services for our Members as a result of the COVID-19 pandemic.</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161"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40" w:name="page41"/>
    <w:bookmarkEnd w:id="40"/>
    <w:p>
      <w:pPr>
        <w:jc w:val="both"/>
        <w:spacing w:after="0" w:line="244" w:lineRule="auto"/>
        <w:rPr>
          <w:sz w:val="20"/>
          <w:szCs w:val="20"/>
          <w:color w:val="auto"/>
        </w:rPr>
      </w:pPr>
      <w:r>
        <w:rPr>
          <w:rFonts w:ascii="Arial" w:cs="Arial" w:eastAsia="Arial" w:hAnsi="Arial"/>
          <w:sz w:val="13"/>
          <w:szCs w:val="13"/>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The full effect of the COVID-19 coronavirus pandemic, or COVID-19, is uncertain and cannot be predicted. The COVID-19 pandemic could worsen, or its effects may be prolonged, which could have an adverse effect on our business, results of operations, and financial condition.</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COVID-19 has caused significant volatility in financial markets and has caused what is likely to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48"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manage our business effectively due to key employees becoming ill, working from home inefficiently, and being unable to travel to our facilities;</w:t>
      </w:r>
    </w:p>
    <w:p>
      <w:pPr>
        <w:spacing w:after="0" w:line="15" w:lineRule="exact"/>
        <w:rPr>
          <w:rFonts w:ascii="Arial" w:cs="Arial" w:eastAsia="Arial" w:hAnsi="Arial"/>
          <w:sz w:val="13"/>
          <w:szCs w:val="13"/>
          <w:color w:val="auto"/>
        </w:rPr>
      </w:pPr>
    </w:p>
    <w:p>
      <w:pPr>
        <w:ind w:left="52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ind w:left="52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temporary suspension in sales of our Tread due to the Tread installation process requiring our delivery teams to enter the residences of our Members;</w:t>
      </w:r>
    </w:p>
    <w:p>
      <w:pPr>
        <w:ind w:left="52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prolonged delivery timelines and the implementation of curbside and “threshold” delivery, which requires our Members to self-install and set up their Bikes, due to work restrictions related to COVID-19;</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meet consumer demand and delays in the delivery of our products to our customers, resulting in reputational harm and damaged customer relationships;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increased rates of post-purchase order cancellation, or consumer or consumer protection agency claims and litigation as a result of long delivery lead times and delivery reschedules;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increased return rates due to a decrease in consumer discretionary spending;</w:t>
      </w:r>
    </w:p>
    <w:p>
      <w:pPr>
        <w:jc w:val="both"/>
        <w:ind w:left="52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inventory shortages caused by a combination of increased demand for our Connected Fitness Products that has been difficult to predict with accuracy, and longer lead-times and component shortages in the manufacturing of our Connected Fitness Products, due to work restrictions related to COVID-19, import/export conditions such as port congestion, and local government orders;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interruptions in our ability to offer live studio classes and produce new content;</w:t>
      </w:r>
    </w:p>
    <w:p>
      <w:pPr>
        <w:ind w:left="52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interruptions in manufacturing (including the sourcing of key components), shipment and delivery of our products; for example, in certain instances, we have temporarily closed certain of our field operations warehouses for short periods of time for deep cleanings following confirmed cases of COVID-19;</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disruptions of the operations of our third-party suppliers, which could impact our ability to purchase components at efficient prices and in sufficient amounts;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reduced demand for our Connected Fitness Products and services, including due to any prolonged economic downturn that may occur;</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inability to raise additional capital or the dilution of our common stock if we raise capital by issuing equity securities;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volatility in the market price of our Class A common stock; and</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incurrence of significant increases to employee health care and benefits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1" w:name="page42"/>
    <w:bookmarkEnd w:id="41"/>
    <w:p>
      <w:pPr>
        <w:jc w:val="both"/>
        <w:spacing w:after="0" w:line="234" w:lineRule="auto"/>
        <w:rPr>
          <w:sz w:val="20"/>
          <w:szCs w:val="20"/>
          <w:color w:val="auto"/>
        </w:rPr>
      </w:pPr>
      <w:r>
        <w:rPr>
          <w:rFonts w:ascii="Arial" w:cs="Arial" w:eastAsia="Arial" w:hAnsi="Arial"/>
          <w:sz w:val="13"/>
          <w:szCs w:val="13"/>
          <w:color w:val="auto"/>
        </w:rPr>
        <w:t>Despite the uncertainties caused by COVID-19, sales of our Connected Fitness Products have increased each quarter during the pandemic as consumers have invested in at-home fitness equipment due to government mandated stay-at-home orders. As a result of our increased sales, the price of our Class A common stock has increased significantly over the course of the past nine months, but has also fluctuated based on developments surrounding COVID-19. For example, when the effectiveness of the first COVID-19 vaccination was announced in November 2020, the stock price of our Class A common stock dropped, and as reports of COVID-19 increased during the 2020 holiday season, the stock price of our Class A common stock rose.</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full extent of the impact of COVID-19 on our business and financial results will depend largely on future developments, including the duration of the spread of the outbreak and related stay-at-home orders, the impact on capital and financial markets and global supply chains, and the related impact on the financial circumstances of our Members, all of which are highly uncertain and cannot be predicted. (See also " - Our operating results could be adversely affected if we are unable to accurately forecast consumer demand for our products and services and adequately manage our inventory.") This situation is changing rapidly, and additional impacts may arise that we are not aware of currently.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market and we may be unable to compete successfully against existing and future competitors.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derive a significant majority of our revenue from sales of our Bike. A decline in sales of our Bike would negatively affect our future revenue and operating results.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an epidemic such as the current COVID-19 outbreak, or other interruption at a particular location. In particular, the current COVID-19 outbreak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We have limited control over our suppliers, contract manufacturers, and logistics partners, which subjects us to the following risks, many of which have materialized due to the COVID-19 pandemic:</w:t>
      </w:r>
    </w:p>
    <w:p>
      <w:pPr>
        <w:spacing w:after="0" w:line="190"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inability to satisfy demand for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reduced control over delivery timing and product reliability;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reduced ability to monitor the manufacturing process and components used in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limited ability to develop comprehensive manufacturing specifications that take into account any materials shortages or substitutions;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variance in the manufacturing capability of our third-party manufacturers;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price increases;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of a significant supplier, manufacturer, or logistics partner to perform its obligations to us for technical, market, or other reasons;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variance in the quality of last mile services provided by our third-party logistics partners;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establishing additional supplier, manufacturer, or logistics partner relationships if we experience difficulties with our existing suppliers, manufacturers, or logistics partners;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shortages of materials or components;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misappropriation of our intellectual property;</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local economic conditions in the jurisdictions where our suppliers, manufacturers, and logistics partners are located;</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insufficient warranties and indemnities on components supplied to our manufacturers or performance by our partners.</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also rely on our logistics partners, including last mile warehouse and delivery partners, to complete a substantial percentage of our deliveries to customers, with the rest of the deliveries handled by our own last mile team. The current COVID-19 outbreak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occurrence of any of these risks, especially during seasons of peak demand, could cause us to experience a significant disruption in our ability to produce and deliver our products to our customers.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arrangements in connection with musical compositions that such rights holders own or control, and could increase the risk of liability for copyright infringement.</w:t>
      </w:r>
    </w:p>
    <w:p>
      <w:pPr>
        <w:spacing w:after="0" w:line="190"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These challenges, and others concerning the licensing of music on our platform, may subject us to significant liability for copyright infringement, breach of contract, or other claims. For additional information, see Note 9 of the notes to our condensed consolidated financial statements and the section titled “—Legal Proceedings” in Part II, Item 1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depends on our ability to maintain the value and reputation of the Peloton brand.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Other Risks Related to Our Business and Financial Condition</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expanded our operations rapidly and have limited operating experience at our current size. For example, between June 30, 2017 and December 31, 2020, our employee headcount increased from 443 to 5,862,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been under new operating limitations such as shorter operating hours, mask guidelines for employees and customers, and other constraints on our previous retail sales strategies. We have also had to temporarily close certain showrooms due to employee illness, and may need to do so in the 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4" w:name="page45"/>
    <w:bookmarkEnd w:id="44"/>
    <w:p>
      <w:pPr>
        <w:jc w:val="both"/>
        <w:spacing w:after="0" w:line="241" w:lineRule="auto"/>
        <w:rPr>
          <w:sz w:val="20"/>
          <w:szCs w:val="20"/>
          <w:color w:val="auto"/>
        </w:rPr>
      </w:pPr>
      <w:r>
        <w:rPr>
          <w:rFonts w:ascii="Arial" w:cs="Arial" w:eastAsia="Arial" w:hAnsi="Arial"/>
          <w:sz w:val="13"/>
          <w:szCs w:val="13"/>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progression of the COVID-19 outbreak.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be adversely affected from an accident, safety incident, or workforce disruption.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As these government orders have come down, a global shortage of personal protective equipment has resulted, and we have experienced delays and increased costs in obtaining these materials for our teams.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affected by seasonality.</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3"/>
          <w:szCs w:val="13"/>
          <w:color w:val="050505"/>
        </w:rPr>
        <w:t>For example, in fiscal 2018 and 2019, our</w:t>
      </w:r>
      <w:r>
        <w:rPr>
          <w:rFonts w:ascii="Arial" w:cs="Arial" w:eastAsia="Arial" w:hAnsi="Arial"/>
          <w:sz w:val="13"/>
          <w:szCs w:val="13"/>
          <w:color w:val="auto"/>
        </w:rPr>
        <w:t xml:space="preserve"> </w:t>
      </w:r>
      <w:r>
        <w:rPr>
          <w:rFonts w:ascii="Arial" w:cs="Arial" w:eastAsia="Arial" w:hAnsi="Arial"/>
          <w:sz w:val="13"/>
          <w:szCs w:val="13"/>
          <w:color w:val="050505"/>
        </w:rPr>
        <w:t xml:space="preserve">second and third quarters combined each represented 63% of our total revenue. In fiscal 2020, we saw a significant increase in demand in the fourth quarter related to COVID-19, and therefore only </w:t>
      </w:r>
      <w:r>
        <w:rPr>
          <w:rFonts w:ascii="Arial" w:cs="Arial" w:eastAsia="Arial" w:hAnsi="Arial"/>
          <w:sz w:val="13"/>
          <w:szCs w:val="13"/>
          <w:color w:val="000000"/>
        </w:rPr>
        <w:t xml:space="preserve">54% </w:t>
      </w:r>
      <w:r>
        <w:rPr>
          <w:rFonts w:ascii="Arial" w:cs="Arial" w:eastAsia="Arial" w:hAnsi="Arial"/>
          <w:sz w:val="13"/>
          <w:szCs w:val="13"/>
          <w:color w:val="050505"/>
        </w:rPr>
        <w:t>of our total revenue was generated in our second and third quarters. Over time, we expect the seasonality of our business to return, with pronounced increases in demand during our second and</w:t>
      </w:r>
      <w:r>
        <w:rPr>
          <w:rFonts w:ascii="Arial" w:cs="Arial" w:eastAsia="Arial" w:hAnsi="Arial"/>
          <w:sz w:val="13"/>
          <w:szCs w:val="13"/>
          <w:color w:val="000000"/>
        </w:rPr>
        <w:t xml:space="preserve"> </w:t>
      </w:r>
      <w:r>
        <w:rPr>
          <w:rFonts w:ascii="Arial" w:cs="Arial" w:eastAsia="Arial" w:hAnsi="Arial"/>
          <w:sz w:val="13"/>
          <w:szCs w:val="13"/>
          <w:color w:val="050505"/>
        </w:rPr>
        <w:t xml:space="preserve">third quarters. </w:t>
      </w:r>
      <w:r>
        <w:rPr>
          <w:rFonts w:ascii="Arial" w:cs="Arial" w:eastAsia="Arial" w:hAnsi="Arial"/>
          <w:sz w:val="13"/>
          <w:szCs w:val="13"/>
          <w:color w:val="000000"/>
        </w:rPr>
        <w:t>Moreover, as a result of higher sales during the period from November through February, our working capital needs are greater during the second and third quarters of the fiscal year. As</w:t>
      </w:r>
      <w:r>
        <w:rPr>
          <w:rFonts w:ascii="Arial" w:cs="Arial" w:eastAsia="Arial" w:hAnsi="Arial"/>
          <w:sz w:val="13"/>
          <w:szCs w:val="13"/>
          <w:color w:val="050505"/>
        </w:rPr>
        <w:t xml:space="preserve"> </w:t>
      </w:r>
      <w:r>
        <w:rPr>
          <w:rFonts w:ascii="Arial" w:cs="Arial" w:eastAsia="Arial" w:hAnsi="Arial"/>
          <w:sz w:val="13"/>
          <w:szCs w:val="13"/>
          <w:color w:val="000000"/>
        </w:rPr>
        <w:t>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5" w:name="page46"/>
    <w:bookmarkEnd w:id="45"/>
    <w:p>
      <w:pPr>
        <w:jc w:val="both"/>
        <w:spacing w:after="0" w:line="247" w:lineRule="auto"/>
        <w:rPr>
          <w:sz w:val="20"/>
          <w:szCs w:val="20"/>
          <w:color w:val="auto"/>
        </w:rPr>
      </w:pPr>
      <w:r>
        <w:rPr>
          <w:rFonts w:ascii="Arial" w:cs="Arial" w:eastAsia="Arial" w:hAnsi="Arial"/>
          <w:sz w:val="13"/>
          <w:szCs w:val="13"/>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operating results and other operating metrics may fluctuate from quarter to quarter, which makes these metrics difficult to predict.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2"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continued market acceptance of, and the growth of the connected fitness and wellness market;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maintain and attract new Subscribers;</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development and improvement of the quality of the Peloton experience, including, enhancing existing and creating new Connected Fitness Products, services, technology, features, and content;</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continued development and upgrading of our proprietary technology platform;</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timing and success of new product, service, feature, and content introductions by us or our competitors or any other change in the competitive landscape of our market;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pricing pressure as a result of competition or otherwise;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delays or disruptions in our supply chain;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errors in our forecasting of the demand for our products and services, which could lead to lower revenue or increased costs, or both;</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increases in marketing, sales, and other operating expenses that we may incur to grow and expand our operations and to remain competitive;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ability to maintain and open new showrooms;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continued maintenance and expansion of last mile delivery and maintenance services for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successful expansion into international markets, including Canada, the United Kingdom, and Germany;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seasonal fluctuations in subscriptions and usage of Connected Fitness Products by our Members, each of which may change as our products and services evolve or as our business grows;</w:t>
      </w:r>
    </w:p>
    <w:p>
      <w:pPr>
        <w:spacing w:after="0" w:line="52" w:lineRule="exact"/>
        <w:rPr>
          <w:rFonts w:ascii="Arial" w:cs="Arial" w:eastAsia="Arial" w:hAnsi="Arial"/>
          <w:sz w:val="12"/>
          <w:szCs w:val="12"/>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diversification and growth of our revenue sources;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maintain gross margins and operating margins;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constraints on the availability of consumer financing or increased down payment requirements to finance purchases of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system failures or breaches of security or privacy;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adverse litigation judgments, settlements, or other litigation-related costs, including content costs for past use;</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the legislative or regulatory environment, including with respect to privacy, consumer product safety, and advertising, or enforcement by government regulators, including fines, orders, or consent decrees;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currency exchange rates and changes in the proportion of our revenue and expenses denominated in foreign currencies;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our effective tax rate;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 and</w:t>
      </w:r>
    </w:p>
    <w:p>
      <w:pPr>
        <w:spacing w:after="0" w:line="41" w:lineRule="exact"/>
        <w:rPr>
          <w:rFonts w:ascii="Arial" w:cs="Arial" w:eastAsia="Arial" w:hAnsi="Arial"/>
          <w:sz w:val="13"/>
          <w:szCs w:val="13"/>
          <w:color w:val="auto"/>
        </w:rPr>
      </w:pPr>
    </w:p>
    <w:p>
      <w:pPr>
        <w:ind w:left="520" w:hanging="260"/>
        <w:spacing w:after="0" w:line="273"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business or macroeconomic conditions, including the impact of the current COVID-19 outbreak, lower consumer confidence, recessionary conditions, increased unemployment rates, or stagnant or declining wages.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Any one of the factors above or the cumulative effect of some of the factors above may result in significant fluctuations in our operating results.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6" w:name="page47"/>
    <w:bookmarkEnd w:id="46"/>
    <w:p>
      <w:pPr>
        <w:jc w:val="both"/>
        <w:spacing w:after="0" w:line="229" w:lineRule="auto"/>
        <w:rPr>
          <w:sz w:val="20"/>
          <w:szCs w:val="20"/>
          <w:color w:val="auto"/>
        </w:rPr>
      </w:pPr>
      <w:r>
        <w:rPr>
          <w:rFonts w:ascii="Arial" w:cs="Arial" w:eastAsia="Arial" w:hAnsi="Arial"/>
          <w:sz w:val="13"/>
          <w:szCs w:val="13"/>
          <w:color w:val="auto"/>
        </w:rPr>
        <w:t>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pending acquisition of Precor presents risks and we may not realize the strategic and financial goals that were contemplated at the time we entered into the purchase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Risks we may face in connection with the pending acquisition and subsequent integration of Precor include:</w:t>
      </w:r>
    </w:p>
    <w:p>
      <w:pPr>
        <w:spacing w:after="0" w:line="190" w:lineRule="exact"/>
        <w:rPr>
          <w:sz w:val="20"/>
          <w:szCs w:val="20"/>
          <w:color w:val="auto"/>
        </w:rPr>
      </w:pPr>
    </w:p>
    <w:p>
      <w:pPr>
        <w:ind w:left="520" w:hanging="260"/>
        <w:spacing w:after="0" w:line="272"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closing conditions to the acquisition may not be satisfied or waived, including that the expiration or termination of the applicable waiting period may not be satisfied or waived under the Hart-Scott-Rodino Antitrust Improvements Act of 1976, as amended;</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realize the benefits we expect to receive from the transaction, such as anticipated synergies;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have difficulties managing Precor’s technologies and lines of business or retaining key personnel from Precor;</w:t>
      </w:r>
    </w:p>
    <w:p>
      <w:pPr>
        <w:spacing w:after="0" w:line="41" w:lineRule="exact"/>
        <w:rPr>
          <w:rFonts w:ascii="Arial" w:cs="Arial" w:eastAsia="Arial" w:hAnsi="Arial"/>
          <w:sz w:val="13"/>
          <w:szCs w:val="13"/>
          <w:color w:val="auto"/>
        </w:rPr>
      </w:pPr>
    </w:p>
    <w:p>
      <w:pPr>
        <w:jc w:val="both"/>
        <w:ind w:left="520" w:hanging="260"/>
        <w:spacing w:after="0" w:line="25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1" w:lineRule="exact"/>
        <w:rPr>
          <w:rFonts w:ascii="Arial" w:cs="Arial" w:eastAsia="Arial" w:hAnsi="Arial"/>
          <w:sz w:val="13"/>
          <w:szCs w:val="13"/>
          <w:color w:val="auto"/>
        </w:rPr>
      </w:pPr>
    </w:p>
    <w:p>
      <w:pPr>
        <w:jc w:val="both"/>
        <w:ind w:left="520" w:hanging="260"/>
        <w:spacing w:after="0" w:line="250"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13" w:lineRule="exact"/>
        <w:rPr>
          <w:rFonts w:ascii="Arial" w:cs="Arial" w:eastAsia="Arial" w:hAnsi="Arial"/>
          <w:sz w:val="13"/>
          <w:szCs w:val="13"/>
          <w:color w:val="auto"/>
        </w:rPr>
      </w:pPr>
    </w:p>
    <w:p>
      <w:pPr>
        <w:jc w:val="both"/>
        <w:ind w:left="520" w:hanging="260"/>
        <w:spacing w:after="0" w:line="25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 may not have been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Precor’s financial and disclosure controls and procedures;</w:t>
      </w:r>
    </w:p>
    <w:p>
      <w:pPr>
        <w:spacing w:after="0" w:line="1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acquisition will result in us owning and operating our first U.S.-based manufacturing facilities and we may have difficultly incorporating Precor’s manufacturing and supply chain operations into our existing manufacturing and supply chain infrastructure, potentially resulting in new and unexpected operational complexities and costs;</w:t>
      </w:r>
    </w:p>
    <w:p>
      <w:pPr>
        <w:ind w:left="520" w:hanging="260"/>
        <w:spacing w:after="0" w:line="272"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 operates in segments of the commercial market that we have less experience with, including traditional gyms, multifamily residences, hotels and college and corporate campuses, and any further expansion of our operations into these segments could present various integration challenges and result in increased costs and other unforeseen challenges;</w:t>
      </w:r>
    </w:p>
    <w:p>
      <w:pPr>
        <w:jc w:val="both"/>
        <w:ind w:left="520" w:hanging="260"/>
        <w:spacing w:after="0" w:line="25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 serves more than 100 countries worldwide, and the acquisition will result in an expansion of our operations into new jurisdictions, which could present significant integration challenges and result in significant increased risks and costs inherent in doing business in international markets (see “—We plan to expand into international markets, which will expose us to significant risks”);</w:t>
      </w:r>
    </w:p>
    <w:p>
      <w:pPr>
        <w:spacing w:after="0" w:line="11" w:lineRule="exact"/>
        <w:rPr>
          <w:rFonts w:ascii="Arial" w:cs="Arial" w:eastAsia="Arial" w:hAnsi="Arial"/>
          <w:sz w:val="13"/>
          <w:szCs w:val="13"/>
          <w:color w:val="auto"/>
        </w:rPr>
      </w:pPr>
    </w:p>
    <w:p>
      <w:pPr>
        <w:jc w:val="both"/>
        <w:ind w:left="520" w:hanging="260"/>
        <w:spacing w:after="0" w:line="25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Precor's employees in a number of countries around the world will become Peloton employees upon closing,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spacing w:after="0" w:line="11" w:lineRule="exact"/>
        <w:rPr>
          <w:rFonts w:ascii="Arial" w:cs="Arial" w:eastAsia="Arial" w:hAnsi="Arial"/>
          <w:sz w:val="13"/>
          <w:szCs w:val="13"/>
          <w:color w:val="auto"/>
        </w:rPr>
      </w:pPr>
    </w:p>
    <w:p>
      <w:pPr>
        <w:jc w:val="both"/>
        <w:ind w:left="520" w:hanging="260"/>
        <w:spacing w:after="0" w:line="255"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fail to identify or assess the magnitude of certain liabilities, shortcomings or other risks in Precor's business prior to finalizing the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The occurrence of any of these risks could have a material adverse effect on our business, financial condition, and operating results. See “—We may engage in merger and acquisition activities, which could require significant management attention, disrupt our business, dilute stockholder value, and adversely affect our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plan to expand into international markets, which will expose us to significant risks.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48" w:lineRule="exact"/>
        <w:rPr>
          <w:sz w:val="20"/>
          <w:szCs w:val="20"/>
          <w:color w:val="auto"/>
        </w:rPr>
      </w:pPr>
    </w:p>
    <w:p>
      <w:pPr>
        <w:ind w:left="520" w:hanging="260"/>
        <w:spacing w:after="0" w:line="272"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need to vary pricing and margins to effectively compete in international markets;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47" w:name="page48"/>
    <w:bookmarkEnd w:id="47"/>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need to adapt and localize products for specific countries, including obtaining rights to third-party intellectual property, including music, used in each country;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increased competition from local providers of similar products and services;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ability to protect and enforce intellectual property rights abroad;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need to offer content and customer support in various languages;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difficulties in understanding and complying with local laws, regulations, and customs in other jurisdictions;</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compliance with anti-bribery laws, such as the U.S. Foreign Corrupt Practices Act, or FCPA, and the U.K. Bribery Act 2010, or U.K. Bribery Act, by us, our employees, and our business partners;</w:t>
      </w:r>
    </w:p>
    <w:p>
      <w:pPr>
        <w:ind w:left="520" w:hanging="260"/>
        <w:spacing w:after="0" w:line="272"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varying levels of internet technology adoption and infrastructure, and increased or varying network and hosting service provider costs;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tariffs and other non-tariff barriers, such as quotas and local content rules, as well as tax consequences;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fluctuations in currency exchange rates and the requirements of currency control regulations, which might restrict or prohibit conversion of other currencies into U.S. dollars; and</w:t>
      </w:r>
    </w:p>
    <w:p>
      <w:pPr>
        <w:spacing w:after="0" w:line="41" w:lineRule="exact"/>
        <w:rPr>
          <w:rFonts w:ascii="Arial" w:cs="Arial" w:eastAsia="Arial" w:hAnsi="Arial"/>
          <w:sz w:val="13"/>
          <w:szCs w:val="13"/>
          <w:color w:val="auto"/>
        </w:rPr>
      </w:pPr>
    </w:p>
    <w:p>
      <w:pPr>
        <w:ind w:left="520" w:hanging="260"/>
        <w:spacing w:after="0" w:line="273"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political or social unrest or economic instability in a specific country or region in which we operate, including, for example, the effects of “Brexit,” which could have an adverse impact on our operations in that location.</w:t>
      </w:r>
    </w:p>
    <w:p>
      <w:pPr>
        <w:spacing w:after="0" w:line="180" w:lineRule="exact"/>
        <w:rPr>
          <w:sz w:val="20"/>
          <w:szCs w:val="20"/>
          <w:color w:val="auto"/>
        </w:rPr>
      </w:pPr>
    </w:p>
    <w:p>
      <w:pPr>
        <w:ind w:right="80"/>
        <w:spacing w:after="0" w:line="229" w:lineRule="auto"/>
        <w:rPr>
          <w:sz w:val="20"/>
          <w:szCs w:val="20"/>
          <w:color w:val="auto"/>
        </w:rPr>
      </w:pPr>
      <w:r>
        <w:rPr>
          <w:rFonts w:ascii="Arial" w:cs="Arial" w:eastAsia="Arial" w:hAnsi="Arial"/>
          <w:sz w:val="13"/>
          <w:szCs w:val="13"/>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 Additionally, in December 2020, we announced our pending acquisition of Precor which serves more than 100 countries worldwide. As a result, we will need to increase our operations and efforts abroad, which could result in various integration challenges and amplify the various risks and costs of doing business in international markets described above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126" w:lineRule="exact"/>
        <w:rPr>
          <w:sz w:val="20"/>
          <w:szCs w:val="20"/>
          <w:color w:val="auto"/>
        </w:rPr>
      </w:pPr>
    </w:p>
    <w:p>
      <w:pPr>
        <w:ind w:right="80"/>
        <w:spacing w:after="0" w:line="234" w:lineRule="auto"/>
        <w:rPr>
          <w:sz w:val="20"/>
          <w:szCs w:val="20"/>
          <w:color w:val="auto"/>
        </w:rPr>
      </w:pPr>
      <w:r>
        <w:rPr>
          <w:rFonts w:ascii="Arial" w:cs="Arial" w:eastAsia="Arial" w:hAnsi="Arial"/>
          <w:sz w:val="13"/>
          <w:szCs w:val="13"/>
          <w:color w:val="auto"/>
        </w:rPr>
        <w:t>As part of our business strategy, we have made and, in the future, intend to continue to make investments in other companies, products, or technologies, including acquisitions that may result in our entering markets or lines of business in which we do not currently have expertise. For example, in June 2018, we acquired Neurotic Media to develop a proprietary music platform that our instructors use to curate class playlists, and in October 2019, we acquired Tonic, one of our manufacturing partners. In December 2020, we announced our pending acquisition of Precor in order to establish U.S. manufacturing capacity, boost research and development capabilities, and accelerate our penetration of the commercial market.</w:t>
      </w:r>
    </w:p>
    <w:p>
      <w:pPr>
        <w:spacing w:after="0" w:line="160"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8" w:name="page49"/>
    <w:bookmarkEnd w:id="48"/>
    <w:p>
      <w:pPr>
        <w:jc w:val="both"/>
        <w:spacing w:after="0" w:line="245" w:lineRule="auto"/>
        <w:rPr>
          <w:sz w:val="20"/>
          <w:szCs w:val="20"/>
          <w:color w:val="auto"/>
        </w:rPr>
      </w:pPr>
      <w:r>
        <w:rPr>
          <w:rFonts w:ascii="Arial" w:cs="Arial" w:eastAsia="Arial" w:hAnsi="Arial"/>
          <w:sz w:val="13"/>
          <w:szCs w:val="13"/>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Online sales of our Connected Fitness Products through www.onepeloton.com represented a significantly higher number of our units sold in the United States for fiscal 2020 versus previous years, due to the temporary closing of our retail showrooms.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Member engagement on mobile devices depends upon effective operation with mobile and streaming device operating systems, networks, and standards that we do not control.</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digital offering or give preferential treatment to competitors could adversely affect our platform’s usage on mobile devices and televisions. Additionally, in order to deliver high-quality content, it is important that our digital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TVs, or Members find our App does not effectively meet their needs, our competitors develop products and services that are perceived to operate more effectively on mobile devices or TVs, or if our Members choose not to access or use our platform on their mobile devices or TVs or use products that do not offer access to our platform, our Member growth and Member engagement could be adversely impacted.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could be adversely affected if we are unable to accurately forecast consumer demand for our products and services and adequately manage our inventory.</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current COVID-19 outbreak. This risk will be exacerbated by the fact that we may not carry a significant amount of inventory and may not be able to satisfy short-term demand increases. For example, we have experienced an unexpected increase in demand for our Connected Fitness Products as a result of government shelter-in-place orders and other stay-at-home dynamics in response to the COVID-19 pandemic, which has resulted in inventory shortages, delayed delivery timelines and delays in fulfilling support requests. If we fail to accurately forecast consumer demand, we may experience excess inventory levels or a shortage of products available for sale.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i w:val="1"/>
          <w:iCs w:val="1"/>
          <w:color w:val="auto"/>
        </w:rPr>
        <w:t>If we are unable to sustain pricing levels for our Connected Fitness Products and subscriptions, our business could be adversely affected.</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If we are unable to sustain pricing levels for our portfolio of Connected Fitness Products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how we market our products and services could adversely affect our marketing expenses and subscription levels.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economic downturn or economic uncertainty may adversely affect consumer discretionary spending and demand for our products and services.</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current COVID-19 outbreak and its resulting global macroeconomic impact may adversely affect consumer discretionary spending and, though demand for our Connected Fitness Products and services has remained high due to government shelter-in-place orders and other stay at home trends,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revenue could decline due to changes in credit markets and decisions made by credit providers.</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the long-term.</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0" w:name="page51"/>
    <w:bookmarkEnd w:id="50"/>
    <w:p>
      <w:pPr>
        <w:jc w:val="both"/>
        <w:spacing w:after="0" w:line="243" w:lineRule="auto"/>
        <w:rPr>
          <w:sz w:val="20"/>
          <w:szCs w:val="20"/>
          <w:color w:val="auto"/>
        </w:rPr>
      </w:pPr>
      <w:r>
        <w:rPr>
          <w:rFonts w:ascii="Arial" w:cs="Arial" w:eastAsia="Arial" w:hAnsi="Arial"/>
          <w:sz w:val="13"/>
          <w:szCs w:val="13"/>
          <w:color w:val="auto"/>
        </w:rPr>
        <w:t>We track certain operational and business metrics, including Total Workouts and Average Monthly Workouts per Connected Fitness Subscription, with internal methods, which are not independently verified by any third party and, in particular for Peloton Digital,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Subscribers may be subject to sales and other taxes, and we may be subject to liabilities on past sales for taxes, surcharges, and fees.</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8 of the notes to our consolidated financial statements and the section titled “Management’s Discussion and Analysis of Financial Condition and Results of Operations - Liquidity and Capital Resources - Amended Credit Agreement” in Part I, Item 2 of this Quarterly Report on Form 10-Q.</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In connection with our preparation of our annual financial statements for the year ended June 30, 2018, we and our independent registered public accounting firm identified material weaknesses in our internal control over financial reporting. Any failure to maintain effective internal control over financial reporting could harm us.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the course of preparing our financial statements for fiscal 2018,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During fiscal 2020, we completed the remediation measures related to these material weaknesses and concluded that our internal control over financial reporting was effective as of June 30, 2020. Completion of remediation does not provide assurance that our remediation or other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1" w:name="page52"/>
    <w:bookmarkEnd w:id="51"/>
    <w:p>
      <w:pPr>
        <w:jc w:val="both"/>
        <w:spacing w:after="0" w:line="229" w:lineRule="auto"/>
        <w:rPr>
          <w:sz w:val="20"/>
          <w:szCs w:val="20"/>
          <w:color w:val="auto"/>
        </w:rPr>
      </w:pPr>
      <w:r>
        <w:rPr>
          <w:rFonts w:ascii="Arial" w:cs="Arial" w:eastAsia="Arial" w:hAnsi="Arial"/>
          <w:sz w:val="13"/>
          <w:szCs w:val="13"/>
          <w:color w:val="auto"/>
        </w:rPr>
        <w:t>controls will continue to operate properly. 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Because we ceased to be an "emerging growth company" on June 30, 2020, our independent registered public accounting firm will be required to formally attest to the effectiveness of our internal control over financial reporting beginning with our first annual report for the fiscal year ending June 30, 2021.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Other Risks Related to Our Connected Fitness Products and Members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products and services may be affected from time to time by design and manufacturing defects that could adversely affect our business and result in harm to our reputation.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offer high-quality Member support, our business and reputation will suffer.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2" w:name="page53"/>
    <w:bookmarkEnd w:id="52"/>
    <w:p>
      <w:pPr>
        <w:jc w:val="both"/>
        <w:spacing w:after="0" w:line="242" w:lineRule="auto"/>
        <w:rPr>
          <w:sz w:val="20"/>
          <w:szCs w:val="20"/>
          <w:color w:val="auto"/>
        </w:rPr>
      </w:pPr>
      <w:r>
        <w:rPr>
          <w:rFonts w:ascii="Arial" w:cs="Arial" w:eastAsia="Arial" w:hAnsi="Arial"/>
          <w:sz w:val="13"/>
          <w:szCs w:val="13"/>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are still limited in some locations where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26"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We generally provide a minimum 12-month limited warranty on all of our Connected Fitness Products. In addition, we permit returns of our Bike by first-time purchasers for a full refund within 30 days of delivery. The occurrence of any defects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may experience higher product returns as consumer discretionary spending decreases. Moreover, in light of changes we have made to our delivery procedures in connection with the current COVID-19 outbreak, it is possible that warranty claims may increase above historical rates, and we may be unable to satisfactorily validate and resolve warranty claims where the COVID-19 pandemic prevents us from performing in-home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 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Laws, Regulation, and Legal Proceedings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26"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9 of the notes to our condensed consolidated financial statements and the section titled “—Legal Proceedings” in Part II, Item 1 of this Quarterly Report on Form 10-Q.</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3"/>
          <w:szCs w:val="13"/>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3"/>
          <w:szCs w:val="13"/>
          <w:color w:val="auto"/>
        </w:rPr>
        <w:t>United States and elsewhere could seek to impose substantial civil and/or criminal fines and penalties which could have a material adverse effect on our business, reputation, operating results and financial condition.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Intellectual Property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intellectual property rights are valuable, and any inability to protect them could reduce the value of our products, services, and brand.</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3"/>
          <w:szCs w:val="13"/>
          <w:color w:val="auto"/>
        </w:rPr>
        <w:t>able to prevent third parties from infringing upon or misappropriating our intellectual property. Our failure to secure, protect, and enforce our intellectual property rights could seriously damage our brand and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in the future may be, sued by third parties for alleged infringement of their proprietary rights.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Our license agreements are complex and impose numerous obligations on us, including obligations to, among other things:</w:t>
      </w:r>
    </w:p>
    <w:p>
      <w:pPr>
        <w:spacing w:after="0" w:line="190" w:lineRule="exact"/>
        <w:rPr>
          <w:sz w:val="20"/>
          <w:szCs w:val="20"/>
          <w:color w:val="auto"/>
        </w:rPr>
      </w:pPr>
    </w:p>
    <w:p>
      <w:pPr>
        <w:ind w:left="520" w:hanging="260"/>
        <w:spacing w:after="0" w:line="272"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 and make payments based on complex royalty structures, which requires tracking usage of content in our service that may have inaccurate or incomplete metadata necessary for such calculation;</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periodic reports on the exploitation of the content in specified formats;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 that we will obtain all necessary publishing licenses and consents and pay all associated fees, royalties, and other amounts due for the licensing of musical compositions;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comply with certain marketing and advertising restrictions;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grant the licensor the right to audit our compliance with the terms of such agreements;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comply with certain security and technical specifications.</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that our estimates underperform relative to our expectations, and our content costs do not exceed such minimum guarantees and advance payments, our margins may be adversely affected.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risks, such as unforeseen costs and potential liability in connection with content we produce, license, and distribute through our platform.</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Service Providers and Our Employees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7" w:name="page58"/>
    <w:bookmarkEnd w:id="57"/>
    <w:p>
      <w:pPr>
        <w:jc w:val="both"/>
        <w:spacing w:after="0" w:line="273" w:lineRule="auto"/>
        <w:rPr>
          <w:sz w:val="20"/>
          <w:szCs w:val="20"/>
          <w:color w:val="auto"/>
        </w:rPr>
      </w:pPr>
      <w:r>
        <w:rPr>
          <w:rFonts w:ascii="Arial" w:cs="Arial" w:eastAsia="Arial" w:hAnsi="Arial"/>
          <w:sz w:val="13"/>
          <w:szCs w:val="13"/>
          <w:color w:val="auto"/>
        </w:rPr>
        <w:t>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success depends on the continuing efforts of our key employees and our ability to attract and retain highly skilled personnel and senior management.</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and other limitations requiring work from home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management team has limited experience managing a public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13"/>
          <w:szCs w:val="13"/>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Other General Risk Factors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payment processing risk</w:t>
      </w:r>
      <w:r>
        <w:rPr>
          <w:rFonts w:ascii="Arial" w:cs="Arial" w:eastAsia="Arial" w:hAnsi="Arial"/>
          <w:sz w:val="13"/>
          <w:szCs w:val="13"/>
          <w:color w:val="auto"/>
        </w:rPr>
        <w: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Cybersecurity risks could adversely affect our business and disrupt our operations.</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 to offset future taxable income may be subject to certain limitations.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As of June 30, 2020, we had U.S. federal net operating loss carryforwards, or NOLs, and state NOLs of approximately $191.1 million and $99.6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In addition,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9" w:name="page60"/>
    <w:bookmarkEnd w:id="59"/>
    <w:p>
      <w:pPr>
        <w:jc w:val="both"/>
        <w:spacing w:after="0" w:line="234" w:lineRule="auto"/>
        <w:rPr>
          <w:sz w:val="20"/>
          <w:szCs w:val="20"/>
          <w:color w:val="auto"/>
        </w:rPr>
      </w:pPr>
      <w:r>
        <w:rPr>
          <w:rFonts w:ascii="Arial" w:cs="Arial" w:eastAsia="Arial" w:hAnsi="Arial"/>
          <w:sz w:val="13"/>
          <w:szCs w:val="13"/>
          <w:color w:val="auto"/>
        </w:rPr>
        <w:t>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face exposure to foreign currency exchange rate fluctuations.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are subject to the reporting requirements of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We will be required to make a formal assessment and provide an annual management report on the effectiveness of our internal control over financial reporting beginning with our annual report for the fiscal year ended June 30, 2021.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we ceased to be an "emerging growth company" on June 30, 2020, and therefore, pursuant to Sections 302 and 404 of the Sarbanes-Oxley Act, we will be required to evaluate and determine the effectiveness, provide a management report and that we will be subject to attestation by our independent registered public accounting firm of our internal control over financial reporting beginning with our annual report for the fiscal year ending June 30, 2021.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new rules and regulations applicable to public companies, and stockholder litigation brought recently against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3"/>
          <w:szCs w:val="13"/>
          <w:color w:val="auto"/>
        </w:rPr>
        <w:t>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reported financial results may be negatively impacted by changes in GAAP.</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have been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Ownership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stock price of our Class A common stock has been, and will likely continue to be, volatile and you could lose all or part of your investment.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The market price of our Class A common stock has been, and will likely continue to be, volatile. Since shares of our Class A common stock were sold in our IPO in September 2019 at a price of $29.00 per share, our stock price has ranged from $17.70 to $171.09 through January 29, 2021.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148"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COVID-19 outbreak and any associated economic downturn;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overall performance of the equity markets and the performance of technology companies in particular;</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variations in our operating results, cash flows, and other financial metrics and non-financial metrics, and how those results compare to analyst expectations;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the financial projections we may provide to the public or our failure to meet these projections;</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economy as a whole and market conditions in our industry;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pending acquisition of Precor;</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negative publicity related to problems in our manufacturing or the real or perceived quality of our products, as well as the failure to timely launch new products or services that gain market acceptance;</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spacing w:after="0" w:line="41" w:lineRule="exact"/>
        <w:rPr>
          <w:rFonts w:ascii="Arial" w:cs="Arial" w:eastAsia="Arial" w:hAnsi="Arial"/>
          <w:sz w:val="13"/>
          <w:szCs w:val="13"/>
          <w:color w:val="auto"/>
        </w:rPr>
      </w:pPr>
    </w:p>
    <w:p>
      <w:pPr>
        <w:ind w:left="520" w:hanging="260"/>
        <w:spacing w:after="0" w:line="272"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announcements by us or our competitors of new products, services, features and content, significant technical innovations, acquisitions, strategic partnerships, joint ventures, or capital commitments;</w:t>
      </w: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lawsuits threatened or filed against us, litigation involving our industry, or both;</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developments or disputes concerning our or other parties’ products, services, or intellectual property rights;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or responses to these events;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expiration of contractual lock-up or market standoff agreements; 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1" w:name="page62"/>
    <w:bookmarkEnd w:id="61"/>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sales of shares of our Class A common stock by us or our stockholders.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There were a total of 294,273,083 shares of our Class A common stock and Class B common stock outstanding as of December 31, 2020. All shares of our Class A common stock and Class B common stock are freely tradable, except for any shares purchased by our “affiliates” as defined in Rule 144 under the Securities Act of 1933, as amended, or the Securities Act.</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38"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In addition, as of December 31, 2020, we had options outstanding that, if fully exercised, would result in the issuance of 49,395,498 shares of Class B common stock and 12,903,323 shares of Class A common stock. Subject to the satisfaction of applicable vesting requirements, the shares issued upon exercise of outstanding stock options will be available for immediate resale in the open market.</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Our Class B common stock has 20 votes per share and our Class A common stock has one vote per share. As of December 31, 2020,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dual class structure of our common stock may adversely affect the trading market for our Class A common stock.</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2" w:name="page63"/>
    <w:bookmarkEnd w:id="62"/>
    <w:p>
      <w:pPr>
        <w:jc w:val="both"/>
        <w:spacing w:after="0" w:line="273" w:lineRule="auto"/>
        <w:rPr>
          <w:sz w:val="20"/>
          <w:szCs w:val="20"/>
          <w:color w:val="auto"/>
        </w:rPr>
      </w:pPr>
      <w:r>
        <w:rPr>
          <w:rFonts w:ascii="Arial" w:cs="Arial" w:eastAsia="Arial" w:hAnsi="Arial"/>
          <w:sz w:val="13"/>
          <w:szCs w:val="13"/>
          <w:color w:val="auto"/>
        </w:rPr>
        <w:t>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162"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that our Board of Directors is classified into three classes of directors with staggered three-year terms;</w:t>
      </w:r>
    </w:p>
    <w:p>
      <w:pPr>
        <w:spacing w:after="0" w:line="15"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permit the Board of Directors to establish the number of directors and fill any vacancies and newly-created directorships;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require super-majority voting to amend some provisions in our restated certificate of incorporation and restated bylaws;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our Board of Directors could use to implement a stockholder rights plan;</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that only the chairman of our Board of Directors, our chief executive officer, or a majority of our Board of Directors will be authorized to call a special meeting of stockholders;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eliminate the ability of our stockholders to call special meetings of stockholders;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prohibit cumulative voting;</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that directors may only be removed “for cause” and only with the approval of two-thirds of our stockholders;</w:t>
      </w:r>
    </w:p>
    <w:p>
      <w:pPr>
        <w:jc w:val="both"/>
        <w:ind w:left="520" w:hanging="260"/>
        <w:spacing w:after="0" w:line="238"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prohibit stockholder action by written consent, which requires all stockholder actions to be taken at a meeting of our stockholders;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that the Board of Directors is expressly authorized to make, alter, or repeal our bylaws; and</w:t>
      </w:r>
    </w:p>
    <w:p>
      <w:pPr>
        <w:ind w:left="500" w:hanging="240"/>
        <w:spacing w:after="0"/>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of Directors or for proposing matters that can be acted upon by stockholders at annual stockholder meetings.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3"/>
          <w:szCs w:val="13"/>
          <w:color w:val="212529"/>
        </w:rPr>
        <w:t>we amended and restated our restated bylaws to provide that the federal district courts of the United States of America will, to the fullest extent permitted by law,</w:t>
      </w:r>
      <w:r>
        <w:rPr>
          <w:rFonts w:ascii="Arial" w:cs="Arial" w:eastAsia="Arial" w:hAnsi="Arial"/>
          <w:sz w:val="13"/>
          <w:szCs w:val="13"/>
          <w:color w:val="auto"/>
        </w:rPr>
        <w:t xml:space="preserve"> </w:t>
      </w:r>
      <w:r>
        <w:rPr>
          <w:rFonts w:ascii="Arial" w:cs="Arial" w:eastAsia="Arial" w:hAnsi="Arial"/>
          <w:sz w:val="13"/>
          <w:szCs w:val="13"/>
          <w:color w:val="212529"/>
        </w:rPr>
        <w:t xml:space="preserve">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3"/>
          <w:szCs w:val="13"/>
          <w:color w:val="000000"/>
        </w:rPr>
        <w:t>the Federal Forum Provision means that suits brought by</w:t>
      </w:r>
      <w:r>
        <w:rPr>
          <w:rFonts w:ascii="Arial" w:cs="Arial" w:eastAsia="Arial" w:hAnsi="Arial"/>
          <w:sz w:val="13"/>
          <w:szCs w:val="13"/>
          <w:color w:val="212529"/>
        </w:rPr>
        <w:t xml:space="preserve"> </w:t>
      </w:r>
      <w:r>
        <w:rPr>
          <w:rFonts w:ascii="Arial" w:cs="Arial" w:eastAsia="Arial" w:hAnsi="Arial"/>
          <w:sz w:val="13"/>
          <w:szCs w:val="13"/>
          <w:color w:val="000000"/>
        </w:rPr>
        <w:t>our stockholders to enforce any duty or liability created by the Securities Act must be brought in federal court and cannot be brought in state court.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Our stockholders will not be deemed to have waived our compliance with the federal securities laws and the regulations promulgated thereunder.</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3"/>
          <w:szCs w:val="13"/>
          <w:color w:val="000000"/>
        </w:rPr>
        <w:t>. Alternatively, if a court were to find the choice of forum provision contained in our restated certificate of incorporation and/or</w:t>
      </w:r>
      <w:r>
        <w:rPr>
          <w:rFonts w:ascii="Arial" w:cs="Arial" w:eastAsia="Arial" w:hAnsi="Arial"/>
          <w:sz w:val="13"/>
          <w:szCs w:val="13"/>
          <w:color w:val="212529"/>
        </w:rPr>
        <w:t xml:space="preserve"> </w:t>
      </w:r>
      <w:r>
        <w:rPr>
          <w:rFonts w:ascii="Arial" w:cs="Arial" w:eastAsia="Arial" w:hAnsi="Arial"/>
          <w:sz w:val="13"/>
          <w:szCs w:val="13"/>
          <w:color w:val="000000"/>
        </w:rPr>
        <w:t>amended and restated bylaws to be inapplicable or unenforceable in an action, we may incur additional costs associated with resolving such action in other jurisdictions, which could harm our business, financial condition, and operating results.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Unregistered Sales of Equity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On September 25, 2019, our Registration Statement on Form S-1, as amended (Reg. No. 333-233482), was declared effective in connection with the IPO of our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There has been no material change in the planned use of proceeds from our IPO as described in the Prospectus relating to that offering dated September 25, 2019.</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380"/>
          </w:cols>
          <w:pgMar w:left="300" w:top="696" w:right="12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auto"/>
        </w:rPr>
        <w:t>Item 6.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640" w:type="dxa"/>
            <w:vAlign w:val="bottom"/>
            <w:shd w:val="clear" w:color="auto" w:fill="FEFEFE"/>
          </w:tcPr>
          <w:p>
            <w:pPr>
              <w:spacing w:after="0"/>
              <w:rPr>
                <w:sz w:val="13"/>
                <w:szCs w:val="13"/>
                <w:color w:val="auto"/>
              </w:rPr>
            </w:pPr>
          </w:p>
        </w:tc>
        <w:tc>
          <w:tcPr>
            <w:tcW w:w="580" w:type="dxa"/>
            <w:vAlign w:val="bottom"/>
            <w:shd w:val="clear" w:color="auto" w:fill="FEFEFE"/>
          </w:tcPr>
          <w:p>
            <w:pPr>
              <w:spacing w:after="0"/>
              <w:rPr>
                <w:sz w:val="13"/>
                <w:szCs w:val="13"/>
                <w:color w:val="auto"/>
              </w:rPr>
            </w:pPr>
          </w:p>
        </w:tc>
        <w:tc>
          <w:tcPr>
            <w:tcW w:w="194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0" w:type="dxa"/>
            <w:vAlign w:val="bottom"/>
            <w:shd w:val="clear" w:color="auto" w:fill="FEFEFE"/>
          </w:tcPr>
          <w:p>
            <w:pPr>
              <w:spacing w:after="0"/>
              <w:rPr>
                <w:sz w:val="13"/>
                <w:szCs w:val="13"/>
                <w:color w:val="auto"/>
              </w:rPr>
            </w:pPr>
          </w:p>
        </w:tc>
        <w:tc>
          <w:tcPr>
            <w:tcW w:w="820" w:type="dxa"/>
            <w:vAlign w:val="bottom"/>
            <w:shd w:val="clear" w:color="auto" w:fill="FEFEFE"/>
          </w:tcPr>
          <w:p>
            <w:pPr>
              <w:spacing w:after="0"/>
              <w:rPr>
                <w:sz w:val="13"/>
                <w:szCs w:val="13"/>
                <w:color w:val="auto"/>
              </w:rPr>
            </w:pPr>
          </w:p>
        </w:tc>
        <w:tc>
          <w:tcPr>
            <w:tcW w:w="2420" w:type="dxa"/>
            <w:vAlign w:val="bottom"/>
            <w:gridSpan w:val="2"/>
            <w:shd w:val="clear" w:color="auto" w:fill="FEFEFE"/>
          </w:tcPr>
          <w:p>
            <w:pPr>
              <w:ind w:left="620"/>
              <w:spacing w:after="0"/>
              <w:rPr>
                <w:sz w:val="20"/>
                <w:szCs w:val="20"/>
                <w:color w:val="auto"/>
              </w:rPr>
            </w:pPr>
            <w:r>
              <w:rPr>
                <w:rFonts w:ascii="Arial" w:cs="Arial" w:eastAsia="Arial" w:hAnsi="Arial"/>
                <w:sz w:val="13"/>
                <w:szCs w:val="13"/>
                <w:b w:val="1"/>
                <w:bCs w:val="1"/>
                <w:color w:val="auto"/>
              </w:rPr>
              <w:t>Incorporated by Reference</w:t>
            </w:r>
          </w:p>
        </w:tc>
        <w:tc>
          <w:tcPr>
            <w:tcW w:w="1220" w:type="dxa"/>
            <w:vAlign w:val="bottom"/>
            <w:shd w:val="clear" w:color="auto" w:fill="FEFEFE"/>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b w:val="1"/>
                <w:bCs w:val="1"/>
                <w:color w:val="auto"/>
              </w:rPr>
              <w:t>Filed or Furnished</w:t>
            </w:r>
          </w:p>
        </w:tc>
      </w:tr>
      <w:tr>
        <w:trPr>
          <w:trHeight w:val="198"/>
        </w:trPr>
        <w:tc>
          <w:tcPr>
            <w:tcW w:w="84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1640" w:type="dxa"/>
            <w:vAlign w:val="bottom"/>
            <w:tcBorders>
              <w:bottom w:val="single" w:sz="8" w:color="FEFEFE"/>
            </w:tcBorders>
            <w:shd w:val="clear" w:color="auto" w:fill="FEFEFE"/>
          </w:tcPr>
          <w:p>
            <w:pPr>
              <w:spacing w:after="0"/>
              <w:rPr>
                <w:sz w:val="16"/>
                <w:szCs w:val="16"/>
                <w:color w:val="auto"/>
              </w:rPr>
            </w:pPr>
          </w:p>
        </w:tc>
        <w:tc>
          <w:tcPr>
            <w:tcW w:w="580" w:type="dxa"/>
            <w:vAlign w:val="bottom"/>
            <w:tcBorders>
              <w:bottom w:val="single" w:sz="8" w:color="FEFEFE"/>
            </w:tcBorders>
            <w:shd w:val="clear" w:color="auto" w:fill="FEFEFE"/>
          </w:tcPr>
          <w:p>
            <w:pPr>
              <w:spacing w:after="0"/>
              <w:rPr>
                <w:sz w:val="16"/>
                <w:szCs w:val="16"/>
                <w:color w:val="auto"/>
              </w:rPr>
            </w:pPr>
          </w:p>
        </w:tc>
        <w:tc>
          <w:tcPr>
            <w:tcW w:w="1940" w:type="dxa"/>
            <w:vAlign w:val="bottom"/>
            <w:tcBorders>
              <w:bottom w:val="single" w:sz="8" w:color="FEFEFE"/>
            </w:tcBorders>
            <w:shd w:val="clear" w:color="auto" w:fill="FEFEFE"/>
          </w:tcPr>
          <w:p>
            <w:pPr>
              <w:spacing w:after="0"/>
              <w:rPr>
                <w:sz w:val="16"/>
                <w:szCs w:val="16"/>
                <w:color w:val="auto"/>
              </w:rPr>
            </w:pPr>
          </w:p>
        </w:tc>
        <w:tc>
          <w:tcPr>
            <w:tcW w:w="60" w:type="dxa"/>
            <w:vAlign w:val="bottom"/>
            <w:tcBorders>
              <w:bottom w:val="single" w:sz="8" w:color="FEFEFE"/>
            </w:tcBorders>
            <w:shd w:val="clear" w:color="auto" w:fill="FEFEFE"/>
          </w:tcPr>
          <w:p>
            <w:pPr>
              <w:spacing w:after="0"/>
              <w:rPr>
                <w:sz w:val="16"/>
                <w:szCs w:val="16"/>
                <w:color w:val="auto"/>
              </w:rPr>
            </w:pPr>
          </w:p>
        </w:tc>
        <w:tc>
          <w:tcPr>
            <w:tcW w:w="1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2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820" w:type="dxa"/>
            <w:vAlign w:val="bottom"/>
            <w:tcBorders>
              <w:bottom w:val="single" w:sz="8" w:color="FEFEFE"/>
            </w:tcBorders>
            <w:shd w:val="clear" w:color="auto" w:fill="FEFEFE"/>
          </w:tcPr>
          <w:p>
            <w:pPr>
              <w:spacing w:after="0"/>
              <w:rPr>
                <w:sz w:val="16"/>
                <w:szCs w:val="16"/>
                <w:color w:val="auto"/>
              </w:rPr>
            </w:pPr>
          </w:p>
        </w:tc>
        <w:tc>
          <w:tcPr>
            <w:tcW w:w="1120" w:type="dxa"/>
            <w:vAlign w:val="bottom"/>
            <w:tcBorders>
              <w:bottom w:val="single" w:sz="8" w:color="FEFEFE"/>
            </w:tcBorders>
            <w:shd w:val="clear" w:color="auto" w:fill="FEFEFE"/>
          </w:tcPr>
          <w:p>
            <w:pPr>
              <w:spacing w:after="0"/>
              <w:rPr>
                <w:sz w:val="16"/>
                <w:szCs w:val="16"/>
                <w:color w:val="auto"/>
              </w:rPr>
            </w:pPr>
          </w:p>
        </w:tc>
        <w:tc>
          <w:tcPr>
            <w:tcW w:w="1300" w:type="dxa"/>
            <w:vAlign w:val="bottom"/>
            <w:tcBorders>
              <w:bottom w:val="single" w:sz="8" w:color="FEFEFE"/>
            </w:tcBorders>
            <w:shd w:val="clear" w:color="auto" w:fill="FEFEFE"/>
          </w:tcPr>
          <w:p>
            <w:pPr>
              <w:spacing w:after="0"/>
              <w:rPr>
                <w:sz w:val="16"/>
                <w:szCs w:val="16"/>
                <w:color w:val="auto"/>
              </w:rPr>
            </w:pPr>
          </w:p>
        </w:tc>
        <w:tc>
          <w:tcPr>
            <w:tcW w:w="1220" w:type="dxa"/>
            <w:vAlign w:val="bottom"/>
            <w:tcBorders>
              <w:bottom w:val="single" w:sz="8" w:color="FEFEFE"/>
            </w:tcBorders>
            <w:shd w:val="clear" w:color="auto" w:fill="FEFEFE"/>
          </w:tcPr>
          <w:p>
            <w:pPr>
              <w:spacing w:after="0"/>
              <w:rPr>
                <w:sz w:val="16"/>
                <w:szCs w:val="16"/>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1"/>
                <w:szCs w:val="11"/>
                <w:b w:val="1"/>
                <w:bCs w:val="1"/>
                <w:color w:val="auto"/>
              </w:rPr>
              <w:t>Herewith</w:t>
            </w:r>
          </w:p>
        </w:tc>
      </w:tr>
      <w:tr>
        <w:trPr>
          <w:trHeight w:val="118"/>
        </w:trPr>
        <w:tc>
          <w:tcPr>
            <w:tcW w:w="840" w:type="dxa"/>
            <w:vAlign w:val="bottom"/>
            <w:tcBorders>
              <w:top w:val="single" w:sz="8" w:color="FEFEFE"/>
            </w:tcBorders>
            <w:shd w:val="clear" w:color="auto" w:fill="FEFEFE"/>
          </w:tcPr>
          <w:p>
            <w:pPr>
              <w:jc w:val="right"/>
              <w:ind w:right="136"/>
              <w:spacing w:after="0" w:line="118" w:lineRule="exact"/>
              <w:rPr>
                <w:sz w:val="20"/>
                <w:szCs w:val="20"/>
                <w:color w:val="auto"/>
              </w:rPr>
            </w:pPr>
            <w:r>
              <w:rPr>
                <w:rFonts w:ascii="Arial" w:cs="Arial" w:eastAsia="Arial" w:hAnsi="Arial"/>
                <w:sz w:val="13"/>
                <w:szCs w:val="13"/>
                <w:b w:val="1"/>
                <w:bCs w:val="1"/>
                <w:color w:val="auto"/>
              </w:rPr>
              <w:t>Exhibit</w:t>
            </w:r>
          </w:p>
        </w:tc>
        <w:tc>
          <w:tcPr>
            <w:tcW w:w="10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1640" w:type="dxa"/>
            <w:vAlign w:val="bottom"/>
            <w:tcBorders>
              <w:top w:val="single" w:sz="8" w:color="FEFEFE"/>
            </w:tcBorders>
            <w:shd w:val="clear" w:color="auto" w:fill="FEFEFE"/>
          </w:tcPr>
          <w:p>
            <w:pPr>
              <w:spacing w:after="0"/>
              <w:rPr>
                <w:sz w:val="10"/>
                <w:szCs w:val="10"/>
                <w:color w:val="auto"/>
              </w:rPr>
            </w:pPr>
          </w:p>
        </w:tc>
        <w:tc>
          <w:tcPr>
            <w:tcW w:w="2860" w:type="dxa"/>
            <w:vAlign w:val="bottom"/>
            <w:tcBorders>
              <w:top w:val="single" w:sz="8" w:color="FEFEFE"/>
            </w:tcBorders>
            <w:gridSpan w:val="8"/>
            <w:shd w:val="clear" w:color="auto" w:fill="FEFEFE"/>
          </w:tcPr>
          <w:p>
            <w:pPr>
              <w:ind w:left="240"/>
              <w:spacing w:after="0" w:line="118" w:lineRule="exact"/>
              <w:rPr>
                <w:sz w:val="20"/>
                <w:szCs w:val="20"/>
                <w:color w:val="auto"/>
              </w:rPr>
            </w:pPr>
            <w:r>
              <w:rPr>
                <w:rFonts w:ascii="Arial" w:cs="Arial" w:eastAsia="Arial" w:hAnsi="Arial"/>
                <w:sz w:val="13"/>
                <w:szCs w:val="13"/>
                <w:b w:val="1"/>
                <w:bCs w:val="1"/>
                <w:color w:val="auto"/>
              </w:rPr>
              <w:t>Exhibit Title</w:t>
            </w:r>
          </w:p>
        </w:tc>
        <w:tc>
          <w:tcPr>
            <w:tcW w:w="820" w:type="dxa"/>
            <w:vAlign w:val="bottom"/>
            <w:tcBorders>
              <w:top w:val="single" w:sz="8" w:color="auto"/>
            </w:tcBorders>
            <w:shd w:val="clear" w:color="auto" w:fill="FEFEFE"/>
          </w:tcPr>
          <w:p>
            <w:pPr>
              <w:ind w:left="260"/>
              <w:spacing w:after="0" w:line="118" w:lineRule="exact"/>
              <w:rPr>
                <w:sz w:val="20"/>
                <w:szCs w:val="20"/>
                <w:color w:val="auto"/>
              </w:rPr>
            </w:pPr>
            <w:r>
              <w:rPr>
                <w:rFonts w:ascii="Arial" w:cs="Arial" w:eastAsia="Arial" w:hAnsi="Arial"/>
                <w:sz w:val="13"/>
                <w:szCs w:val="13"/>
                <w:b w:val="1"/>
                <w:bCs w:val="1"/>
                <w:color w:val="auto"/>
              </w:rPr>
              <w:t>Form</w:t>
            </w:r>
          </w:p>
        </w:tc>
        <w:tc>
          <w:tcPr>
            <w:tcW w:w="1120" w:type="dxa"/>
            <w:vAlign w:val="bottom"/>
            <w:tcBorders>
              <w:top w:val="single" w:sz="8" w:color="auto"/>
            </w:tcBorders>
            <w:shd w:val="clear" w:color="auto" w:fill="FEFEFE"/>
          </w:tcPr>
          <w:p>
            <w:pPr>
              <w:ind w:left="340"/>
              <w:spacing w:after="0" w:line="118" w:lineRule="exact"/>
              <w:rPr>
                <w:sz w:val="20"/>
                <w:szCs w:val="20"/>
                <w:color w:val="auto"/>
              </w:rPr>
            </w:pPr>
            <w:r>
              <w:rPr>
                <w:rFonts w:ascii="Arial" w:cs="Arial" w:eastAsia="Arial" w:hAnsi="Arial"/>
                <w:sz w:val="13"/>
                <w:szCs w:val="13"/>
                <w:b w:val="1"/>
                <w:bCs w:val="1"/>
                <w:color w:val="auto"/>
              </w:rPr>
              <w:t>File No.</w:t>
            </w:r>
          </w:p>
        </w:tc>
        <w:tc>
          <w:tcPr>
            <w:tcW w:w="1300" w:type="dxa"/>
            <w:vAlign w:val="bottom"/>
            <w:tcBorders>
              <w:top w:val="single" w:sz="8" w:color="auto"/>
            </w:tcBorders>
            <w:shd w:val="clear" w:color="auto" w:fill="FEFEFE"/>
          </w:tcPr>
          <w:p>
            <w:pPr>
              <w:ind w:left="440"/>
              <w:spacing w:after="0" w:line="118" w:lineRule="exact"/>
              <w:rPr>
                <w:sz w:val="20"/>
                <w:szCs w:val="20"/>
                <w:color w:val="auto"/>
              </w:rPr>
            </w:pPr>
            <w:r>
              <w:rPr>
                <w:rFonts w:ascii="Arial" w:cs="Arial" w:eastAsia="Arial" w:hAnsi="Arial"/>
                <w:sz w:val="13"/>
                <w:szCs w:val="13"/>
                <w:b w:val="1"/>
                <w:bCs w:val="1"/>
                <w:color w:val="auto"/>
              </w:rPr>
              <w:t>Exhibit</w:t>
            </w:r>
          </w:p>
        </w:tc>
        <w:tc>
          <w:tcPr>
            <w:tcW w:w="1220" w:type="dxa"/>
            <w:vAlign w:val="bottom"/>
            <w:tcBorders>
              <w:top w:val="single" w:sz="8" w:color="auto"/>
            </w:tcBorders>
            <w:shd w:val="clear" w:color="auto" w:fill="FEFEFE"/>
          </w:tcPr>
          <w:p>
            <w:pPr>
              <w:ind w:left="280"/>
              <w:spacing w:after="0" w:line="118" w:lineRule="exact"/>
              <w:rPr>
                <w:sz w:val="20"/>
                <w:szCs w:val="20"/>
                <w:color w:val="auto"/>
              </w:rPr>
            </w:pPr>
            <w:r>
              <w:rPr>
                <w:rFonts w:ascii="Arial" w:cs="Arial" w:eastAsia="Arial" w:hAnsi="Arial"/>
                <w:sz w:val="13"/>
                <w:szCs w:val="13"/>
                <w:b w:val="1"/>
                <w:bCs w:val="1"/>
                <w:color w:val="auto"/>
              </w:rPr>
              <w:t>Filing Date</w:t>
            </w:r>
          </w:p>
        </w:tc>
        <w:tc>
          <w:tcPr>
            <w:tcW w:w="1220" w:type="dxa"/>
            <w:vAlign w:val="bottom"/>
            <w:tcBorders>
              <w:top w:val="single" w:sz="8" w:color="FEFEFE"/>
            </w:tcBorders>
            <w:shd w:val="clear" w:color="auto" w:fill="FEFEFE"/>
          </w:tcPr>
          <w:p>
            <w:pPr>
              <w:spacing w:after="0"/>
              <w:rPr>
                <w:sz w:val="10"/>
                <w:szCs w:val="10"/>
                <w:color w:val="auto"/>
              </w:rPr>
            </w:pPr>
          </w:p>
        </w:tc>
      </w:tr>
      <w:tr>
        <w:trPr>
          <w:trHeight w:val="191"/>
        </w:trPr>
        <w:tc>
          <w:tcPr>
            <w:tcW w:w="840" w:type="dxa"/>
            <w:vAlign w:val="bottom"/>
            <w:shd w:val="clear" w:color="auto" w:fill="FEFEFE"/>
          </w:tcPr>
          <w:p>
            <w:pPr>
              <w:jc w:val="right"/>
              <w:ind w:right="116"/>
              <w:spacing w:after="0"/>
              <w:rPr>
                <w:sz w:val="20"/>
                <w:szCs w:val="20"/>
                <w:color w:val="auto"/>
              </w:rPr>
            </w:pPr>
            <w:r>
              <w:rPr>
                <w:rFonts w:ascii="Arial" w:cs="Arial" w:eastAsia="Arial" w:hAnsi="Arial"/>
                <w:sz w:val="13"/>
                <w:szCs w:val="13"/>
                <w:b w:val="1"/>
                <w:bCs w:val="1"/>
                <w:color w:val="auto"/>
              </w:rPr>
              <w:t>Number</w:t>
            </w:r>
          </w:p>
        </w:tc>
        <w:tc>
          <w:tcPr>
            <w:tcW w:w="10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640" w:type="dxa"/>
            <w:vAlign w:val="bottom"/>
            <w:shd w:val="clear" w:color="auto" w:fill="FEFEFE"/>
          </w:tcPr>
          <w:p>
            <w:pPr>
              <w:spacing w:after="0"/>
              <w:rPr>
                <w:sz w:val="16"/>
                <w:szCs w:val="16"/>
                <w:color w:val="auto"/>
              </w:rPr>
            </w:pPr>
          </w:p>
        </w:tc>
        <w:tc>
          <w:tcPr>
            <w:tcW w:w="580" w:type="dxa"/>
            <w:vAlign w:val="bottom"/>
            <w:shd w:val="clear" w:color="auto" w:fill="FEFEFE"/>
          </w:tcPr>
          <w:p>
            <w:pPr>
              <w:spacing w:after="0"/>
              <w:rPr>
                <w:sz w:val="16"/>
                <w:szCs w:val="16"/>
                <w:color w:val="auto"/>
              </w:rPr>
            </w:pPr>
          </w:p>
        </w:tc>
        <w:tc>
          <w:tcPr>
            <w:tcW w:w="194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r>
      <w:tr>
        <w:trPr>
          <w:trHeight w:val="138"/>
        </w:trPr>
        <w:tc>
          <w:tcPr>
            <w:tcW w:w="84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gridSpan w:val="9"/>
          </w:tcPr>
          <w:p>
            <w:pPr>
              <w:spacing w:after="0" w:line="138" w:lineRule="exact"/>
              <w:rPr>
                <w:rFonts w:ascii="Arial" w:cs="Arial" w:eastAsia="Arial" w:hAnsi="Arial"/>
                <w:sz w:val="13"/>
                <w:szCs w:val="13"/>
                <w:color w:val="0000FF"/>
              </w:rPr>
            </w:pPr>
            <w:hyperlink w:anchor="page68">
              <w:r>
                <w:rPr>
                  <w:rFonts w:ascii="Arial" w:cs="Arial" w:eastAsia="Arial" w:hAnsi="Arial"/>
                  <w:sz w:val="13"/>
                  <w:szCs w:val="13"/>
                  <w:u w:val="single" w:color="auto"/>
                  <w:color w:val="0000FF"/>
                </w:rPr>
                <w:t>Stock and Asset Purchase Agreement,</w:t>
              </w:r>
              <w:r>
                <w:rPr>
                  <w:rFonts w:ascii="Arial" w:cs="Arial" w:eastAsia="Arial" w:hAnsi="Arial"/>
                  <w:sz w:val="13"/>
                  <w:szCs w:val="13"/>
                  <w:color w:val="0000FF"/>
                </w:rPr>
                <w:t xml:space="preserve"> dated December 21, 2020, by and</w:t>
              </w:r>
            </w:hyperlink>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0"/>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3"/>
          </w:tcPr>
          <w:p>
            <w:pPr>
              <w:spacing w:after="0"/>
              <w:rPr>
                <w:rFonts w:ascii="Arial" w:cs="Arial" w:eastAsia="Arial" w:hAnsi="Arial"/>
                <w:sz w:val="13"/>
                <w:szCs w:val="13"/>
                <w:u w:val="single" w:color="auto"/>
                <w:color w:val="0000FF"/>
              </w:rPr>
            </w:pPr>
            <w:hyperlink w:anchor="page68">
              <w:r>
                <w:rPr>
                  <w:rFonts w:ascii="Arial" w:cs="Arial" w:eastAsia="Arial" w:hAnsi="Arial"/>
                  <w:sz w:val="13"/>
                  <w:szCs w:val="13"/>
                  <w:u w:val="single" w:color="auto"/>
                  <w:color w:val="0000FF"/>
                </w:rPr>
                <w:t>between Peloton Interactive, Inc. and Amer Sports Corporation</w:t>
              </w:r>
            </w:hyperlink>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shd w:val="clear" w:color="auto" w:fill="FEFEFE"/>
          </w:tcPr>
          <w:p>
            <w:pPr>
              <w:spacing w:after="0"/>
              <w:rPr>
                <w:sz w:val="13"/>
                <w:szCs w:val="13"/>
                <w:color w:val="auto"/>
              </w:rPr>
            </w:pPr>
          </w:p>
        </w:tc>
      </w:tr>
      <w:tr>
        <w:trPr>
          <w:trHeight w:val="138"/>
        </w:trPr>
        <w:tc>
          <w:tcPr>
            <w:tcW w:w="840" w:type="dxa"/>
            <w:vAlign w:val="bottom"/>
            <w:shd w:val="clear" w:color="auto" w:fill="FEFEFE"/>
          </w:tcPr>
          <w:p>
            <w:pPr>
              <w:jc w:val="right"/>
              <w:spacing w:after="0" w:line="138" w:lineRule="exact"/>
              <w:rPr>
                <w:sz w:val="20"/>
                <w:szCs w:val="20"/>
                <w:color w:val="auto"/>
              </w:rPr>
            </w:pPr>
            <w:r>
              <w:rPr>
                <w:rFonts w:ascii="Arial" w:cs="Arial" w:eastAsia="Arial" w:hAnsi="Arial"/>
                <w:sz w:val="13"/>
                <w:szCs w:val="13"/>
                <w:color w:val="auto"/>
              </w:rPr>
              <w:t>31.1</w:t>
            </w:r>
          </w:p>
        </w:tc>
        <w:tc>
          <w:tcPr>
            <w:tcW w:w="10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4500" w:type="dxa"/>
            <w:vAlign w:val="bottom"/>
            <w:gridSpan w:val="9"/>
            <w:shd w:val="clear" w:color="auto" w:fill="FEFEFE"/>
          </w:tcPr>
          <w:p>
            <w:pPr>
              <w:spacing w:after="0" w:line="138" w:lineRule="exact"/>
              <w:rPr>
                <w:rFonts w:ascii="Arial" w:cs="Arial" w:eastAsia="Arial" w:hAnsi="Arial"/>
                <w:sz w:val="13"/>
                <w:szCs w:val="13"/>
                <w:color w:val="0000FF"/>
              </w:rPr>
            </w:pPr>
            <w:hyperlink w:anchor="page162">
              <w:r>
                <w:rPr>
                  <w:rFonts w:ascii="Arial" w:cs="Arial" w:eastAsia="Arial" w:hAnsi="Arial"/>
                  <w:sz w:val="13"/>
                  <w:szCs w:val="13"/>
                  <w:color w:val="0000FF"/>
                </w:rPr>
                <w:t>Certification of Principal Executive Officer Pursuant to Rules 13a-14(a) and</w:t>
              </w:r>
            </w:hyperlink>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0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18"/>
        </w:trPr>
        <w:tc>
          <w:tcPr>
            <w:tcW w:w="840" w:type="dxa"/>
            <w:vAlign w:val="bottom"/>
            <w:tcBorders>
              <w:top w:val="single" w:sz="8" w:color="FEFEFE"/>
            </w:tcBorders>
            <w:shd w:val="clear" w:color="auto" w:fill="FEFEFE"/>
          </w:tcPr>
          <w:p>
            <w:pPr>
              <w:spacing w:after="0"/>
              <w:rPr>
                <w:sz w:val="10"/>
                <w:szCs w:val="10"/>
                <w:color w:val="auto"/>
              </w:rPr>
            </w:pPr>
          </w:p>
        </w:tc>
        <w:tc>
          <w:tcPr>
            <w:tcW w:w="10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4220" w:type="dxa"/>
            <w:vAlign w:val="bottom"/>
            <w:tcBorders>
              <w:top w:val="single" w:sz="8" w:color="0000FF"/>
            </w:tcBorders>
            <w:gridSpan w:val="4"/>
            <w:shd w:val="clear" w:color="auto" w:fill="FEFEFE"/>
          </w:tcPr>
          <w:p>
            <w:pPr>
              <w:spacing w:after="0" w:line="118" w:lineRule="exact"/>
              <w:rPr>
                <w:rFonts w:ascii="Arial" w:cs="Arial" w:eastAsia="Arial" w:hAnsi="Arial"/>
                <w:sz w:val="13"/>
                <w:szCs w:val="13"/>
                <w:color w:val="0000FF"/>
                <w:w w:val="97"/>
              </w:rPr>
            </w:pPr>
            <w:hyperlink w:anchor="page162">
              <w:r>
                <w:rPr>
                  <w:rFonts w:ascii="Arial" w:cs="Arial" w:eastAsia="Arial" w:hAnsi="Arial"/>
                  <w:sz w:val="13"/>
                  <w:szCs w:val="13"/>
                  <w:color w:val="0000FF"/>
                  <w:w w:val="97"/>
                </w:rPr>
                <w:t>15d-14(a) under the Exchange Act, as Adopted Pursuant to Section 302 of</w:t>
              </w:r>
            </w:hyperlink>
          </w:p>
        </w:tc>
        <w:tc>
          <w:tcPr>
            <w:tcW w:w="280" w:type="dxa"/>
            <w:vAlign w:val="bottom"/>
            <w:tcBorders>
              <w:top w:val="single" w:sz="8" w:color="FEFEFE"/>
            </w:tcBorders>
            <w:gridSpan w:val="5"/>
            <w:shd w:val="clear" w:color="auto" w:fill="FEFEFE"/>
          </w:tcPr>
          <w:p>
            <w:pPr>
              <w:ind w:left="20"/>
              <w:spacing w:after="0" w:line="118" w:lineRule="exact"/>
              <w:rPr>
                <w:rFonts w:ascii="Arial" w:cs="Arial" w:eastAsia="Arial" w:hAnsi="Arial"/>
                <w:sz w:val="13"/>
                <w:szCs w:val="13"/>
                <w:color w:val="0000FF"/>
              </w:rPr>
            </w:pPr>
            <w:hyperlink w:anchor="page162">
              <w:r>
                <w:rPr>
                  <w:rFonts w:ascii="Arial" w:cs="Arial" w:eastAsia="Arial" w:hAnsi="Arial"/>
                  <w:sz w:val="13"/>
                  <w:szCs w:val="13"/>
                  <w:color w:val="0000FF"/>
                </w:rPr>
                <w:t>the</w:t>
              </w:r>
            </w:hyperlink>
          </w:p>
        </w:tc>
        <w:tc>
          <w:tcPr>
            <w:tcW w:w="820" w:type="dxa"/>
            <w:vAlign w:val="bottom"/>
            <w:tcBorders>
              <w:top w:val="single" w:sz="8" w:color="FEFEFE"/>
            </w:tcBorders>
            <w:shd w:val="clear" w:color="auto" w:fill="FEFEFE"/>
          </w:tcPr>
          <w:p>
            <w:pPr>
              <w:spacing w:after="0"/>
              <w:rPr>
                <w:sz w:val="10"/>
                <w:szCs w:val="10"/>
                <w:color w:val="auto"/>
              </w:rPr>
            </w:pPr>
          </w:p>
        </w:tc>
        <w:tc>
          <w:tcPr>
            <w:tcW w:w="1120" w:type="dxa"/>
            <w:vAlign w:val="bottom"/>
            <w:tcBorders>
              <w:top w:val="single" w:sz="8" w:color="FEFEFE"/>
            </w:tcBorders>
            <w:shd w:val="clear" w:color="auto" w:fill="FEFEFE"/>
          </w:tcPr>
          <w:p>
            <w:pPr>
              <w:spacing w:after="0"/>
              <w:rPr>
                <w:sz w:val="10"/>
                <w:szCs w:val="10"/>
                <w:color w:val="auto"/>
              </w:rPr>
            </w:pPr>
          </w:p>
        </w:tc>
        <w:tc>
          <w:tcPr>
            <w:tcW w:w="1300" w:type="dxa"/>
            <w:vAlign w:val="bottom"/>
            <w:tcBorders>
              <w:top w:val="single" w:sz="8" w:color="FEFEFE"/>
            </w:tcBorders>
            <w:shd w:val="clear" w:color="auto" w:fill="FEFEFE"/>
          </w:tcPr>
          <w:p>
            <w:pPr>
              <w:spacing w:after="0"/>
              <w:rPr>
                <w:sz w:val="10"/>
                <w:szCs w:val="10"/>
                <w:color w:val="auto"/>
              </w:rPr>
            </w:pPr>
          </w:p>
        </w:tc>
        <w:tc>
          <w:tcPr>
            <w:tcW w:w="1220" w:type="dxa"/>
            <w:vAlign w:val="bottom"/>
            <w:tcBorders>
              <w:top w:val="single" w:sz="8" w:color="FEFEFE"/>
            </w:tcBorders>
            <w:shd w:val="clear" w:color="auto" w:fill="FEFEFE"/>
          </w:tcPr>
          <w:p>
            <w:pPr>
              <w:spacing w:after="0"/>
              <w:rPr>
                <w:sz w:val="10"/>
                <w:szCs w:val="10"/>
                <w:color w:val="auto"/>
              </w:rPr>
            </w:pPr>
          </w:p>
        </w:tc>
        <w:tc>
          <w:tcPr>
            <w:tcW w:w="1220" w:type="dxa"/>
            <w:vAlign w:val="bottom"/>
            <w:tcBorders>
              <w:top w:val="single" w:sz="8" w:color="FEFEFE"/>
            </w:tcBorders>
            <w:shd w:val="clear" w:color="auto" w:fill="FEFEFE"/>
          </w:tcPr>
          <w:p>
            <w:pPr>
              <w:spacing w:after="0"/>
              <w:rPr>
                <w:sz w:val="10"/>
                <w:szCs w:val="10"/>
                <w:color w:val="auto"/>
              </w:rPr>
            </w:pPr>
          </w:p>
        </w:tc>
      </w:tr>
      <w:tr>
        <w:trPr>
          <w:trHeight w:val="118"/>
        </w:trPr>
        <w:tc>
          <w:tcPr>
            <w:tcW w:w="840" w:type="dxa"/>
            <w:vAlign w:val="bottom"/>
            <w:tcBorders>
              <w:top w:val="single" w:sz="8" w:color="FEFEFE"/>
              <w:bottom w:val="single" w:sz="8" w:color="FEFEFE"/>
            </w:tcBorders>
            <w:shd w:val="clear" w:color="auto" w:fill="FEFEFE"/>
          </w:tcPr>
          <w:p>
            <w:pPr>
              <w:spacing w:after="0"/>
              <w:rPr>
                <w:sz w:val="10"/>
                <w:szCs w:val="10"/>
                <w:color w:val="auto"/>
              </w:rPr>
            </w:pPr>
          </w:p>
        </w:tc>
        <w:tc>
          <w:tcPr>
            <w:tcW w:w="10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1640" w:type="dxa"/>
            <w:vAlign w:val="bottom"/>
            <w:tcBorders>
              <w:top w:val="single" w:sz="8" w:color="0000FF"/>
              <w:bottom w:val="single" w:sz="8" w:color="0000FF"/>
            </w:tcBorders>
            <w:shd w:val="clear" w:color="auto" w:fill="FEFEFE"/>
          </w:tcPr>
          <w:p>
            <w:pPr>
              <w:spacing w:after="0" w:line="118" w:lineRule="exact"/>
              <w:rPr>
                <w:rFonts w:ascii="Arial" w:cs="Arial" w:eastAsia="Arial" w:hAnsi="Arial"/>
                <w:sz w:val="13"/>
                <w:szCs w:val="13"/>
                <w:color w:val="0000FF"/>
                <w:w w:val="97"/>
              </w:rPr>
            </w:pPr>
            <w:hyperlink w:anchor="page162">
              <w:r>
                <w:rPr>
                  <w:rFonts w:ascii="Arial" w:cs="Arial" w:eastAsia="Arial" w:hAnsi="Arial"/>
                  <w:sz w:val="13"/>
                  <w:szCs w:val="13"/>
                  <w:color w:val="0000FF"/>
                  <w:w w:val="97"/>
                </w:rPr>
                <w:t>Sarbanes-Oxley Act of 2002.</w:t>
              </w:r>
            </w:hyperlink>
          </w:p>
        </w:tc>
        <w:tc>
          <w:tcPr>
            <w:tcW w:w="2780" w:type="dxa"/>
            <w:vAlign w:val="bottom"/>
            <w:tcBorders>
              <w:top w:val="single" w:sz="8" w:color="0000FF"/>
              <w:bottom w:val="single" w:sz="8" w:color="FEFEFE"/>
            </w:tcBorders>
            <w:gridSpan w:val="5"/>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40" w:type="dxa"/>
            <w:vAlign w:val="bottom"/>
            <w:tcBorders>
              <w:top w:val="single" w:sz="8" w:color="FEFEFE"/>
              <w:bottom w:val="single" w:sz="8" w:color="FEFEFE"/>
            </w:tcBorders>
            <w:shd w:val="clear" w:color="auto" w:fill="FEFEFE"/>
          </w:tcPr>
          <w:p>
            <w:pPr>
              <w:spacing w:after="0"/>
              <w:rPr>
                <w:sz w:val="10"/>
                <w:szCs w:val="10"/>
                <w:color w:val="auto"/>
              </w:rPr>
            </w:pPr>
          </w:p>
        </w:tc>
        <w:tc>
          <w:tcPr>
            <w:tcW w:w="820" w:type="dxa"/>
            <w:vAlign w:val="bottom"/>
            <w:tcBorders>
              <w:top w:val="single" w:sz="8" w:color="FEFEFE"/>
              <w:bottom w:val="single" w:sz="8" w:color="FEFEFE"/>
            </w:tcBorders>
            <w:shd w:val="clear" w:color="auto" w:fill="FEFEFE"/>
          </w:tcPr>
          <w:p>
            <w:pPr>
              <w:spacing w:after="0"/>
              <w:rPr>
                <w:sz w:val="10"/>
                <w:szCs w:val="10"/>
                <w:color w:val="auto"/>
              </w:rPr>
            </w:pPr>
          </w:p>
        </w:tc>
        <w:tc>
          <w:tcPr>
            <w:tcW w:w="1120" w:type="dxa"/>
            <w:vAlign w:val="bottom"/>
            <w:tcBorders>
              <w:top w:val="single" w:sz="8" w:color="FEFEFE"/>
              <w:bottom w:val="single" w:sz="8" w:color="FEFEFE"/>
            </w:tcBorders>
            <w:shd w:val="clear" w:color="auto" w:fill="FEFEFE"/>
          </w:tcPr>
          <w:p>
            <w:pPr>
              <w:spacing w:after="0"/>
              <w:rPr>
                <w:sz w:val="10"/>
                <w:szCs w:val="10"/>
                <w:color w:val="auto"/>
              </w:rPr>
            </w:pPr>
          </w:p>
        </w:tc>
        <w:tc>
          <w:tcPr>
            <w:tcW w:w="1300" w:type="dxa"/>
            <w:vAlign w:val="bottom"/>
            <w:tcBorders>
              <w:top w:val="single" w:sz="8" w:color="FEFEFE"/>
              <w:bottom w:val="single" w:sz="8" w:color="FEFEFE"/>
            </w:tcBorders>
            <w:shd w:val="clear" w:color="auto" w:fill="FEFEFE"/>
          </w:tcPr>
          <w:p>
            <w:pPr>
              <w:spacing w:after="0"/>
              <w:rPr>
                <w:sz w:val="10"/>
                <w:szCs w:val="10"/>
                <w:color w:val="auto"/>
              </w:rPr>
            </w:pPr>
          </w:p>
        </w:tc>
        <w:tc>
          <w:tcPr>
            <w:tcW w:w="1220" w:type="dxa"/>
            <w:vAlign w:val="bottom"/>
            <w:tcBorders>
              <w:top w:val="single" w:sz="8" w:color="FEFEFE"/>
              <w:bottom w:val="single" w:sz="8" w:color="FEFEFE"/>
            </w:tcBorders>
            <w:shd w:val="clear" w:color="auto" w:fill="FEFEFE"/>
          </w:tcPr>
          <w:p>
            <w:pPr>
              <w:spacing w:after="0"/>
              <w:rPr>
                <w:sz w:val="10"/>
                <w:szCs w:val="10"/>
                <w:color w:val="auto"/>
              </w:rPr>
            </w:pPr>
          </w:p>
        </w:tc>
        <w:tc>
          <w:tcPr>
            <w:tcW w:w="1220" w:type="dxa"/>
            <w:vAlign w:val="bottom"/>
            <w:tcBorders>
              <w:top w:val="single" w:sz="8" w:color="FEFEFE"/>
              <w:bottom w:val="single" w:sz="8" w:color="FEFEFE"/>
            </w:tcBorders>
            <w:shd w:val="clear" w:color="auto" w:fill="FEFEFE"/>
          </w:tcPr>
          <w:p>
            <w:pPr>
              <w:spacing w:after="0"/>
              <w:rPr>
                <w:sz w:val="10"/>
                <w:szCs w:val="10"/>
                <w:color w:val="auto"/>
              </w:rPr>
            </w:pPr>
          </w:p>
        </w:tc>
      </w:tr>
      <w:tr>
        <w:trPr>
          <w:trHeight w:val="16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500" w:type="dxa"/>
            <w:vAlign w:val="bottom"/>
            <w:gridSpan w:val="9"/>
            <w:shd w:val="clear" w:color="auto" w:fill="FEFEFE"/>
          </w:tcPr>
          <w:p>
            <w:pPr>
              <w:spacing w:after="0"/>
              <w:rPr>
                <w:rFonts w:ascii="Arial" w:cs="Arial" w:eastAsia="Arial" w:hAnsi="Arial"/>
                <w:sz w:val="13"/>
                <w:szCs w:val="13"/>
                <w:color w:val="0000FF"/>
                <w:w w:val="98"/>
              </w:rPr>
            </w:pPr>
            <w:hyperlink w:anchor="page163">
              <w:r>
                <w:rPr>
                  <w:rFonts w:ascii="Arial" w:cs="Arial" w:eastAsia="Arial" w:hAnsi="Arial"/>
                  <w:sz w:val="13"/>
                  <w:szCs w:val="13"/>
                  <w:color w:val="0000FF"/>
                  <w:w w:val="98"/>
                </w:rPr>
                <w:t>Certification of Principal Financial Officer Pursuant to Rules 13a-14(a) and 15d-</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3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18"/>
        </w:trPr>
        <w:tc>
          <w:tcPr>
            <w:tcW w:w="840" w:type="dxa"/>
            <w:vAlign w:val="bottom"/>
            <w:tcBorders>
              <w:top w:val="single" w:sz="8" w:color="FEFEFE"/>
            </w:tcBorders>
            <w:shd w:val="clear" w:color="auto" w:fill="FEFEFE"/>
          </w:tcPr>
          <w:p>
            <w:pPr>
              <w:spacing w:after="0"/>
              <w:rPr>
                <w:sz w:val="10"/>
                <w:szCs w:val="10"/>
                <w:color w:val="auto"/>
              </w:rPr>
            </w:pPr>
          </w:p>
        </w:tc>
        <w:tc>
          <w:tcPr>
            <w:tcW w:w="100" w:type="dxa"/>
            <w:vAlign w:val="bottom"/>
            <w:tcBorders>
              <w:top w:val="single" w:sz="8" w:color="FEFEFE"/>
            </w:tcBorders>
            <w:shd w:val="clear" w:color="auto" w:fill="FEFEFE"/>
          </w:tcPr>
          <w:p>
            <w:pPr>
              <w:spacing w:after="0"/>
              <w:rPr>
                <w:sz w:val="10"/>
                <w:szCs w:val="10"/>
                <w:color w:val="auto"/>
              </w:rPr>
            </w:pPr>
          </w:p>
        </w:tc>
        <w:tc>
          <w:tcPr>
            <w:tcW w:w="20" w:type="dxa"/>
            <w:vAlign w:val="bottom"/>
            <w:tcBorders>
              <w:top w:val="single" w:sz="8" w:color="FEFEFE"/>
            </w:tcBorders>
            <w:shd w:val="clear" w:color="auto" w:fill="FEFEFE"/>
          </w:tcPr>
          <w:p>
            <w:pPr>
              <w:spacing w:after="0"/>
              <w:rPr>
                <w:sz w:val="10"/>
                <w:szCs w:val="10"/>
                <w:color w:val="auto"/>
              </w:rPr>
            </w:pPr>
          </w:p>
        </w:tc>
        <w:tc>
          <w:tcPr>
            <w:tcW w:w="4460" w:type="dxa"/>
            <w:vAlign w:val="bottom"/>
            <w:tcBorders>
              <w:top w:val="single" w:sz="8" w:color="0000FF"/>
            </w:tcBorders>
            <w:gridSpan w:val="8"/>
            <w:shd w:val="clear" w:color="auto" w:fill="FEFEFE"/>
          </w:tcPr>
          <w:p>
            <w:pPr>
              <w:spacing w:after="0" w:line="118" w:lineRule="exact"/>
              <w:rPr>
                <w:rFonts w:ascii="Arial" w:cs="Arial" w:eastAsia="Arial" w:hAnsi="Arial"/>
                <w:sz w:val="13"/>
                <w:szCs w:val="13"/>
                <w:color w:val="0000FF"/>
              </w:rPr>
            </w:pPr>
            <w:hyperlink w:anchor="page163">
              <w:r>
                <w:rPr>
                  <w:rFonts w:ascii="Arial" w:cs="Arial" w:eastAsia="Arial" w:hAnsi="Arial"/>
                  <w:sz w:val="13"/>
                  <w:szCs w:val="13"/>
                  <w:color w:val="0000FF"/>
                </w:rPr>
                <w:t>14(a) under the Exchange Act, as Adopted Pursuant to Section 302 of the</w:t>
              </w:r>
            </w:hyperlink>
          </w:p>
        </w:tc>
        <w:tc>
          <w:tcPr>
            <w:tcW w:w="40" w:type="dxa"/>
            <w:vAlign w:val="bottom"/>
            <w:tcBorders>
              <w:top w:val="single" w:sz="8" w:color="FEFEFE"/>
            </w:tcBorders>
            <w:shd w:val="clear" w:color="auto" w:fill="FEFEFE"/>
          </w:tcPr>
          <w:p>
            <w:pPr>
              <w:spacing w:after="0"/>
              <w:rPr>
                <w:sz w:val="10"/>
                <w:szCs w:val="10"/>
                <w:color w:val="auto"/>
              </w:rPr>
            </w:pPr>
          </w:p>
        </w:tc>
        <w:tc>
          <w:tcPr>
            <w:tcW w:w="820" w:type="dxa"/>
            <w:vAlign w:val="bottom"/>
            <w:tcBorders>
              <w:top w:val="single" w:sz="8" w:color="FEFEFE"/>
            </w:tcBorders>
            <w:shd w:val="clear" w:color="auto" w:fill="FEFEFE"/>
          </w:tcPr>
          <w:p>
            <w:pPr>
              <w:spacing w:after="0"/>
              <w:rPr>
                <w:sz w:val="10"/>
                <w:szCs w:val="10"/>
                <w:color w:val="auto"/>
              </w:rPr>
            </w:pPr>
          </w:p>
        </w:tc>
        <w:tc>
          <w:tcPr>
            <w:tcW w:w="1120" w:type="dxa"/>
            <w:vAlign w:val="bottom"/>
            <w:tcBorders>
              <w:top w:val="single" w:sz="8" w:color="FEFEFE"/>
            </w:tcBorders>
            <w:shd w:val="clear" w:color="auto" w:fill="FEFEFE"/>
          </w:tcPr>
          <w:p>
            <w:pPr>
              <w:spacing w:after="0"/>
              <w:rPr>
                <w:sz w:val="10"/>
                <w:szCs w:val="10"/>
                <w:color w:val="auto"/>
              </w:rPr>
            </w:pPr>
          </w:p>
        </w:tc>
        <w:tc>
          <w:tcPr>
            <w:tcW w:w="1300" w:type="dxa"/>
            <w:vAlign w:val="bottom"/>
            <w:tcBorders>
              <w:top w:val="single" w:sz="8" w:color="FEFEFE"/>
            </w:tcBorders>
            <w:shd w:val="clear" w:color="auto" w:fill="FEFEFE"/>
          </w:tcPr>
          <w:p>
            <w:pPr>
              <w:spacing w:after="0"/>
              <w:rPr>
                <w:sz w:val="10"/>
                <w:szCs w:val="10"/>
                <w:color w:val="auto"/>
              </w:rPr>
            </w:pPr>
          </w:p>
        </w:tc>
        <w:tc>
          <w:tcPr>
            <w:tcW w:w="1220" w:type="dxa"/>
            <w:vAlign w:val="bottom"/>
            <w:tcBorders>
              <w:top w:val="single" w:sz="8" w:color="FEFEFE"/>
            </w:tcBorders>
            <w:shd w:val="clear" w:color="auto" w:fill="FEFEFE"/>
          </w:tcPr>
          <w:p>
            <w:pPr>
              <w:spacing w:after="0"/>
              <w:rPr>
                <w:sz w:val="10"/>
                <w:szCs w:val="10"/>
                <w:color w:val="auto"/>
              </w:rPr>
            </w:pPr>
          </w:p>
        </w:tc>
        <w:tc>
          <w:tcPr>
            <w:tcW w:w="1220" w:type="dxa"/>
            <w:vAlign w:val="bottom"/>
            <w:tcBorders>
              <w:top w:val="single" w:sz="8" w:color="FEFEFE"/>
            </w:tcBorders>
            <w:shd w:val="clear" w:color="auto" w:fill="FEFEFE"/>
          </w:tcPr>
          <w:p>
            <w:pPr>
              <w:spacing w:after="0"/>
              <w:rPr>
                <w:sz w:val="10"/>
                <w:szCs w:val="10"/>
                <w:color w:val="auto"/>
              </w:rPr>
            </w:pPr>
          </w:p>
        </w:tc>
      </w:tr>
      <w:tr>
        <w:trPr>
          <w:trHeight w:val="118"/>
        </w:trPr>
        <w:tc>
          <w:tcPr>
            <w:tcW w:w="840" w:type="dxa"/>
            <w:vAlign w:val="bottom"/>
            <w:tcBorders>
              <w:top w:val="single" w:sz="8" w:color="FEFEFE"/>
              <w:bottom w:val="single" w:sz="8" w:color="FEFEFE"/>
            </w:tcBorders>
            <w:shd w:val="clear" w:color="auto" w:fill="FEFEFE"/>
          </w:tcPr>
          <w:p>
            <w:pPr>
              <w:spacing w:after="0"/>
              <w:rPr>
                <w:sz w:val="10"/>
                <w:szCs w:val="10"/>
                <w:color w:val="auto"/>
              </w:rPr>
            </w:pPr>
          </w:p>
        </w:tc>
        <w:tc>
          <w:tcPr>
            <w:tcW w:w="100" w:type="dxa"/>
            <w:vAlign w:val="bottom"/>
            <w:tcBorders>
              <w:top w:val="single" w:sz="8" w:color="FEFEFE"/>
              <w:bottom w:val="single" w:sz="8" w:color="FEFEFE"/>
            </w:tcBorders>
            <w:shd w:val="clear" w:color="auto" w:fill="FEFEFE"/>
          </w:tcPr>
          <w:p>
            <w:pPr>
              <w:spacing w:after="0"/>
              <w:rPr>
                <w:sz w:val="10"/>
                <w:szCs w:val="10"/>
                <w:color w:val="auto"/>
              </w:rPr>
            </w:pPr>
          </w:p>
        </w:tc>
        <w:tc>
          <w:tcPr>
            <w:tcW w:w="20" w:type="dxa"/>
            <w:vAlign w:val="bottom"/>
            <w:tcBorders>
              <w:top w:val="single" w:sz="8" w:color="FEFEFE"/>
              <w:bottom w:val="single" w:sz="8" w:color="FEFEFE"/>
            </w:tcBorders>
            <w:shd w:val="clear" w:color="auto" w:fill="FEFEFE"/>
          </w:tcPr>
          <w:p>
            <w:pPr>
              <w:spacing w:after="0"/>
              <w:rPr>
                <w:sz w:val="10"/>
                <w:szCs w:val="10"/>
                <w:color w:val="auto"/>
              </w:rPr>
            </w:pPr>
          </w:p>
        </w:tc>
        <w:tc>
          <w:tcPr>
            <w:tcW w:w="1640" w:type="dxa"/>
            <w:vAlign w:val="bottom"/>
            <w:tcBorders>
              <w:top w:val="single" w:sz="8" w:color="0000FF"/>
              <w:bottom w:val="single" w:sz="8" w:color="0000FF"/>
            </w:tcBorders>
            <w:shd w:val="clear" w:color="auto" w:fill="FEFEFE"/>
          </w:tcPr>
          <w:p>
            <w:pPr>
              <w:spacing w:after="0" w:line="118" w:lineRule="exact"/>
              <w:rPr>
                <w:rFonts w:ascii="Arial" w:cs="Arial" w:eastAsia="Arial" w:hAnsi="Arial"/>
                <w:sz w:val="13"/>
                <w:szCs w:val="13"/>
                <w:color w:val="0000FF"/>
                <w:w w:val="97"/>
              </w:rPr>
            </w:pPr>
            <w:hyperlink w:anchor="page163">
              <w:r>
                <w:rPr>
                  <w:rFonts w:ascii="Arial" w:cs="Arial" w:eastAsia="Arial" w:hAnsi="Arial"/>
                  <w:sz w:val="13"/>
                  <w:szCs w:val="13"/>
                  <w:color w:val="0000FF"/>
                  <w:w w:val="97"/>
                </w:rPr>
                <w:t>Sarbanes-Oxley Act of 2002.</w:t>
              </w:r>
            </w:hyperlink>
          </w:p>
        </w:tc>
        <w:tc>
          <w:tcPr>
            <w:tcW w:w="2520" w:type="dxa"/>
            <w:vAlign w:val="bottom"/>
            <w:tcBorders>
              <w:top w:val="single" w:sz="8" w:color="0000FF"/>
              <w:bottom w:val="single" w:sz="8" w:color="FEFEFE"/>
            </w:tcBorders>
            <w:gridSpan w:val="2"/>
            <w:shd w:val="clear" w:color="auto" w:fill="FEFEFE"/>
          </w:tcPr>
          <w:p>
            <w:pPr>
              <w:spacing w:after="0"/>
              <w:rPr>
                <w:sz w:val="10"/>
                <w:szCs w:val="10"/>
                <w:color w:val="auto"/>
              </w:rPr>
            </w:pPr>
          </w:p>
        </w:tc>
        <w:tc>
          <w:tcPr>
            <w:tcW w:w="22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60" w:type="dxa"/>
            <w:vAlign w:val="bottom"/>
            <w:tcBorders>
              <w:top w:val="single" w:sz="8" w:color="FEFEFE"/>
              <w:bottom w:val="single" w:sz="8" w:color="FEFEFE"/>
            </w:tcBorders>
            <w:gridSpan w:val="2"/>
            <w:shd w:val="clear" w:color="auto" w:fill="FEFEFE"/>
          </w:tcPr>
          <w:p>
            <w:pPr>
              <w:spacing w:after="0"/>
              <w:rPr>
                <w:sz w:val="10"/>
                <w:szCs w:val="10"/>
                <w:color w:val="auto"/>
              </w:rPr>
            </w:pPr>
          </w:p>
        </w:tc>
        <w:tc>
          <w:tcPr>
            <w:tcW w:w="820" w:type="dxa"/>
            <w:vAlign w:val="bottom"/>
            <w:tcBorders>
              <w:top w:val="single" w:sz="8" w:color="FEFEFE"/>
              <w:bottom w:val="single" w:sz="8" w:color="FEFEFE"/>
            </w:tcBorders>
            <w:shd w:val="clear" w:color="auto" w:fill="FEFEFE"/>
          </w:tcPr>
          <w:p>
            <w:pPr>
              <w:spacing w:after="0"/>
              <w:rPr>
                <w:sz w:val="10"/>
                <w:szCs w:val="10"/>
                <w:color w:val="auto"/>
              </w:rPr>
            </w:pPr>
          </w:p>
        </w:tc>
        <w:tc>
          <w:tcPr>
            <w:tcW w:w="1120" w:type="dxa"/>
            <w:vAlign w:val="bottom"/>
            <w:tcBorders>
              <w:top w:val="single" w:sz="8" w:color="FEFEFE"/>
              <w:bottom w:val="single" w:sz="8" w:color="FEFEFE"/>
            </w:tcBorders>
            <w:shd w:val="clear" w:color="auto" w:fill="FEFEFE"/>
          </w:tcPr>
          <w:p>
            <w:pPr>
              <w:spacing w:after="0"/>
              <w:rPr>
                <w:sz w:val="10"/>
                <w:szCs w:val="10"/>
                <w:color w:val="auto"/>
              </w:rPr>
            </w:pPr>
          </w:p>
        </w:tc>
        <w:tc>
          <w:tcPr>
            <w:tcW w:w="1300" w:type="dxa"/>
            <w:vAlign w:val="bottom"/>
            <w:tcBorders>
              <w:top w:val="single" w:sz="8" w:color="FEFEFE"/>
              <w:bottom w:val="single" w:sz="8" w:color="FEFEFE"/>
            </w:tcBorders>
            <w:shd w:val="clear" w:color="auto" w:fill="FEFEFE"/>
          </w:tcPr>
          <w:p>
            <w:pPr>
              <w:spacing w:after="0"/>
              <w:rPr>
                <w:sz w:val="10"/>
                <w:szCs w:val="10"/>
                <w:color w:val="auto"/>
              </w:rPr>
            </w:pPr>
          </w:p>
        </w:tc>
        <w:tc>
          <w:tcPr>
            <w:tcW w:w="1220" w:type="dxa"/>
            <w:vAlign w:val="bottom"/>
            <w:tcBorders>
              <w:top w:val="single" w:sz="8" w:color="FEFEFE"/>
              <w:bottom w:val="single" w:sz="8" w:color="FEFEFE"/>
            </w:tcBorders>
            <w:shd w:val="clear" w:color="auto" w:fill="FEFEFE"/>
          </w:tcPr>
          <w:p>
            <w:pPr>
              <w:spacing w:after="0"/>
              <w:rPr>
                <w:sz w:val="10"/>
                <w:szCs w:val="10"/>
                <w:color w:val="auto"/>
              </w:rPr>
            </w:pPr>
          </w:p>
        </w:tc>
        <w:tc>
          <w:tcPr>
            <w:tcW w:w="1220" w:type="dxa"/>
            <w:vAlign w:val="bottom"/>
            <w:tcBorders>
              <w:top w:val="single" w:sz="8" w:color="FEFEFE"/>
              <w:bottom w:val="single" w:sz="8" w:color="FEFEFE"/>
            </w:tcBorders>
            <w:shd w:val="clear" w:color="auto" w:fill="FEFEFE"/>
          </w:tcPr>
          <w:p>
            <w:pPr>
              <w:spacing w:after="0"/>
              <w:rPr>
                <w:sz w:val="10"/>
                <w:szCs w:val="10"/>
                <w:color w:val="auto"/>
              </w:rPr>
            </w:pPr>
          </w:p>
        </w:tc>
      </w:tr>
      <w:tr>
        <w:trPr>
          <w:trHeight w:val="16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4500" w:type="dxa"/>
            <w:vAlign w:val="bottom"/>
            <w:gridSpan w:val="9"/>
            <w:shd w:val="clear" w:color="auto" w:fill="FEFEFE"/>
          </w:tcPr>
          <w:p>
            <w:pPr>
              <w:spacing w:after="0"/>
              <w:rPr>
                <w:rFonts w:ascii="Arial" w:cs="Arial" w:eastAsia="Arial" w:hAnsi="Arial"/>
                <w:sz w:val="13"/>
                <w:szCs w:val="13"/>
                <w:color w:val="0000FF"/>
                <w:w w:val="99"/>
              </w:rPr>
            </w:pPr>
            <w:hyperlink w:anchor="page164">
              <w:r>
                <w:rPr>
                  <w:rFonts w:ascii="Arial" w:cs="Arial" w:eastAsia="Arial" w:hAnsi="Arial"/>
                  <w:sz w:val="13"/>
                  <w:szCs w:val="13"/>
                  <w:color w:val="0000FF"/>
                  <w:w w:val="99"/>
                </w:rPr>
                <w:t>Certification of Principal Executive Officer Pursuant to 18 U.S.C. Section 1350,</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3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60"/>
        </w:trPr>
        <w:tc>
          <w:tcPr>
            <w:tcW w:w="84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440" w:type="dxa"/>
            <w:vAlign w:val="bottom"/>
            <w:tcBorders>
              <w:top w:val="single" w:sz="8" w:color="0000FF"/>
            </w:tcBorders>
            <w:gridSpan w:val="7"/>
            <w:shd w:val="clear" w:color="auto" w:fill="FEFEFE"/>
          </w:tcPr>
          <w:p>
            <w:pPr>
              <w:spacing w:after="0"/>
              <w:rPr>
                <w:rFonts w:ascii="Arial" w:cs="Arial" w:eastAsia="Arial" w:hAnsi="Arial"/>
                <w:sz w:val="13"/>
                <w:szCs w:val="13"/>
                <w:u w:val="single" w:color="auto"/>
                <w:color w:val="0000FF"/>
              </w:rPr>
            </w:pPr>
            <w:hyperlink w:anchor="page164">
              <w:r>
                <w:rPr>
                  <w:rFonts w:ascii="Arial" w:cs="Arial" w:eastAsia="Arial" w:hAnsi="Arial"/>
                  <w:sz w:val="13"/>
                  <w:szCs w:val="13"/>
                  <w:u w:val="single" w:color="auto"/>
                  <w:color w:val="0000FF"/>
                </w:rPr>
                <w:t>as Adopted Pursuant to Section 906 of the Sarbanes-Oxley Act of 2002.</w:t>
              </w:r>
            </w:hyperlink>
          </w:p>
        </w:tc>
        <w:tc>
          <w:tcPr>
            <w:tcW w:w="60" w:type="dxa"/>
            <w:vAlign w:val="bottom"/>
            <w:tcBorders>
              <w:top w:val="single" w:sz="8" w:color="FEFEFE"/>
            </w:tcBorders>
            <w:gridSpan w:val="2"/>
            <w:shd w:val="clear" w:color="auto" w:fill="FEFEFE"/>
          </w:tcPr>
          <w:p>
            <w:pPr>
              <w:spacing w:after="0"/>
              <w:rPr>
                <w:sz w:val="13"/>
                <w:szCs w:val="13"/>
                <w:color w:val="auto"/>
              </w:rPr>
            </w:pPr>
          </w:p>
        </w:tc>
        <w:tc>
          <w:tcPr>
            <w:tcW w:w="820" w:type="dxa"/>
            <w:vAlign w:val="bottom"/>
            <w:tcBorders>
              <w:top w:val="single" w:sz="8" w:color="FEFEFE"/>
            </w:tcBorders>
            <w:shd w:val="clear" w:color="auto" w:fill="FEFEFE"/>
          </w:tcPr>
          <w:p>
            <w:pPr>
              <w:spacing w:after="0"/>
              <w:rPr>
                <w:sz w:val="13"/>
                <w:szCs w:val="13"/>
                <w:color w:val="auto"/>
              </w:rPr>
            </w:pPr>
          </w:p>
        </w:tc>
        <w:tc>
          <w:tcPr>
            <w:tcW w:w="1120" w:type="dxa"/>
            <w:vAlign w:val="bottom"/>
            <w:tcBorders>
              <w:top w:val="single" w:sz="8" w:color="FEFEFE"/>
            </w:tcBorders>
            <w:shd w:val="clear" w:color="auto" w:fill="FEFEFE"/>
          </w:tcPr>
          <w:p>
            <w:pPr>
              <w:spacing w:after="0"/>
              <w:rPr>
                <w:sz w:val="13"/>
                <w:szCs w:val="13"/>
                <w:color w:val="auto"/>
              </w:rPr>
            </w:pPr>
          </w:p>
        </w:tc>
        <w:tc>
          <w:tcPr>
            <w:tcW w:w="1300" w:type="dxa"/>
            <w:vAlign w:val="bottom"/>
            <w:tcBorders>
              <w:top w:val="single" w:sz="8" w:color="FEFEFE"/>
            </w:tcBorders>
            <w:shd w:val="clear" w:color="auto" w:fill="FEFEFE"/>
          </w:tcPr>
          <w:p>
            <w:pPr>
              <w:spacing w:after="0"/>
              <w:rPr>
                <w:sz w:val="13"/>
                <w:szCs w:val="13"/>
                <w:color w:val="auto"/>
              </w:rPr>
            </w:pPr>
          </w:p>
        </w:tc>
        <w:tc>
          <w:tcPr>
            <w:tcW w:w="1220" w:type="dxa"/>
            <w:vAlign w:val="bottom"/>
            <w:tcBorders>
              <w:top w:val="single" w:sz="8" w:color="FEFEFE"/>
            </w:tcBorders>
            <w:shd w:val="clear" w:color="auto" w:fill="FEFEFE"/>
          </w:tcPr>
          <w:p>
            <w:pPr>
              <w:spacing w:after="0"/>
              <w:rPr>
                <w:sz w:val="13"/>
                <w:szCs w:val="13"/>
                <w:color w:val="auto"/>
              </w:rPr>
            </w:pPr>
          </w:p>
        </w:tc>
        <w:tc>
          <w:tcPr>
            <w:tcW w:w="1220" w:type="dxa"/>
            <w:vAlign w:val="bottom"/>
            <w:tcBorders>
              <w:top w:val="single" w:sz="8" w:color="FEFEFE"/>
            </w:tcBorders>
            <w:shd w:val="clear" w:color="auto" w:fill="FEFEFE"/>
          </w:tcPr>
          <w:p>
            <w:pPr>
              <w:spacing w:after="0"/>
              <w:rPr>
                <w:sz w:val="13"/>
                <w:szCs w:val="13"/>
                <w:color w:val="auto"/>
              </w:rPr>
            </w:pPr>
          </w:p>
        </w:tc>
      </w:tr>
      <w:tr>
        <w:trPr>
          <w:trHeight w:val="138"/>
        </w:trPr>
        <w:tc>
          <w:tcPr>
            <w:tcW w:w="840" w:type="dxa"/>
            <w:vAlign w:val="bottom"/>
            <w:shd w:val="clear" w:color="auto" w:fill="FEFEFE"/>
          </w:tcPr>
          <w:p>
            <w:pPr>
              <w:jc w:val="right"/>
              <w:spacing w:after="0" w:line="138" w:lineRule="exact"/>
              <w:rPr>
                <w:sz w:val="20"/>
                <w:szCs w:val="20"/>
                <w:color w:val="auto"/>
              </w:rPr>
            </w:pPr>
            <w:r>
              <w:rPr>
                <w:rFonts w:ascii="Arial" w:cs="Arial" w:eastAsia="Arial" w:hAnsi="Arial"/>
                <w:sz w:val="13"/>
                <w:szCs w:val="13"/>
                <w:color w:val="auto"/>
              </w:rPr>
              <w:t>32.2*</w:t>
            </w:r>
          </w:p>
        </w:tc>
        <w:tc>
          <w:tcPr>
            <w:tcW w:w="10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4500" w:type="dxa"/>
            <w:vAlign w:val="bottom"/>
            <w:gridSpan w:val="9"/>
            <w:shd w:val="clear" w:color="auto" w:fill="FEFEFE"/>
          </w:tcPr>
          <w:p>
            <w:pPr>
              <w:spacing w:after="0" w:line="138" w:lineRule="exact"/>
              <w:rPr>
                <w:rFonts w:ascii="Arial" w:cs="Arial" w:eastAsia="Arial" w:hAnsi="Arial"/>
                <w:sz w:val="13"/>
                <w:szCs w:val="13"/>
                <w:color w:val="0000FF"/>
              </w:rPr>
            </w:pPr>
            <w:hyperlink w:anchor="page165">
              <w:r>
                <w:rPr>
                  <w:rFonts w:ascii="Arial" w:cs="Arial" w:eastAsia="Arial" w:hAnsi="Arial"/>
                  <w:sz w:val="13"/>
                  <w:szCs w:val="13"/>
                  <w:color w:val="0000FF"/>
                </w:rPr>
                <w:t>Certification of Principal Financial Officer Pursuant to 18 U.S.C. Section 1350,</w:t>
              </w:r>
            </w:hyperlink>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0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60"/>
        </w:trPr>
        <w:tc>
          <w:tcPr>
            <w:tcW w:w="84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380" w:type="dxa"/>
            <w:vAlign w:val="bottom"/>
            <w:tcBorders>
              <w:top w:val="single" w:sz="8" w:color="0000FF"/>
            </w:tcBorders>
            <w:gridSpan w:val="5"/>
            <w:shd w:val="clear" w:color="auto" w:fill="FEFEFE"/>
          </w:tcPr>
          <w:p>
            <w:pPr>
              <w:spacing w:after="0"/>
              <w:rPr>
                <w:rFonts w:ascii="Arial" w:cs="Arial" w:eastAsia="Arial" w:hAnsi="Arial"/>
                <w:sz w:val="13"/>
                <w:szCs w:val="13"/>
                <w:u w:val="single" w:color="auto"/>
                <w:color w:val="0000FF"/>
              </w:rPr>
            </w:pPr>
            <w:hyperlink w:anchor="page165">
              <w:r>
                <w:rPr>
                  <w:rFonts w:ascii="Arial" w:cs="Arial" w:eastAsia="Arial" w:hAnsi="Arial"/>
                  <w:sz w:val="13"/>
                  <w:szCs w:val="13"/>
                  <w:u w:val="single" w:color="auto"/>
                  <w:color w:val="0000FF"/>
                </w:rPr>
                <w:t>as Adopted Pursuant to Section 906 of the Sarbanes-Oxley Act of 2002.</w:t>
              </w:r>
            </w:hyperlink>
          </w:p>
        </w:tc>
        <w:tc>
          <w:tcPr>
            <w:tcW w:w="120" w:type="dxa"/>
            <w:vAlign w:val="bottom"/>
            <w:tcBorders>
              <w:top w:val="single" w:sz="8" w:color="FEFEFE"/>
            </w:tcBorders>
            <w:gridSpan w:val="4"/>
            <w:shd w:val="clear" w:color="auto" w:fill="FEFEFE"/>
          </w:tcPr>
          <w:p>
            <w:pPr>
              <w:spacing w:after="0"/>
              <w:rPr>
                <w:sz w:val="13"/>
                <w:szCs w:val="13"/>
                <w:color w:val="auto"/>
              </w:rPr>
            </w:pPr>
          </w:p>
        </w:tc>
        <w:tc>
          <w:tcPr>
            <w:tcW w:w="820" w:type="dxa"/>
            <w:vAlign w:val="bottom"/>
            <w:tcBorders>
              <w:top w:val="single" w:sz="8" w:color="FEFEFE"/>
            </w:tcBorders>
            <w:shd w:val="clear" w:color="auto" w:fill="FEFEFE"/>
          </w:tcPr>
          <w:p>
            <w:pPr>
              <w:spacing w:after="0"/>
              <w:rPr>
                <w:sz w:val="13"/>
                <w:szCs w:val="13"/>
                <w:color w:val="auto"/>
              </w:rPr>
            </w:pPr>
          </w:p>
        </w:tc>
        <w:tc>
          <w:tcPr>
            <w:tcW w:w="1120" w:type="dxa"/>
            <w:vAlign w:val="bottom"/>
            <w:tcBorders>
              <w:top w:val="single" w:sz="8" w:color="FEFEFE"/>
            </w:tcBorders>
            <w:shd w:val="clear" w:color="auto" w:fill="FEFEFE"/>
          </w:tcPr>
          <w:p>
            <w:pPr>
              <w:spacing w:after="0"/>
              <w:rPr>
                <w:sz w:val="13"/>
                <w:szCs w:val="13"/>
                <w:color w:val="auto"/>
              </w:rPr>
            </w:pPr>
          </w:p>
        </w:tc>
        <w:tc>
          <w:tcPr>
            <w:tcW w:w="1300" w:type="dxa"/>
            <w:vAlign w:val="bottom"/>
            <w:tcBorders>
              <w:top w:val="single" w:sz="8" w:color="FEFEFE"/>
            </w:tcBorders>
            <w:shd w:val="clear" w:color="auto" w:fill="FEFEFE"/>
          </w:tcPr>
          <w:p>
            <w:pPr>
              <w:spacing w:after="0"/>
              <w:rPr>
                <w:sz w:val="13"/>
                <w:szCs w:val="13"/>
                <w:color w:val="auto"/>
              </w:rPr>
            </w:pPr>
          </w:p>
        </w:tc>
        <w:tc>
          <w:tcPr>
            <w:tcW w:w="1220" w:type="dxa"/>
            <w:vAlign w:val="bottom"/>
            <w:tcBorders>
              <w:top w:val="single" w:sz="8" w:color="FEFEFE"/>
            </w:tcBorders>
            <w:shd w:val="clear" w:color="auto" w:fill="FEFEFE"/>
          </w:tcPr>
          <w:p>
            <w:pPr>
              <w:spacing w:after="0"/>
              <w:rPr>
                <w:sz w:val="13"/>
                <w:szCs w:val="13"/>
                <w:color w:val="auto"/>
              </w:rPr>
            </w:pPr>
          </w:p>
        </w:tc>
        <w:tc>
          <w:tcPr>
            <w:tcW w:w="1220" w:type="dxa"/>
            <w:vAlign w:val="bottom"/>
            <w:tcBorders>
              <w:top w:val="single" w:sz="8" w:color="FEFEFE"/>
            </w:tcBorders>
            <w:shd w:val="clear" w:color="auto" w:fill="FEFEFE"/>
          </w:tcPr>
          <w:p>
            <w:pPr>
              <w:spacing w:after="0"/>
              <w:rPr>
                <w:sz w:val="13"/>
                <w:szCs w:val="13"/>
                <w:color w:val="auto"/>
              </w:rPr>
            </w:pPr>
          </w:p>
        </w:tc>
      </w:tr>
      <w:tr>
        <w:trPr>
          <w:trHeight w:val="134"/>
        </w:trPr>
        <w:tc>
          <w:tcPr>
            <w:tcW w:w="840" w:type="dxa"/>
            <w:vAlign w:val="bottom"/>
            <w:shd w:val="clear" w:color="auto" w:fill="FEFEFE"/>
          </w:tcPr>
          <w:p>
            <w:pPr>
              <w:jc w:val="right"/>
              <w:spacing w:after="0" w:line="134" w:lineRule="exact"/>
              <w:rPr>
                <w:sz w:val="20"/>
                <w:szCs w:val="20"/>
                <w:color w:val="auto"/>
              </w:rPr>
            </w:pPr>
            <w:r>
              <w:rPr>
                <w:rFonts w:ascii="Arial" w:cs="Arial" w:eastAsia="Arial" w:hAnsi="Arial"/>
                <w:sz w:val="13"/>
                <w:szCs w:val="13"/>
                <w:color w:val="auto"/>
              </w:rPr>
              <w:t>101.INS</w:t>
            </w:r>
          </w:p>
        </w:tc>
        <w:tc>
          <w:tcPr>
            <w:tcW w:w="10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4500" w:type="dxa"/>
            <w:vAlign w:val="bottom"/>
            <w:gridSpan w:val="9"/>
            <w:shd w:val="clear" w:color="auto" w:fill="FEFEFE"/>
          </w:tcPr>
          <w:p>
            <w:pPr>
              <w:spacing w:after="0" w:line="134" w:lineRule="exact"/>
              <w:rPr>
                <w:sz w:val="20"/>
                <w:szCs w:val="20"/>
                <w:color w:val="auto"/>
              </w:rPr>
            </w:pPr>
            <w:r>
              <w:rPr>
                <w:rFonts w:ascii="Arial" w:cs="Arial" w:eastAsia="Arial" w:hAnsi="Arial"/>
                <w:sz w:val="13"/>
                <w:szCs w:val="13"/>
                <w:color w:val="auto"/>
              </w:rPr>
              <w:t>Inline XBRL Instance Document - the instance document does not appear in</w:t>
            </w:r>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0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38"/>
        </w:trPr>
        <w:tc>
          <w:tcPr>
            <w:tcW w:w="840" w:type="dxa"/>
            <w:vAlign w:val="bottom"/>
            <w:shd w:val="clear" w:color="auto" w:fill="FEFEFE"/>
          </w:tcPr>
          <w:p>
            <w:pPr>
              <w:spacing w:after="0"/>
              <w:rPr>
                <w:sz w:val="11"/>
                <w:szCs w:val="11"/>
                <w:color w:val="auto"/>
              </w:rPr>
            </w:pPr>
          </w:p>
        </w:tc>
        <w:tc>
          <w:tcPr>
            <w:tcW w:w="100" w:type="dxa"/>
            <w:vAlign w:val="bottom"/>
            <w:shd w:val="clear" w:color="auto" w:fill="FEFEFE"/>
          </w:tcPr>
          <w:p>
            <w:pPr>
              <w:spacing w:after="0"/>
              <w:rPr>
                <w:sz w:val="11"/>
                <w:szCs w:val="11"/>
                <w:color w:val="auto"/>
              </w:rPr>
            </w:pPr>
          </w:p>
        </w:tc>
        <w:tc>
          <w:tcPr>
            <w:tcW w:w="20" w:type="dxa"/>
            <w:vAlign w:val="bottom"/>
            <w:shd w:val="clear" w:color="auto" w:fill="FEFEFE"/>
          </w:tcPr>
          <w:p>
            <w:pPr>
              <w:spacing w:after="0"/>
              <w:rPr>
                <w:sz w:val="11"/>
                <w:szCs w:val="11"/>
                <w:color w:val="auto"/>
              </w:rPr>
            </w:pPr>
          </w:p>
        </w:tc>
        <w:tc>
          <w:tcPr>
            <w:tcW w:w="4500" w:type="dxa"/>
            <w:vAlign w:val="bottom"/>
            <w:gridSpan w:val="9"/>
            <w:shd w:val="clear" w:color="auto" w:fill="FEFEFE"/>
          </w:tcPr>
          <w:p>
            <w:pPr>
              <w:spacing w:after="0" w:line="138" w:lineRule="exact"/>
              <w:rPr>
                <w:sz w:val="20"/>
                <w:szCs w:val="20"/>
                <w:color w:val="auto"/>
              </w:rPr>
            </w:pPr>
            <w:r>
              <w:rPr>
                <w:rFonts w:ascii="Arial" w:cs="Arial" w:eastAsia="Arial" w:hAnsi="Arial"/>
                <w:sz w:val="13"/>
                <w:szCs w:val="13"/>
                <w:color w:val="auto"/>
                <w:w w:val="98"/>
              </w:rPr>
              <w:t>the Interactive Data File because its XBRL tags are embedded within the Inline</w:t>
            </w:r>
          </w:p>
        </w:tc>
        <w:tc>
          <w:tcPr>
            <w:tcW w:w="820" w:type="dxa"/>
            <w:vAlign w:val="bottom"/>
            <w:shd w:val="clear" w:color="auto" w:fill="FEFEFE"/>
          </w:tcPr>
          <w:p>
            <w:pPr>
              <w:spacing w:after="0"/>
              <w:rPr>
                <w:sz w:val="11"/>
                <w:szCs w:val="11"/>
                <w:color w:val="auto"/>
              </w:rPr>
            </w:pPr>
          </w:p>
        </w:tc>
        <w:tc>
          <w:tcPr>
            <w:tcW w:w="1120" w:type="dxa"/>
            <w:vAlign w:val="bottom"/>
            <w:shd w:val="clear" w:color="auto" w:fill="FEFEFE"/>
          </w:tcPr>
          <w:p>
            <w:pPr>
              <w:spacing w:after="0"/>
              <w:rPr>
                <w:sz w:val="11"/>
                <w:szCs w:val="11"/>
                <w:color w:val="auto"/>
              </w:rPr>
            </w:pPr>
          </w:p>
        </w:tc>
        <w:tc>
          <w:tcPr>
            <w:tcW w:w="130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c>
          <w:tcPr>
            <w:tcW w:w="1220" w:type="dxa"/>
            <w:vAlign w:val="bottom"/>
            <w:shd w:val="clear" w:color="auto" w:fill="FEFEFE"/>
          </w:tcPr>
          <w:p>
            <w:pPr>
              <w:spacing w:after="0"/>
              <w:rPr>
                <w:sz w:val="11"/>
                <w:szCs w:val="11"/>
                <w:color w:val="auto"/>
              </w:rPr>
            </w:pPr>
          </w:p>
        </w:tc>
      </w:tr>
      <w:tr>
        <w:trPr>
          <w:trHeight w:val="171"/>
        </w:trPr>
        <w:tc>
          <w:tcPr>
            <w:tcW w:w="84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XBRL document.</w:t>
            </w: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8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101.SCH</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Inline XBRL Taxonomy Extension Schema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8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101.CAL</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8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101.DEF</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8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101.LAB</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80"/>
        </w:trPr>
        <w:tc>
          <w:tcPr>
            <w:tcW w:w="840" w:type="dxa"/>
            <w:vAlign w:val="bottom"/>
            <w:shd w:val="clear" w:color="auto" w:fill="FEFEFE"/>
          </w:tcPr>
          <w:p>
            <w:pPr>
              <w:jc w:val="right"/>
              <w:spacing w:after="0"/>
              <w:rPr>
                <w:sz w:val="20"/>
                <w:szCs w:val="20"/>
                <w:color w:val="auto"/>
              </w:rPr>
            </w:pPr>
            <w:r>
              <w:rPr>
                <w:rFonts w:ascii="Arial" w:cs="Arial" w:eastAsia="Arial" w:hAnsi="Arial"/>
                <w:sz w:val="13"/>
                <w:szCs w:val="13"/>
                <w:color w:val="auto"/>
              </w:rPr>
              <w:t>101.PRE</w:t>
            </w:r>
          </w:p>
        </w:tc>
        <w:tc>
          <w:tcPr>
            <w:tcW w:w="1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4500" w:type="dxa"/>
            <w:vAlign w:val="bottom"/>
            <w:gridSpan w:val="9"/>
            <w:shd w:val="clear" w:color="auto" w:fill="FEFEFE"/>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3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47"/>
        </w:trPr>
        <w:tc>
          <w:tcPr>
            <w:tcW w:w="840" w:type="dxa"/>
            <w:vAlign w:val="bottom"/>
            <w:shd w:val="clear" w:color="auto" w:fill="FEFEFE"/>
          </w:tcPr>
          <w:p>
            <w:pPr>
              <w:jc w:val="right"/>
              <w:spacing w:after="0" w:line="148" w:lineRule="exact"/>
              <w:rPr>
                <w:sz w:val="20"/>
                <w:szCs w:val="20"/>
                <w:color w:val="auto"/>
              </w:rPr>
            </w:pPr>
            <w:r>
              <w:rPr>
                <w:rFonts w:ascii="Arial" w:cs="Arial" w:eastAsia="Arial" w:hAnsi="Arial"/>
                <w:sz w:val="13"/>
                <w:szCs w:val="13"/>
                <w:color w:val="auto"/>
              </w:rPr>
              <w:t>104</w:t>
            </w:r>
          </w:p>
        </w:tc>
        <w:tc>
          <w:tcPr>
            <w:tcW w:w="10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4500" w:type="dxa"/>
            <w:vAlign w:val="bottom"/>
            <w:gridSpan w:val="9"/>
            <w:shd w:val="clear" w:color="auto" w:fill="FEFEFE"/>
          </w:tcPr>
          <w:p>
            <w:pPr>
              <w:spacing w:after="0" w:line="148" w:lineRule="exact"/>
              <w:rPr>
                <w:sz w:val="20"/>
                <w:szCs w:val="20"/>
                <w:color w:val="auto"/>
              </w:rPr>
            </w:pPr>
            <w:r>
              <w:rPr>
                <w:rFonts w:ascii="Arial" w:cs="Arial" w:eastAsia="Arial" w:hAnsi="Arial"/>
                <w:sz w:val="13"/>
                <w:szCs w:val="13"/>
                <w:color w:val="auto"/>
              </w:rPr>
              <w:t>Cover Page Interactive Data File (formatted in iXBRL and contained in Exhibit</w:t>
            </w:r>
          </w:p>
        </w:tc>
        <w:tc>
          <w:tcPr>
            <w:tcW w:w="820" w:type="dxa"/>
            <w:vAlign w:val="bottom"/>
            <w:shd w:val="clear" w:color="auto" w:fill="FEFEFE"/>
          </w:tcPr>
          <w:p>
            <w:pPr>
              <w:spacing w:after="0"/>
              <w:rPr>
                <w:sz w:val="12"/>
                <w:szCs w:val="12"/>
                <w:color w:val="auto"/>
              </w:rPr>
            </w:pPr>
          </w:p>
        </w:tc>
        <w:tc>
          <w:tcPr>
            <w:tcW w:w="1120" w:type="dxa"/>
            <w:vAlign w:val="bottom"/>
            <w:shd w:val="clear" w:color="auto" w:fill="FEFEFE"/>
          </w:tcPr>
          <w:p>
            <w:pPr>
              <w:spacing w:after="0"/>
              <w:rPr>
                <w:sz w:val="12"/>
                <w:szCs w:val="12"/>
                <w:color w:val="auto"/>
              </w:rPr>
            </w:pPr>
          </w:p>
        </w:tc>
        <w:tc>
          <w:tcPr>
            <w:tcW w:w="1300" w:type="dxa"/>
            <w:vAlign w:val="bottom"/>
            <w:shd w:val="clear" w:color="auto" w:fill="FEFEFE"/>
          </w:tcPr>
          <w:p>
            <w:pPr>
              <w:spacing w:after="0"/>
              <w:rPr>
                <w:sz w:val="12"/>
                <w:szCs w:val="12"/>
                <w:color w:val="auto"/>
              </w:rPr>
            </w:pPr>
          </w:p>
        </w:tc>
        <w:tc>
          <w:tcPr>
            <w:tcW w:w="1220" w:type="dxa"/>
            <w:vAlign w:val="bottom"/>
            <w:shd w:val="clear" w:color="auto" w:fill="FEFEFE"/>
          </w:tcPr>
          <w:p>
            <w:pPr>
              <w:spacing w:after="0"/>
              <w:rPr>
                <w:sz w:val="12"/>
                <w:szCs w:val="12"/>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1"/>
                <w:szCs w:val="11"/>
                <w:color w:val="auto"/>
              </w:rPr>
              <w:t>X</w:t>
            </w:r>
          </w:p>
        </w:tc>
      </w:tr>
      <w:tr>
        <w:trPr>
          <w:trHeight w:val="184"/>
        </w:trPr>
        <w:tc>
          <w:tcPr>
            <w:tcW w:w="84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660" w:type="dxa"/>
            <w:vAlign w:val="bottom"/>
            <w:gridSpan w:val="2"/>
            <w:shd w:val="clear" w:color="auto" w:fill="FEFEFE"/>
          </w:tcPr>
          <w:p>
            <w:pPr>
              <w:ind w:left="20"/>
              <w:spacing w:after="0"/>
              <w:rPr>
                <w:sz w:val="20"/>
                <w:szCs w:val="20"/>
                <w:color w:val="auto"/>
              </w:rPr>
            </w:pPr>
            <w:r>
              <w:rPr>
                <w:rFonts w:ascii="Arial" w:cs="Arial" w:eastAsia="Arial" w:hAnsi="Arial"/>
                <w:sz w:val="13"/>
                <w:szCs w:val="13"/>
                <w:color w:val="auto"/>
              </w:rPr>
              <w:t>101)</w:t>
            </w:r>
          </w:p>
        </w:tc>
        <w:tc>
          <w:tcPr>
            <w:tcW w:w="580" w:type="dxa"/>
            <w:vAlign w:val="bottom"/>
            <w:shd w:val="clear" w:color="auto" w:fill="FEFEFE"/>
          </w:tcPr>
          <w:p>
            <w:pPr>
              <w:spacing w:after="0"/>
              <w:rPr>
                <w:sz w:val="16"/>
                <w:szCs w:val="16"/>
                <w:color w:val="auto"/>
              </w:rPr>
            </w:pPr>
          </w:p>
        </w:tc>
        <w:tc>
          <w:tcPr>
            <w:tcW w:w="194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3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r>
    </w:tbl>
    <w:p>
      <w:pPr>
        <w:spacing w:after="0" w:line="380" w:lineRule="exact"/>
        <w:rPr>
          <w:sz w:val="20"/>
          <w:szCs w:val="20"/>
          <w:color w:val="auto"/>
        </w:rPr>
      </w:pPr>
    </w:p>
    <w:p>
      <w:pPr>
        <w:ind w:firstLine="5"/>
        <w:spacing w:after="0" w:line="253" w:lineRule="auto"/>
        <w:tabs>
          <w:tab w:leader="none" w:pos="85"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78"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b w:val="1"/>
          <w:bCs w:val="1"/>
          <w:color w:val="auto"/>
        </w:rPr>
        <w:t>SIGNATURES</w:t>
      </w:r>
    </w:p>
    <w:p>
      <w:pPr>
        <w:spacing w:after="0" w:line="192" w:lineRule="exact"/>
        <w:rPr>
          <w:sz w:val="20"/>
          <w:szCs w:val="20"/>
          <w:color w:val="auto"/>
        </w:rPr>
      </w:pPr>
    </w:p>
    <w:p>
      <w:pPr>
        <w:ind w:firstLine="509"/>
        <w:spacing w:after="0" w:line="273" w:lineRule="auto"/>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 February 4, 2021</w:t>
      </w:r>
    </w:p>
    <w:p>
      <w:pPr>
        <w:spacing w:after="0" w:line="220"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80"/>
        <w:spacing w:after="0"/>
        <w:tabs>
          <w:tab w:leader="none" w:pos="71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22225</wp:posOffset>
            </wp:positionV>
            <wp:extent cx="254698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John Foley</w:t>
      </w:r>
    </w:p>
    <w:p>
      <w:pPr>
        <w:ind w:left="7140"/>
        <w:spacing w:after="0" w:line="228" w:lineRule="auto"/>
        <w:rPr>
          <w:sz w:val="20"/>
          <w:szCs w:val="20"/>
          <w:color w:val="auto"/>
        </w:rPr>
      </w:pPr>
      <w:r>
        <w:rPr>
          <w:rFonts w:ascii="Arial" w:cs="Arial" w:eastAsia="Arial" w:hAnsi="Arial"/>
          <w:sz w:val="13"/>
          <w:szCs w:val="13"/>
          <w:color w:val="auto"/>
        </w:rPr>
        <w:t>Chief Executive Officer</w:t>
      </w:r>
    </w:p>
    <w:p>
      <w:pPr>
        <w:ind w:left="7140"/>
        <w:spacing w:after="0"/>
        <w:rPr>
          <w:sz w:val="20"/>
          <w:szCs w:val="20"/>
          <w:color w:val="auto"/>
        </w:rPr>
      </w:pPr>
      <w:r>
        <w:rPr>
          <w:rFonts w:ascii="Arial" w:cs="Arial" w:eastAsia="Arial" w:hAnsi="Arial"/>
          <w:sz w:val="13"/>
          <w:szCs w:val="13"/>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80"/>
        <w:spacing w:after="0"/>
        <w:tabs>
          <w:tab w:leader="none" w:pos="71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22225</wp:posOffset>
            </wp:positionV>
            <wp:extent cx="25469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Jill Woodworth</w:t>
      </w:r>
    </w:p>
    <w:p>
      <w:pPr>
        <w:ind w:left="7140"/>
        <w:spacing w:after="0" w:line="228" w:lineRule="auto"/>
        <w:rPr>
          <w:sz w:val="20"/>
          <w:szCs w:val="20"/>
          <w:color w:val="auto"/>
        </w:rPr>
      </w:pPr>
      <w:r>
        <w:rPr>
          <w:rFonts w:ascii="Arial" w:cs="Arial" w:eastAsia="Arial" w:hAnsi="Arial"/>
          <w:sz w:val="13"/>
          <w:szCs w:val="13"/>
          <w:color w:val="auto"/>
        </w:rPr>
        <w:t>Chief Financial Officer</w:t>
      </w:r>
    </w:p>
    <w:p>
      <w:pPr>
        <w:ind w:left="7140"/>
        <w:spacing w:after="0"/>
        <w:rPr>
          <w:sz w:val="20"/>
          <w:szCs w:val="20"/>
          <w:color w:val="auto"/>
        </w:rPr>
      </w:pPr>
      <w:r>
        <w:rPr>
          <w:rFonts w:ascii="Arial" w:cs="Arial" w:eastAsia="Arial" w:hAnsi="Arial"/>
          <w:sz w:val="13"/>
          <w:szCs w:val="13"/>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505" w:right="31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I, John Foley, certify that:</w:t>
      </w:r>
    </w:p>
    <w:p>
      <w:pPr>
        <w:spacing w:after="0" w:line="190" w:lineRule="exact"/>
        <w:rPr>
          <w:sz w:val="20"/>
          <w:szCs w:val="20"/>
          <w:color w:val="auto"/>
        </w:rPr>
      </w:pPr>
    </w:p>
    <w:p>
      <w:pPr>
        <w:ind w:left="520" w:hanging="515"/>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 have reviewed this Annual Report on Form 10-Q of Peloton Interactive, Inc.;</w:t>
      </w:r>
    </w:p>
    <w:p>
      <w:pPr>
        <w:spacing w:after="0" w:line="190" w:lineRule="exact"/>
        <w:rPr>
          <w:rFonts w:ascii="Arial" w:cs="Arial" w:eastAsia="Arial" w:hAnsi="Arial"/>
          <w:sz w:val="13"/>
          <w:szCs w:val="13"/>
          <w:color w:val="auto"/>
        </w:rPr>
      </w:pPr>
    </w:p>
    <w:p>
      <w:pPr>
        <w:ind w:firstLine="5"/>
        <w:spacing w:after="0" w:line="273" w:lineRule="auto"/>
        <w:tabs>
          <w:tab w:leader="none" w:pos="509"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3"/>
          <w:szCs w:val="13"/>
          <w:color w:val="auto"/>
        </w:rPr>
      </w:pPr>
    </w:p>
    <w:p>
      <w:pPr>
        <w:ind w:firstLine="5"/>
        <w:spacing w:after="0" w:line="273" w:lineRule="auto"/>
        <w:tabs>
          <w:tab w:leader="none" w:pos="509"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3"/>
          <w:szCs w:val="13"/>
          <w:color w:val="auto"/>
        </w:rPr>
      </w:pPr>
    </w:p>
    <w:p>
      <w:pPr>
        <w:ind w:firstLine="5"/>
        <w:spacing w:after="0" w:line="273" w:lineRule="auto"/>
        <w:tabs>
          <w:tab w:leader="none" w:pos="509"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3"/>
          <w:szCs w:val="13"/>
          <w:color w:val="auto"/>
        </w:rPr>
      </w:pPr>
    </w:p>
    <w:p>
      <w:pPr>
        <w:ind w:left="520" w:hanging="260"/>
        <w:spacing w:after="0" w:line="273" w:lineRule="auto"/>
        <w:tabs>
          <w:tab w:leader="none" w:pos="5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3"/>
          <w:szCs w:val="13"/>
          <w:color w:val="auto"/>
        </w:rPr>
      </w:pPr>
    </w:p>
    <w:p>
      <w:pPr>
        <w:ind w:left="520" w:hanging="260"/>
        <w:spacing w:after="0" w:line="273" w:lineRule="auto"/>
        <w:tabs>
          <w:tab w:leader="none" w:pos="5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3"/>
          <w:szCs w:val="13"/>
          <w:color w:val="auto"/>
        </w:rPr>
      </w:pPr>
    </w:p>
    <w:p>
      <w:pPr>
        <w:ind w:left="520" w:hanging="260"/>
        <w:spacing w:after="0" w:line="273" w:lineRule="auto"/>
        <w:tabs>
          <w:tab w:leader="none" w:pos="513"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3"/>
          <w:szCs w:val="13"/>
          <w:color w:val="auto"/>
        </w:rPr>
      </w:pPr>
    </w:p>
    <w:p>
      <w:pPr>
        <w:ind w:firstLine="5"/>
        <w:spacing w:after="0" w:line="251" w:lineRule="auto"/>
        <w:tabs>
          <w:tab w:leader="none" w:pos="509"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7" w:lineRule="auto"/>
        <w:tabs>
          <w:tab w:leader="none" w:pos="5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3"/>
          <w:szCs w:val="13"/>
          <w:color w:val="auto"/>
        </w:rPr>
      </w:pPr>
    </w:p>
    <w:p>
      <w:pPr>
        <w:ind w:left="520" w:hanging="260"/>
        <w:spacing w:after="0"/>
        <w:tabs>
          <w:tab w:leader="none" w:pos="5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4, 2021</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John Foley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John Foley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1" w:right="31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OR 15d-14(a)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I, Jill Woodworth, certify that:</w:t>
      </w:r>
    </w:p>
    <w:p>
      <w:pPr>
        <w:spacing w:after="0" w:line="190" w:lineRule="exact"/>
        <w:rPr>
          <w:sz w:val="20"/>
          <w:szCs w:val="20"/>
          <w:color w:val="auto"/>
        </w:rPr>
      </w:pPr>
    </w:p>
    <w:p>
      <w:pPr>
        <w:ind w:left="520" w:hanging="515"/>
        <w:spacing w:after="0"/>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Peloton Interactive, Inc.;</w:t>
      </w:r>
    </w:p>
    <w:p>
      <w:pPr>
        <w:spacing w:after="0" w:line="190" w:lineRule="exact"/>
        <w:rPr>
          <w:rFonts w:ascii="Arial" w:cs="Arial" w:eastAsia="Arial" w:hAnsi="Arial"/>
          <w:sz w:val="13"/>
          <w:szCs w:val="13"/>
          <w:color w:val="auto"/>
        </w:rPr>
      </w:pPr>
    </w:p>
    <w:p>
      <w:pPr>
        <w:ind w:firstLine="5"/>
        <w:spacing w:after="0" w:line="273" w:lineRule="auto"/>
        <w:tabs>
          <w:tab w:leader="none" w:pos="509"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3"/>
          <w:szCs w:val="13"/>
          <w:color w:val="auto"/>
        </w:rPr>
      </w:pPr>
    </w:p>
    <w:p>
      <w:pPr>
        <w:ind w:firstLine="5"/>
        <w:spacing w:after="0" w:line="273" w:lineRule="auto"/>
        <w:tabs>
          <w:tab w:leader="none" w:pos="509"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3"/>
          <w:szCs w:val="13"/>
          <w:color w:val="auto"/>
        </w:rPr>
      </w:pPr>
    </w:p>
    <w:p>
      <w:pPr>
        <w:ind w:firstLine="5"/>
        <w:spacing w:after="0" w:line="273" w:lineRule="auto"/>
        <w:tabs>
          <w:tab w:leader="none" w:pos="509"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3"/>
          <w:szCs w:val="13"/>
          <w:color w:val="auto"/>
        </w:rPr>
      </w:pPr>
    </w:p>
    <w:p>
      <w:pPr>
        <w:ind w:left="520" w:hanging="260"/>
        <w:spacing w:after="0" w:line="273" w:lineRule="auto"/>
        <w:tabs>
          <w:tab w:leader="none" w:pos="5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3"/>
          <w:szCs w:val="13"/>
          <w:color w:val="auto"/>
        </w:rPr>
      </w:pPr>
    </w:p>
    <w:p>
      <w:pPr>
        <w:ind w:left="520" w:hanging="260"/>
        <w:spacing w:after="0" w:line="273" w:lineRule="auto"/>
        <w:tabs>
          <w:tab w:leader="none" w:pos="5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3"/>
          <w:szCs w:val="13"/>
          <w:color w:val="auto"/>
        </w:rPr>
      </w:pPr>
    </w:p>
    <w:p>
      <w:pPr>
        <w:ind w:left="520" w:hanging="260"/>
        <w:spacing w:after="0" w:line="273" w:lineRule="auto"/>
        <w:tabs>
          <w:tab w:leader="none" w:pos="513"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rFonts w:ascii="Arial" w:cs="Arial" w:eastAsia="Arial" w:hAnsi="Arial"/>
          <w:sz w:val="13"/>
          <w:szCs w:val="13"/>
          <w:color w:val="auto"/>
        </w:rPr>
      </w:pPr>
    </w:p>
    <w:p>
      <w:pPr>
        <w:ind w:firstLine="5"/>
        <w:spacing w:after="0" w:line="251" w:lineRule="auto"/>
        <w:tabs>
          <w:tab w:leader="none" w:pos="509"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20" w:hanging="260"/>
        <w:spacing w:after="0" w:line="247" w:lineRule="auto"/>
        <w:tabs>
          <w:tab w:leader="none" w:pos="5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3"/>
          <w:szCs w:val="13"/>
          <w:color w:val="auto"/>
        </w:rPr>
      </w:pPr>
    </w:p>
    <w:p>
      <w:pPr>
        <w:ind w:left="520" w:hanging="260"/>
        <w:spacing w:after="0"/>
        <w:tabs>
          <w:tab w:leader="none" w:pos="5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4, 2021</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Jill Woodworth</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Jill Woodworth</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1" w:right="3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148" w:lineRule="exact"/>
        <w:rPr>
          <w:sz w:val="20"/>
          <w:szCs w:val="20"/>
          <w:color w:val="auto"/>
        </w:rPr>
      </w:pPr>
    </w:p>
    <w:p>
      <w:pPr>
        <w:ind w:left="520" w:hanging="260"/>
        <w:spacing w:after="0" w:line="273" w:lineRule="auto"/>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fiscal quarter ended December 31, 2020 (the “Report”) fully complies with the requirements of Section 13(a) or 15(d) of the Securities Exchange Act of 1934, as amended; and</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February 4, 2021</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John Foley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John Foley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1" w:right="3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391"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148" w:lineRule="exact"/>
        <w:rPr>
          <w:sz w:val="20"/>
          <w:szCs w:val="20"/>
          <w:color w:val="auto"/>
        </w:rPr>
      </w:pPr>
    </w:p>
    <w:p>
      <w:pPr>
        <w:ind w:left="520" w:hanging="260"/>
        <w:spacing w:after="0" w:line="273" w:lineRule="auto"/>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fiscal quarter ended December 31, 2020 (the “Report”) fully complies with the requirements of Section 13(a) or 15(d) of the Securities Exchange Act of 1934, as amended; and</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February 4, 2021</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Jill Woodworth</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Jill Woodworth</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2021-02-05T05:23:39Z</dcterms:created>
  <dcterms:modified xsi:type="dcterms:W3CDTF">2021-02-05T05:23:39Z</dcterms:modified>
</cp:coreProperties>
</file>