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398780</wp:posOffset>
            </wp:positionV>
            <wp:extent cx="45745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7454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419100</wp:posOffset>
            </wp:positionV>
            <wp:extent cx="45745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4540" cy="698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1" w:lineRule="exact"/>
        <w:rPr>
          <w:sz w:val="24"/>
          <w:szCs w:val="24"/>
          <w:color w:val="auto"/>
        </w:rPr>
      </w:pPr>
    </w:p>
    <w:p>
      <w:pPr>
        <w:ind w:left="520" w:hanging="340"/>
        <w:spacing w:after="0"/>
        <w:tabs>
          <w:tab w:leader="none" w:pos="5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June 30, 2022</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40" w:lineRule="exact"/>
        <w:rPr>
          <w:sz w:val="24"/>
          <w:szCs w:val="24"/>
          <w:color w:val="auto"/>
        </w:rPr>
      </w:pPr>
    </w:p>
    <w:p>
      <w:pPr>
        <w:ind w:left="520" w:hanging="340"/>
        <w:spacing w:after="0"/>
        <w:tabs>
          <w:tab w:leader="none" w:pos="52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80" w:type="dxa"/>
            <w:vAlign w:val="bottom"/>
            <w:gridSpan w:val="4"/>
          </w:tcPr>
          <w:p>
            <w:pPr>
              <w:jc w:val="center"/>
              <w:ind w:left="82"/>
              <w:spacing w:after="0"/>
              <w:rPr>
                <w:sz w:val="20"/>
                <w:szCs w:val="20"/>
                <w:color w:val="auto"/>
              </w:rPr>
            </w:pPr>
            <w:r>
              <w:rPr>
                <w:rFonts w:ascii="Arial" w:cs="Arial" w:eastAsia="Arial" w:hAnsi="Arial"/>
                <w:sz w:val="14"/>
                <w:szCs w:val="14"/>
                <w:b w:val="1"/>
                <w:bCs w:val="1"/>
                <w:color w:val="auto"/>
              </w:rPr>
              <w:t>For the transition period from to</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80" w:type="dxa"/>
            <w:vAlign w:val="bottom"/>
            <w:gridSpan w:val="4"/>
          </w:tcPr>
          <w:p>
            <w:pPr>
              <w:jc w:val="center"/>
              <w:ind w:left="102"/>
              <w:spacing w:after="0"/>
              <w:rPr>
                <w:sz w:val="20"/>
                <w:szCs w:val="20"/>
                <w:color w:val="auto"/>
              </w:rPr>
            </w:pPr>
            <w:r>
              <w:rPr>
                <w:rFonts w:ascii="Arial" w:cs="Arial" w:eastAsia="Arial" w:hAnsi="Arial"/>
                <w:sz w:val="14"/>
                <w:szCs w:val="14"/>
                <w:b w:val="1"/>
                <w:bCs w:val="1"/>
                <w:color w:val="auto"/>
              </w:rPr>
              <w:t>Commission File Number: 001-39058</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40" w:type="dxa"/>
            <w:vAlign w:val="bottom"/>
            <w:gridSpan w:val="5"/>
          </w:tcPr>
          <w:p>
            <w:pPr>
              <w:jc w:val="center"/>
              <w:ind w:right="3415"/>
              <w:spacing w:after="0"/>
              <w:rPr>
                <w:sz w:val="20"/>
                <w:szCs w:val="20"/>
                <w:color w:val="auto"/>
              </w:rPr>
            </w:pPr>
            <w:r>
              <w:rPr>
                <w:rFonts w:ascii="Arial" w:cs="Arial" w:eastAsia="Arial" w:hAnsi="Arial"/>
                <w:sz w:val="25"/>
                <w:szCs w:val="25"/>
                <w:b w:val="1"/>
                <w:bCs w:val="1"/>
                <w:color w:val="auto"/>
              </w:rPr>
              <w:t>Peloton Interactive, Inc.</w:t>
            </w: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180" w:type="dxa"/>
            <w:vAlign w:val="bottom"/>
            <w:gridSpan w:val="6"/>
          </w:tcPr>
          <w:p>
            <w:pPr>
              <w:jc w:val="center"/>
              <w:ind w:right="2775"/>
              <w:spacing w:after="0"/>
              <w:rPr>
                <w:sz w:val="20"/>
                <w:szCs w:val="20"/>
                <w:color w:val="auto"/>
              </w:rPr>
            </w:pPr>
            <w:r>
              <w:rPr>
                <w:rFonts w:ascii="Arial" w:cs="Arial" w:eastAsia="Arial" w:hAnsi="Arial"/>
                <w:sz w:val="17"/>
                <w:szCs w:val="17"/>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23"/>
        </w:trPr>
        <w:tc>
          <w:tcPr>
            <w:tcW w:w="660" w:type="dxa"/>
            <w:vAlign w:val="bottom"/>
          </w:tcPr>
          <w:p>
            <w:pPr>
              <w:spacing w:after="0" w:line="20" w:lineRule="exact"/>
              <w:rPr>
                <w:sz w:val="1"/>
                <w:szCs w:val="1"/>
                <w:color w:val="auto"/>
              </w:rPr>
            </w:pPr>
          </w:p>
        </w:tc>
        <w:tc>
          <w:tcPr>
            <w:tcW w:w="2820" w:type="dxa"/>
            <w:vAlign w:val="bottom"/>
            <w:vMerge w:val="restart"/>
          </w:tcPr>
          <w:p>
            <w:pPr>
              <w:jc w:val="center"/>
              <w:ind w:left="612"/>
              <w:spacing w:after="0"/>
              <w:rPr>
                <w:sz w:val="20"/>
                <w:szCs w:val="20"/>
                <w:color w:val="auto"/>
              </w:rPr>
            </w:pPr>
            <w:r>
              <w:rPr>
                <w:rFonts w:ascii="Arial" w:cs="Arial" w:eastAsia="Arial" w:hAnsi="Arial"/>
                <w:sz w:val="14"/>
                <w:szCs w:val="14"/>
                <w:b w:val="1"/>
                <w:bCs w:val="1"/>
                <w:color w:val="auto"/>
              </w:rPr>
              <w:t>Delaware</w:t>
            </w: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vMerge w:val="restart"/>
          </w:tcPr>
          <w:p>
            <w:pPr>
              <w:jc w:val="right"/>
              <w:ind w:right="1335"/>
              <w:spacing w:after="0"/>
              <w:rPr>
                <w:sz w:val="20"/>
                <w:szCs w:val="20"/>
                <w:color w:val="auto"/>
              </w:rPr>
            </w:pPr>
            <w:r>
              <w:rPr>
                <w:rFonts w:ascii="Arial" w:cs="Arial" w:eastAsia="Arial" w:hAnsi="Arial"/>
                <w:sz w:val="14"/>
                <w:szCs w:val="14"/>
                <w:b w:val="1"/>
                <w:bCs w:val="1"/>
                <w:color w:val="auto"/>
              </w:rPr>
              <w:t>47-3533761</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28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2820" w:type="dxa"/>
            <w:vAlign w:val="bottom"/>
          </w:tcPr>
          <w:p>
            <w:pPr>
              <w:jc w:val="center"/>
              <w:ind w:left="612"/>
              <w:spacing w:after="0"/>
              <w:rPr>
                <w:sz w:val="20"/>
                <w:szCs w:val="20"/>
                <w:color w:val="auto"/>
              </w:rPr>
            </w:pPr>
            <w:r>
              <w:rPr>
                <w:rFonts w:ascii="Arial" w:cs="Arial" w:eastAsia="Arial" w:hAnsi="Arial"/>
                <w:sz w:val="11"/>
                <w:szCs w:val="11"/>
                <w:i w:val="1"/>
                <w:iCs w:val="1"/>
                <w:color w:val="auto"/>
              </w:rPr>
              <w:t>(State or other jurisdiction of</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tcPr>
          <w:p>
            <w:pPr>
              <w:jc w:val="center"/>
              <w:ind w:left="15"/>
              <w:spacing w:after="0"/>
              <w:rPr>
                <w:sz w:val="20"/>
                <w:szCs w:val="20"/>
                <w:color w:val="auto"/>
              </w:rPr>
            </w:pPr>
            <w:r>
              <w:rPr>
                <w:rFonts w:ascii="Arial" w:cs="Arial" w:eastAsia="Arial" w:hAnsi="Arial"/>
                <w:sz w:val="11"/>
                <w:szCs w:val="11"/>
                <w:i w:val="1"/>
                <w:iCs w:val="1"/>
                <w:color w:val="auto"/>
              </w:rPr>
              <w:t>(I.R.S. Employer</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820" w:type="dxa"/>
            <w:vAlign w:val="bottom"/>
          </w:tcPr>
          <w:p>
            <w:pPr>
              <w:jc w:val="center"/>
              <w:ind w:left="612"/>
              <w:spacing w:after="0"/>
              <w:rPr>
                <w:sz w:val="20"/>
                <w:szCs w:val="20"/>
                <w:color w:val="auto"/>
              </w:rPr>
            </w:pPr>
            <w:r>
              <w:rPr>
                <w:rFonts w:ascii="Arial" w:cs="Arial" w:eastAsia="Arial" w:hAnsi="Arial"/>
                <w:sz w:val="11"/>
                <w:szCs w:val="11"/>
                <w:i w:val="1"/>
                <w:iCs w:val="1"/>
                <w:color w:val="auto"/>
              </w:rPr>
              <w:t>incorporation or organization)</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tcPr>
          <w:p>
            <w:pPr>
              <w:jc w:val="center"/>
              <w:ind w:left="35"/>
              <w:spacing w:after="0"/>
              <w:rPr>
                <w:sz w:val="20"/>
                <w:szCs w:val="20"/>
                <w:color w:val="auto"/>
              </w:rPr>
            </w:pPr>
            <w:r>
              <w:rPr>
                <w:rFonts w:ascii="Arial" w:cs="Arial" w:eastAsia="Arial" w:hAnsi="Arial"/>
                <w:sz w:val="11"/>
                <w:szCs w:val="11"/>
                <w:i w:val="1"/>
                <w:iCs w:val="1"/>
                <w:color w:val="auto"/>
              </w:rPr>
              <w:t>Identification No.)</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820" w:type="dxa"/>
            <w:vAlign w:val="bottom"/>
          </w:tcPr>
          <w:p>
            <w:pPr>
              <w:jc w:val="center"/>
              <w:ind w:left="632"/>
              <w:spacing w:after="0"/>
              <w:rPr>
                <w:sz w:val="20"/>
                <w:szCs w:val="20"/>
                <w:color w:val="auto"/>
              </w:rPr>
            </w:pPr>
            <w:r>
              <w:rPr>
                <w:rFonts w:ascii="Arial" w:cs="Arial" w:eastAsia="Arial" w:hAnsi="Arial"/>
                <w:sz w:val="14"/>
                <w:szCs w:val="14"/>
                <w:b w:val="1"/>
                <w:bCs w:val="1"/>
                <w:color w:val="auto"/>
              </w:rPr>
              <w:t>441 Ninth Avenue, Sixth Floor</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60" w:type="dxa"/>
            <w:vAlign w:val="bottom"/>
          </w:tcPr>
          <w:p>
            <w:pPr>
              <w:jc w:val="right"/>
              <w:ind w:right="1515"/>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820" w:type="dxa"/>
            <w:vAlign w:val="bottom"/>
          </w:tcPr>
          <w:p>
            <w:pPr>
              <w:jc w:val="center"/>
              <w:ind w:left="612"/>
              <w:spacing w:after="0"/>
              <w:rPr>
                <w:sz w:val="20"/>
                <w:szCs w:val="20"/>
                <w:color w:val="auto"/>
              </w:rPr>
            </w:pPr>
            <w:r>
              <w:rPr>
                <w:rFonts w:ascii="Arial" w:cs="Arial" w:eastAsia="Arial" w:hAnsi="Arial"/>
                <w:sz w:val="14"/>
                <w:szCs w:val="14"/>
                <w:b w:val="1"/>
                <w:bCs w:val="1"/>
                <w:color w:val="auto"/>
                <w:w w:val="98"/>
              </w:rPr>
              <w:t>New York, New York</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60" w:type="dxa"/>
            <w:vAlign w:val="bottom"/>
          </w:tcPr>
          <w:p>
            <w:pPr>
              <w:jc w:val="center"/>
              <w:ind w:left="15"/>
              <w:spacing w:after="0"/>
              <w:rPr>
                <w:sz w:val="20"/>
                <w:szCs w:val="20"/>
                <w:color w:val="auto"/>
              </w:rPr>
            </w:pPr>
            <w:r>
              <w:rPr>
                <w:rFonts w:ascii="Arial" w:cs="Arial" w:eastAsia="Arial" w:hAnsi="Arial"/>
                <w:sz w:val="11"/>
                <w:szCs w:val="11"/>
                <w:i w:val="1"/>
                <w:iCs w:val="1"/>
                <w:color w:val="auto"/>
              </w:rPr>
              <w:t>(Zip Code)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820" w:type="dxa"/>
            <w:vAlign w:val="bottom"/>
          </w:tcPr>
          <w:p>
            <w:pPr>
              <w:jc w:val="center"/>
              <w:ind w:left="612"/>
              <w:spacing w:after="0"/>
              <w:rPr>
                <w:sz w:val="20"/>
                <w:szCs w:val="20"/>
                <w:color w:val="auto"/>
              </w:rPr>
            </w:pPr>
            <w:r>
              <w:rPr>
                <w:rFonts w:ascii="Arial" w:cs="Arial" w:eastAsia="Arial" w:hAnsi="Arial"/>
                <w:sz w:val="11"/>
                <w:szCs w:val="11"/>
                <w:i w:val="1"/>
                <w:iCs w:val="1"/>
                <w:color w:val="auto"/>
              </w:rPr>
              <w:t>(Address of principal executive offices)</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40" w:type="dxa"/>
            <w:vAlign w:val="bottom"/>
            <w:gridSpan w:val="2"/>
          </w:tcPr>
          <w:p>
            <w:pPr>
              <w:jc w:val="center"/>
              <w:ind w:left="822"/>
              <w:spacing w:after="0" w:line="149" w:lineRule="exact"/>
              <w:rPr>
                <w:sz w:val="20"/>
                <w:szCs w:val="20"/>
                <w:color w:val="auto"/>
              </w:rPr>
            </w:pPr>
            <w:r>
              <w:rPr>
                <w:rFonts w:ascii="Arial" w:cs="Arial" w:eastAsia="Arial" w:hAnsi="Arial"/>
                <w:sz w:val="14"/>
                <w:szCs w:val="14"/>
                <w:b w:val="1"/>
                <w:bCs w:val="1"/>
                <w:color w:val="auto"/>
              </w:rPr>
              <w:t>(917) 671-9198</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80" w:type="dxa"/>
            <w:vAlign w:val="bottom"/>
            <w:gridSpan w:val="4"/>
          </w:tcPr>
          <w:p>
            <w:pPr>
              <w:jc w:val="center"/>
              <w:ind w:left="82"/>
              <w:spacing w:after="0"/>
              <w:rPr>
                <w:sz w:val="20"/>
                <w:szCs w:val="20"/>
                <w:color w:val="auto"/>
              </w:rPr>
            </w:pPr>
            <w:r>
              <w:rPr>
                <w:rFonts w:ascii="Arial" w:cs="Arial" w:eastAsia="Arial" w:hAnsi="Arial"/>
                <w:sz w:val="11"/>
                <w:szCs w:val="11"/>
                <w:i w:val="1"/>
                <w:iCs w:val="1"/>
                <w:color w:val="auto"/>
              </w:rPr>
              <w:t>(Registrant’s telephone number, including area code)</w:t>
            </w: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66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6"/>
          </w:tcPr>
          <w:p>
            <w:pPr>
              <w:jc w:val="center"/>
              <w:ind w:right="2795"/>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24"/>
        </w:trPr>
        <w:tc>
          <w:tcPr>
            <w:tcW w:w="660" w:type="dxa"/>
            <w:vAlign w:val="bottom"/>
            <w:tcBorders>
              <w:right w:val="single" w:sz="8" w:color="auto"/>
            </w:tcBorders>
          </w:tcPr>
          <w:p>
            <w:pPr>
              <w:spacing w:after="0"/>
              <w:rPr>
                <w:sz w:val="19"/>
                <w:szCs w:val="19"/>
                <w:color w:val="auto"/>
              </w:rPr>
            </w:pPr>
          </w:p>
        </w:tc>
        <w:tc>
          <w:tcPr>
            <w:tcW w:w="282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64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9"/>
              </w:rPr>
              <w:t>Trading Symbol(s)</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jc w:val="center"/>
              <w:ind w:right="715"/>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29"/>
        </w:trPr>
        <w:tc>
          <w:tcPr>
            <w:tcW w:w="660" w:type="dxa"/>
            <w:vAlign w:val="bottom"/>
            <w:tcBorders>
              <w:right w:val="single" w:sz="8" w:color="auto"/>
            </w:tcBorders>
          </w:tcPr>
          <w:p>
            <w:pPr>
              <w:spacing w:after="0"/>
              <w:rPr>
                <w:sz w:val="11"/>
                <w:szCs w:val="11"/>
                <w:color w:val="auto"/>
              </w:rPr>
            </w:pPr>
          </w:p>
        </w:tc>
        <w:tc>
          <w:tcPr>
            <w:tcW w:w="346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rPr>
              <w:t>Class A common stock, $0.000025 par value per</w:t>
            </w:r>
          </w:p>
        </w:tc>
        <w:tc>
          <w:tcPr>
            <w:tcW w:w="700" w:type="dxa"/>
            <w:vAlign w:val="bottom"/>
          </w:tcPr>
          <w:p>
            <w:pPr>
              <w:spacing w:after="0"/>
              <w:rPr>
                <w:sz w:val="11"/>
                <w:szCs w:val="11"/>
                <w:color w:val="auto"/>
              </w:rPr>
            </w:pPr>
          </w:p>
        </w:tc>
        <w:tc>
          <w:tcPr>
            <w:tcW w:w="1440" w:type="dxa"/>
            <w:vAlign w:val="bottom"/>
            <w:tcBorders>
              <w:right w:val="single" w:sz="8" w:color="auto"/>
            </w:tcBorders>
            <w:vMerge w:val="restart"/>
          </w:tcPr>
          <w:p>
            <w:pPr>
              <w:jc w:val="center"/>
              <w:ind w:right="669"/>
              <w:spacing w:after="0"/>
              <w:rPr>
                <w:sz w:val="20"/>
                <w:szCs w:val="20"/>
                <w:color w:val="auto"/>
              </w:rPr>
            </w:pPr>
            <w:r>
              <w:rPr>
                <w:rFonts w:ascii="Arial" w:cs="Arial" w:eastAsia="Arial" w:hAnsi="Arial"/>
                <w:sz w:val="14"/>
                <w:szCs w:val="14"/>
                <w:color w:val="auto"/>
                <w:w w:val="97"/>
              </w:rPr>
              <w:t>PTON</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60" w:type="dxa"/>
            <w:vAlign w:val="bottom"/>
            <w:tcBorders>
              <w:right w:val="single" w:sz="8" w:color="auto"/>
            </w:tcBorders>
            <w:vMerge w:val="restart"/>
          </w:tcPr>
          <w:p>
            <w:pPr>
              <w:jc w:val="center"/>
              <w:ind w:right="695"/>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18"/>
        </w:trPr>
        <w:tc>
          <w:tcPr>
            <w:tcW w:w="660" w:type="dxa"/>
            <w:vAlign w:val="bottom"/>
            <w:tcBorders>
              <w:right w:val="single" w:sz="8" w:color="auto"/>
            </w:tcBorders>
          </w:tcPr>
          <w:p>
            <w:pPr>
              <w:spacing w:after="0"/>
              <w:rPr>
                <w:sz w:val="10"/>
                <w:szCs w:val="10"/>
                <w:color w:val="auto"/>
              </w:rPr>
            </w:pPr>
          </w:p>
        </w:tc>
        <w:tc>
          <w:tcPr>
            <w:tcW w:w="2820" w:type="dxa"/>
            <w:vAlign w:val="bottom"/>
            <w:vMerge w:val="restart"/>
          </w:tcPr>
          <w:p>
            <w:pPr>
              <w:jc w:val="center"/>
              <w:ind w:left="552"/>
              <w:spacing w:after="0"/>
              <w:rPr>
                <w:sz w:val="20"/>
                <w:szCs w:val="20"/>
                <w:color w:val="auto"/>
              </w:rPr>
            </w:pPr>
            <w:r>
              <w:rPr>
                <w:rFonts w:ascii="Arial" w:cs="Arial" w:eastAsia="Arial" w:hAnsi="Arial"/>
                <w:sz w:val="14"/>
                <w:szCs w:val="14"/>
                <w:color w:val="auto"/>
              </w:rPr>
              <w:t>share</w:t>
            </w:r>
          </w:p>
        </w:tc>
        <w:tc>
          <w:tcPr>
            <w:tcW w:w="64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740" w:type="dxa"/>
            <w:vAlign w:val="bottom"/>
            <w:gridSpan w:val="2"/>
          </w:tcPr>
          <w:p>
            <w:pPr>
              <w:spacing w:after="0"/>
              <w:rPr>
                <w:sz w:val="10"/>
                <w:szCs w:val="10"/>
                <w:color w:val="auto"/>
              </w:rPr>
            </w:pPr>
          </w:p>
        </w:tc>
        <w:tc>
          <w:tcPr>
            <w:tcW w:w="3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Borders>
              <w:right w:val="single" w:sz="8" w:color="auto"/>
            </w:tcBorders>
          </w:tcPr>
          <w:p>
            <w:pPr>
              <w:spacing w:after="0"/>
              <w:rPr>
                <w:sz w:val="6"/>
                <w:szCs w:val="6"/>
                <w:color w:val="auto"/>
              </w:rPr>
            </w:pPr>
          </w:p>
        </w:tc>
        <w:tc>
          <w:tcPr>
            <w:tcW w:w="282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6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180" w:type="dxa"/>
            <w:vAlign w:val="bottom"/>
            <w:gridSpan w:val="6"/>
          </w:tcPr>
          <w:p>
            <w:pPr>
              <w:jc w:val="center"/>
              <w:ind w:right="2795"/>
              <w:spacing w:after="0"/>
              <w:rPr>
                <w:sz w:val="20"/>
                <w:szCs w:val="20"/>
                <w:color w:val="auto"/>
              </w:rPr>
            </w:pPr>
            <w:r>
              <w:rPr>
                <w:rFonts w:ascii="Arial" w:cs="Arial" w:eastAsia="Arial" w:hAnsi="Arial"/>
                <w:sz w:val="14"/>
                <w:szCs w:val="14"/>
                <w:color w:val="auto"/>
              </w:rPr>
              <w:t>Securities registered pursuant to Section 12(g) of the Act: None</w:t>
            </w:r>
          </w:p>
        </w:tc>
        <w:tc>
          <w:tcPr>
            <w:tcW w:w="0" w:type="dxa"/>
            <w:vAlign w:val="bottom"/>
          </w:tcPr>
          <w:p>
            <w:pPr>
              <w:spacing w:after="0"/>
              <w:rPr>
                <w:sz w:val="1"/>
                <w:szCs w:val="1"/>
                <w:color w:val="auto"/>
              </w:rPr>
            </w:pPr>
          </w:p>
        </w:tc>
      </w:tr>
      <w:tr>
        <w:trPr>
          <w:trHeight w:val="375"/>
        </w:trPr>
        <w:tc>
          <w:tcPr>
            <w:tcW w:w="10660" w:type="dxa"/>
            <w:vAlign w:val="bottom"/>
            <w:gridSpan w:val="8"/>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bl>
    <w:p>
      <w:pPr>
        <w:spacing w:after="0" w:line="171" w:lineRule="exact"/>
        <w:rPr>
          <w:sz w:val="24"/>
          <w:szCs w:val="24"/>
          <w:color w:val="auto"/>
        </w:rPr>
      </w:pPr>
    </w:p>
    <w:p>
      <w:pPr>
        <w:spacing w:after="0" w:line="161" w:lineRule="exact"/>
        <w:tabs>
          <w:tab w:leader="none" w:pos="74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highlight w:val="black"/>
        </w:rPr>
        <w:t>☒</w:t>
      </w:r>
    </w:p>
    <w:p>
      <w:pPr>
        <w:spacing w:after="0" w:line="242" w:lineRule="exact"/>
        <w:rPr>
          <w:sz w:val="24"/>
          <w:szCs w:val="24"/>
          <w:color w:val="auto"/>
        </w:rPr>
      </w:pPr>
    </w:p>
    <w:p>
      <w:pPr>
        <w:ind w:right="30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225" w:lineRule="exact"/>
        <w:rPr>
          <w:sz w:val="24"/>
          <w:szCs w:val="24"/>
          <w:color w:val="auto"/>
        </w:rPr>
      </w:pPr>
    </w:p>
    <w:p>
      <w:pPr>
        <w:ind w:right="8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jc w:val="center"/>
              <w:ind w:left="1009"/>
              <w:spacing w:after="0"/>
              <w:rPr>
                <w:sz w:val="20"/>
                <w:szCs w:val="20"/>
                <w:color w:val="auto"/>
              </w:rPr>
            </w:pPr>
            <w:r>
              <w:rPr>
                <w:rFonts w:ascii="Arial" w:cs="Arial" w:eastAsia="Arial" w:hAnsi="Arial"/>
                <w:sz w:val="14"/>
                <w:szCs w:val="14"/>
                <w:color w:val="auto"/>
              </w:rPr>
              <w:t>Large accelerated filer</w:t>
            </w:r>
          </w:p>
        </w:tc>
        <w:tc>
          <w:tcPr>
            <w:tcW w:w="13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6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33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rPr>
              <w:t>☐</w:t>
            </w:r>
          </w:p>
        </w:tc>
      </w:tr>
      <w:tr>
        <w:trPr>
          <w:trHeight w:val="221"/>
        </w:trPr>
        <w:tc>
          <w:tcPr>
            <w:tcW w:w="3680" w:type="dxa"/>
            <w:vAlign w:val="bottom"/>
          </w:tcPr>
          <w:p>
            <w:pPr>
              <w:jc w:val="center"/>
              <w:ind w:left="989"/>
              <w:spacing w:after="0"/>
              <w:rPr>
                <w:sz w:val="20"/>
                <w:szCs w:val="20"/>
                <w:color w:val="auto"/>
              </w:rPr>
            </w:pPr>
            <w:r>
              <w:rPr>
                <w:rFonts w:ascii="Arial" w:cs="Arial" w:eastAsia="Arial" w:hAnsi="Arial"/>
                <w:sz w:val="14"/>
                <w:szCs w:val="14"/>
                <w:color w:val="auto"/>
              </w:rPr>
              <w:t>Non-accelerated filer</w:t>
            </w:r>
          </w:p>
        </w:tc>
        <w:tc>
          <w:tcPr>
            <w:tcW w:w="13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6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33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rPr>
              <w:t>☐</w:t>
            </w:r>
          </w:p>
        </w:tc>
      </w:tr>
      <w:tr>
        <w:trPr>
          <w:trHeight w:val="223"/>
        </w:trPr>
        <w:tc>
          <w:tcPr>
            <w:tcW w:w="3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96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33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rPr>
              <w:t>☐</w:t>
            </w:r>
          </w:p>
        </w:tc>
      </w:tr>
      <w:tr>
        <w:trPr>
          <w:trHeight w:val="760"/>
        </w:trPr>
        <w:tc>
          <w:tcPr>
            <w:tcW w:w="3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4" w:right="319" w:bottom="1440" w:gutter="0" w:footer="0" w:header="0"/>
        </w:sectPr>
      </w:pPr>
    </w:p>
    <w:bookmarkStart w:id="1" w:name="page2"/>
    <w:bookmarkEnd w:id="1"/>
    <w:p>
      <w:pPr>
        <w:ind w:right="540"/>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130" w:lineRule="exact"/>
        <w:rPr>
          <w:sz w:val="20"/>
          <w:szCs w:val="20"/>
          <w:color w:val="auto"/>
        </w:rPr>
      </w:pPr>
    </w:p>
    <w:p>
      <w:pPr>
        <w:ind w:right="3700"/>
        <w:spacing w:after="0" w:line="205"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125" w:lineRule="exact"/>
        <w:rPr>
          <w:sz w:val="20"/>
          <w:szCs w:val="20"/>
          <w:color w:val="auto"/>
        </w:rPr>
      </w:pPr>
    </w:p>
    <w:p>
      <w:pPr>
        <w:spacing w:after="0" w:line="161" w:lineRule="exact"/>
        <w:tabs>
          <w:tab w:leader="none" w:pos="6580" w:val="left"/>
          <w:tab w:leader="none" w:pos="72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highlight w:val="black"/>
        </w:rPr>
        <w:t>☒</w:t>
      </w:r>
    </w:p>
    <w:p>
      <w:pPr>
        <w:spacing w:after="0" w:line="189"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December 31, 2021, the last business day of the registrant's most recently completed second fiscal quarter, was $10.7 billion based upon the closing price reported for such date on The Nasdaq Global Select Market.</w:t>
      </w:r>
    </w:p>
    <w:p>
      <w:pPr>
        <w:spacing w:after="0" w:line="144" w:lineRule="exact"/>
        <w:rPr>
          <w:sz w:val="20"/>
          <w:szCs w:val="20"/>
          <w:color w:val="auto"/>
        </w:rPr>
      </w:pPr>
    </w:p>
    <w:p>
      <w:pPr>
        <w:ind w:right="300"/>
        <w:spacing w:after="0" w:line="242" w:lineRule="auto"/>
        <w:rPr>
          <w:sz w:val="20"/>
          <w:szCs w:val="20"/>
          <w:color w:val="auto"/>
        </w:rPr>
      </w:pPr>
      <w:r>
        <w:rPr>
          <w:rFonts w:ascii="Arial" w:cs="Arial" w:eastAsia="Arial" w:hAnsi="Arial"/>
          <w:sz w:val="14"/>
          <w:szCs w:val="14"/>
          <w:color w:val="auto"/>
        </w:rPr>
        <w:t>As of July 29, 2022, the number of shares of the registrant’s Class A common stock outstanding was 308,398,530 and the number of shares of the registrant’s Class B common stock outstanding was 30,032,036.</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9" w:lineRule="exact"/>
        <w:rPr>
          <w:sz w:val="20"/>
          <w:szCs w:val="20"/>
          <w:color w:val="auto"/>
        </w:rPr>
      </w:pPr>
    </w:p>
    <w:p>
      <w:pPr>
        <w:jc w:val="both"/>
        <w:ind w:right="120" w:firstLine="509"/>
        <w:spacing w:after="0" w:line="255"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977900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249555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00" w:type="dxa"/>
            <w:vAlign w:val="bottom"/>
            <w:gridSpan w:val="5"/>
          </w:tcPr>
          <w:p>
            <w:pPr>
              <w:jc w:val="center"/>
              <w:ind w:right="860"/>
              <w:spacing w:after="0"/>
              <w:rPr>
                <w:sz w:val="20"/>
                <w:szCs w:val="20"/>
                <w:color w:val="auto"/>
              </w:rPr>
            </w:pPr>
            <w:r>
              <w:rPr>
                <w:rFonts w:ascii="Arial" w:cs="Arial" w:eastAsia="Arial" w:hAnsi="Arial"/>
                <w:sz w:val="13"/>
                <w:szCs w:val="13"/>
                <w:b w:val="1"/>
                <w:bCs w:val="1"/>
                <w:color w:val="auto"/>
                <w:w w:val="97"/>
              </w:rPr>
              <w:t>TABLE OF CONTENTS</w:t>
            </w:r>
          </w:p>
        </w:tc>
        <w:tc>
          <w:tcPr>
            <w:tcW w:w="3880" w:type="dxa"/>
            <w:vAlign w:val="bottom"/>
            <w:gridSpan w:val="3"/>
            <w:vMerge w:val="restart"/>
          </w:tcPr>
          <w:p>
            <w:pPr>
              <w:ind w:left="32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gridSpan w:val="20"/>
          </w:tcPr>
          <w:p>
            <w:pPr>
              <w:spacing w:after="0"/>
              <w:rPr>
                <w:sz w:val="20"/>
                <w:szCs w:val="20"/>
                <w:color w:val="auto"/>
              </w:rPr>
            </w:pPr>
            <w:r>
              <w:rPr>
                <w:rFonts w:ascii="Arial" w:cs="Arial" w:eastAsia="Arial" w:hAnsi="Arial"/>
                <w:sz w:val="13"/>
                <w:szCs w:val="13"/>
                <w:color w:val="0000FF"/>
              </w:rPr>
              <w:t>Special Note Regarding Forward Looking Statements</w:t>
            </w:r>
          </w:p>
        </w:tc>
        <w:tc>
          <w:tcPr>
            <w:tcW w:w="3500" w:type="dxa"/>
            <w:vAlign w:val="bottom"/>
            <w:gridSpan w:val="2"/>
          </w:tcPr>
          <w:p>
            <w:pPr>
              <w:jc w:val="center"/>
              <w:ind w:left="3276"/>
              <w:spacing w:after="0"/>
              <w:rPr>
                <w:sz w:val="20"/>
                <w:szCs w:val="20"/>
                <w:color w:val="auto"/>
              </w:rPr>
            </w:pPr>
            <w:r>
              <w:rPr>
                <w:rFonts w:ascii="Arial" w:cs="Arial" w:eastAsia="Arial" w:hAnsi="Arial"/>
                <w:sz w:val="13"/>
                <w:szCs w:val="13"/>
                <w:color w:val="0000FF"/>
              </w:rPr>
              <w:t>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Borders>
              <w:top w:val="single" w:sz="8" w:color="0000FF"/>
            </w:tcBorders>
            <w:gridSpan w:val="12"/>
          </w:tcPr>
          <w:p>
            <w:pPr>
              <w:spacing w:after="0"/>
              <w:rPr>
                <w:sz w:val="20"/>
                <w:szCs w:val="20"/>
                <w:color w:val="auto"/>
              </w:rPr>
            </w:pPr>
            <w:r>
              <w:rPr>
                <w:rFonts w:ascii="Arial" w:cs="Arial" w:eastAsia="Arial" w:hAnsi="Arial"/>
                <w:sz w:val="13"/>
                <w:szCs w:val="13"/>
                <w:color w:val="0000FF"/>
              </w:rPr>
              <w:t>Risk Factor Summary</w:t>
            </w:r>
          </w:p>
        </w:tc>
        <w:tc>
          <w:tcPr>
            <w:tcW w:w="3520" w:type="dxa"/>
            <w:vAlign w:val="bottom"/>
            <w:gridSpan w:val="8"/>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Borders>
              <w:top w:val="single" w:sz="8" w:color="0000FF"/>
            </w:tcBorders>
          </w:tcPr>
          <w:p>
            <w:pPr>
              <w:jc w:val="center"/>
              <w:spacing w:after="0"/>
              <w:rPr>
                <w:sz w:val="20"/>
                <w:szCs w:val="20"/>
                <w:color w:val="auto"/>
              </w:rPr>
            </w:pPr>
            <w:r>
              <w:rPr>
                <w:rFonts w:ascii="Arial" w:cs="Arial" w:eastAsia="Arial" w:hAnsi="Arial"/>
                <w:sz w:val="13"/>
                <w:szCs w:val="13"/>
                <w:color w:val="0000FF"/>
              </w:rPr>
              <w:t>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gridSpan w:val="4"/>
          </w:tcPr>
          <w:p>
            <w:pPr>
              <w:ind w:left="300"/>
              <w:spacing w:after="0"/>
              <w:rPr>
                <w:sz w:val="20"/>
                <w:szCs w:val="20"/>
                <w:color w:val="auto"/>
              </w:rPr>
            </w:pPr>
            <w:r>
              <w:rPr>
                <w:rFonts w:ascii="Arial" w:cs="Arial" w:eastAsia="Arial" w:hAnsi="Arial"/>
                <w:sz w:val="13"/>
                <w:szCs w:val="13"/>
                <w:b w:val="1"/>
                <w:bCs w:val="1"/>
                <w:color w:val="auto"/>
              </w:rPr>
              <w:t>Part I</w:t>
            </w:r>
          </w:p>
        </w:tc>
        <w:tc>
          <w:tcPr>
            <w:tcW w:w="338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gridSpan w:val="2"/>
          </w:tcPr>
          <w:p>
            <w:pPr>
              <w:spacing w:after="0" w:line="138" w:lineRule="exact"/>
              <w:rPr>
                <w:sz w:val="20"/>
                <w:szCs w:val="20"/>
                <w:color w:val="auto"/>
              </w:rPr>
            </w:pPr>
            <w:r>
              <w:rPr>
                <w:rFonts w:ascii="Arial" w:cs="Arial" w:eastAsia="Arial" w:hAnsi="Arial"/>
                <w:sz w:val="13"/>
                <w:szCs w:val="13"/>
                <w:color w:val="auto"/>
              </w:rPr>
              <w:t>Item 1.</w:t>
            </w:r>
          </w:p>
        </w:tc>
        <w:tc>
          <w:tcPr>
            <w:tcW w:w="580" w:type="dxa"/>
            <w:vAlign w:val="bottom"/>
            <w:tcBorders>
              <w:bottom w:val="single" w:sz="8" w:color="0000FF"/>
            </w:tcBorders>
          </w:tcPr>
          <w:p>
            <w:pPr>
              <w:spacing w:after="0" w:line="138" w:lineRule="exact"/>
              <w:rPr>
                <w:sz w:val="20"/>
                <w:szCs w:val="20"/>
                <w:color w:val="auto"/>
              </w:rPr>
            </w:pPr>
            <w:r>
              <w:rPr>
                <w:rFonts w:ascii="Arial" w:cs="Arial" w:eastAsia="Arial" w:hAnsi="Arial"/>
                <w:sz w:val="13"/>
                <w:szCs w:val="13"/>
                <w:color w:val="0000FF"/>
              </w:rPr>
              <w:t>Business</w:t>
            </w:r>
          </w:p>
        </w:tc>
        <w:tc>
          <w:tcPr>
            <w:tcW w:w="5940" w:type="dxa"/>
            <w:vAlign w:val="bottom"/>
            <w:gridSpan w:val="19"/>
          </w:tcPr>
          <w:p>
            <w:pPr>
              <w:spacing w:after="0"/>
              <w:rPr>
                <w:sz w:val="11"/>
                <w:szCs w:val="11"/>
                <w:color w:val="auto"/>
              </w:rPr>
            </w:pPr>
          </w:p>
        </w:tc>
        <w:tc>
          <w:tcPr>
            <w:tcW w:w="3380" w:type="dxa"/>
            <w:vAlign w:val="bottom"/>
          </w:tcPr>
          <w:p>
            <w:pPr>
              <w:spacing w:after="0"/>
              <w:rPr>
                <w:sz w:val="11"/>
                <w:szCs w:val="11"/>
                <w:color w:val="auto"/>
              </w:rPr>
            </w:pPr>
          </w:p>
        </w:tc>
        <w:tc>
          <w:tcPr>
            <w:tcW w:w="120" w:type="dxa"/>
            <w:vAlign w:val="bottom"/>
            <w:tcBorders>
              <w:bottom w:val="single" w:sz="8" w:color="0000FF"/>
            </w:tcBorders>
          </w:tcPr>
          <w:p>
            <w:pPr>
              <w:jc w:val="center"/>
              <w:spacing w:after="0" w:line="138" w:lineRule="exact"/>
              <w:rPr>
                <w:sz w:val="20"/>
                <w:szCs w:val="20"/>
                <w:color w:val="auto"/>
              </w:rPr>
            </w:pPr>
            <w:r>
              <w:rPr>
                <w:rFonts w:ascii="Arial" w:cs="Arial" w:eastAsia="Arial" w:hAnsi="Arial"/>
                <w:sz w:val="13"/>
                <w:szCs w:val="13"/>
                <w:color w:val="0000FF"/>
              </w:rPr>
              <w:t>5</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1A.</w:t>
            </w:r>
          </w:p>
        </w:tc>
        <w:tc>
          <w:tcPr>
            <w:tcW w:w="6520" w:type="dxa"/>
            <w:vAlign w:val="bottom"/>
            <w:gridSpan w:val="20"/>
          </w:tcPr>
          <w:p>
            <w:pPr>
              <w:spacing w:after="0"/>
              <w:rPr>
                <w:sz w:val="20"/>
                <w:szCs w:val="20"/>
                <w:color w:val="auto"/>
              </w:rPr>
            </w:pPr>
            <w:r>
              <w:rPr>
                <w:rFonts w:ascii="Arial" w:cs="Arial" w:eastAsia="Arial" w:hAnsi="Arial"/>
                <w:sz w:val="13"/>
                <w:szCs w:val="13"/>
                <w:color w:val="0000FF"/>
              </w:rPr>
              <w:t>Risk Factors</w:t>
            </w: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14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1B.</w:t>
            </w:r>
          </w:p>
        </w:tc>
        <w:tc>
          <w:tcPr>
            <w:tcW w:w="6520" w:type="dxa"/>
            <w:vAlign w:val="bottom"/>
            <w:gridSpan w:val="20"/>
          </w:tcPr>
          <w:p>
            <w:pPr>
              <w:spacing w:after="0"/>
              <w:rPr>
                <w:sz w:val="20"/>
                <w:szCs w:val="20"/>
                <w:color w:val="auto"/>
              </w:rPr>
            </w:pPr>
            <w:r>
              <w:rPr>
                <w:rFonts w:ascii="Arial" w:cs="Arial" w:eastAsia="Arial" w:hAnsi="Arial"/>
                <w:sz w:val="13"/>
                <w:szCs w:val="13"/>
                <w:color w:val="0000FF"/>
              </w:rPr>
              <w:t>Unresolved Staff Comments</w:t>
            </w: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44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2.</w:t>
            </w:r>
          </w:p>
        </w:tc>
        <w:tc>
          <w:tcPr>
            <w:tcW w:w="580" w:type="dxa"/>
            <w:vAlign w:val="bottom"/>
          </w:tcPr>
          <w:p>
            <w:pPr>
              <w:spacing w:after="0"/>
              <w:rPr>
                <w:sz w:val="20"/>
                <w:szCs w:val="20"/>
                <w:color w:val="auto"/>
              </w:rPr>
            </w:pPr>
            <w:r>
              <w:rPr>
                <w:rFonts w:ascii="Arial" w:cs="Arial" w:eastAsia="Arial" w:hAnsi="Arial"/>
                <w:sz w:val="13"/>
                <w:szCs w:val="13"/>
                <w:color w:val="0000FF"/>
                <w:w w:val="91"/>
              </w:rPr>
              <w:t>Properties</w:t>
            </w:r>
          </w:p>
        </w:tc>
        <w:tc>
          <w:tcPr>
            <w:tcW w:w="1000" w:type="dxa"/>
            <w:vAlign w:val="bottom"/>
            <w:gridSpan w:val="7"/>
          </w:tcPr>
          <w:p>
            <w:pPr>
              <w:spacing w:after="0"/>
              <w:rPr>
                <w:sz w:val="13"/>
                <w:szCs w:val="13"/>
                <w:color w:val="auto"/>
              </w:rPr>
            </w:pPr>
          </w:p>
        </w:tc>
        <w:tc>
          <w:tcPr>
            <w:tcW w:w="4940" w:type="dxa"/>
            <w:vAlign w:val="bottom"/>
            <w:gridSpan w:val="12"/>
          </w:tcPr>
          <w:p>
            <w:pPr>
              <w:spacing w:after="0"/>
              <w:rPr>
                <w:sz w:val="13"/>
                <w:szCs w:val="13"/>
                <w:color w:val="auto"/>
              </w:rPr>
            </w:pP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44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3.</w:t>
            </w:r>
          </w:p>
        </w:tc>
        <w:tc>
          <w:tcPr>
            <w:tcW w:w="1060" w:type="dxa"/>
            <w:vAlign w:val="bottom"/>
            <w:gridSpan w:val="4"/>
          </w:tcPr>
          <w:p>
            <w:pPr>
              <w:spacing w:after="0"/>
              <w:rPr>
                <w:sz w:val="20"/>
                <w:szCs w:val="20"/>
                <w:color w:val="auto"/>
              </w:rPr>
            </w:pPr>
            <w:r>
              <w:rPr>
                <w:rFonts w:ascii="Arial" w:cs="Arial" w:eastAsia="Arial" w:hAnsi="Arial"/>
                <w:sz w:val="13"/>
                <w:szCs w:val="13"/>
                <w:color w:val="0000FF"/>
                <w:w w:val="96"/>
              </w:rPr>
              <w:t>Legal Proceedings</w:t>
            </w:r>
          </w:p>
        </w:tc>
        <w:tc>
          <w:tcPr>
            <w:tcW w:w="5460" w:type="dxa"/>
            <w:vAlign w:val="bottom"/>
            <w:gridSpan w:val="16"/>
          </w:tcPr>
          <w:p>
            <w:pPr>
              <w:spacing w:after="0"/>
              <w:rPr>
                <w:sz w:val="13"/>
                <w:szCs w:val="13"/>
                <w:color w:val="auto"/>
              </w:rPr>
            </w:pP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45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4.</w:t>
            </w:r>
          </w:p>
        </w:tc>
        <w:tc>
          <w:tcPr>
            <w:tcW w:w="6520" w:type="dxa"/>
            <w:vAlign w:val="bottom"/>
            <w:gridSpan w:val="20"/>
          </w:tcPr>
          <w:p>
            <w:pPr>
              <w:spacing w:after="0"/>
              <w:rPr>
                <w:sz w:val="20"/>
                <w:szCs w:val="20"/>
                <w:color w:val="auto"/>
              </w:rPr>
            </w:pPr>
            <w:r>
              <w:rPr>
                <w:rFonts w:ascii="Arial" w:cs="Arial" w:eastAsia="Arial" w:hAnsi="Arial"/>
                <w:sz w:val="13"/>
                <w:szCs w:val="13"/>
                <w:color w:val="0000FF"/>
              </w:rPr>
              <w:t>Mine Safety Disclosures</w:t>
            </w: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45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gridSpan w:val="4"/>
          </w:tcPr>
          <w:p>
            <w:pPr>
              <w:ind w:left="280"/>
              <w:spacing w:after="0"/>
              <w:rPr>
                <w:sz w:val="20"/>
                <w:szCs w:val="20"/>
                <w:color w:val="auto"/>
              </w:rPr>
            </w:pPr>
            <w:r>
              <w:rPr>
                <w:rFonts w:ascii="Arial" w:cs="Arial" w:eastAsia="Arial" w:hAnsi="Arial"/>
                <w:sz w:val="13"/>
                <w:szCs w:val="13"/>
                <w:b w:val="1"/>
                <w:bCs w:val="1"/>
                <w:color w:val="auto"/>
              </w:rPr>
              <w:t>Part II</w:t>
            </w:r>
          </w:p>
        </w:tc>
        <w:tc>
          <w:tcPr>
            <w:tcW w:w="338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5.</w:t>
            </w:r>
          </w:p>
        </w:tc>
        <w:tc>
          <w:tcPr>
            <w:tcW w:w="6520" w:type="dxa"/>
            <w:vAlign w:val="bottom"/>
            <w:gridSpan w:val="20"/>
          </w:tcPr>
          <w:p>
            <w:pPr>
              <w:spacing w:after="0"/>
              <w:rPr>
                <w:sz w:val="20"/>
                <w:szCs w:val="20"/>
                <w:color w:val="auto"/>
              </w:rPr>
            </w:pPr>
            <w:r>
              <w:rPr>
                <w:rFonts w:ascii="Arial" w:cs="Arial" w:eastAsia="Arial" w:hAnsi="Arial"/>
                <w:sz w:val="13"/>
                <w:szCs w:val="13"/>
                <w:color w:val="0000FF"/>
                <w:w w:val="97"/>
              </w:rPr>
              <w:t>Market for the Registrant's Common Equity, Related Stockholder Matters, and Issuer Purchases of Equity Securities</w:t>
            </w: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46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6.</w:t>
            </w:r>
          </w:p>
        </w:tc>
        <w:tc>
          <w:tcPr>
            <w:tcW w:w="580" w:type="dxa"/>
            <w:vAlign w:val="bottom"/>
          </w:tcPr>
          <w:p>
            <w:pPr>
              <w:spacing w:after="0"/>
              <w:rPr>
                <w:sz w:val="20"/>
                <w:szCs w:val="20"/>
                <w:color w:val="auto"/>
              </w:rPr>
            </w:pPr>
            <w:r>
              <w:rPr>
                <w:rFonts w:ascii="Arial" w:cs="Arial" w:eastAsia="Arial" w:hAnsi="Arial"/>
                <w:sz w:val="13"/>
                <w:szCs w:val="13"/>
                <w:color w:val="0000FF"/>
                <w:w w:val="85"/>
              </w:rPr>
              <w:t>[Reserved]</w:t>
            </w:r>
          </w:p>
        </w:tc>
        <w:tc>
          <w:tcPr>
            <w:tcW w:w="5940" w:type="dxa"/>
            <w:vAlign w:val="bottom"/>
            <w:gridSpan w:val="19"/>
          </w:tcPr>
          <w:p>
            <w:pPr>
              <w:spacing w:after="0"/>
              <w:rPr>
                <w:sz w:val="13"/>
                <w:szCs w:val="13"/>
                <w:color w:val="auto"/>
              </w:rPr>
            </w:pP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46</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7.</w:t>
            </w:r>
          </w:p>
        </w:tc>
        <w:tc>
          <w:tcPr>
            <w:tcW w:w="6520" w:type="dxa"/>
            <w:vAlign w:val="bottom"/>
            <w:gridSpan w:val="20"/>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47</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7A.</w:t>
            </w:r>
          </w:p>
        </w:tc>
        <w:tc>
          <w:tcPr>
            <w:tcW w:w="3340" w:type="dxa"/>
            <w:vAlign w:val="bottom"/>
            <w:gridSpan w:val="14"/>
          </w:tcPr>
          <w:p>
            <w:pPr>
              <w:spacing w:after="0"/>
              <w:rPr>
                <w:sz w:val="20"/>
                <w:szCs w:val="20"/>
                <w:color w:val="auto"/>
              </w:rPr>
            </w:pPr>
            <w:r>
              <w:rPr>
                <w:rFonts w:ascii="Arial" w:cs="Arial" w:eastAsia="Arial" w:hAnsi="Arial"/>
                <w:sz w:val="13"/>
                <w:szCs w:val="13"/>
                <w:color w:val="0000FF"/>
                <w:w w:val="97"/>
              </w:rPr>
              <w:t>Quantitative and Qualitative Disclosures About Market Risk</w:t>
            </w:r>
          </w:p>
        </w:tc>
        <w:tc>
          <w:tcPr>
            <w:tcW w:w="1660" w:type="dxa"/>
            <w:vAlign w:val="bottom"/>
            <w:gridSpan w:val="4"/>
          </w:tcPr>
          <w:p>
            <w:pPr>
              <w:spacing w:after="0"/>
              <w:rPr>
                <w:sz w:val="13"/>
                <w:szCs w:val="13"/>
                <w:color w:val="auto"/>
              </w:rPr>
            </w:pPr>
          </w:p>
        </w:tc>
        <w:tc>
          <w:tcPr>
            <w:tcW w:w="1520" w:type="dxa"/>
            <w:vAlign w:val="bottom"/>
            <w:gridSpan w:val="2"/>
          </w:tcPr>
          <w:p>
            <w:pPr>
              <w:spacing w:after="0"/>
              <w:rPr>
                <w:sz w:val="13"/>
                <w:szCs w:val="13"/>
                <w:color w:val="auto"/>
              </w:rPr>
            </w:pP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64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8.</w:t>
            </w:r>
          </w:p>
        </w:tc>
        <w:tc>
          <w:tcPr>
            <w:tcW w:w="2640" w:type="dxa"/>
            <w:vAlign w:val="bottom"/>
            <w:gridSpan w:val="11"/>
          </w:tcPr>
          <w:p>
            <w:pPr>
              <w:spacing w:after="0"/>
              <w:rPr>
                <w:sz w:val="20"/>
                <w:szCs w:val="20"/>
                <w:color w:val="auto"/>
              </w:rPr>
            </w:pPr>
            <w:r>
              <w:rPr>
                <w:rFonts w:ascii="Arial" w:cs="Arial" w:eastAsia="Arial" w:hAnsi="Arial"/>
                <w:sz w:val="13"/>
                <w:szCs w:val="13"/>
                <w:color w:val="0000FF"/>
                <w:w w:val="97"/>
              </w:rPr>
              <w:t>Financial Statements and Supplementary Data</w:t>
            </w:r>
          </w:p>
        </w:tc>
        <w:tc>
          <w:tcPr>
            <w:tcW w:w="700" w:type="dxa"/>
            <w:vAlign w:val="bottom"/>
            <w:gridSpan w:val="3"/>
          </w:tcPr>
          <w:p>
            <w:pPr>
              <w:spacing w:after="0"/>
              <w:rPr>
                <w:sz w:val="13"/>
                <w:szCs w:val="13"/>
                <w:color w:val="auto"/>
              </w:rPr>
            </w:pPr>
          </w:p>
        </w:tc>
        <w:tc>
          <w:tcPr>
            <w:tcW w:w="3180" w:type="dxa"/>
            <w:vAlign w:val="bottom"/>
            <w:gridSpan w:val="6"/>
          </w:tcPr>
          <w:p>
            <w:pPr>
              <w:spacing w:after="0"/>
              <w:rPr>
                <w:sz w:val="13"/>
                <w:szCs w:val="13"/>
                <w:color w:val="auto"/>
              </w:rPr>
            </w:pPr>
          </w:p>
        </w:tc>
        <w:tc>
          <w:tcPr>
            <w:tcW w:w="3500" w:type="dxa"/>
            <w:vAlign w:val="bottom"/>
            <w:gridSpan w:val="2"/>
          </w:tcPr>
          <w:p>
            <w:pPr>
              <w:jc w:val="center"/>
              <w:ind w:left="3296"/>
              <w:spacing w:after="0"/>
              <w:rPr>
                <w:sz w:val="20"/>
                <w:szCs w:val="20"/>
                <w:color w:val="auto"/>
              </w:rPr>
            </w:pPr>
            <w:r>
              <w:rPr>
                <w:rFonts w:ascii="Arial" w:cs="Arial" w:eastAsia="Arial" w:hAnsi="Arial"/>
                <w:sz w:val="13"/>
                <w:szCs w:val="13"/>
                <w:color w:val="0000FF"/>
                <w:w w:val="96"/>
              </w:rPr>
              <w:t>66</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9.</w:t>
            </w:r>
          </w:p>
        </w:tc>
        <w:tc>
          <w:tcPr>
            <w:tcW w:w="4800" w:type="dxa"/>
            <w:vAlign w:val="bottom"/>
            <w:gridSpan w:val="17"/>
          </w:tcPr>
          <w:p>
            <w:pPr>
              <w:spacing w:after="0"/>
              <w:rPr>
                <w:sz w:val="20"/>
                <w:szCs w:val="20"/>
                <w:color w:val="auto"/>
              </w:rPr>
            </w:pPr>
            <w:r>
              <w:rPr>
                <w:rFonts w:ascii="Arial" w:cs="Arial" w:eastAsia="Arial" w:hAnsi="Arial"/>
                <w:sz w:val="13"/>
                <w:szCs w:val="13"/>
                <w:color w:val="0000FF"/>
                <w:w w:val="97"/>
              </w:rPr>
              <w:t>Changes in Disagreements with Accountants on Accounting and Financial Disclosure</w:t>
            </w:r>
          </w:p>
        </w:tc>
        <w:tc>
          <w:tcPr>
            <w:tcW w:w="1720" w:type="dxa"/>
            <w:vAlign w:val="bottom"/>
            <w:gridSpan w:val="3"/>
          </w:tcPr>
          <w:p>
            <w:pPr>
              <w:spacing w:after="0"/>
              <w:rPr>
                <w:sz w:val="13"/>
                <w:szCs w:val="13"/>
                <w:color w:val="auto"/>
              </w:rPr>
            </w:pP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104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9A.</w:t>
            </w:r>
          </w:p>
        </w:tc>
        <w:tc>
          <w:tcPr>
            <w:tcW w:w="4800" w:type="dxa"/>
            <w:vAlign w:val="bottom"/>
            <w:gridSpan w:val="17"/>
          </w:tcPr>
          <w:p>
            <w:pPr>
              <w:spacing w:after="0"/>
              <w:rPr>
                <w:sz w:val="20"/>
                <w:szCs w:val="20"/>
                <w:color w:val="auto"/>
              </w:rPr>
            </w:pPr>
            <w:r>
              <w:rPr>
                <w:rFonts w:ascii="Arial" w:cs="Arial" w:eastAsia="Arial" w:hAnsi="Arial"/>
                <w:sz w:val="13"/>
                <w:szCs w:val="13"/>
                <w:color w:val="0000FF"/>
              </w:rPr>
              <w:t>Controls and Procedures</w:t>
            </w:r>
          </w:p>
        </w:tc>
        <w:tc>
          <w:tcPr>
            <w:tcW w:w="1720" w:type="dxa"/>
            <w:vAlign w:val="bottom"/>
            <w:gridSpan w:val="3"/>
          </w:tcPr>
          <w:p>
            <w:pPr>
              <w:spacing w:after="0"/>
              <w:rPr>
                <w:sz w:val="13"/>
                <w:szCs w:val="13"/>
                <w:color w:val="auto"/>
              </w:rPr>
            </w:pP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105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9B.</w:t>
            </w:r>
          </w:p>
        </w:tc>
        <w:tc>
          <w:tcPr>
            <w:tcW w:w="1400" w:type="dxa"/>
            <w:vAlign w:val="bottom"/>
            <w:gridSpan w:val="7"/>
          </w:tcPr>
          <w:p>
            <w:pPr>
              <w:spacing w:after="0"/>
              <w:rPr>
                <w:sz w:val="20"/>
                <w:szCs w:val="20"/>
                <w:color w:val="auto"/>
              </w:rPr>
            </w:pPr>
            <w:r>
              <w:rPr>
                <w:rFonts w:ascii="Arial" w:cs="Arial" w:eastAsia="Arial" w:hAnsi="Arial"/>
                <w:sz w:val="13"/>
                <w:szCs w:val="13"/>
                <w:color w:val="0000FF"/>
              </w:rPr>
              <w:t>Other Information</w:t>
            </w:r>
          </w:p>
        </w:tc>
        <w:tc>
          <w:tcPr>
            <w:tcW w:w="5120" w:type="dxa"/>
            <w:vAlign w:val="bottom"/>
            <w:gridSpan w:val="13"/>
          </w:tcPr>
          <w:p>
            <w:pPr>
              <w:spacing w:after="0"/>
              <w:rPr>
                <w:sz w:val="13"/>
                <w:szCs w:val="13"/>
                <w:color w:val="auto"/>
              </w:rPr>
            </w:pP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107</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9C.</w:t>
            </w:r>
          </w:p>
        </w:tc>
        <w:tc>
          <w:tcPr>
            <w:tcW w:w="6520" w:type="dxa"/>
            <w:vAlign w:val="bottom"/>
            <w:gridSpan w:val="20"/>
          </w:tcPr>
          <w:p>
            <w:pPr>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108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gridSpan w:val="4"/>
          </w:tcPr>
          <w:p>
            <w:pPr>
              <w:jc w:val="center"/>
              <w:ind w:right="1360"/>
              <w:spacing w:after="0"/>
              <w:rPr>
                <w:sz w:val="20"/>
                <w:szCs w:val="20"/>
                <w:color w:val="auto"/>
              </w:rPr>
            </w:pPr>
            <w:r>
              <w:rPr>
                <w:rFonts w:ascii="Arial" w:cs="Arial" w:eastAsia="Arial" w:hAnsi="Arial"/>
                <w:sz w:val="13"/>
                <w:szCs w:val="13"/>
                <w:b w:val="1"/>
                <w:bCs w:val="1"/>
                <w:color w:val="auto"/>
                <w:w w:val="95"/>
              </w:rPr>
              <w:t>Part III</w:t>
            </w:r>
          </w:p>
        </w:tc>
        <w:tc>
          <w:tcPr>
            <w:tcW w:w="33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gridSpan w:val="2"/>
          </w:tcPr>
          <w:p>
            <w:pPr>
              <w:spacing w:after="0" w:line="138" w:lineRule="exact"/>
              <w:rPr>
                <w:sz w:val="20"/>
                <w:szCs w:val="20"/>
                <w:color w:val="auto"/>
              </w:rPr>
            </w:pPr>
            <w:r>
              <w:rPr>
                <w:rFonts w:ascii="Arial" w:cs="Arial" w:eastAsia="Arial" w:hAnsi="Arial"/>
                <w:sz w:val="13"/>
                <w:szCs w:val="13"/>
                <w:color w:val="auto"/>
              </w:rPr>
              <w:t>Item 10.</w:t>
            </w:r>
          </w:p>
        </w:tc>
        <w:tc>
          <w:tcPr>
            <w:tcW w:w="3180" w:type="dxa"/>
            <w:vAlign w:val="bottom"/>
            <w:gridSpan w:val="13"/>
          </w:tcPr>
          <w:p>
            <w:pPr>
              <w:spacing w:after="0" w:line="138" w:lineRule="exact"/>
              <w:rPr>
                <w:sz w:val="20"/>
                <w:szCs w:val="20"/>
                <w:color w:val="auto"/>
              </w:rPr>
            </w:pPr>
            <w:r>
              <w:rPr>
                <w:rFonts w:ascii="Arial" w:cs="Arial" w:eastAsia="Arial" w:hAnsi="Arial"/>
                <w:sz w:val="13"/>
                <w:szCs w:val="13"/>
                <w:color w:val="0000FF"/>
                <w:w w:val="97"/>
              </w:rPr>
              <w:t>Directors, Executive Officers and Corporate Governance</w:t>
            </w:r>
          </w:p>
        </w:tc>
        <w:tc>
          <w:tcPr>
            <w:tcW w:w="3340" w:type="dxa"/>
            <w:vAlign w:val="bottom"/>
            <w:gridSpan w:val="7"/>
          </w:tcPr>
          <w:p>
            <w:pPr>
              <w:spacing w:after="0"/>
              <w:rPr>
                <w:sz w:val="11"/>
                <w:szCs w:val="11"/>
                <w:color w:val="auto"/>
              </w:rPr>
            </w:pPr>
          </w:p>
        </w:tc>
        <w:tc>
          <w:tcPr>
            <w:tcW w:w="3500" w:type="dxa"/>
            <w:vAlign w:val="bottom"/>
            <w:gridSpan w:val="2"/>
          </w:tcPr>
          <w:p>
            <w:pPr>
              <w:jc w:val="center"/>
              <w:ind w:left="3236"/>
              <w:spacing w:after="0" w:line="138" w:lineRule="exact"/>
              <w:rPr>
                <w:sz w:val="20"/>
                <w:szCs w:val="20"/>
                <w:color w:val="auto"/>
              </w:rPr>
            </w:pPr>
            <w:r>
              <w:rPr>
                <w:rFonts w:ascii="Arial" w:cs="Arial" w:eastAsia="Arial" w:hAnsi="Arial"/>
                <w:sz w:val="13"/>
                <w:szCs w:val="13"/>
                <w:color w:val="0000FF"/>
                <w:w w:val="92"/>
              </w:rPr>
              <w:t>108</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11.</w:t>
            </w:r>
          </w:p>
        </w:tc>
        <w:tc>
          <w:tcPr>
            <w:tcW w:w="3180" w:type="dxa"/>
            <w:vAlign w:val="bottom"/>
            <w:gridSpan w:val="13"/>
          </w:tcPr>
          <w:p>
            <w:pPr>
              <w:spacing w:after="0"/>
              <w:rPr>
                <w:sz w:val="20"/>
                <w:szCs w:val="20"/>
                <w:color w:val="auto"/>
              </w:rPr>
            </w:pPr>
            <w:r>
              <w:rPr>
                <w:rFonts w:ascii="Arial" w:cs="Arial" w:eastAsia="Arial" w:hAnsi="Arial"/>
                <w:sz w:val="13"/>
                <w:szCs w:val="13"/>
                <w:color w:val="0000FF"/>
              </w:rPr>
              <w:t>Executive Compensation</w:t>
            </w:r>
          </w:p>
        </w:tc>
        <w:tc>
          <w:tcPr>
            <w:tcW w:w="3340" w:type="dxa"/>
            <w:vAlign w:val="bottom"/>
            <w:gridSpan w:val="7"/>
          </w:tcPr>
          <w:p>
            <w:pPr>
              <w:spacing w:after="0"/>
              <w:rPr>
                <w:sz w:val="13"/>
                <w:szCs w:val="13"/>
                <w:color w:val="auto"/>
              </w:rPr>
            </w:pP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108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12.</w:t>
            </w:r>
          </w:p>
        </w:tc>
        <w:tc>
          <w:tcPr>
            <w:tcW w:w="6520" w:type="dxa"/>
            <w:vAlign w:val="bottom"/>
            <w:gridSpan w:val="20"/>
          </w:tcPr>
          <w:p>
            <w:pPr>
              <w:spacing w:after="0"/>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108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13.</w:t>
            </w:r>
          </w:p>
        </w:tc>
        <w:tc>
          <w:tcPr>
            <w:tcW w:w="4300" w:type="dxa"/>
            <w:vAlign w:val="bottom"/>
            <w:gridSpan w:val="16"/>
          </w:tcPr>
          <w:p>
            <w:pPr>
              <w:spacing w:after="0"/>
              <w:rPr>
                <w:sz w:val="20"/>
                <w:szCs w:val="20"/>
                <w:color w:val="auto"/>
              </w:rPr>
            </w:pPr>
            <w:r>
              <w:rPr>
                <w:rFonts w:ascii="Arial" w:cs="Arial" w:eastAsia="Arial" w:hAnsi="Arial"/>
                <w:sz w:val="13"/>
                <w:szCs w:val="13"/>
                <w:color w:val="0000FF"/>
                <w:w w:val="97"/>
              </w:rPr>
              <w:t>Certain Relationships and Related Transactions, and Director Independence</w:t>
            </w:r>
          </w:p>
        </w:tc>
        <w:tc>
          <w:tcPr>
            <w:tcW w:w="13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108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14.</w:t>
            </w:r>
          </w:p>
        </w:tc>
        <w:tc>
          <w:tcPr>
            <w:tcW w:w="4300" w:type="dxa"/>
            <w:vAlign w:val="bottom"/>
            <w:gridSpan w:val="16"/>
          </w:tcPr>
          <w:p>
            <w:pPr>
              <w:spacing w:after="0"/>
              <w:rPr>
                <w:sz w:val="20"/>
                <w:szCs w:val="20"/>
                <w:color w:val="auto"/>
              </w:rPr>
            </w:pPr>
            <w:r>
              <w:rPr>
                <w:rFonts w:ascii="Arial" w:cs="Arial" w:eastAsia="Arial" w:hAnsi="Arial"/>
                <w:sz w:val="13"/>
                <w:szCs w:val="13"/>
                <w:color w:val="0000FF"/>
              </w:rPr>
              <w:t>Principal Accountant Fees and Services</w:t>
            </w:r>
          </w:p>
        </w:tc>
        <w:tc>
          <w:tcPr>
            <w:tcW w:w="2220" w:type="dxa"/>
            <w:vAlign w:val="bottom"/>
            <w:gridSpan w:val="4"/>
          </w:tcPr>
          <w:p>
            <w:pPr>
              <w:spacing w:after="0"/>
              <w:rPr>
                <w:sz w:val="13"/>
                <w:szCs w:val="13"/>
                <w:color w:val="auto"/>
              </w:rPr>
            </w:pP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108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gridSpan w:val="4"/>
          </w:tcPr>
          <w:p>
            <w:pPr>
              <w:jc w:val="center"/>
              <w:ind w:right="1340"/>
              <w:spacing w:after="0"/>
              <w:rPr>
                <w:sz w:val="20"/>
                <w:szCs w:val="20"/>
                <w:color w:val="auto"/>
              </w:rPr>
            </w:pPr>
            <w:r>
              <w:rPr>
                <w:rFonts w:ascii="Arial" w:cs="Arial" w:eastAsia="Arial" w:hAnsi="Arial"/>
                <w:sz w:val="13"/>
                <w:szCs w:val="13"/>
                <w:b w:val="1"/>
                <w:bCs w:val="1"/>
                <w:color w:val="auto"/>
                <w:w w:val="97"/>
              </w:rPr>
              <w:t>Part IV</w:t>
            </w:r>
          </w:p>
        </w:tc>
        <w:tc>
          <w:tcPr>
            <w:tcW w:w="33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gridSpan w:val="2"/>
          </w:tcPr>
          <w:p>
            <w:pPr>
              <w:spacing w:after="0" w:line="138" w:lineRule="exact"/>
              <w:rPr>
                <w:sz w:val="20"/>
                <w:szCs w:val="20"/>
                <w:color w:val="auto"/>
              </w:rPr>
            </w:pPr>
            <w:r>
              <w:rPr>
                <w:rFonts w:ascii="Arial" w:cs="Arial" w:eastAsia="Arial" w:hAnsi="Arial"/>
                <w:sz w:val="13"/>
                <w:szCs w:val="13"/>
                <w:color w:val="auto"/>
              </w:rPr>
              <w:t>Item 15.</w:t>
            </w:r>
          </w:p>
        </w:tc>
        <w:tc>
          <w:tcPr>
            <w:tcW w:w="6520" w:type="dxa"/>
            <w:vAlign w:val="bottom"/>
            <w:gridSpan w:val="20"/>
          </w:tcPr>
          <w:p>
            <w:pPr>
              <w:spacing w:after="0" w:line="138" w:lineRule="exact"/>
              <w:rPr>
                <w:sz w:val="20"/>
                <w:szCs w:val="20"/>
                <w:color w:val="auto"/>
              </w:rPr>
            </w:pPr>
            <w:r>
              <w:rPr>
                <w:rFonts w:ascii="Arial" w:cs="Arial" w:eastAsia="Arial" w:hAnsi="Arial"/>
                <w:sz w:val="13"/>
                <w:szCs w:val="13"/>
                <w:color w:val="0000FF"/>
              </w:rPr>
              <w:t>Exhibits and Financial Statement Schedules</w:t>
            </w:r>
          </w:p>
        </w:tc>
        <w:tc>
          <w:tcPr>
            <w:tcW w:w="3500" w:type="dxa"/>
            <w:vAlign w:val="bottom"/>
            <w:gridSpan w:val="2"/>
          </w:tcPr>
          <w:p>
            <w:pPr>
              <w:jc w:val="center"/>
              <w:ind w:left="3236"/>
              <w:spacing w:after="0" w:line="138" w:lineRule="exact"/>
              <w:rPr>
                <w:sz w:val="20"/>
                <w:szCs w:val="20"/>
                <w:color w:val="auto"/>
              </w:rPr>
            </w:pPr>
            <w:r>
              <w:rPr>
                <w:rFonts w:ascii="Arial" w:cs="Arial" w:eastAsia="Arial" w:hAnsi="Arial"/>
                <w:sz w:val="13"/>
                <w:szCs w:val="13"/>
                <w:color w:val="0000FF"/>
                <w:w w:val="92"/>
              </w:rPr>
              <w:t>109</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16.</w:t>
            </w:r>
          </w:p>
        </w:tc>
        <w:tc>
          <w:tcPr>
            <w:tcW w:w="11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3"/>
                <w:szCs w:val="13"/>
                <w:color w:val="0000FF"/>
                <w:w w:val="96"/>
              </w:rPr>
              <w:t>Form 10-K Summary</w:t>
            </w:r>
          </w:p>
        </w:tc>
        <w:tc>
          <w:tcPr>
            <w:tcW w:w="1300" w:type="dxa"/>
            <w:vAlign w:val="bottom"/>
            <w:tcBorders>
              <w:top w:val="single" w:sz="8" w:color="0000FF"/>
            </w:tcBorders>
            <w:gridSpan w:val="5"/>
          </w:tcPr>
          <w:p>
            <w:pPr>
              <w:spacing w:after="0"/>
              <w:rPr>
                <w:sz w:val="13"/>
                <w:szCs w:val="13"/>
                <w:color w:val="auto"/>
              </w:rPr>
            </w:pPr>
          </w:p>
        </w:tc>
        <w:tc>
          <w:tcPr>
            <w:tcW w:w="4040" w:type="dxa"/>
            <w:vAlign w:val="bottom"/>
            <w:gridSpan w:val="10"/>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1"/>
                <w:szCs w:val="11"/>
                <w:color w:val="0000FF"/>
                <w:w w:val="76"/>
              </w:rPr>
              <w:t>111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0000FF"/>
                <w:w w:val="99"/>
              </w:rPr>
              <w:t>SIGNATURES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gridSpan w:val="2"/>
          </w:tcPr>
          <w:p>
            <w:pPr>
              <w:jc w:val="center"/>
              <w:ind w:left="3236"/>
              <w:spacing w:after="0"/>
              <w:rPr>
                <w:sz w:val="20"/>
                <w:szCs w:val="20"/>
                <w:color w:val="auto"/>
              </w:rPr>
            </w:pPr>
            <w:r>
              <w:rPr>
                <w:rFonts w:ascii="Arial" w:cs="Arial" w:eastAsia="Arial" w:hAnsi="Arial"/>
                <w:sz w:val="13"/>
                <w:szCs w:val="13"/>
                <w:color w:val="0000FF"/>
                <w:w w:val="92"/>
              </w:rPr>
              <w:t>112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SPECIAL NOTE REGARDING FORWARD LOOKING STATEMENTS</w:t>
      </w:r>
    </w:p>
    <w:p>
      <w:pPr>
        <w:spacing w:after="0" w:line="204" w:lineRule="exact"/>
        <w:rPr>
          <w:sz w:val="20"/>
          <w:szCs w:val="20"/>
          <w:color w:val="auto"/>
        </w:rPr>
      </w:pPr>
    </w:p>
    <w:p>
      <w:pPr>
        <w:ind w:right="100"/>
        <w:spacing w:after="0" w:line="275" w:lineRule="auto"/>
        <w:rPr>
          <w:sz w:val="20"/>
          <w:szCs w:val="20"/>
          <w:color w:val="auto"/>
        </w:rPr>
      </w:pPr>
      <w:r>
        <w:rPr>
          <w:rFonts w:ascii="Arial" w:cs="Arial" w:eastAsia="Arial" w:hAnsi="Arial"/>
          <w:sz w:val="12"/>
          <w:szCs w:val="12"/>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Annual Report on Form 10-K other than statements of historical fact, including, without limitation, statements regarding our execution of and the expected benefits from our restructuring initiatives and cost-saving measures,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170"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achieve and maintain future profitability;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attract and maintain Subscribers;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accurately forecast consumer demand of our products and services and adequately maintain our inventory;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execute and achieve the expected benefits of our restructuring initiatives and other cost-saving measures;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effectively manage our growth;</w:t>
      </w:r>
    </w:p>
    <w:p>
      <w:pPr>
        <w:spacing w:after="0" w:line="190" w:lineRule="exact"/>
        <w:rPr>
          <w:rFonts w:ascii="Arial" w:cs="Arial" w:eastAsia="Arial" w:hAnsi="Arial"/>
          <w:sz w:val="13"/>
          <w:szCs w:val="13"/>
          <w:color w:val="auto"/>
        </w:rPr>
      </w:pPr>
    </w:p>
    <w:p>
      <w:pPr>
        <w:ind w:left="520" w:right="260" w:hanging="260"/>
        <w:spacing w:after="0" w:line="249"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anticipate consumer preferences and successfully develop and offer new products and services in a timely manner, or effectively manage the introduction of new or enhanced products and services;</w:t>
      </w:r>
    </w:p>
    <w:p>
      <w:pPr>
        <w:spacing w:after="0" w:line="167"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demand for our products and services and growth of the Connected Fitness Products industry;</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 limited number of suppliers, contract manufacturers, and logistics partners for our Connected Fitness Products;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and lack of control over suppliers, contract manufacturers and logistics partners for our Connected Fitness Products;</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predict our long-term performance and declines in our revenue growth as our business matures;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effects of increased competition in our markets and our ability to compete effectively;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declines in sales of our Bike and Bike+;</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direct and indirect impacts to our business and financial performance from the COVID-19 pandemic;</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dependence on third-party licenses for use of music in our content;</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actual or perceived defects in, or safety of, our products, including any impact of product recalls or legal or regulatory claims, proceedings or investigations involving our products;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protect, and enhance our intellectual property;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stay in compliance with laws and regulations that currently apply or become applicable to our business both in the United States and internationally; and</w:t>
      </w:r>
    </w:p>
    <w:p>
      <w:pPr>
        <w:spacing w:after="0" w:line="200" w:lineRule="exact"/>
        <w:rPr>
          <w:rFonts w:ascii="Arial" w:cs="Arial" w:eastAsia="Arial" w:hAnsi="Arial"/>
          <w:sz w:val="13"/>
          <w:szCs w:val="13"/>
          <w:color w:val="auto"/>
        </w:rPr>
      </w:pPr>
    </w:p>
    <w:p>
      <w:pPr>
        <w:ind w:left="520" w:right="14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those risks and uncertainties described in the sections titled “Management’s Discussion and Analysis of Financial Condition and Results of Operations” in Part II, Item 7 and “Risk Factors” in Part I, Item 1A of this Annual Report on Form 10-K, as such factors may be updated in our filings with the Securities and Exchange Commission (the “SEC”).</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Annual Report on Form 10-K, and we undertake no obligation to update any of these forward-looking statements for any reason after the date of this Annual Report on Form 10-K or to conform these statements to actual results or revised expectations, except as required by law.</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You should read this Annual Report on Form 10-K, and the documents that we reference in this Annual Report on Form 10-K and have filed with the SEC, with the understanding that our actual future results, performance, and events and circumstances may be materially different from what we expect.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In this Annual Report on Form 10-K, the words “we,” “us,” “our,” and "Peloton" refer to Peloton Interactive, Inc. and its wholly owned subsidiaries, unless the context requires otherwise.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RISK FACTOR SUMMARY</w:t>
      </w:r>
    </w:p>
    <w:p>
      <w:pPr>
        <w:spacing w:after="0" w:line="20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Our business is subject to numerous risks and uncertainties, including those described in Part I, Item 1A, "Risk Factors" in this Annual Report on Form 10-K. You should carefully consider these risks and uncertainties when investing in our Class A common stock. Some of the principal risks and uncertainties include the following:</w:t>
      </w:r>
    </w:p>
    <w:p>
      <w:pPr>
        <w:spacing w:after="0" w:line="167" w:lineRule="exact"/>
        <w:rPr>
          <w:sz w:val="20"/>
          <w:szCs w:val="20"/>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incurred operating losses in the past, may incur operating losses in the future, and may not achieve or maintain profitability in the future.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be unable to attract and retain Subscribers, which could have an adverse effect on our business and rate of growth.</w:t>
      </w:r>
    </w:p>
    <w:p>
      <w:pPr>
        <w:spacing w:after="0" w:line="52"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operating results have been, and could in the future be, adversely affected if we are unable to accurately forecast consumer demand for our products and services and adequately manage our inventory.</w:t>
      </w:r>
    </w:p>
    <w:p>
      <w:pPr>
        <w:spacing w:after="0" w:line="8" w:lineRule="exact"/>
        <w:rPr>
          <w:rFonts w:ascii="Arial" w:cs="Arial" w:eastAsia="Arial" w:hAnsi="Arial"/>
          <w:sz w:val="13"/>
          <w:szCs w:val="13"/>
          <w:color w:val="auto"/>
        </w:rPr>
      </w:pPr>
    </w:p>
    <w:p>
      <w:pPr>
        <w:ind w:left="520" w:hanging="260"/>
        <w:spacing w:after="0" w:line="281"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ind w:left="520" w:hanging="260"/>
        <w:spacing w:after="0" w:line="281"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grown and the company has evolved rapidly in recent years and have limited operating experience at our current scale of operations. If we are unable to manage our longer-term growth and intervening changes effectively, our brand, company culture, and financial performance may suffer.</w:t>
      </w:r>
    </w:p>
    <w:p>
      <w:pPr>
        <w:ind w:left="52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we are unable to anticipate consumer preferences and successfully develop and offer new, innovative, and updated products and services in a timely manner, or effectively manage the introduction of new or enhanced products and services, our business may be adversely affected.</w:t>
      </w:r>
    </w:p>
    <w:p>
      <w:pPr>
        <w:spacing w:after="0" w:line="18"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connected fitness market is relatively new and, if the general market and specific demand for our products and services does not continue to grow, grows more slowly than we expect, or fails to grow as much as we expect, our business, financial condition, and operating results may be adversely affected.</w:t>
      </w:r>
    </w:p>
    <w:p>
      <w:pPr>
        <w:spacing w:after="0" w:line="8" w:lineRule="exact"/>
        <w:rPr>
          <w:rFonts w:ascii="Arial" w:cs="Arial" w:eastAsia="Arial" w:hAnsi="Arial"/>
          <w:sz w:val="13"/>
          <w:szCs w:val="13"/>
          <w:color w:val="auto"/>
        </w:rPr>
      </w:pPr>
    </w:p>
    <w:p>
      <w:pPr>
        <w:ind w:left="520" w:hanging="260"/>
        <w:spacing w:after="0" w:line="281"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rely on a limited number of suppliers, contract manufacturers, and logistics partners for our Connected Fitness Products. A loss of any of these partners could negatively affect our business.</w:t>
      </w:r>
    </w:p>
    <w:p>
      <w:pPr>
        <w:ind w:left="520" w:hanging="260"/>
        <w:spacing w:after="0" w:line="281"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past financial results may not be indicative of our future performance.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operate in a highly competitive market and we may be unable to compete successfully against existing and future competitors.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derive a significant majority of our revenue from sales of our Bike and Bike+. A decline in sales of our Bike and Bike+ would negatively affect our future revenue and operating results.</w:t>
      </w:r>
    </w:p>
    <w:p>
      <w:pPr>
        <w:spacing w:after="0" w:line="41" w:lineRule="exact"/>
        <w:rPr>
          <w:rFonts w:ascii="Arial" w:cs="Arial" w:eastAsia="Arial" w:hAnsi="Arial"/>
          <w:sz w:val="13"/>
          <w:szCs w:val="13"/>
          <w:color w:val="auto"/>
        </w:rPr>
      </w:pPr>
    </w:p>
    <w:p>
      <w:pPr>
        <w:ind w:left="520" w:hanging="260"/>
        <w:spacing w:after="0" w:line="281"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full impact of the COVID-19 pandemic, or COVID-19, its duration and any resurgence of infections is uncertain and cannot be predicted. The COVID-19 pandemic could worsen or its effects could be prolonged, including as a result of variants, which could have an adverse effect on our business, results of operations, and financial condition.</w:t>
      </w:r>
    </w:p>
    <w:p>
      <w:pPr>
        <w:ind w:left="52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success depends on our ability to maintain the value and reputation of the Peloton brand.</w:t>
      </w:r>
    </w:p>
    <w:p>
      <w:pPr>
        <w:spacing w:after="0" w:line="41"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From time to time, we may be subject to legal proceedings, regulatory investigations or disputes, and governmental inquiries that could cause us to incur significant expenses, divert our management’s attention, and materially harm our business, financial condition, and operating results.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Business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Overview</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Peloton is the largest interactive fitness platform in the world with a loyal community of over 6.9 million Members as of June 30, 2022.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(“All-Access Membership”), or a paid Peloton App subscription.</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Our world-class instructors teach classes across a variety of fitness and wellness disciplines, including indoor cycling, indoor/outdoor running and walking, Bike and Tread bootcamps, yoga, Pilates, Barre, strength training, stretching, meditation, and floor cardio. We produce hundreds of 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 xml:space="preserve">Our Connected Fitness Product portfolio includes the Peloton Bike, Bike+, Tread, Tread+, and our recently launched first connected strength product, Peloton Guide. Our revenue is generated primarily from the sale of our Connected Fitness Products and associated recurring Subscription revenue. We have historically experienced significant growth in sales of our Connected Fitness Products, which, when combined with our low Average Net Monthly Connected Fitness Churn has led to significant growth in Connected Fitness Subscriptions. From the start of fiscal </w:t>
      </w:r>
      <w:r>
        <w:rPr>
          <w:rFonts w:ascii="Arial" w:cs="Arial" w:eastAsia="Arial" w:hAnsi="Arial"/>
          <w:sz w:val="13"/>
          <w:szCs w:val="13"/>
          <w:color w:val="000000"/>
        </w:rPr>
        <w:t>2021</w:t>
      </w:r>
      <w:r>
        <w:rPr>
          <w:rFonts w:ascii="Arial" w:cs="Arial" w:eastAsia="Arial" w:hAnsi="Arial"/>
          <w:sz w:val="13"/>
          <w:szCs w:val="13"/>
          <w:color w:val="050505"/>
        </w:rPr>
        <w:t xml:space="preserve"> through fiscal 2022 year-end, Total revenue decreased 11%, and our Connected Fitness Subscription base grew 27%.</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050505"/>
        </w:rPr>
        <w:t>Our financial profile has been characterized by strong retention, recurring revenue, and efficient customer acquisition. Our low Average Net Monthly Connected Fitness Churn, together with our high</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050505"/>
        </w:rPr>
        <w:t>Subscription Contribution Margin, yields an attractive lifetime value (LTV) for our Connected Fitness subscriptions well in excess of our customer acquisition cost (CAC). Maintaining an attractive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050505"/>
        </w:rPr>
        <w:t>LTV/CAC ratio is a primary goal of our acquisition strategy.</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Our Products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Connected Fitness Products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Bike</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current Bike features a carbon steel frame, a nearly silent belt drive, durable magnetic resistance, and a 22” high-definition touchscreen with built-in stereo speakers to stream live and on-demand classes, all in a compact, 4’ by 2’ footprint. Our Bike is available in the United States, Canada, the United Kingdom, Germany, and Australia.</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Bike+</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Bike+ provides an immersive cardio experience and seamless transition to floor-based exercises with its 24”, 360 degree rotating display. Members can easily pivot and tilt the screen to add strength, yoga, and stretching to their routine or take our Bike bootcamp class series. Resistance on Bike+ is controlled digitally allowing Members to “Auto Follow” their instructors’ class programs and control resistance from the touchscreen. A powerful built-in soundbar and subwoofer system offers an improved audio experience while the integrated Apple GymKit simplifies Apple Watch pairing. Bike+ is currently available for purchase in the United States, Canada, the United Kingdom, Germany, and Australia.</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Tread</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newest addition to our Tread line has all the essential elements of the Tread+ experience but in a more affordable and compact form factor – maintaining ample running surface area and runner comfort. The Tread features a sleek belt drive, 24” touchscreen with integrated soundbar and subwoofer, and ergonomic pace and incline control knobs and jump buttons. With an immersive audio and video experience and heart rate monitor integration, Peloton Tread is designed for both on-Tread as well as floor-based bootcamp content. Tread is currently available for purchase in the United States, Canada, the United Kingdom, and Germany.</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Tread+</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Tread+ features a shock-absorbing rubber-slat belt and ball bearing system, ideal for low-impact training. Pace and incline ergonomic control knobs allow for seamless adjustments, and the 32” high-definition touchscreen features a 20-watt sound bar. Tread+ had only been available for sale in the United States, however, on May 5, 2021, we decided to issue a voluntary product recall on Tread+, which we are conducting in collaboration with the Consumer Product Safety Commission ("CPSC"). At this time, we are not able to forecast a date for sales to resume in the United States. See Part I,</w:t>
      </w:r>
    </w:p>
    <w:p>
      <w:pPr>
        <w:spacing w:after="0"/>
        <w:rPr>
          <w:sz w:val="20"/>
          <w:szCs w:val="20"/>
          <w:color w:val="auto"/>
        </w:rPr>
      </w:pPr>
      <w:r>
        <w:rPr>
          <w:rFonts w:ascii="Arial" w:cs="Arial" w:eastAsia="Arial" w:hAnsi="Arial"/>
          <w:sz w:val="13"/>
          <w:szCs w:val="13"/>
          <w:color w:val="auto"/>
        </w:rPr>
        <w:t>Item 1A "</w:t>
      </w:r>
      <w:r>
        <w:rPr>
          <w:rFonts w:ascii="Arial" w:cs="Arial" w:eastAsia="Arial" w:hAnsi="Arial"/>
          <w:sz w:val="13"/>
          <w:szCs w:val="13"/>
          <w:i w:val="1"/>
          <w:iCs w:val="1"/>
          <w:color w:val="auto"/>
        </w:rPr>
        <w:t>Risk Factors — Risks Related to Our Connected Fitness Products and Members.</w:t>
      </w:r>
      <w:r>
        <w:rPr>
          <w:rFonts w:ascii="Arial" w:cs="Arial" w:eastAsia="Arial" w:hAnsi="Arial"/>
          <w:sz w:val="13"/>
          <w:szCs w:val="13"/>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i w:val="1"/>
          <w:iCs w:val="1"/>
          <w:color w:val="auto"/>
        </w:rPr>
        <w:t>Guide</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Guide is our first connected fitness strength product designed to further enhance the full-body workout experience through a number of unique product features. Guide is supported with dedicated content, including exclusive programs for all levels, live body-training classes with instructors, and an extensive move library to help Members learn and perfect proper form. Guide is currently available for purchase in the United States, Canada, the United Kingdom, and Australia.</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50505"/>
        </w:rPr>
        <w:t>Subscriptions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Connected Fitness Subscriptions</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 xml:space="preserve">Our Connected Fitness Subscriptions are on a month-to-month basis, allow for multiple household users, and provide unlimited access to all live and on-demand classes. Our Connected Fitness Subscription allows Members to access classes through our Connected Fitness Products, compete on our motivating leaderboard, track performance metrics, and connect and interact with the broader Peloton community. Our Connected Fitness Subscription also includes access to our content through Peloton Digital, our digital app, which is available through iOS and Android mobile devices and most tablets and computers. On average, we had </w:t>
      </w:r>
      <w:r>
        <w:rPr>
          <w:rFonts w:ascii="Arial" w:cs="Arial" w:eastAsia="Arial" w:hAnsi="Arial"/>
          <w:sz w:val="13"/>
          <w:szCs w:val="13"/>
          <w:color w:val="000000"/>
        </w:rPr>
        <w:t>2.1</w:t>
      </w:r>
      <w:r>
        <w:rPr>
          <w:rFonts w:ascii="Arial" w:cs="Arial" w:eastAsia="Arial" w:hAnsi="Arial"/>
          <w:sz w:val="13"/>
          <w:szCs w:val="13"/>
          <w:color w:val="050505"/>
        </w:rPr>
        <w:t xml:space="preserve"> Members per Connected Fitness Subscription as of June 30, 2022.</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Peloton Digital</w:t>
      </w:r>
    </w:p>
    <w:p>
      <w:pPr>
        <w:spacing w:after="0" w:line="3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050505"/>
        </w:rPr>
        <w:t>Peloton Digital began as a companion app for Connected Fitness Subscriptions to provide access to our classes while our Members were away from their Connected Fitness Products. A Peloton Digital Subscriber is an individual who has a paid Peloton Digital subscription with a successful credit card billing.</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Peloton Digital is included with all Connected Fitness Subscriptions. As of June 30, 2022, 71% of our Members on Connected Fitness Subscriptions used Peloton Digital to supplement their workout regimen. Peloton Digital also helps us attract new Connected Fitness Subscriptions by serving as an acquisition tool for new Members.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Peloton Digital workouts include indoor/outdoor running and walking, Bike and Tread bootcamps, yoga, Pilates, Barre, strength training, stretching, meditation, and floor cardio. Our Members have shown strong interest in these new verticals; in fiscal 2022, 56% of workouts completed were across non-cycling fitness verticals.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Our Integrated Fitness Platform</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Technology</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050505"/>
        </w:rPr>
        <w:t>Our content delivery and interactive software platform are critical to our Member experience. We invest substantial resources in research and development to enhance our platform, develop new products and features, and improve the speed, scalability, and security of our platform infrastructure. Our research and development organization consists of world-class engineering, product, and design teams. Our engineering, product, and design teams work together to bring our products to life, from conception and validation to implementation. We constantly improve our existing Connected Fitness Products through frequent software updates, rapid iteration of feature enhancements, and new innovations.</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Our video streaming pipeline utilizes cloud providers for stream generation, storage, and distribution. The integration with these providers is customized and developed by our engineering team and is designed to integrate with our product and systems. This enables a high-quality Member experience and high availability of services across diverse consumer platforms and geographies.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Content and Music</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 xml:space="preserve">We create engaging, </w:t>
      </w:r>
      <w:r>
        <w:rPr>
          <w:rFonts w:ascii="Arial" w:cs="Arial" w:eastAsia="Arial" w:hAnsi="Arial"/>
          <w:sz w:val="13"/>
          <w:szCs w:val="13"/>
          <w:color w:val="000000"/>
        </w:rPr>
        <w:t>original fitness and wellness content in an authentic live environment that is immersive and motivating while encouraging a sense of community. We combine high production value</w:t>
      </w:r>
      <w:r>
        <w:rPr>
          <w:rFonts w:ascii="Arial" w:cs="Arial" w:eastAsia="Arial" w:hAnsi="Arial"/>
          <w:sz w:val="13"/>
          <w:szCs w:val="13"/>
          <w:color w:val="050505"/>
        </w:rPr>
        <w:t xml:space="preserve"> </w:t>
      </w:r>
      <w:r>
        <w:rPr>
          <w:rFonts w:ascii="Arial" w:cs="Arial" w:eastAsia="Arial" w:hAnsi="Arial"/>
          <w:sz w:val="13"/>
          <w:szCs w:val="13"/>
          <w:color w:val="000000"/>
        </w:rPr>
        <w:t>content with a broad catalog of music to create a truly unique fitness experience our Members love.</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We use performance data to understand our Members’ workout habits in order to evolve and optimize our programming around class type, length, music, and other considerations. We have developed a diverse content library with thousands of classes across an extensive range of class lengths, difficulty levels, and fitness preferences ranging from fun and flexible to structured and highly technical, all of which our Members easily access through filtering and search capabilities. As of June 30, 2022, we produce original programs from our production studios in New York City and London, with 54 instructors, and across 14 fitness and wellness disciplines including indoor Cycling, Tread, Outdoor Running and Walking, Bike and Tread bootcamps, Yoga, Strength Training, Pilates, Barre, Stretching, Meditation, Floor Cardio, and Dance Cardio. We have additionally updated our Scenic Content to include instructor-guided content shot in beautiful locations with multi-channel Scenic Radio options, as well as Lanebreak, a gamified workout feature that allows members to experience an animated workout as an alternative to original programming.</w:t>
      </w:r>
    </w:p>
    <w:p>
      <w:pPr>
        <w:spacing w:after="0" w:line="18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050505"/>
        </w:rPr>
        <w:t>As we further expand internationally, we intend to develop localized content, as we have done in the United Kingdom and Germany. As we expand into other non-English-speaking countries, we intend to produce classes in local languages from our existing studios and use subtitling for English-speaking users. We currently produce our content in three languages: English, German, and Spanish.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3"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i w:val="1"/>
          <w:iCs w:val="1"/>
          <w:color w:val="auto"/>
        </w:rPr>
        <w:t>Instructors</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In front of the camera, our instructors play a critical role in bringing the Peloton experience to life for our Members. Our instructors are not only authorities in their respective areas of fitness, but also relatable, magnetic personalities who inspire passionate followings. We offer a diverse cast of instructors that allows us to appeal to a broad audience of Members. Our instructors inspire our Members off-camera by attending showroom openings and other Member-focused events, like Homecoming, where they meet and interact with our Members. Our Members feel connected to our instructors and many Members travel long distances to take a live class at our Peloton studios.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Production Team</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Behind the camera, our studio production teams are dedicated to creative excellence. We have top production talent representing decades of experience at major broadcast and cable networks, some of whom have won Emmy Awards for production excellence. Our teams provide dedicated creative support to our instructors before, during, and after live productions with the help of content performance data. All classes are shot in broadcast quality environments with a fraction of the staff and budget typical of a major network show. This allows us to deliver a constant stream of live-produced, authentic fitness and wellness programming with cinematic quality that provides clarity of instruction and entertainment value.</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Music and Music Technology</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050505"/>
        </w:rPr>
        <w:t>We have developed a proprietary music platform that fuels the workout experience allowing our instructors to program curated playlists that align with our Members’ musical preferences. As of June 30, 2022, we had over 4 million active tracks under license, representing one of the largest audiovisual connected fitness music catalogs in the world. Our curated music is as diverse and dynamic as the Members we serve, delivering an exceptional musical experience created by instructors and music supervisors on our production team.</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We control the intersection of fitness and music in a deeply engaging way, motivating Members to achieve their fitness goals while discovering great music in the process. Peloton has become noteworthy as a music-forward brand and discovery platform for new artists and songs while also providing the opportunity for our Members to engage in a new way to the music they love. Members consistently rank music as one of their favorite aspects of the Peloton experience. We believe we have taken a leading position in the fitness and wellness category by defining new standards for musical content partnership campaigns that feature some of the most recognizable global talent in the industry. This also includes the development of our signature Artist Series which celebrate the legacy and catalog of some of the most prominent names in the business. We premiere new music exclusives available only on Peloton, and collaborate closely with artist teams across a variety of productions including remixes, curation, custom content, and guest platform appearances, all based on their own music or influences.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050505"/>
        </w:rPr>
        <w:t>We have applied, and will continue to apply, technological solutions and an artist-centric partnership strategy to enhance our music platform including:</w:t>
      </w:r>
    </w:p>
    <w:p>
      <w:pPr>
        <w:spacing w:after="0" w:line="201"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050505"/>
        </w:rPr>
        <w:t>Development of data-driven playlist recommendations for our instructors and music supervisors to use in programming;</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050505"/>
        </w:rPr>
        <w:t>Song search and filtering optimizations, including the ability to search by song length and beats per minute;</w:t>
      </w: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050505"/>
        </w:rPr>
        <w:t>Automation of music rights management and reporting;</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050505"/>
        </w:rPr>
        <w:t>For Members, a display of every song played in a class, including artist name and associated artwork;</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050505"/>
        </w:rPr>
        <w:t>Ability for Members to “like” songs they discover anywhere on our platform and save it to their profile;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050505"/>
        </w:rPr>
        <w:t>Spotify and Apple Music integrations, enabling Members to sync songs they hear on Peloton to their streaming service; 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050505"/>
        </w:rPr>
      </w:pPr>
      <w:r>
        <w:rPr>
          <w:rFonts w:ascii="Arial" w:cs="Arial" w:eastAsia="Arial" w:hAnsi="Arial"/>
          <w:sz w:val="13"/>
          <w:szCs w:val="13"/>
          <w:color w:val="050505"/>
        </w:rPr>
        <w:t>Strengthening and leveraging artist partnerships on and off-platform for deeper membership engagement and heightened brand profile.</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Music Rights Strategy</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We have built a world class music rights content management and reporting system to meet the needs of our music rights holders in order to support our highly-engaged, growing global community. Peloton is increasingly seen by our partners as an impactful music discovery platform, which has created opportunities to progressively and meaningfully enhance our classes with custom music experiences. We expect this to continue as we invest in music-first technology to improve the quality of our Members’ experience, strengthen our competitive advantage over other fitness platforms, and add value to our Members.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Our goal is to increase brand awareness and purchase intent for our Connected Fitness Products and Subscriptions. We use a unique combination of brand and product-specific performance marketing to build brand awareness and generate predictable sales of our Connected Fitness Products.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050505"/>
        </w:rPr>
        <w:t>Video has been the strongest medium to communicate the features of the Peloton platform. We primarily market through advertisements on broadcast and cable television, social media, and over-the-top providers such as Hulu and YouTube to reach our target audience, focusing on incremental return on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 to Consumer, Multi-Channel Sales Model</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050505"/>
        </w:rPr>
        <w:t>We sell our products directly to customers through a multi-channel sales platform that includes e-commerce, inside sales, showrooms, and in a small number of cases, a "store within store" concept.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050505"/>
        </w:rPr>
        <w:t>Our sales associates use robust customer relationship management tools to deliver an elevated, personalized, and educational purchase experience, regardless of channel of capture and conversion.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2" w:right="319" w:bottom="1440" w:gutter="0" w:footer="0" w:header="0"/>
        </w:sectPr>
      </w:pPr>
    </w:p>
    <w:bookmarkStart w:id="8" w:name="page9"/>
    <w:bookmarkEnd w:id="8"/>
    <w:p>
      <w:pPr>
        <w:jc w:val="both"/>
        <w:ind w:left="520" w:hanging="260"/>
        <w:spacing w:after="0" w:line="261"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050505"/>
        </w:rPr>
        <w:t xml:space="preserve">E-Commerce and Inside Sales: </w:t>
      </w:r>
      <w:r>
        <w:rPr>
          <w:rFonts w:ascii="Arial" w:cs="Arial" w:eastAsia="Arial" w:hAnsi="Arial"/>
          <w:sz w:val="13"/>
          <w:szCs w:val="13"/>
          <w:color w:val="050505"/>
        </w:rPr>
        <w:t>Our desktop and mobile websites, www.onepeloton.com, www.onepeloton.co.uk, www.onepeloton.de, www.onepeloton.ca, and www.onepeloton.com.au</w:t>
      </w:r>
      <w:r>
        <w:rPr>
          <w:rFonts w:ascii="Arial" w:cs="Arial" w:eastAsia="Arial" w:hAnsi="Arial"/>
          <w:sz w:val="13"/>
          <w:szCs w:val="13"/>
          <w:i w:val="1"/>
          <w:iCs w:val="1"/>
          <w:color w:val="050505"/>
        </w:rPr>
        <w:t xml:space="preserve"> </w:t>
      </w:r>
      <w:r>
        <w:rPr>
          <w:rFonts w:ascii="Arial" w:cs="Arial" w:eastAsia="Arial" w:hAnsi="Arial"/>
          <w:sz w:val="13"/>
          <w:szCs w:val="13"/>
          <w:color w:val="050505"/>
        </w:rPr>
        <w:t>provide an elevated brand experience where visitors can learn about our products and services and access product reviews. Our inside sales team engages with customers by phone, email, and online chat on our websites, and offers one-on-one sales consultations seven days a week.</w:t>
      </w:r>
    </w:p>
    <w:p>
      <w:pPr>
        <w:spacing w:after="0" w:line="148"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6"/>
        </w:numPr>
        <w:rPr>
          <w:rFonts w:ascii="Arial" w:cs="Arial" w:eastAsia="Arial" w:hAnsi="Arial"/>
          <w:sz w:val="13"/>
          <w:szCs w:val="13"/>
          <w:color w:val="050505"/>
        </w:rPr>
      </w:pPr>
      <w:r>
        <w:rPr>
          <w:rFonts w:ascii="Arial" w:cs="Arial" w:eastAsia="Arial" w:hAnsi="Arial"/>
          <w:sz w:val="13"/>
          <w:szCs w:val="13"/>
          <w:i w:val="1"/>
          <w:iCs w:val="1"/>
          <w:color w:val="050505"/>
        </w:rPr>
        <w:t xml:space="preserve">Showrooms: </w:t>
      </w:r>
      <w:r>
        <w:rPr>
          <w:rFonts w:ascii="Arial" w:cs="Arial" w:eastAsia="Arial" w:hAnsi="Arial"/>
          <w:sz w:val="13"/>
          <w:szCs w:val="13"/>
          <w:color w:val="050505"/>
        </w:rPr>
        <w:t>Our showrooms allow customers to experience and try our products. We provide interactive product demonstrations and many of our showrooms have private areas where</w:t>
      </w:r>
      <w:r>
        <w:rPr>
          <w:rFonts w:ascii="Arial" w:cs="Arial" w:eastAsia="Arial" w:hAnsi="Arial"/>
          <w:sz w:val="13"/>
          <w:szCs w:val="13"/>
          <w:i w:val="1"/>
          <w:iCs w:val="1"/>
          <w:color w:val="050505"/>
        </w:rPr>
        <w:t xml:space="preserve"> </w:t>
      </w:r>
      <w:r>
        <w:rPr>
          <w:rFonts w:ascii="Arial" w:cs="Arial" w:eastAsia="Arial" w:hAnsi="Arial"/>
          <w:sz w:val="13"/>
          <w:szCs w:val="13"/>
          <w:color w:val="050505"/>
        </w:rPr>
        <w:t>customers can do a “test ride” or “test run.” We frequently host Peloton community events in our showrooms, which help deepen brand engagement and loyalty.</w:t>
      </w:r>
    </w:p>
    <w:p>
      <w:pPr>
        <w:spacing w:after="0" w:line="167" w:lineRule="exact"/>
        <w:rPr>
          <w:rFonts w:ascii="Arial" w:cs="Arial" w:eastAsia="Arial" w:hAnsi="Arial"/>
          <w:sz w:val="13"/>
          <w:szCs w:val="13"/>
          <w:color w:val="050505"/>
        </w:rPr>
      </w:pPr>
    </w:p>
    <w:p>
      <w:pPr>
        <w:jc w:val="both"/>
        <w:ind w:left="520" w:hanging="260"/>
        <w:spacing w:after="0" w:line="261"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050505"/>
        </w:rPr>
        <w:t xml:space="preserve">Commercial: </w:t>
      </w:r>
      <w:r>
        <w:rPr>
          <w:rFonts w:ascii="Arial" w:cs="Arial" w:eastAsia="Arial" w:hAnsi="Arial"/>
          <w:sz w:val="13"/>
          <w:szCs w:val="13"/>
          <w:color w:val="050505"/>
        </w:rPr>
        <w:t>The commercial and hospitality markets represent a small percentage of sales but are important to driving trial and brand awareness. Our Bikes in hospitality locations help keep</w:t>
      </w:r>
      <w:r>
        <w:rPr>
          <w:rFonts w:ascii="Arial" w:cs="Arial" w:eastAsia="Arial" w:hAnsi="Arial"/>
          <w:sz w:val="13"/>
          <w:szCs w:val="13"/>
          <w:i w:val="1"/>
          <w:iCs w:val="1"/>
          <w:color w:val="050505"/>
        </w:rPr>
        <w:t xml:space="preserve"> </w:t>
      </w:r>
      <w:r>
        <w:rPr>
          <w:rFonts w:ascii="Arial" w:cs="Arial" w:eastAsia="Arial" w:hAnsi="Arial"/>
          <w:sz w:val="13"/>
          <w:szCs w:val="13"/>
          <w:color w:val="050505"/>
        </w:rPr>
        <w:t>our Members riding when they travel, creating further Member engagement, loyalty, and convenience. Across our markets as of June 30, 2022, there were approximately 18,000 Peloton Bikes in over 8,000 commercial locations.</w:t>
      </w:r>
    </w:p>
    <w:p>
      <w:pPr>
        <w:spacing w:after="0" w:line="159"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6"/>
        </w:numPr>
        <w:rPr>
          <w:rFonts w:ascii="Arial" w:cs="Arial" w:eastAsia="Arial" w:hAnsi="Arial"/>
          <w:sz w:val="13"/>
          <w:szCs w:val="13"/>
          <w:color w:val="050505"/>
        </w:rPr>
      </w:pPr>
      <w:r>
        <w:rPr>
          <w:rFonts w:ascii="Arial" w:cs="Arial" w:eastAsia="Arial" w:hAnsi="Arial"/>
          <w:sz w:val="13"/>
          <w:szCs w:val="13"/>
          <w:i w:val="1"/>
          <w:iCs w:val="1"/>
          <w:color w:val="050505"/>
        </w:rPr>
        <w:t xml:space="preserve">Corporate Wellness: </w:t>
      </w:r>
      <w:r>
        <w:rPr>
          <w:rFonts w:ascii="Arial" w:cs="Arial" w:eastAsia="Arial" w:hAnsi="Arial"/>
          <w:sz w:val="13"/>
          <w:szCs w:val="13"/>
          <w:color w:val="050505"/>
        </w:rPr>
        <w:t>Our Corporate Wellness program provides employers, insurers, and other partners with the opportunity to offer their employees and Members subsidized access to</w:t>
      </w:r>
      <w:r>
        <w:rPr>
          <w:rFonts w:ascii="Arial" w:cs="Arial" w:eastAsia="Arial" w:hAnsi="Arial"/>
          <w:sz w:val="13"/>
          <w:szCs w:val="13"/>
          <w:i w:val="1"/>
          <w:iCs w:val="1"/>
          <w:color w:val="050505"/>
        </w:rPr>
        <w:t xml:space="preserve"> </w:t>
      </w:r>
      <w:r>
        <w:rPr>
          <w:rFonts w:ascii="Arial" w:cs="Arial" w:eastAsia="Arial" w:hAnsi="Arial"/>
          <w:sz w:val="13"/>
          <w:szCs w:val="13"/>
          <w:color w:val="050505"/>
        </w:rPr>
        <w:t>Peloton Digital subscriptions, All Access Memberships, and/or Connected Fitness Products and delivers on our oft-stated goal to make Peloton even more accessible.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Additionally, with our announcement in August 2022 that Peloton Bike, Guide, and select accessories and apparel are available for purchase in Amazon's U.S. stores, we have begun and expect to continue to broaden our sales channels, including through distribution to third-party retailers.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Showroom Sites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050505"/>
        </w:rPr>
        <w:t>As of June 30, 2022, we operated 135 retail locations across the United States, Canada, the United Kingdom, Australia, and Germany. Our retail locations are located primarily in upscale malls, lifestyle centers, and premium street locations. When evaluating potential new markets, we carefully examine historical sales data, key demographics, traffic patterns, geographic locations, and co-tenancy of other complementary lifestyle-oriented retailers. In the United States, we attempt to cluster stores around major urban markets and suburbs while also operating in super regional and regional centers that draw from a greater trade area. In Canada, Germany, Australia, and the United Kingdom, we will continue to focus on major urban markets.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050505"/>
        </w:rPr>
        <w:t>We operate three retail formats including our large showrooms which range from 1,500 to 3,000 square feet and “microstores” which are typically around 300 square feet. Large showrooms comprise 75% of our retail locations and provide space for Connected Fitness Products and Peloton-branded apparel, as well as private areas for “test rides” and “test runs.” Microstores represent 5% of our retail locations and are typically placed in highly visible “center court” areas. Concession stores represent 20% of our retail locations and consist of a presence within a partner's retail space in the U.K., Australia, and Germany. Our large showroom leases are typically five to ten years in lease duration while microstores are typically open for up to 1.5 years. Microstores allow us to test markets and specific shopping areas, and provide a temporary location while searching for the ideal large showroom space.</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On August 12, 2022, as part of our previously announced ongoing restructuring initiatives, we announced the decision to rebalance our e-commerce and retail mix to drive efficiencies and therefore reduce our retail showroom presence across North America.</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Membership &amp; Member Support Services</w:t>
      </w:r>
    </w:p>
    <w:p>
      <w:pPr>
        <w:spacing w:after="0" w:line="41"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050505"/>
        </w:rPr>
        <w:t>The Membership team, which includes third-party support providers, is focused on driving engagement to help us maintain our high Connected Fitness Subscription retention rates. The team develops new ways to promote engagement with our products and community or help Members reengage with our platform when activity has lapsed. The Membership team helps curate goal-based challenges, awards digital badges for Member accomplishments, and sends Peloton-branded “Century Club” shirts after a Member’s 100</w:t>
      </w:r>
      <w:r>
        <w:rPr>
          <w:rFonts w:ascii="Arial" w:cs="Arial" w:eastAsia="Arial" w:hAnsi="Arial"/>
          <w:sz w:val="16"/>
          <w:szCs w:val="16"/>
          <w:color w:val="050505"/>
          <w:vertAlign w:val="superscript"/>
        </w:rPr>
        <w:t>th</w:t>
      </w:r>
      <w:r>
        <w:rPr>
          <w:rFonts w:ascii="Arial" w:cs="Arial" w:eastAsia="Arial" w:hAnsi="Arial"/>
          <w:sz w:val="13"/>
          <w:szCs w:val="13"/>
          <w:color w:val="050505"/>
        </w:rPr>
        <w:t xml:space="preserve"> class. The team also communicates with Members with no recent activity through email campaigns that help encourage these Members to get back to their workout routine. In addition, the Membership team collects and responds to feedback about our platform that is on our primary Facebook group of over 469,000 Members as of June 30, 2022.</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In order to bring our community together, we organize several in-person events throughout the year including to welcome Members for workouts, celebrate milestones, and attend instructor meet-and-greets at our production studios in New York City and London. We also host Members at our showrooms, and celebrate our Members with our flagship Member event, Peloton Homecoming, held in New York City and remotely each May. While all in-person events were cancelled during the COVID-19 pandemic, we re-opened our Peloton Studios in New York to the public in July 2022 and have resumed some in-person events.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The Member Support team, along with our third-party support providers, serves all the needs of our customers and Members including sales support, scheduling, delivery, installation, account and billing inquiries, product trouble-shooting and repair, product education, returns and exchanges, and anything else our Members need.</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Manufacturing and Logistics</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We have historically manufactured and assembled our products in-house, as well as through third parties, and in July 2022, we announced a shift to utilizing third-party manufacturing partners for 100% of our products. The components used in our products are procured on our behalf using our designs by our contract manufacturers, according to our required design specifications and high</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9" w:name="page10"/>
    <w:bookmarkEnd w:id="9"/>
    <w:p>
      <w:pPr>
        <w:jc w:val="both"/>
        <w:spacing w:after="0" w:line="266" w:lineRule="auto"/>
        <w:rPr>
          <w:sz w:val="20"/>
          <w:szCs w:val="20"/>
          <w:color w:val="auto"/>
        </w:rPr>
      </w:pPr>
      <w:r>
        <w:rPr>
          <w:rFonts w:ascii="Arial" w:cs="Arial" w:eastAsia="Arial" w:hAnsi="Arial"/>
          <w:sz w:val="13"/>
          <w:szCs w:val="13"/>
          <w:color w:val="050505"/>
        </w:rPr>
        <w:t>standards, from a variety of suppliers. In order to account for technology evolution and market fluctuations, we regularly review our relationships with our existing contract manufacturers and the components suppliers that they contract with, while evaluating prospective new partnerships.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We purchase from our primary contract manufacturers on a purchase order basis. Under our governing agreements, our contract manufacturers must follow our established product design specifications, quality assurance programs, and manufacturing standards. We have developed relationships with our partners to maintain access to the resources needed to scale seasonally and ensure our partners have the requisite experience to produce our Connected Fitness Products and accessories. We pay for and own certain tooling and equipment specifically required to manufacture our products to have control of supply and component pipelines.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050505"/>
        </w:rPr>
        <w:t>In an attempt to mitigate against the risks related to a single source of supply, we qualify alternative suppliers and manufacturers when possible, and develop contingency plans for responding to disruptions, such as maintaining buffer inventory of single source components or utilizing alternative freight lanes that can have cost implications. However, given the current global supply and freight constraints, or natural disasters, we face challenges with various manufacturing related component shortages.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Logistics and Fulfillment</w:t>
      </w:r>
    </w:p>
    <w:p>
      <w:pPr>
        <w:spacing w:after="0" w:line="2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050505"/>
        </w:rPr>
        <w:t>Historically, we have used a combination of contracted third-party logistics providers (“3PLs”) and owned assets in our logistics network which includes middle mile and last mile operations centers in the United States, Canada, Germany and the United Kingdom. In the Australian market, we have utilized contracted services for the entire logistics network.</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We are moving towards exclusively utilizing 3PL partners for our last mile network in North America and are actively exploring similar transitions to a more variable network in our international markets. This shift in logistics strategy is meant to allow us to further scale our delivery capabilities and to drive improvements in speed of service, cost and geographical reach, all while maintaining flexibility. We seek out 3PL partners who are highly-trained experts on our products and services and offer product education, assistance with account set up, tips and recommendations for product care as well as content selection.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050505"/>
        </w:rPr>
        <w:t>With our commitment to our Members-first approach, we will continue to invest to strengthen our field operations’ coverage, and improved delivery experience and service.</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Intellectual Property</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As of June 30, 2022, we held 158 U.S. issued patents and had 72 U.S. patent applications pending. We also held 259 issued patents in foreign jurisdictions and 206 patent applications pending in foreign jurisdictions. Our U.S. issued patents expire between May 9, 2023 and November 24, 2040. As of June 30, 2022, we held 41 registered trademarks in the United States, including the Peloton mark and our “P” logo and also held 566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050505"/>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Competition</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050505"/>
        </w:rPr>
        <w:t>We believe that our first-mover advantage, leading market position, brand recognition, and integrated platform set us apart in the market for connected, technology-enabled fitness. We provide a superior value proposition and benefit from the clear endorsement of our Connected Fitness Subscription and mobile app solutions, giving us a competitive advantage versus traditional fitness and wellness products and services, and future potential entrants.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While we believe we are changing the consumption patterns for fitness and growing the market, our main sources of competition include in-studio fitness classes, fitness clubs, at-home fitness equipment and content, and health and wellness apps.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050505"/>
        </w:rPr>
        <w:t>The areas in which we compete include:</w:t>
      </w:r>
    </w:p>
    <w:p>
      <w:pPr>
        <w:spacing w:after="0" w:line="190" w:lineRule="exact"/>
        <w:rPr>
          <w:sz w:val="20"/>
          <w:szCs w:val="20"/>
          <w:color w:val="auto"/>
        </w:rPr>
      </w:pPr>
    </w:p>
    <w:p>
      <w:pPr>
        <w:ind w:left="520" w:right="160" w:hanging="260"/>
        <w:spacing w:after="0" w:line="256"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050505"/>
        </w:rPr>
        <w:t xml:space="preserve">Consumers and Engagement. </w:t>
      </w:r>
      <w:r>
        <w:rPr>
          <w:rFonts w:ascii="Arial" w:cs="Arial" w:eastAsia="Arial" w:hAnsi="Arial"/>
          <w:sz w:val="13"/>
          <w:szCs w:val="13"/>
          <w:color w:val="050505"/>
        </w:rPr>
        <w:t>We compete for consumers to join our platform through Connected Fitness Subscriptions or Peloton Digital subscriptions, and we seek to engage and retain</w:t>
      </w:r>
      <w:r>
        <w:rPr>
          <w:rFonts w:ascii="Arial" w:cs="Arial" w:eastAsia="Arial" w:hAnsi="Arial"/>
          <w:sz w:val="13"/>
          <w:szCs w:val="13"/>
          <w:b w:val="1"/>
          <w:bCs w:val="1"/>
          <w:i w:val="1"/>
          <w:iCs w:val="1"/>
          <w:color w:val="050505"/>
        </w:rPr>
        <w:t xml:space="preserve"> </w:t>
      </w:r>
      <w:r>
        <w:rPr>
          <w:rFonts w:ascii="Arial" w:cs="Arial" w:eastAsia="Arial" w:hAnsi="Arial"/>
          <w:sz w:val="13"/>
          <w:szCs w:val="13"/>
          <w:color w:val="050505"/>
        </w:rPr>
        <w:t>them through an integrated experience that combines content, software, service, and community.</w:t>
      </w:r>
    </w:p>
    <w:p>
      <w:pPr>
        <w:ind w:left="500" w:hanging="240"/>
        <w:spacing w:after="0"/>
        <w:tabs>
          <w:tab w:leader="none" w:pos="500" w:val="left"/>
        </w:tabs>
        <w:numPr>
          <w:ilvl w:val="0"/>
          <w:numId w:val="7"/>
        </w:numPr>
        <w:rPr>
          <w:rFonts w:ascii="Arial" w:cs="Arial" w:eastAsia="Arial" w:hAnsi="Arial"/>
          <w:sz w:val="13"/>
          <w:szCs w:val="13"/>
          <w:color w:val="050505"/>
        </w:rPr>
      </w:pPr>
      <w:r>
        <w:rPr>
          <w:rFonts w:ascii="Arial" w:cs="Arial" w:eastAsia="Arial" w:hAnsi="Arial"/>
          <w:sz w:val="13"/>
          <w:szCs w:val="13"/>
          <w:b w:val="1"/>
          <w:bCs w:val="1"/>
          <w:i w:val="1"/>
          <w:iCs w:val="1"/>
          <w:color w:val="050505"/>
        </w:rPr>
        <w:t xml:space="preserve">Product Offering. </w:t>
      </w:r>
      <w:r>
        <w:rPr>
          <w:rFonts w:ascii="Arial" w:cs="Arial" w:eastAsia="Arial" w:hAnsi="Arial"/>
          <w:sz w:val="13"/>
          <w:szCs w:val="13"/>
          <w:color w:val="050505"/>
        </w:rPr>
        <w:t>We compete with producers of fitness products and services and work to ensure that our platform maintains the most innovative technology and user-friendly features.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0" w:name="page11"/>
    <w:bookmarkEnd w:id="10"/>
    <w:p>
      <w:pPr>
        <w:ind w:left="520" w:hanging="260"/>
        <w:spacing w:after="0" w:line="266"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050505"/>
        </w:rPr>
        <w:t xml:space="preserve">Talent. </w:t>
      </w:r>
      <w:r>
        <w:rPr>
          <w:rFonts w:ascii="Arial" w:cs="Arial" w:eastAsia="Arial" w:hAnsi="Arial"/>
          <w:sz w:val="13"/>
          <w:szCs w:val="13"/>
          <w:color w:val="050505"/>
        </w:rPr>
        <w:t>We compete for talent in every vertical across our company including technology, media, fitness, design, supply chain, logistics, music, marketing, finance, strategy, legal, and retail. As</w:t>
      </w:r>
      <w:r>
        <w:rPr>
          <w:rFonts w:ascii="Arial" w:cs="Arial" w:eastAsia="Arial" w:hAnsi="Arial"/>
          <w:sz w:val="13"/>
          <w:szCs w:val="13"/>
          <w:b w:val="1"/>
          <w:bCs w:val="1"/>
          <w:i w:val="1"/>
          <w:iCs w:val="1"/>
          <w:color w:val="050505"/>
        </w:rPr>
        <w:t xml:space="preserve"> </w:t>
      </w:r>
      <w:r>
        <w:rPr>
          <w:rFonts w:ascii="Arial" w:cs="Arial" w:eastAsia="Arial" w:hAnsi="Arial"/>
          <w:sz w:val="13"/>
          <w:szCs w:val="13"/>
          <w:color w:val="050505"/>
        </w:rPr>
        <w:t>our platform is highly dependent on technology, hardware, and software, we require a significant base of engineers to continue innovating.</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The principal competitive factors that companies in our industry need to consider include, but are not limited to: total cost, supply chain efficiency across sourcing and procurement, manufacturing and logistics,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Government Regulation</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We are subject to many varying laws and regulations in the United States, the United Kingdom, the European Union and throughout the world, including those related to privacy, data protection, content regulation, intellectual property, consumer protection, e-commerce, marketing, advertising, messaging, rights of publicity, health and safety, employment and labor, product quality and safety, accessibility, competition, customs and international trade,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other restrictions that may affect the accessibility or usability of any or all of our products and services for an extended period of time or indefinitely.</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Seasonality</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050505"/>
        </w:rPr>
        <w:t>Historically, we have experienced higher revenue in the second and third quarters of the fiscal year compared to other quarters, due in large part to seasonal holiday demand, New Year’s resolutions, and cold weather. We also have historically incurred higher sales and marketing expenses during these periods. For example, in fiscal 2018 and 2019, our second and third quarters combined each represented 63% of our Total revenue for the applicable fiscal year. However, in fiscal 2020, we saw a significant increase in demand in the fourth quarter related to the onset of the COVID-19 pandemic, and in contrast to previous years, only 54% of our Total revenue was generated in our second and third quarters. In fiscal 2021, the ongoing COVID-19 pandemic and the recalls of our Tread products in the fourth quarter of fiscal 2021 continued to impact our historical seasonal patterns, with the second and third fiscal quarters accounting for only 58% of our fiscal 2021 sales (excluding Precor sales as Precor was consolidated beginning in the fourth fiscal quarter of 2021). In fiscal 2022, the ongoing COVID-19 pandemic and the recalls of our Tread products in the fourth quarter of fiscal 2021 impacted our historical seasonal patterns, with the second and third fiscal quarters accounting for 59% of fiscal 2022 sales. As the pandemic receded in recent months, we began to experience a return to pre-pandemic seasonal trends. However, should the COVID-19 pandemic worsen or if its effects prove to be prolonged, we may continue to see atypical seasonal trends.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Human Capital</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Our Culture</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050505"/>
        </w:rPr>
        <w:t>Our dynamic culture expresses our expansive vision and passion for community and collaboration, and is shaped by the following fundamental values:</w:t>
      </w:r>
    </w:p>
    <w:p>
      <w:pPr>
        <w:spacing w:after="0" w:line="11" w:lineRule="exact"/>
        <w:rPr>
          <w:sz w:val="20"/>
          <w:szCs w:val="20"/>
          <w:color w:val="auto"/>
        </w:rPr>
      </w:pPr>
    </w:p>
    <w:p>
      <w:pPr>
        <w:jc w:val="both"/>
        <w:ind w:left="520" w:right="260" w:hanging="260"/>
        <w:spacing w:after="0" w:line="244" w:lineRule="auto"/>
        <w:tabs>
          <w:tab w:leader="none" w:pos="511" w:val="left"/>
        </w:tabs>
        <w:numPr>
          <w:ilvl w:val="0"/>
          <w:numId w:val="9"/>
        </w:numPr>
        <w:rPr>
          <w:rFonts w:ascii="Arial" w:cs="Arial" w:eastAsia="Arial" w:hAnsi="Arial"/>
          <w:sz w:val="13"/>
          <w:szCs w:val="13"/>
          <w:color w:val="050505"/>
        </w:rPr>
      </w:pPr>
      <w:r>
        <w:rPr>
          <w:rFonts w:ascii="Arial" w:cs="Arial" w:eastAsia="Arial" w:hAnsi="Arial"/>
          <w:sz w:val="13"/>
          <w:szCs w:val="13"/>
          <w:color w:val="050505"/>
        </w:rPr>
        <w:t>Put Members First: We obsess over every touchpoint of our Member experience - always remembering that when our Members win, we win. We root everything we do and all product and feature development in Member needs and never assume we know what is best. We believe in building connections based on trust, respect, and inclusion, and are proud that our Member community embodies these qualities.</w:t>
      </w:r>
    </w:p>
    <w:p>
      <w:pPr>
        <w:ind w:left="520" w:right="120" w:hanging="260"/>
        <w:spacing w:after="0" w:line="267" w:lineRule="auto"/>
        <w:tabs>
          <w:tab w:leader="none" w:pos="511" w:val="left"/>
        </w:tabs>
        <w:numPr>
          <w:ilvl w:val="0"/>
          <w:numId w:val="9"/>
        </w:numPr>
        <w:rPr>
          <w:rFonts w:ascii="Arial" w:cs="Arial" w:eastAsia="Arial" w:hAnsi="Arial"/>
          <w:sz w:val="12"/>
          <w:szCs w:val="12"/>
          <w:color w:val="050505"/>
        </w:rPr>
      </w:pPr>
      <w:r>
        <w:rPr>
          <w:rFonts w:ascii="Arial" w:cs="Arial" w:eastAsia="Arial" w:hAnsi="Arial"/>
          <w:sz w:val="12"/>
          <w:szCs w:val="12"/>
          <w:color w:val="050505"/>
        </w:rPr>
        <w:t>Operate with a Bias for Action: We challenge the status quo by continuously innovating, learning, and improving. We embrace failure and change as an opportunity to be agile, take smart risks, and learn - and we also take the time to pause in order to act and move forward with sharper focus and intent. We never let the fear of imperfection stop us from achieving great things.</w:t>
      </w:r>
    </w:p>
    <w:p>
      <w:pPr>
        <w:ind w:left="520" w:right="340" w:hanging="260"/>
        <w:spacing w:after="0" w:line="244" w:lineRule="auto"/>
        <w:tabs>
          <w:tab w:leader="none" w:pos="511" w:val="left"/>
        </w:tabs>
        <w:numPr>
          <w:ilvl w:val="0"/>
          <w:numId w:val="9"/>
        </w:numPr>
        <w:rPr>
          <w:rFonts w:ascii="Arial" w:cs="Arial" w:eastAsia="Arial" w:hAnsi="Arial"/>
          <w:sz w:val="13"/>
          <w:szCs w:val="13"/>
          <w:color w:val="050505"/>
        </w:rPr>
      </w:pPr>
      <w:r>
        <w:rPr>
          <w:rFonts w:ascii="Arial" w:cs="Arial" w:eastAsia="Arial" w:hAnsi="Arial"/>
          <w:sz w:val="13"/>
          <w:szCs w:val="13"/>
          <w:color w:val="050505"/>
        </w:rPr>
        <w:t>Empower Teams of Smart Creatives: We hire team members who are great at what they do, then give them the trust, autonomy, and resources to do their jobs and make decisions. We empower one another to embrace a creative mindset and be creative in execution, problem-solving, thinking beyond parameters, and delivery. We take the time to show appreciation and celebrate the achievements of our team members.</w:t>
      </w:r>
    </w:p>
    <w:p>
      <w:pPr>
        <w:ind w:left="520" w:right="120" w:hanging="260"/>
        <w:spacing w:after="0" w:line="246" w:lineRule="auto"/>
        <w:tabs>
          <w:tab w:leader="none" w:pos="511" w:val="left"/>
        </w:tabs>
        <w:numPr>
          <w:ilvl w:val="0"/>
          <w:numId w:val="9"/>
        </w:numPr>
        <w:rPr>
          <w:rFonts w:ascii="Arial" w:cs="Arial" w:eastAsia="Arial" w:hAnsi="Arial"/>
          <w:sz w:val="13"/>
          <w:szCs w:val="13"/>
          <w:color w:val="050505"/>
        </w:rPr>
      </w:pPr>
      <w:r>
        <w:rPr>
          <w:rFonts w:ascii="Arial" w:cs="Arial" w:eastAsia="Arial" w:hAnsi="Arial"/>
          <w:sz w:val="13"/>
          <w:szCs w:val="13"/>
          <w:color w:val="050505"/>
        </w:rPr>
        <w:t>Together We Go Far: As our company name suggests, we know the importance and value of a team. Work shoulder-to-shoulder and have each other’s backs, encourage everyone to have a voice, and draw out the best in others. We uphold the obligation to dissent rather and are open to perspectives different from our own.</w:t>
      </w:r>
    </w:p>
    <w:p>
      <w:pPr>
        <w:spacing w:after="0" w:line="1" w:lineRule="exact"/>
        <w:rPr>
          <w:rFonts w:ascii="Arial" w:cs="Arial" w:eastAsia="Arial" w:hAnsi="Arial"/>
          <w:sz w:val="13"/>
          <w:szCs w:val="13"/>
          <w:color w:val="050505"/>
        </w:rPr>
      </w:pPr>
    </w:p>
    <w:p>
      <w:pPr>
        <w:ind w:left="520" w:right="40" w:hanging="260"/>
        <w:spacing w:after="0" w:line="306" w:lineRule="auto"/>
        <w:tabs>
          <w:tab w:leader="none" w:pos="511" w:val="left"/>
        </w:tabs>
        <w:numPr>
          <w:ilvl w:val="0"/>
          <w:numId w:val="9"/>
        </w:numPr>
        <w:rPr>
          <w:rFonts w:ascii="Arial" w:cs="Arial" w:eastAsia="Arial" w:hAnsi="Arial"/>
          <w:sz w:val="12"/>
          <w:szCs w:val="12"/>
          <w:color w:val="050505"/>
        </w:rPr>
      </w:pPr>
      <w:r>
        <w:rPr>
          <w:rFonts w:ascii="Arial" w:cs="Arial" w:eastAsia="Arial" w:hAnsi="Arial"/>
          <w:sz w:val="12"/>
          <w:szCs w:val="12"/>
          <w:color w:val="050505"/>
        </w:rPr>
        <w:t>Be the Best Place to Work: We are committed to cultivating and maintaining our authentic, world-class culture across all our markets – putting team member experience, well-being, and safety at the heart of all that we do. We strive to show up with empathy, honesty, and authenticity and are committed to maintain and build on this aspect of our culture as we grow and scale.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050505"/>
        </w:rPr>
        <w:t>We live these values through our approach to human capital management, summarized below.</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Employees</w:t>
      </w:r>
    </w:p>
    <w:p>
      <w:pPr>
        <w:spacing w:after="0" w:line="199" w:lineRule="exact"/>
        <w:rPr>
          <w:sz w:val="20"/>
          <w:szCs w:val="20"/>
          <w:color w:val="auto"/>
        </w:rPr>
      </w:pPr>
    </w:p>
    <w:p>
      <w:pPr>
        <w:ind w:right="340"/>
        <w:spacing w:after="0" w:line="266" w:lineRule="auto"/>
        <w:rPr>
          <w:sz w:val="20"/>
          <w:szCs w:val="20"/>
          <w:color w:val="auto"/>
        </w:rPr>
      </w:pPr>
      <w:r>
        <w:rPr>
          <w:rFonts w:ascii="Arial" w:cs="Arial" w:eastAsia="Arial" w:hAnsi="Arial"/>
          <w:sz w:val="13"/>
          <w:szCs w:val="13"/>
          <w:color w:val="050505"/>
        </w:rPr>
        <w:t>As of June 30, 2022, we employed 3,723 individuals in the United States across our New York City headquarters, Plano campus, Atlanta office, showrooms, and field operations warehouses, with 3,576 being full-time employees. Internationally, we had 857 employees in the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1" w:name="page12"/>
    <w:bookmarkEnd w:id="11"/>
    <w:p>
      <w:pPr>
        <w:jc w:val="both"/>
        <w:ind w:right="180"/>
        <w:spacing w:after="0" w:line="261" w:lineRule="auto"/>
        <w:rPr>
          <w:sz w:val="20"/>
          <w:szCs w:val="20"/>
          <w:color w:val="auto"/>
        </w:rPr>
      </w:pPr>
      <w:r>
        <w:rPr>
          <w:rFonts w:ascii="Arial" w:cs="Arial" w:eastAsia="Arial" w:hAnsi="Arial"/>
          <w:sz w:val="13"/>
          <w:szCs w:val="13"/>
          <w:color w:val="050505"/>
        </w:rPr>
        <w:t>United Kingdom, Ireland, Germany, and Australia across corporate, showroom, and warehouse functions, 86 employees in Canada, largely in showroom and warehouse roles, and 738 individuals in Taiwan across manufacturing, quality engineering and operations functions. Additionally, Precor's 791 employees are located across 13 countries, with most based in manufacturing facilities in North Carolina and Washington state. We also hire additional seasonal employees, primarily in our showrooms, during the holiday season.</w:t>
      </w:r>
    </w:p>
    <w:p>
      <w:pPr>
        <w:spacing w:after="0" w:line="159" w:lineRule="exact"/>
        <w:rPr>
          <w:sz w:val="20"/>
          <w:szCs w:val="20"/>
          <w:color w:val="auto"/>
        </w:rPr>
      </w:pPr>
    </w:p>
    <w:p>
      <w:pPr>
        <w:ind w:right="300"/>
        <w:spacing w:after="0" w:line="261" w:lineRule="auto"/>
        <w:rPr>
          <w:sz w:val="20"/>
          <w:szCs w:val="20"/>
          <w:color w:val="auto"/>
        </w:rPr>
      </w:pPr>
      <w:r>
        <w:rPr>
          <w:rFonts w:ascii="Arial" w:cs="Arial" w:eastAsia="Arial" w:hAnsi="Arial"/>
          <w:sz w:val="13"/>
          <w:szCs w:val="13"/>
          <w:color w:val="050505"/>
        </w:rPr>
        <w:t>In July 2022, we announced we are exiting all owned-manufacturing, which involves the reduction in our workforce of approximately 500 employees in Taiwan. Additionally, in connection with our previously announced ongoing restructuring initiatives, in August 2022, we announced our plans for a reduction in our workforce of approximately 530 employees from our North American delivery workforce teams, as well as approximately 250 Member support positions in North America.</w:t>
      </w:r>
    </w:p>
    <w:p>
      <w:pPr>
        <w:spacing w:after="0" w:line="159" w:lineRule="exact"/>
        <w:rPr>
          <w:sz w:val="20"/>
          <w:szCs w:val="20"/>
          <w:color w:val="auto"/>
        </w:rPr>
      </w:pPr>
    </w:p>
    <w:p>
      <w:pPr>
        <w:jc w:val="both"/>
        <w:ind w:right="320"/>
        <w:spacing w:after="0" w:line="261" w:lineRule="auto"/>
        <w:rPr>
          <w:sz w:val="20"/>
          <w:szCs w:val="20"/>
          <w:color w:val="auto"/>
        </w:rPr>
      </w:pPr>
      <w:r>
        <w:rPr>
          <w:rFonts w:ascii="Arial" w:cs="Arial" w:eastAsia="Arial" w:hAnsi="Arial"/>
          <w:sz w:val="13"/>
          <w:szCs w:val="13"/>
          <w:color w:val="050505"/>
        </w:rPr>
        <w:t>Certain of our instructors are covered by collective bargaining agreements with the Screen Actors Guild-American Federation of Television and Radio Artists, or SAG-AFTRA. However, we are not signatories to any agreements with SAG-AFTRA. With the exception of SAG-AFTRA, none of our domestic employees are currently represented by a labor organization or a party to any collective bargaining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Diversity, Equity, and Inclusion</w:t>
      </w:r>
    </w:p>
    <w:p>
      <w:pPr>
        <w:spacing w:after="0" w:line="188" w:lineRule="exact"/>
        <w:rPr>
          <w:sz w:val="20"/>
          <w:szCs w:val="20"/>
          <w:color w:val="auto"/>
        </w:rPr>
      </w:pPr>
    </w:p>
    <w:p>
      <w:pPr>
        <w:ind w:right="360"/>
        <w:spacing w:after="0" w:line="253" w:lineRule="auto"/>
        <w:rPr>
          <w:sz w:val="20"/>
          <w:szCs w:val="20"/>
          <w:color w:val="auto"/>
        </w:rPr>
      </w:pPr>
      <w:r>
        <w:rPr>
          <w:rFonts w:ascii="Arial" w:cs="Arial" w:eastAsia="Arial" w:hAnsi="Arial"/>
          <w:sz w:val="13"/>
          <w:szCs w:val="13"/>
          <w:color w:val="050505"/>
        </w:rPr>
        <w:t>We are unapologetic about our bold and unrelenting commitment to creating workspaces that are equitable for all and where all team members can thrive, and where they are recognized for their individual and collective contributions to our business.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3"/>
          <w:szCs w:val="13"/>
          <w:color w:val="050505"/>
        </w:rPr>
        <w:t>Our diversity, equity, and inclusion (“DEI”) team operate as a center of excellence, partnering across the business and proactively using data, evidence and insights to inform our programming, ensuring it remains locally relevant and responsive.</w:t>
      </w:r>
    </w:p>
    <w:p>
      <w:pPr>
        <w:spacing w:after="0" w:line="165" w:lineRule="exact"/>
        <w:rPr>
          <w:sz w:val="20"/>
          <w:szCs w:val="20"/>
          <w:color w:val="auto"/>
        </w:rPr>
      </w:pPr>
    </w:p>
    <w:p>
      <w:pPr>
        <w:ind w:right="600"/>
        <w:spacing w:after="0" w:line="256" w:lineRule="auto"/>
        <w:rPr>
          <w:sz w:val="20"/>
          <w:szCs w:val="20"/>
          <w:color w:val="auto"/>
        </w:rPr>
      </w:pPr>
      <w:r>
        <w:rPr>
          <w:rFonts w:ascii="Arial" w:cs="Arial" w:eastAsia="Arial" w:hAnsi="Arial"/>
          <w:sz w:val="13"/>
          <w:szCs w:val="13"/>
          <w:color w:val="050505"/>
        </w:rPr>
        <w:t>We’re proud that one of our core tenets is to strive to operate as an antiracist organization, and in 2020, we committed ourselves to the Peloton Pledge, our ongoing multi-year, business wide commitment to combat systemic inequity and promote global health and well-being for all. Through the Peloton Pledge we are investing across five pillars:</w:t>
      </w:r>
    </w:p>
    <w:p>
      <w:pPr>
        <w:spacing w:after="0" w:line="1" w:lineRule="exact"/>
        <w:rPr>
          <w:sz w:val="20"/>
          <w:szCs w:val="20"/>
          <w:color w:val="auto"/>
        </w:rPr>
      </w:pPr>
    </w:p>
    <w:p>
      <w:pPr>
        <w:ind w:left="500" w:hanging="240"/>
        <w:spacing w:after="0"/>
        <w:tabs>
          <w:tab w:leader="none" w:pos="500" w:val="left"/>
        </w:tabs>
        <w:numPr>
          <w:ilvl w:val="0"/>
          <w:numId w:val="10"/>
        </w:numPr>
        <w:rPr>
          <w:rFonts w:ascii="Arial" w:cs="Arial" w:eastAsia="Arial" w:hAnsi="Arial"/>
          <w:sz w:val="13"/>
          <w:szCs w:val="13"/>
          <w:color w:val="050505"/>
        </w:rPr>
      </w:pPr>
      <w:r>
        <w:rPr>
          <w:rFonts w:ascii="Arial" w:cs="Arial" w:eastAsia="Arial" w:hAnsi="Arial"/>
          <w:sz w:val="13"/>
          <w:szCs w:val="13"/>
          <w:color w:val="050505"/>
        </w:rPr>
        <w:t>Our Workforce - We offer above-market entry rates for our hourly workforce;</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0"/>
        </w:numPr>
        <w:rPr>
          <w:rFonts w:ascii="Arial" w:cs="Arial" w:eastAsia="Arial" w:hAnsi="Arial"/>
          <w:sz w:val="13"/>
          <w:szCs w:val="13"/>
          <w:color w:val="050505"/>
        </w:rPr>
      </w:pPr>
      <w:r>
        <w:rPr>
          <w:rFonts w:ascii="Arial" w:cs="Arial" w:eastAsia="Arial" w:hAnsi="Arial"/>
          <w:sz w:val="13"/>
          <w:szCs w:val="13"/>
          <w:color w:val="050505"/>
        </w:rPr>
        <w:t>Learning and Development - We offer content that focuses on supporting the mobility of our team members and we are doubling down on training around DEI topics;</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0"/>
        </w:numPr>
        <w:rPr>
          <w:rFonts w:ascii="Arial" w:cs="Arial" w:eastAsia="Arial" w:hAnsi="Arial"/>
          <w:sz w:val="13"/>
          <w:szCs w:val="13"/>
          <w:color w:val="050505"/>
        </w:rPr>
      </w:pPr>
      <w:r>
        <w:rPr>
          <w:rFonts w:ascii="Arial" w:cs="Arial" w:eastAsia="Arial" w:hAnsi="Arial"/>
          <w:sz w:val="13"/>
          <w:szCs w:val="13"/>
          <w:color w:val="050505"/>
        </w:rPr>
        <w:t>Community Investments - We partner with leaders and action-oriented nonprofits to drive change in the broader community</w:t>
      </w:r>
    </w:p>
    <w:p>
      <w:pPr>
        <w:ind w:left="500" w:hanging="240"/>
        <w:spacing w:after="0"/>
        <w:tabs>
          <w:tab w:leader="none" w:pos="500" w:val="left"/>
        </w:tabs>
        <w:numPr>
          <w:ilvl w:val="0"/>
          <w:numId w:val="10"/>
        </w:numPr>
        <w:rPr>
          <w:rFonts w:ascii="Arial" w:cs="Arial" w:eastAsia="Arial" w:hAnsi="Arial"/>
          <w:sz w:val="13"/>
          <w:szCs w:val="13"/>
          <w:color w:val="050505"/>
        </w:rPr>
      </w:pPr>
      <w:r>
        <w:rPr>
          <w:rFonts w:ascii="Arial" w:cs="Arial" w:eastAsia="Arial" w:hAnsi="Arial"/>
          <w:sz w:val="13"/>
          <w:szCs w:val="13"/>
          <w:color w:val="050505"/>
        </w:rPr>
        <w:t>Inclusive Content - We produce content and experiences that uplift diverse perspectives within our community; and</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0"/>
        </w:numPr>
        <w:rPr>
          <w:rFonts w:ascii="Arial" w:cs="Arial" w:eastAsia="Arial" w:hAnsi="Arial"/>
          <w:sz w:val="13"/>
          <w:szCs w:val="13"/>
          <w:color w:val="050505"/>
        </w:rPr>
      </w:pPr>
      <w:r>
        <w:rPr>
          <w:rFonts w:ascii="Arial" w:cs="Arial" w:eastAsia="Arial" w:hAnsi="Arial"/>
          <w:sz w:val="13"/>
          <w:szCs w:val="13"/>
          <w:color w:val="050505"/>
        </w:rPr>
        <w:t>Long-Term DEI - We invest in various programs to support long-term DEI, as further described below.</w:t>
      </w:r>
    </w:p>
    <w:p>
      <w:pPr>
        <w:spacing w:after="0" w:line="182"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050505"/>
        </w:rPr>
        <w:t>For our team members, the Peloton Pledge has meant an increased emphasis on delivery of value-added, business-wide DEI programming. In our ongoing push for business-wide shared learning, we continue to create psychologically safe spaces for our employees to learn and grow together.</w:t>
      </w:r>
    </w:p>
    <w:p>
      <w:pPr>
        <w:spacing w:after="0" w:line="146"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050505"/>
        </w:rPr>
        <w:t>We offer development programs for all team members, including an online resource, the Antiracism Activation Center, to bolster their journey toward becoming an antiracist ally. In addition, we established a bronze-level baseline for the MLT Black Equity at Work Certification – a comprehensive process aimed at broad and long-term systemic change – and will strive to reach gold level in the coming years.</w:t>
      </w:r>
    </w:p>
    <w:p>
      <w:pPr>
        <w:spacing w:after="0" w:line="159" w:lineRule="exact"/>
        <w:rPr>
          <w:sz w:val="20"/>
          <w:szCs w:val="20"/>
          <w:color w:val="auto"/>
        </w:rPr>
      </w:pPr>
    </w:p>
    <w:p>
      <w:pPr>
        <w:ind w:right="700"/>
        <w:spacing w:after="0" w:line="283" w:lineRule="auto"/>
        <w:rPr>
          <w:sz w:val="20"/>
          <w:szCs w:val="20"/>
          <w:color w:val="auto"/>
        </w:rPr>
      </w:pPr>
      <w:r>
        <w:rPr>
          <w:rFonts w:ascii="Arial" w:cs="Arial" w:eastAsia="Arial" w:hAnsi="Arial"/>
          <w:sz w:val="13"/>
          <w:szCs w:val="13"/>
          <w:color w:val="050505"/>
        </w:rPr>
        <w:t>We have also introduced specific learning programs for managers, such as Prototyping Inclusion and Activating Allyship, to help our leaders support our DEI goals. We similarly host “Brave Conversations'” on race and equity that help us accelerate our path to becoming the Best Place to Work.</w:t>
      </w:r>
    </w:p>
    <w:p>
      <w:pPr>
        <w:spacing w:after="0" w:line="146"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050505"/>
        </w:rPr>
        <w:t>When it comes to supporting our team members, we are proud to have eight U.S. and five International Employee Resource Groups (“ERGs”) that foster a diverse and inclusive workplace. Our ERGs amplify team member voice and help us foster belonging and engagement across all the markets we operate in:</w:t>
      </w:r>
    </w:p>
    <w:p>
      <w:pPr>
        <w:spacing w:after="0" w:line="1"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ACE@Peloton (Asian Community);</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Black@Peloton;</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LHIT@Peloton (Latinx/Hispanic in Tech);</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Peloton Pride + Allies;</w:t>
      </w: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The Parenthood Journey;</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The Women’s Alliance;</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Veterans@Peloton; and</w:t>
      </w: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Thrive (mental health, neurodiversity, and disability).</w:t>
      </w:r>
    </w:p>
    <w:p>
      <w:pPr>
        <w:spacing w:after="0" w:line="6" w:lineRule="exact"/>
        <w:rPr>
          <w:sz w:val="20"/>
          <w:szCs w:val="20"/>
          <w:color w:val="auto"/>
        </w:rPr>
      </w:pPr>
    </w:p>
    <w:p>
      <w:pPr>
        <w:spacing w:after="0" w:line="246" w:lineRule="auto"/>
        <w:rPr>
          <w:sz w:val="20"/>
          <w:szCs w:val="20"/>
          <w:color w:val="auto"/>
        </w:rPr>
      </w:pPr>
      <w:r>
        <w:rPr>
          <w:rFonts w:ascii="Arial" w:cs="Arial" w:eastAsia="Arial" w:hAnsi="Arial"/>
          <w:sz w:val="13"/>
          <w:szCs w:val="13"/>
          <w:color w:val="050505"/>
        </w:rPr>
        <w:t>To hold ourselves accountable on pay equity, we conduct an annual third-party analysis of team members’ pay to evaluate the impact, if any, of gender, race, or ethnicity on base pay independent of business relevant factors. The pay equity study conducted in April 2022 identified no statistically significant pay gaps based on gender, race, or ethnicity, and any identified pay gaps (regardless if such gaps were statistically significant or not) have been adjusted to support our commitment to achieve true pay equity across Peloton. Our pay equity study is in addition to any market-specific obligations we have to undertake pay gap analyses, such as our Gender Pay Gap Study in the United Kingdom. Our bold, ambitious DEI efforts are designed to achieve equity, including pay equity, for all our team members and to ensure we’re a globally inclusive business.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i w:val="1"/>
          <w:iCs w:val="1"/>
          <w:color w:val="050505"/>
        </w:rPr>
        <w:t>Employee Safety</w:t>
      </w:r>
    </w:p>
    <w:p>
      <w:pPr>
        <w:spacing w:after="0" w:line="188" w:lineRule="exact"/>
        <w:rPr>
          <w:sz w:val="20"/>
          <w:szCs w:val="20"/>
          <w:color w:val="auto"/>
        </w:rPr>
      </w:pPr>
    </w:p>
    <w:p>
      <w:pPr>
        <w:ind w:right="320"/>
        <w:spacing w:after="0" w:line="254" w:lineRule="auto"/>
        <w:rPr>
          <w:sz w:val="20"/>
          <w:szCs w:val="20"/>
          <w:color w:val="auto"/>
        </w:rPr>
      </w:pPr>
      <w:r>
        <w:rPr>
          <w:rFonts w:ascii="Arial" w:cs="Arial" w:eastAsia="Arial" w:hAnsi="Arial"/>
          <w:sz w:val="13"/>
          <w:szCs w:val="13"/>
          <w:color w:val="050505"/>
        </w:rPr>
        <w:t>We prioritize the health and welfare of our team members, our Members, and our environment. The core elements of our employee health and safety strategy include site risk analysis, incident management, documented processes, environmental programs, training, and occupational health programs. Our Global Safety &amp; Security Operations team promotes safe operations and provides team members with access to our global 24/7 Risk Operations Center. Concerns about the health and safety of our employees, or the health and safety of individuals working on behalf of Peloton suppliers or business partners, are reportable through our Ethics Hotline or online Ethics Portal, which is monitored by our Compliance and Risk Team. We continually strive to improve processes across field safety training, incident training, professional investigations, and standardization of physical security resources, among other areas.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Training, Development, and Engagement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050505"/>
        </w:rPr>
        <w:t>At Peloton, we have a dedicated global Learning and Development Team that develops and delivers company-wide training experiences across all functions. These include, but are not limited to:</w:t>
      </w:r>
    </w:p>
    <w:p>
      <w:pPr>
        <w:spacing w:after="0" w:line="11"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3"/>
          <w:szCs w:val="13"/>
          <w:color w:val="050505"/>
        </w:rPr>
      </w:pPr>
      <w:r>
        <w:rPr>
          <w:rFonts w:ascii="Arial" w:cs="Arial" w:eastAsia="Arial" w:hAnsi="Arial"/>
          <w:sz w:val="13"/>
          <w:szCs w:val="13"/>
          <w:color w:val="050505"/>
        </w:rPr>
        <w:t>Connected Leadership for people managers, which focuses on Peloton’s approach to leadership, coaching and team member connectivity;</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2"/>
        </w:numPr>
        <w:rPr>
          <w:rFonts w:ascii="Arial" w:cs="Arial" w:eastAsia="Arial" w:hAnsi="Arial"/>
          <w:sz w:val="13"/>
          <w:szCs w:val="13"/>
          <w:color w:val="050505"/>
        </w:rPr>
      </w:pPr>
      <w:r>
        <w:rPr>
          <w:rFonts w:ascii="Arial" w:cs="Arial" w:eastAsia="Arial" w:hAnsi="Arial"/>
          <w:sz w:val="13"/>
          <w:szCs w:val="13"/>
          <w:color w:val="050505"/>
        </w:rPr>
        <w:t>Internal hiring and mobility program, which supports professional growth;</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2"/>
        </w:numPr>
        <w:rPr>
          <w:rFonts w:ascii="Arial" w:cs="Arial" w:eastAsia="Arial" w:hAnsi="Arial"/>
          <w:sz w:val="13"/>
          <w:szCs w:val="13"/>
          <w:color w:val="050505"/>
        </w:rPr>
      </w:pPr>
      <w:r>
        <w:rPr>
          <w:rFonts w:ascii="Arial" w:cs="Arial" w:eastAsia="Arial" w:hAnsi="Arial"/>
          <w:sz w:val="13"/>
          <w:szCs w:val="13"/>
          <w:color w:val="050505"/>
        </w:rPr>
        <w:t>Functional and role specific training;</w:t>
      </w:r>
    </w:p>
    <w:p>
      <w:pPr>
        <w:ind w:left="500" w:hanging="240"/>
        <w:spacing w:after="0"/>
        <w:tabs>
          <w:tab w:leader="none" w:pos="500" w:val="left"/>
        </w:tabs>
        <w:numPr>
          <w:ilvl w:val="0"/>
          <w:numId w:val="12"/>
        </w:numPr>
        <w:rPr>
          <w:rFonts w:ascii="Arial" w:cs="Arial" w:eastAsia="Arial" w:hAnsi="Arial"/>
          <w:sz w:val="13"/>
          <w:szCs w:val="13"/>
          <w:color w:val="050505"/>
        </w:rPr>
      </w:pPr>
      <w:r>
        <w:rPr>
          <w:rFonts w:ascii="Arial" w:cs="Arial" w:eastAsia="Arial" w:hAnsi="Arial"/>
          <w:sz w:val="13"/>
          <w:szCs w:val="13"/>
          <w:color w:val="050505"/>
        </w:rPr>
        <w:t>Required compliance trainings for all team members;</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2"/>
        </w:numPr>
        <w:rPr>
          <w:rFonts w:ascii="Arial" w:cs="Arial" w:eastAsia="Arial" w:hAnsi="Arial"/>
          <w:sz w:val="13"/>
          <w:szCs w:val="13"/>
          <w:color w:val="050505"/>
        </w:rPr>
      </w:pPr>
      <w:r>
        <w:rPr>
          <w:rFonts w:ascii="Arial" w:cs="Arial" w:eastAsia="Arial" w:hAnsi="Arial"/>
          <w:sz w:val="13"/>
          <w:szCs w:val="13"/>
          <w:color w:val="050505"/>
        </w:rPr>
        <w:t>A Learning Management System, Peloton Academy, which houses training resources for all roles across the Company; and</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2"/>
        </w:numPr>
        <w:rPr>
          <w:rFonts w:ascii="Arial" w:cs="Arial" w:eastAsia="Arial" w:hAnsi="Arial"/>
          <w:sz w:val="13"/>
          <w:szCs w:val="13"/>
          <w:color w:val="050505"/>
        </w:rPr>
      </w:pPr>
      <w:r>
        <w:rPr>
          <w:rFonts w:ascii="Arial" w:cs="Arial" w:eastAsia="Arial" w:hAnsi="Arial"/>
          <w:sz w:val="13"/>
          <w:szCs w:val="13"/>
          <w:color w:val="050505"/>
        </w:rPr>
        <w:t>A Monthly Virtual Learning Series with additional learning opportunities, on a variety of topics, available for all team members.</w:t>
      </w:r>
    </w:p>
    <w:p>
      <w:pPr>
        <w:spacing w:after="0" w:line="178"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050505"/>
        </w:rPr>
        <w:t>We are committed to making Peloton the best place to work by engaging with, and listening to, our employees. We maintain ongoing connection with our team members through our company intranet, “Pelonet”; regular all-hands meetings, team town halls, and company-wide engagement surveys during the year. Recent surveys have led to enhancements across safety and security, employee connection, communication and learning and development initiatives.</w:t>
      </w:r>
    </w:p>
    <w:p>
      <w:pPr>
        <w:spacing w:after="0" w:line="170"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050505"/>
        </w:rPr>
        <w:t>Our Patent Incentive Program provides rewards and recognition to qualifying team members whose inventions are included in a patent application submitted by Peloton, and the Peloton High Five Fund, a team member and Peloton-funded grant, enables team members to provide financial relief to help other team members who are facing hardship resulting from a natural disaster or unforeseen personal challenge.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Competitive Compensation and Work/Life Harmony</w:t>
      </w:r>
    </w:p>
    <w:p>
      <w:pPr>
        <w:spacing w:after="0" w:line="188"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050505"/>
        </w:rPr>
        <w:t>Our compensation program is structured around our overarching philosophy of rewarding demonstrable performance and aligning employees with our goals and strategy. Consistent with this approach, we provide market competitive compensation and benefits that will attract, motivate, reward, and retain a highly talented team.</w:t>
      </w:r>
    </w:p>
    <w:p>
      <w:pPr>
        <w:spacing w:after="0" w:line="146" w:lineRule="exact"/>
        <w:rPr>
          <w:sz w:val="20"/>
          <w:szCs w:val="20"/>
          <w:color w:val="auto"/>
        </w:rPr>
      </w:pPr>
    </w:p>
    <w:p>
      <w:pPr>
        <w:ind w:right="460"/>
        <w:spacing w:after="0" w:line="253" w:lineRule="auto"/>
        <w:rPr>
          <w:sz w:val="20"/>
          <w:szCs w:val="20"/>
          <w:color w:val="auto"/>
        </w:rPr>
      </w:pPr>
      <w:r>
        <w:rPr>
          <w:rFonts w:ascii="Arial" w:cs="Arial" w:eastAsia="Arial" w:hAnsi="Arial"/>
          <w:sz w:val="13"/>
          <w:szCs w:val="13"/>
          <w:color w:val="050505"/>
        </w:rPr>
        <w:t>We take a comprehensive view of the tools and programs we use to attract, reward, and retain top talent. Our workforce is diverse – so our benefits must be, too. Peloton offers a broad array of benefits to our team members, including:</w:t>
      </w:r>
    </w:p>
    <w:p>
      <w:pPr>
        <w:spacing w:after="0" w:line="1"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Comprehensive health care and mental health benefits;</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Childcare solutions;</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Generous parental leave;</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Referral bonus program;</w:t>
      </w:r>
    </w:p>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Legal assistance;</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Product and apparel discounts; and</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Access to the Peloton app.</w:t>
      </w:r>
    </w:p>
    <w:p>
      <w:pPr>
        <w:spacing w:after="0" w:line="189" w:lineRule="exact"/>
        <w:rPr>
          <w:sz w:val="20"/>
          <w:szCs w:val="20"/>
          <w:color w:val="auto"/>
        </w:rPr>
      </w:pPr>
    </w:p>
    <w:p>
      <w:pPr>
        <w:ind w:right="640"/>
        <w:spacing w:after="0" w:line="248" w:lineRule="auto"/>
        <w:rPr>
          <w:sz w:val="20"/>
          <w:szCs w:val="20"/>
          <w:color w:val="auto"/>
        </w:rPr>
      </w:pPr>
      <w:r>
        <w:rPr>
          <w:rFonts w:ascii="Arial" w:cs="Arial" w:eastAsia="Arial" w:hAnsi="Arial"/>
          <w:sz w:val="13"/>
          <w:szCs w:val="13"/>
          <w:color w:val="050505"/>
        </w:rPr>
        <w:t>At Peloton, we encourage our team members to foster kindness, support, empathy, respect, compassion, and a sense of community in all interactions every day. To help us reach our goal of maintaining healthy work/life harmony, we have instituted supportive practices for working and maintain the following policies:</w:t>
      </w:r>
    </w:p>
    <w:p>
      <w:pPr>
        <w:ind w:left="500" w:hanging="240"/>
        <w:spacing w:after="0"/>
        <w:tabs>
          <w:tab w:leader="none" w:pos="500" w:val="left"/>
        </w:tabs>
        <w:numPr>
          <w:ilvl w:val="0"/>
          <w:numId w:val="14"/>
        </w:numPr>
        <w:rPr>
          <w:rFonts w:ascii="Arial" w:cs="Arial" w:eastAsia="Arial" w:hAnsi="Arial"/>
          <w:sz w:val="13"/>
          <w:szCs w:val="13"/>
          <w:color w:val="050505"/>
        </w:rPr>
      </w:pPr>
      <w:r>
        <w:rPr>
          <w:rFonts w:ascii="Arial" w:cs="Arial" w:eastAsia="Arial" w:hAnsi="Arial"/>
          <w:sz w:val="13"/>
          <w:szCs w:val="13"/>
          <w:color w:val="050505"/>
        </w:rPr>
        <w:t>Hybrid work arrangements and flexible paid time off;</w:t>
      </w:r>
    </w:p>
    <w:p>
      <w:pPr>
        <w:spacing w:after="0" w:line="5" w:lineRule="exact"/>
        <w:rPr>
          <w:rFonts w:ascii="Arial" w:cs="Arial" w:eastAsia="Arial" w:hAnsi="Arial"/>
          <w:sz w:val="13"/>
          <w:szCs w:val="13"/>
          <w:color w:val="050505"/>
        </w:rPr>
      </w:pPr>
    </w:p>
    <w:p>
      <w:pPr>
        <w:ind w:left="500" w:hanging="240"/>
        <w:spacing w:after="0"/>
        <w:tabs>
          <w:tab w:leader="none" w:pos="500" w:val="left"/>
        </w:tabs>
        <w:numPr>
          <w:ilvl w:val="0"/>
          <w:numId w:val="14"/>
        </w:numPr>
        <w:rPr>
          <w:rFonts w:ascii="Arial" w:cs="Arial" w:eastAsia="Arial" w:hAnsi="Arial"/>
          <w:sz w:val="13"/>
          <w:szCs w:val="13"/>
          <w:color w:val="050505"/>
        </w:rPr>
      </w:pPr>
      <w:r>
        <w:rPr>
          <w:rFonts w:ascii="Arial" w:cs="Arial" w:eastAsia="Arial" w:hAnsi="Arial"/>
          <w:sz w:val="13"/>
          <w:szCs w:val="13"/>
          <w:color w:val="050505"/>
        </w:rPr>
        <w:t>Paid volunteer time off;</w:t>
      </w:r>
    </w:p>
    <w:p>
      <w:pPr>
        <w:spacing w:after="0" w:line="2" w:lineRule="exact"/>
        <w:rPr>
          <w:rFonts w:ascii="Arial" w:cs="Arial" w:eastAsia="Arial" w:hAnsi="Arial"/>
          <w:sz w:val="13"/>
          <w:szCs w:val="13"/>
          <w:color w:val="050505"/>
        </w:rPr>
      </w:pPr>
    </w:p>
    <w:p>
      <w:pPr>
        <w:ind w:left="500" w:hanging="240"/>
        <w:spacing w:after="0"/>
        <w:tabs>
          <w:tab w:leader="none" w:pos="500" w:val="left"/>
        </w:tabs>
        <w:numPr>
          <w:ilvl w:val="0"/>
          <w:numId w:val="14"/>
        </w:numPr>
        <w:rPr>
          <w:rFonts w:ascii="Arial" w:cs="Arial" w:eastAsia="Arial" w:hAnsi="Arial"/>
          <w:sz w:val="13"/>
          <w:szCs w:val="13"/>
          <w:color w:val="050505"/>
        </w:rPr>
      </w:pPr>
      <w:r>
        <w:rPr>
          <w:rFonts w:ascii="Arial" w:cs="Arial" w:eastAsia="Arial" w:hAnsi="Arial"/>
          <w:sz w:val="13"/>
          <w:szCs w:val="13"/>
          <w:color w:val="050505"/>
        </w:rPr>
        <w:t>Paid civic time off for select civic activities; and</w:t>
      </w:r>
    </w:p>
    <w:p>
      <w:pPr>
        <w:ind w:left="500" w:hanging="240"/>
        <w:spacing w:after="0"/>
        <w:tabs>
          <w:tab w:leader="none" w:pos="500" w:val="left"/>
        </w:tabs>
        <w:numPr>
          <w:ilvl w:val="0"/>
          <w:numId w:val="14"/>
        </w:numPr>
        <w:rPr>
          <w:rFonts w:ascii="Arial" w:cs="Arial" w:eastAsia="Arial" w:hAnsi="Arial"/>
          <w:sz w:val="13"/>
          <w:szCs w:val="13"/>
          <w:color w:val="050505"/>
        </w:rPr>
      </w:pPr>
      <w:r>
        <w:rPr>
          <w:rFonts w:ascii="Arial" w:cs="Arial" w:eastAsia="Arial" w:hAnsi="Arial"/>
          <w:sz w:val="13"/>
          <w:szCs w:val="13"/>
          <w:color w:val="050505"/>
        </w:rPr>
        <w:t>Matching program of up to $1,000/year for employee charitable donations.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Corporate Information</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website address is www.onepeloton.com. The information contained on, or that can be accessed through, our website is not incorporated by reference into, and is not a part of, this Annual Report on Form 10-K. Investors should not rely on any such information in deciding whether to purchase our Class A common stock.</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Peloton, the Peloton logo, Peloton Bike, Peloton Bike+, Peloton Tread, Peloton Tread+, Peloton Digital, and other registered or common law trade names, trademarks, or service marks of Peloton appearing in this Annual Report on Form 10-K are the property of Peloton. This Annual Report on Form 10-K contains additional trade names, trademarks, and service marks of other companies that are the property of their respective owners. We do not intend our use or display of other companies’ trade names, trademarks, or service marks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0" w:right="319" w:bottom="1440" w:gutter="0" w:footer="0" w:header="0"/>
        </w:sectPr>
      </w:pPr>
    </w:p>
    <w:bookmarkStart w:id="13" w:name="page14"/>
    <w:bookmarkEnd w:id="13"/>
    <w:p>
      <w:pPr>
        <w:jc w:val="both"/>
        <w:spacing w:after="0" w:line="261" w:lineRule="auto"/>
        <w:rPr>
          <w:sz w:val="20"/>
          <w:szCs w:val="20"/>
          <w:color w:val="auto"/>
        </w:rPr>
      </w:pPr>
      <w:r>
        <w:rPr>
          <w:rFonts w:ascii="Arial" w:cs="Arial" w:eastAsia="Arial" w:hAnsi="Arial"/>
          <w:sz w:val="13"/>
          <w:szCs w:val="13"/>
          <w:color w:val="auto"/>
        </w:rPr>
        <w:t>to imply a relationship with, or endorsement or sponsorship of us by, these other companies.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Available Information</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reports filed with or furnished to the SEC pursuant to Sections 13(a) and 15(d) of the Securities Exchange Act of 1934, as amended, or the Exchange Act, are available, free of charge, on our Investor Relations website at https://investor.onepeloton.com as soon as reasonably practicable after we electronically file such material with, or furnish it to, the SEC. The SEC maintains a website at http://www.sec.gov that contains reports, and other information regarding us and other companies that file materials with the SEC electronically. We use our Investor Relations website (https://investor.onepeloton.com/investor-relations) as well as our Twitter feed (@onepeloton) and Press Newsroom (https://www.onepeloton.com/press) as a means of disclosing material non-public information and for complying with our disclosure obligations under Regulation FD. Accordingly, investors should monitor our Investor Relations website, Twitter feed and Press Newsroom in addition to following our press releases, SEC filings, and public conference calls and webcasts.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Item 1A. Risk Factors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Investing in our Class A common stock involves a high degree of risk. You should carefully consider the risks and uncertainties described below, together with all of the other information contained in this Annual Report on Form 10-K, including the section titled “Management’s Discussion and Analysis of Financial Condition and Results of Operations,” and our consolidated financial statements and the accompanying notes and the information included elsewhere in this Annual Report on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operating losses in the past, may incur operating losses in the future, and may not achieve or maintain profitability in the future.</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incurred operating losses each year since our inception in 2012 and may continue to incur net losses in the future. We expect that our operating expenses may increase in the future as we optimize and grow our business, including via our sales and marketing efforts, continuing to invest in research and development, adding content and software features to our platform, expanding into new geographies, and developing new Connected Fitness Products.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or if we cannot capitalize on strategic opportunities. If our revenue does not grow at a greater rate than our operating expenses, we will not be able to achieve and maintain profitability.</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attract and retain Subscribers, which could have an adverse effect on our business and rate of growth.</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59" w:lineRule="exact"/>
        <w:rPr>
          <w:sz w:val="20"/>
          <w:szCs w:val="20"/>
          <w:color w:val="auto"/>
        </w:rPr>
      </w:pPr>
    </w:p>
    <w:p>
      <w:pPr>
        <w:ind w:left="520" w:hanging="260"/>
        <w:spacing w:after="0" w:line="253"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failure to introduce new features, products, or services that Members find engaging or our introduction of new products or services, or changes to existing products and services that are not favorably received;</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harm to our brand and reputation;</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pricing and perceived value of our offerings;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inability to deliver quality products and functionality, content, and services;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actual or perceived safety concerns regarding our products;</w:t>
      </w:r>
    </w:p>
    <w:p>
      <w:pPr>
        <w:ind w:left="520" w:hanging="260"/>
        <w:spacing w:after="0" w:line="246"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unsatisfactory experiences with the delivery, installation, or servicing of our Connected Fitness Products, including due to delivery costs or prolonged delivery timelines and limitations on, cost of, or the suspension of, the in-home installation, return, and warranty servicing processes;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Members engaging with competitive products and services;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technical or other problems preventing Members from accessing our content and services in a rapid and reliable manner or otherwise affecting the Member experience;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decline in the public’s interest in indoor cycling or running, or other fitness disciplines that we invest most heavily in;</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deteriorating general economic conditions or a change in consumer spending preferences or buying trends;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consumer preferences regarding home fitness, whether as a result of the COVID-19 pandemic or otherwise; 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interruptions in our ability to sell or deliver our Connected Fitness Products or to create content and services for our Members as a result of the COVID-19 pandemic or otherwise.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Additionally, any potential expansion into international markets can involve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Our operating results have been, and could in the future be, adversely affected if we are unable to accurately forecast consumer demand for our products and services and adequately manage our inventory.</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increased costs, or an excess in inventory.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COVID-19 pandemic. If we fail to accurately forecast consumer demand, we may experience excess inventory levels or a shortage of products available for sale.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recently experienced a decrease in consumer demand and an increase in our inventory levels. Inventory levels in excess of consumer demand has resulted in, and may continue to result in inventory write-downs or write-offs and the sale of excess inventory at discounted prices,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2"/>
          <w:szCs w:val="12"/>
          <w:color w:val="auto"/>
        </w:rPr>
        <w:t>which would cause our gross margins to suffer and could impair the strength and premium nature of our brand. Further, lower than forecasted demand has resulted, and could continue to result in excess manufacturing capacity or reduced manufacturing efficiencies, which could result in lower margins. In periods when we experience a decrease in demand for our products and an increase in inventory, we may be unable to renegotiate our agreements with existing suppliers or partners on mutually acceptable terms and may be prevented from fully utilizing firm purchase commitments. Although in certain instances our agreements allow us the option to cancel, reschedule, and adjust our requirements based on our business needs, our loss contingencies may include liabilities for contracts that we cannot cancel, reschedule or adjust with suppliers or partners. In addition, we may deem it necessary or advisable to renegotiate agreements with our supply partners in order to scale our inventory with demand. Disputes with our supply partners regarding our agreements could result in litigation, which could result in adverse judgments, settlements or other litigation-related costs as well as disruption to our supply chain and require management’s attention. Further, we are required to evaluate goodwill impairment on an annual basis and between annual evaluations in certain</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 xml:space="preserve">circumstances, and future goodwill impairment evaluations may result in a charge to earnings. See “— </w:t>
      </w:r>
      <w:r>
        <w:rPr>
          <w:rFonts w:ascii="Arial" w:cs="Arial" w:eastAsia="Arial" w:hAnsi="Arial"/>
          <w:sz w:val="12"/>
          <w:szCs w:val="12"/>
          <w:i w:val="1"/>
          <w:iCs w:val="1"/>
          <w:color w:val="auto"/>
        </w:rPr>
        <w:t>We may not successfully execute or achieve the expected benefits of our restructuring initiatives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other cost-saving measures we may take in the future, and our efforts may result in further actions and/or additional asset impairment charges and adversely affect our business.” </w:t>
      </w:r>
      <w:r>
        <w:rPr>
          <w:rFonts w:ascii="Arial" w:cs="Arial" w:eastAsia="Arial" w:hAnsi="Arial"/>
          <w:sz w:val="12"/>
          <w:szCs w:val="12"/>
          <w:color w:val="auto"/>
        </w:rPr>
        <w:t>Conversely, if we</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underestimate consumer demand, our suppliers and manufacturers may not be able to deliver products to meet our requirements or we may be subject to higher costs in order to secure the necessary production capacity. See “— </w:t>
      </w:r>
      <w:r>
        <w:rPr>
          <w:rFonts w:ascii="Arial" w:cs="Arial" w:eastAsia="Arial" w:hAnsi="Arial"/>
          <w:sz w:val="13"/>
          <w:szCs w:val="13"/>
          <w:i w:val="1"/>
          <w:iCs w:val="1"/>
          <w:color w:val="auto"/>
        </w:rPr>
        <w:t>Increases in component costs, long lead times, supply shortages, and supply changes could disrupt our supply chain and have an adverse effect on our business, financial</w:t>
      </w:r>
      <w:r>
        <w:rPr>
          <w:rFonts w:ascii="Arial" w:cs="Arial" w:eastAsia="Arial" w:hAnsi="Arial"/>
          <w:sz w:val="13"/>
          <w:szCs w:val="13"/>
          <w:color w:val="auto"/>
        </w:rPr>
        <w:t xml:space="preserve"> </w:t>
      </w:r>
      <w:r>
        <w:rPr>
          <w:rFonts w:ascii="Arial" w:cs="Arial" w:eastAsia="Arial" w:hAnsi="Arial"/>
          <w:sz w:val="13"/>
          <w:szCs w:val="13"/>
          <w:i w:val="1"/>
          <w:iCs w:val="1"/>
          <w:color w:val="auto"/>
        </w:rPr>
        <w:t>condition, and operating results.</w:t>
      </w:r>
      <w:r>
        <w:rPr>
          <w:rFonts w:ascii="Arial" w:cs="Arial" w:eastAsia="Arial" w:hAnsi="Arial"/>
          <w:sz w:val="13"/>
          <w:szCs w:val="13"/>
          <w:color w:val="auto"/>
        </w:rPr>
        <w:t>” An inability to meet consumer demand and delays in the delivery of our products to our customers could result in reputational harm and damaged customer</w:t>
      </w:r>
      <w:r>
        <w:rPr>
          <w:rFonts w:ascii="Arial" w:cs="Arial" w:eastAsia="Arial" w:hAnsi="Arial"/>
          <w:sz w:val="13"/>
          <w:szCs w:val="13"/>
          <w:i w:val="1"/>
          <w:iCs w:val="1"/>
          <w:color w:val="auto"/>
        </w:rPr>
        <w:t xml:space="preserve"> </w:t>
      </w:r>
      <w:r>
        <w:rPr>
          <w:rFonts w:ascii="Arial" w:cs="Arial" w:eastAsia="Arial" w:hAnsi="Arial"/>
          <w:sz w:val="13"/>
          <w:szCs w:val="13"/>
          <w:color w:val="auto"/>
        </w:rPr>
        <w:t>relationships and have an adverse effect on our business, financial condition, and operating results.</w:t>
      </w:r>
    </w:p>
    <w:p>
      <w:pPr>
        <w:spacing w:after="0" w:line="157"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b w:val="1"/>
          <w:bCs w:val="1"/>
          <w:i w:val="1"/>
          <w:iCs w:val="1"/>
          <w:color w:val="auto"/>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spacing w:after="0" w:line="134"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 xml:space="preserve">In February 2022, we announced a restructuring plan to, among other things, reduce certain fixed costs in our business, and we continue to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under the restructuring plan and that we may decide to take in the future may not be successful in yielding our intended results and may not appropriately address either or both of the short-term and long-term strategy for our business. Implementation of the restructuring plan and any other cost-saving initiatives may be costly and disruptive to our business, the expected costs and charges may be greater than we have forecasted, and the estimated cost savings may be lower than we have forecasted. Additionally, certain aspects of the restructuring plan, such as severance costs in connection with reducing our headcount, could negatively impact our cash flows. In addition, our initiatives have resulted, and could in the future result in, personnel attrition beyond our planned reduction in headcount or reduced employee morale, which could in turn adversely impact productivity, including through a loss of continuity, loss of accumulated knowledge and/or inefficiency during transitional periods, or our ability to attract highly skilled employees. Unfavorable publicity about us or any of our strategic initiatives, including our restructuring plan, could result in reputation harm and could diminish confidence in, and the use of, our products and services.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Our success depends on our ability to maintain the value and</w:t>
      </w:r>
      <w:r>
        <w:rPr>
          <w:rFonts w:ascii="Arial" w:cs="Arial" w:eastAsia="Arial" w:hAnsi="Arial"/>
          <w:sz w:val="13"/>
          <w:szCs w:val="13"/>
          <w:color w:val="auto"/>
        </w:rPr>
        <w:t xml:space="preserve"> </w:t>
      </w:r>
      <w:r>
        <w:rPr>
          <w:rFonts w:ascii="Arial" w:cs="Arial" w:eastAsia="Arial" w:hAnsi="Arial"/>
          <w:sz w:val="13"/>
          <w:szCs w:val="13"/>
          <w:i w:val="1"/>
          <w:iCs w:val="1"/>
          <w:color w:val="auto"/>
        </w:rPr>
        <w:t>reputation of the Peloton brand.</w:t>
      </w:r>
      <w:r>
        <w:rPr>
          <w:rFonts w:ascii="Arial" w:cs="Arial" w:eastAsia="Arial" w:hAnsi="Arial"/>
          <w:sz w:val="13"/>
          <w:szCs w:val="13"/>
          <w:color w:val="auto"/>
        </w:rPr>
        <w:t>” The restructuring plan has required, and may continue to require, a significant amount of management’s and other employees’ time and focus, which may divert</w:t>
      </w:r>
      <w:r>
        <w:rPr>
          <w:rFonts w:ascii="Arial" w:cs="Arial" w:eastAsia="Arial" w:hAnsi="Arial"/>
          <w:sz w:val="13"/>
          <w:szCs w:val="13"/>
          <w:i w:val="1"/>
          <w:iCs w:val="1"/>
          <w:color w:val="auto"/>
        </w:rPr>
        <w:t xml:space="preserve"> </w:t>
      </w:r>
      <w:r>
        <w:rPr>
          <w:rFonts w:ascii="Arial" w:cs="Arial" w:eastAsia="Arial" w:hAnsi="Arial"/>
          <w:sz w:val="13"/>
          <w:szCs w:val="13"/>
          <w:color w:val="auto"/>
        </w:rPr>
        <w:t>attention from effectively operating and growing our business. See Part 1, Item 7, “Management’s Discussion and Analysis of Financial Condition and Results of Operations —Fourth Quarter Fiscal 2022 Update and Recent Developments—</w:t>
      </w:r>
      <w:r>
        <w:rPr>
          <w:rFonts w:ascii="Arial" w:cs="Arial" w:eastAsia="Arial" w:hAnsi="Arial"/>
          <w:sz w:val="13"/>
          <w:szCs w:val="13"/>
          <w:i w:val="1"/>
          <w:iCs w:val="1"/>
          <w:color w:val="auto"/>
        </w:rPr>
        <w:t>Restructuring Plan</w:t>
      </w:r>
      <w:r>
        <w:rPr>
          <w:rFonts w:ascii="Arial" w:cs="Arial" w:eastAsia="Arial" w:hAnsi="Arial"/>
          <w:sz w:val="13"/>
          <w:szCs w:val="13"/>
          <w:color w:val="auto"/>
        </w:rPr>
        <w: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We have grown and the Company has evolved rapidly in recent years and have limited operating experience at our current scale of operations. If we are unable to manage our longer-term growth and intervening changes effectively, our brand, company culture, and financial performance may suffer.</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have expanded our operations rapidly in recent years and have limited operating experience at our current size. As we mature, grow and evolve over time, our business becomes increasingly complex and can take different forms. During periods of growth, we have had to manage costs while making investments such as expanding our sales and marketing, focusing on innovative product and content development, upgrading our management information systems and other processes, and obtaining more space, and in future periods of growth we expect to have to similarly manage our costs while investing in the expansion of our business. Growth and restructuring initiatives strain our existing resources, and we could experience ongoing operating difficulties in managing our business across numerous jurisdictions, including difficulties in hiring, training, managing and retaining a diffuse and at times growing employee base. Failure to preserve our company culture could harm our future success, including our ability to retain and recruit personnel and to effectively focus on and pursue our corporate objectives. Moreover, the integrated nature of aspects of our business, where we design our own Connected Fitness Products, develop our own software, produce original fitness and wellness programming, sell some of our products through our own sales teams and e-commerce site, and in some cases assemble, deliver, and service our Connected Fitness Products, exposes us to risk and disruption at many points that are critical to successfully operating our business and may make it more difficult for us to scale our business over time. For example, as a result of and at the onset of the COVID-19 pandemic, we experienced difficulties in meeting consumer demand for our Connected Fitness Products and services due to our employees becoming ill, being unable to travel to our facilities, and constraints within our supply chain. Conversely, we have recently experienced lower demand for our Connected Fitness Products and services, resulting in a shift in our strategic focus, including through the restructuring initiatives we announced in February 2022 and the additional ongoing actions we are taking to optimize our business. As we continue to develop our infrastructure, and particularly in light of the reductions in headcount that began as a part of our February 2022 restructuring initiatives, we may find it difficult to maintain valuable aspects of our culture. If we do not adapt to meet these evolving challenges, or if our management team does not effectively scale with our long-term growth while managing costs, we may experience erosion to our brand, the quality of our products and services may suffer, and our company culture may be harmed.</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growth strategy has at times contemplated and may in the future contemplate increases in our advertising and other marketing spending, changes to our targeted retail showroom strategy, or contraction of the number of showroom locations with more of an emphasis on third-party retail distribution, including in connection with our announced reduction of our North American showroom presence announced August 12, 2022 as part of our restructuring plan. Many of our existing retail showrooms are relatively new and we cannot assure you that these showrooms 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16" w:name="page17"/>
    <w:bookmarkEnd w:id="16"/>
    <w:p>
      <w:pPr>
        <w:jc w:val="both"/>
        <w:spacing w:after="0" w:line="268" w:lineRule="auto"/>
        <w:rPr>
          <w:sz w:val="20"/>
          <w:szCs w:val="20"/>
          <w:color w:val="auto"/>
        </w:rPr>
      </w:pPr>
      <w:r>
        <w:rPr>
          <w:rFonts w:ascii="Arial" w:cs="Arial" w:eastAsia="Arial" w:hAnsi="Arial"/>
          <w:sz w:val="12"/>
          <w:szCs w:val="12"/>
          <w:color w:val="auto"/>
        </w:rPr>
        <w:t>that future showrooms will generate revenue and cash flow comparable with those generated by our more mature locations or at prior rates for that same location, especially as we expand to new geographic markets. We may also at times need to close retail showrooms for strategic reasons or may wish to exit certain retail locations but be limited in timing and cost to exit under the lease terms. Moreover, certain occurrences outside of our control may result in the closure of our retail showrooms. Many of our retail showrooms are leased pursuant to multi-year leases, and our ability to sublease to a suitable subtenant, or negotiate favorable terms to exit a lease early or for a lease renewal option, may depend on factors that are not within our control. We may also open additional production studios as we expand internationally, which will require significant additional investment. The successful implementation of our growth strategy will require significant expenditures before any substantial associated revenue is generated and we cannot guarantee that these increased investments will result in corresponding and offsetting revenue growth. Additionally, we may not be able to realize the cost savings and benefits initially anticipated as a result of the restructuring initiatives that we announced in February 2022 or the additional ongoing initiatives to optimize our business and</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 xml:space="preserve">the anticipated costs of these initiatives may be greater than expected. See </w:t>
      </w:r>
      <w:r>
        <w:rPr>
          <w:rFonts w:ascii="Arial" w:cs="Arial" w:eastAsia="Arial" w:hAnsi="Arial"/>
          <w:sz w:val="12"/>
          <w:szCs w:val="12"/>
          <w:i w:val="1"/>
          <w:iCs w:val="1"/>
          <w:color w:val="auto"/>
        </w:rPr>
        <w:t>“</w:t>
      </w:r>
      <w:r>
        <w:rPr>
          <w:rFonts w:ascii="Arial" w:cs="Arial" w:eastAsia="Arial" w:hAnsi="Arial"/>
          <w:sz w:val="12"/>
          <w:szCs w:val="12"/>
          <w:color w:val="auto"/>
        </w:rPr>
        <w:t>—</w:t>
      </w:r>
      <w:r>
        <w:rPr>
          <w:rFonts w:ascii="Arial" w:cs="Arial" w:eastAsia="Arial" w:hAnsi="Arial"/>
          <w:sz w:val="12"/>
          <w:szCs w:val="12"/>
          <w:i w:val="1"/>
          <w:iCs w:val="1"/>
          <w:color w:val="auto"/>
        </w:rPr>
        <w:t>We may not successfully execute or achieve the expected benefits of our restructuring initiatives and other cost-saving</w:t>
      </w:r>
      <w:r>
        <w:rPr>
          <w:rFonts w:ascii="Arial" w:cs="Arial" w:eastAsia="Arial" w:hAnsi="Arial"/>
          <w:sz w:val="12"/>
          <w:szCs w:val="12"/>
          <w:color w:val="auto"/>
        </w:rPr>
        <w:t xml:space="preserve"> </w:t>
      </w:r>
      <w:r>
        <w:rPr>
          <w:rFonts w:ascii="Arial" w:cs="Arial" w:eastAsia="Arial" w:hAnsi="Arial"/>
          <w:sz w:val="12"/>
          <w:szCs w:val="12"/>
          <w:i w:val="1"/>
          <w:iCs w:val="1"/>
          <w:color w:val="auto"/>
        </w:rPr>
        <w:t>measures we may take in the future, and our efforts may result in further actions and/or additional asset impairment charges and adversely affect our business</w:t>
      </w:r>
      <w:r>
        <w:rPr>
          <w:rFonts w:ascii="Arial" w:cs="Arial" w:eastAsia="Arial" w:hAnsi="Arial"/>
          <w:sz w:val="12"/>
          <w:szCs w:val="12"/>
          <w:color w:val="auto"/>
        </w:rPr>
        <w:t>” and See Part 1, Item 7, “Management’s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Discussion and Analysis of Financial Condition and Results of Operations —Fourth Quarter Fiscal 2022 Update and Recent Developments—</w:t>
      </w:r>
      <w:r>
        <w:rPr>
          <w:rFonts w:ascii="Arial" w:cs="Arial" w:eastAsia="Arial" w:hAnsi="Arial"/>
          <w:sz w:val="13"/>
          <w:szCs w:val="13"/>
          <w:i w:val="1"/>
          <w:iCs w:val="1"/>
          <w:color w:val="auto"/>
        </w:rPr>
        <w:t>Restructuring Plan</w:t>
      </w:r>
      <w:r>
        <w:rPr>
          <w:rFonts w:ascii="Arial" w:cs="Arial" w:eastAsia="Arial" w:hAnsi="Arial"/>
          <w:sz w:val="13"/>
          <w:szCs w:val="13"/>
          <w:color w:val="auto"/>
        </w:rPr>
        <w: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and evolution of the company effectively could have an adverse effect on our business, financial condition, and operating results.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we are unable to anticipate consumer preferences and successfully develop and offer new, innovative, and updated products and services in a timely manner, or effectively manage the introduction of new or enhanced products and services, our business may be adversely affected.</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via the appropriate channels, or our new or enhanced offerings are not accepted by our Subscribers, our competitors may introduce similar or more desirable offerings and at speeds that are faster than us, which could negatively affect our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products and services, and excess inventory levels.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 xml:space="preserve">Even if we are successful in anticipating consumer preferences, our ability to adequately react to and address them will partially depend upon our continued ability to develop and introduce innovative, high-quality offerings to market in a way that adequately meets demand. For example, we are looking at ways to broaden our sales channels, including through distribution to third-party retailers, rethinking the value proposition of our Peloton App, and experimenting with a rental program in select markets, where Subscribers pay a single monthly fee for the combined use of their Connected Fitness Product and their Connected Fitness Subscription, rather than paying an initial upfront purchase price for their Connected Fitness Product.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experienced a significant increase in our Subscriber base at the onset of the COVID-19 pandemic, the rate of the increase has since slowed down and, over the longer term, it remains uncertain how the COVID-19 pandemic will impact consumer demand for our products and services and consumer preferences generally. In addition, we have experienced and may continue to experience delays in the development and introduction of new or enhanced products and services due to the effects of the COVID-19 pandemic and other market constraints. See “— </w:t>
      </w:r>
      <w:r>
        <w:rPr>
          <w:rFonts w:ascii="Arial" w:cs="Arial" w:eastAsia="Arial" w:hAnsi="Arial"/>
          <w:sz w:val="12"/>
          <w:szCs w:val="12"/>
          <w:i w:val="1"/>
          <w:iCs w:val="1"/>
          <w:color w:val="auto"/>
        </w:rPr>
        <w:t>The full impact of the COVID-19 pandemic, its duration, and any resurgence of infections, is uncertain and cannot be predicted.</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The COVID-19 pandemic could worsen or its effects may be prolonged, including as a result of variants, which could have an adverse effect on our business, results of operations, and financial condition</w:t>
      </w:r>
      <w:r>
        <w:rPr>
          <w:rFonts w:ascii="Arial" w:cs="Arial" w:eastAsia="Arial" w:hAnsi="Arial"/>
          <w:sz w:val="13"/>
          <w:szCs w:val="13"/>
          <w:color w:val="auto"/>
        </w:rPr>
        <w:t>.”</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Moreover, we must successfully manage introductions of new or enhanced products and services, as such introductions could adversely impact the sales of our existing products and services. For instance, consumers may choose to forgo purchasing existing products or services in advance of new or anticipated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logistics providers, and third-party retailers.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brand, gross margins and operating results.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The connected fitness market is relatively new and, if the general market and specific demand for our products and services does not continue to grow, grows more slowly than we expect, or fails to grow as much as we expect, our business, financial condition, and operating results may be adversely affected.</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connected fitness and wellness market is relatively new, rapidly growing over the last several years, and largely unproven, and it is uncertain whether it will sustain high levels of demand and achieve wide market acceptance. Our success depends substantially on the willingness of consumers to widely adopt our products and services. We have had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or be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17" w:name="page18"/>
    <w:bookmarkEnd w:id="17"/>
    <w:p>
      <w:pPr>
        <w:jc w:val="both"/>
        <w:spacing w:after="0" w:line="261" w:lineRule="auto"/>
        <w:rPr>
          <w:sz w:val="20"/>
          <w:szCs w:val="20"/>
          <w:color w:val="auto"/>
        </w:rPr>
      </w:pPr>
      <w:r>
        <w:rPr>
          <w:rFonts w:ascii="Arial" w:cs="Arial" w:eastAsia="Arial" w:hAnsi="Arial"/>
          <w:sz w:val="13"/>
          <w:szCs w:val="13"/>
          <w:color w:val="auto"/>
        </w:rPr>
        <w:t>sustained at current levels,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or sustain market acceptance, our business, financial condition, and operating results could be adversely affected.</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144" w:lineRule="exact"/>
        <w:rPr>
          <w:sz w:val="20"/>
          <w:szCs w:val="20"/>
          <w:color w:val="auto"/>
        </w:rPr>
      </w:pPr>
    </w:p>
    <w:p>
      <w:pPr>
        <w:ind w:right="60"/>
        <w:spacing w:after="0" w:line="267" w:lineRule="auto"/>
        <w:rPr>
          <w:sz w:val="20"/>
          <w:szCs w:val="20"/>
          <w:color w:val="auto"/>
        </w:rPr>
      </w:pPr>
      <w:r>
        <w:rPr>
          <w:rFonts w:ascii="Arial" w:cs="Arial" w:eastAsia="Arial" w:hAnsi="Arial"/>
          <w:sz w:val="12"/>
          <w:szCs w:val="12"/>
          <w:color w:val="auto"/>
        </w:rPr>
        <w:t xml:space="preserve">We have historically relied on a limited number of contract manufacturers and suppliers to manufacture and transport our Connected Fitness Products, and since October 2019 we also manufactured certain Connected Fitness Products in-house. In July 2022, we announced we are exiting all owned-manufacturing and subsequently our expanded partnership with one of our existing manufacturers. Due to our strategic exit from in-house manufacturing, we are now solely reliant on contract manufacturers for all of our manufacturing needs. In some cases, we rely on only a single supplier for some of our products and components. In the event of interruption from any of our contract manufacturers or suppliers, we may not be able to increase capacity from other sources or develop alternate or secondary sources without incurring material additional costs and delays, since we do not currently have qualified alternative or replacement contract manufacturers beyond these key partners. Furthermore, a large number of our contract manufacturers’ primary facilities are located in Taiwan and China. Thus, our business could be adversely affected if one or more of our suppliers is impacted by escalating tensions, hostilities, or trade disputes in the region, a natural disaster, an epidemic such as the COVID-19 pandemic, or other interruption at a particular location. In particular, the COVID-19 pandemic has caused, and may continue to cause, interruptions in the development, manufacturing (including the sourcing of key components), and shipment of our Connected Fitness Products, which could adversely impact our revenue, gross margins, and operating results. Such interruptions may be due to, among other things, temporary closures of the facilities of our contract manufacturers and other vendors in our supply chain; restrictions on or delays surrounding travel or the import/export of goods and services from certain ports that we use; and local quarantines or other public safety measures. Additionally, we may further increase our reliance on third-party suppliers, manufacturers and other logistics partners. For example, in August 2022, we announced that we are exiting our North American last mile locations and shifting our reliance entirely to third-party logistics providers. Our primary last mile partner currently relies on a network of independent contractors to perform last mile services for us in many markets. If any of these independent contractors, or the last mile partner as a whole, do not perform their obligations or meet the expectations of us or our Members, our brand, reputation and business could suffer. See “— </w:t>
      </w:r>
      <w:r>
        <w:rPr>
          <w:rFonts w:ascii="Arial" w:cs="Arial" w:eastAsia="Arial" w:hAnsi="Arial"/>
          <w:sz w:val="12"/>
          <w:szCs w:val="12"/>
          <w:i w:val="1"/>
          <w:iCs w:val="1"/>
          <w:color w:val="auto"/>
        </w:rPr>
        <w:t>We have limited control over our suppliers, contract manufacturers, and logistics partners, which may subject us to</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significant risks, including the potential inability to produce or obtain quality products and services on a timely basis or in sufficient quantity.”</w:t>
      </w:r>
    </w:p>
    <w:p>
      <w:pPr>
        <w:spacing w:after="0" w:line="182"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If we experience a significant increase in demand for our Connected Fitness Products that cannot be satisfied adequately through our existing supply channels, if we need to replace an existing supplier, manufacturer or partner, or if we find we need to engage additional suppliers, manufacturers and partners to support our operations, we may be unable to supplement or replace them under our required timing, at a quality standard to our satisfaction, or on market terms that are acceptable to us, which may undermine our ability to deliver our products to Members in a timely manner and otherwise impact our Members’ experience. For example, if we require additional manufacturing support, it may take a significant amount of time to identify a manufacturer that has the capability and resources to build our products to our specifications in sufficient volume. Similarly, in times of decreased demand, we may deem it necessary or advisable to renegotiate agreements with our supply</w:t>
      </w:r>
    </w:p>
    <w:p>
      <w:pPr>
        <w:spacing w:after="0" w:line="2" w:lineRule="exact"/>
        <w:rPr>
          <w:sz w:val="20"/>
          <w:szCs w:val="20"/>
          <w:color w:val="auto"/>
        </w:rPr>
      </w:pPr>
    </w:p>
    <w:p>
      <w:pPr>
        <w:ind w:right="40"/>
        <w:spacing w:after="0" w:line="267" w:lineRule="auto"/>
        <w:rPr>
          <w:sz w:val="20"/>
          <w:szCs w:val="20"/>
          <w:color w:val="auto"/>
        </w:rPr>
      </w:pPr>
      <w:r>
        <w:rPr>
          <w:rFonts w:ascii="Arial" w:cs="Arial" w:eastAsia="Arial" w:hAnsi="Arial"/>
          <w:sz w:val="12"/>
          <w:szCs w:val="12"/>
          <w:color w:val="auto"/>
        </w:rPr>
        <w:t xml:space="preserve">partners in order to appropriately scale our inventory, which could impair our relationship with these counterparties if we are unable to arrive at mutually acceptable terms. See </w:t>
      </w:r>
      <w:r>
        <w:rPr>
          <w:rFonts w:ascii="Arial" w:cs="Arial" w:eastAsia="Arial" w:hAnsi="Arial"/>
          <w:sz w:val="12"/>
          <w:szCs w:val="12"/>
          <w:i w:val="1"/>
          <w:iCs w:val="1"/>
          <w:color w:val="auto"/>
        </w:rPr>
        <w:t>“</w:t>
      </w:r>
      <w:r>
        <w:rPr>
          <w:rFonts w:ascii="Arial" w:cs="Arial" w:eastAsia="Arial" w:hAnsi="Arial"/>
          <w:sz w:val="12"/>
          <w:szCs w:val="12"/>
          <w:color w:val="auto"/>
        </w:rPr>
        <w:t xml:space="preserve">— </w:t>
      </w:r>
      <w:r>
        <w:rPr>
          <w:rFonts w:ascii="Arial" w:cs="Arial" w:eastAsia="Arial" w:hAnsi="Arial"/>
          <w:sz w:val="12"/>
          <w:szCs w:val="12"/>
          <w:i w:val="1"/>
          <w:iCs w:val="1"/>
          <w:color w:val="auto"/>
        </w:rPr>
        <w:t>Our operating results</w:t>
      </w:r>
      <w:r>
        <w:rPr>
          <w:rFonts w:ascii="Arial" w:cs="Arial" w:eastAsia="Arial" w:hAnsi="Arial"/>
          <w:sz w:val="12"/>
          <w:szCs w:val="12"/>
          <w:color w:val="auto"/>
        </w:rPr>
        <w:t xml:space="preserve"> </w:t>
      </w:r>
      <w:r>
        <w:rPr>
          <w:rFonts w:ascii="Arial" w:cs="Arial" w:eastAsia="Arial" w:hAnsi="Arial"/>
          <w:sz w:val="12"/>
          <w:szCs w:val="12"/>
          <w:i w:val="1"/>
          <w:iCs w:val="1"/>
          <w:color w:val="auto"/>
        </w:rPr>
        <w:t>have been, and could in the future be, adversely affected if we are unable to accurately forecast consumer demand for our products and services and adequately manage our inventory</w:t>
      </w:r>
      <w:r>
        <w:rPr>
          <w:rFonts w:ascii="Arial" w:cs="Arial" w:eastAsia="Arial" w:hAnsi="Arial"/>
          <w:sz w:val="12"/>
          <w:szCs w:val="12"/>
          <w:color w:val="auto"/>
        </w:rPr>
        <w:t>.” Identifying</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or poor performance by any of our significant suppliers, contract manufacturers, or logistics partners could have an adverse effect on our business, financial condition and operating results.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3"/>
          <w:szCs w:val="13"/>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We have limited control over our suppliers, contract manufacturers, and logistics partners, which subjects us to the following risks:</w:t>
      </w:r>
    </w:p>
    <w:p>
      <w:pPr>
        <w:spacing w:after="0" w:line="190"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inability to satisfy demand for our Connected Fitness Products;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reduced control over delivery timing and related customer experience and product reliability;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reduced ability to monitor the manufacturing process and components used in our Connected Fitness Products;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limited ability to develop comprehensive manufacturing specifications that take into account any materials shortages or substitutions;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variance in the manufacturing capability of our third-party manufacturers;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price increases;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of a significant supplier, manufacturer, or logistics partner to perform its obligations to us for technical, market, or other reasons;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variance in the quality of services provided by our third-party last mile partners;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difficulties in establishing additional supplier, manufacturer, or logistics partner relationships if we experience difficulties with our existing suppliers, manufacturers, or logistics partners;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shortages of materials or components;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misappropriation of our intellectual property;</w:t>
      </w:r>
    </w:p>
    <w:p>
      <w:pPr>
        <w:jc w:val="both"/>
        <w:ind w:left="520" w:hanging="260"/>
        <w:spacing w:after="0" w:line="247"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exposure to natural catastrophes, epidemics such as the COVID-19 pandemic, political unrest, including escalating tensions, hostilities, or trade disputes between Taiwan and China, terrorism, labor disputes, and economic instability resulting in the disruption of trade from foreign countries in which our Connected Fitness Products are manufactured or the components thereof are sourced;</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local economic conditions in the jurisdictions where our suppliers, manufacturers, and logistics partners are located;</w:t>
      </w:r>
    </w:p>
    <w:p>
      <w:pPr>
        <w:spacing w:after="0" w:line="2"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18" w:name="page19"/>
    <w:bookmarkEnd w:id="18"/>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insufficient warranties and indemnities on components supplied to our manufacturers or performance by our partners.</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We also rely on our logistics partners, including third-party last mile partners, to complete a substantial percentage of our deliveries to customers. In August 2022, we announced that we are exiting most of our North American distribution facilities and shifting our reliance entirely to third-party logistics providers. Our primary last mile partner currently relies on a network of independent contractors to perform last mile services for us in many markets. If any of these independent contractors, or the last mile partner itself or by virtue of those with which it contracts, does not perform its obligations or meet the expectations of us or our Members, our brand, reputation and business could suffer.</w:t>
      </w:r>
    </w:p>
    <w:p>
      <w:pPr>
        <w:spacing w:after="0" w:line="161" w:lineRule="exact"/>
        <w:rPr>
          <w:sz w:val="20"/>
          <w:szCs w:val="20"/>
          <w:color w:val="auto"/>
        </w:rPr>
      </w:pPr>
    </w:p>
    <w:p>
      <w:pPr>
        <w:ind w:right="620"/>
        <w:spacing w:after="0" w:line="266" w:lineRule="auto"/>
        <w:rPr>
          <w:sz w:val="20"/>
          <w:szCs w:val="20"/>
          <w:color w:val="auto"/>
        </w:rPr>
      </w:pPr>
      <w:r>
        <w:rPr>
          <w:rFonts w:ascii="Arial" w:cs="Arial" w:eastAsia="Arial" w:hAnsi="Arial"/>
          <w:sz w:val="13"/>
          <w:szCs w:val="13"/>
          <w:color w:val="auto"/>
        </w:rPr>
        <w:t>The occurrence of any of these risks, especially during seasons of peak demand, could cause us to experience a significant disruption in our ability to produce and deliver our products to our customers and could harm our brand and reputation.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past financial results may not be indicative of our future performance.</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Any historical revenue growth should not be considered indicative of our future performance. In particular, we have experienced periods of high revenue growth since we began selling our Bike, however, our revenue growth has slowed as our business matured and may not resume to prior levels. Additionally, we experienced a significant increase in our Subscriber base at the onset of the COVID-19 pandemic which slowed as consumers were able to resume activity outside the home, and, it remains uncertain how the impacts of the COVID-19 pandemic and other market constraints will impact consumer demand for our products and services over the long term.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market and we may be unable to compete successfully against existing and future competitors.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Our competitors may develop, or have already developed, products, features, content, services, or technologies that are similar to ours or that achieve greater acceptance, may undertake more successful product development efforts, be more efficient at meeting consumer demand,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music licensing rights, or be better positioned to withstand substantial price competition. Due to the highly volatile and competitive nature of the industry in which we compete, we may face pressure to continually introduce new products, services and technologies, enhance existing products and services, effectively stimulate customer demand for new and upgraded products and services, and successfully manage the transition to these new and upgraded products and services. If we are not able to compete effectively against our competitors, they may acquire, engage and retain customers or generate revenue at the expense of our efforts, which could have an adverse effect on our business, financial condition, and operating results.</w:t>
      </w:r>
    </w:p>
    <w:p>
      <w:pPr>
        <w:spacing w:after="0" w:line="159" w:lineRule="exact"/>
        <w:rPr>
          <w:sz w:val="20"/>
          <w:szCs w:val="20"/>
          <w:color w:val="auto"/>
        </w:rPr>
      </w:pPr>
    </w:p>
    <w:p>
      <w:pPr>
        <w:spacing w:after="0" w:line="276" w:lineRule="auto"/>
        <w:rPr>
          <w:sz w:val="20"/>
          <w:szCs w:val="20"/>
          <w:color w:val="auto"/>
        </w:rPr>
      </w:pPr>
      <w:r>
        <w:rPr>
          <w:rFonts w:ascii="Arial" w:cs="Arial" w:eastAsia="Arial" w:hAnsi="Arial"/>
          <w:sz w:val="13"/>
          <w:szCs w:val="13"/>
          <w:b w:val="1"/>
          <w:bCs w:val="1"/>
          <w:i w:val="1"/>
          <w:iCs w:val="1"/>
          <w:color w:val="auto"/>
        </w:rPr>
        <w:t>We derive a significant majority of our revenue from sales of our Bike and Bike+. A decline in sales of our Bike and Bike+ would negatively affect our future revenue and operating results.</w:t>
      </w:r>
    </w:p>
    <w:p>
      <w:pPr>
        <w:spacing w:after="0" w:line="144" w:lineRule="exact"/>
        <w:rPr>
          <w:sz w:val="20"/>
          <w:szCs w:val="20"/>
          <w:color w:val="auto"/>
        </w:rPr>
      </w:pPr>
    </w:p>
    <w:p>
      <w:pPr>
        <w:ind w:right="80"/>
        <w:spacing w:after="0" w:line="281" w:lineRule="auto"/>
        <w:rPr>
          <w:sz w:val="20"/>
          <w:szCs w:val="20"/>
          <w:color w:val="auto"/>
        </w:rPr>
      </w:pPr>
      <w:r>
        <w:rPr>
          <w:rFonts w:ascii="Arial" w:cs="Arial" w:eastAsia="Arial" w:hAnsi="Arial"/>
          <w:sz w:val="12"/>
          <w:szCs w:val="12"/>
          <w:color w:val="auto"/>
        </w:rPr>
        <w:t>Our Connected Fitness Products are sold in highly competitive markets with limited barriers to entry. Changes to our price structure, including with respect to delivery and installation pricing, product mix, the introduction by competitors of comparable products at lower price points, a maturing product lifecycle, a decline in consumer spending, or other factors (including factors disclosed herein) could result in a decline in our revenue derived from our Connected Fitness Products, which may have an adverse effect on our business, financial condition, and operating results. Because we derive a significant majority of our revenue from the sales of our Bike and Bike+, any material decline in sales of our Bike would have a pronounced impact on our future revenue and operating results.</w:t>
      </w:r>
    </w:p>
    <w:p>
      <w:pPr>
        <w:spacing w:after="0" w:line="160"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b w:val="1"/>
          <w:bCs w:val="1"/>
          <w:i w:val="1"/>
          <w:iCs w:val="1"/>
          <w:color w:val="auto"/>
        </w:rPr>
        <w:t>The full impact of the COVID-19 pandemic, its duration, and any resurgence of infections, is uncertain and cannot be predicted. The COVID-19 pandemic could worsen or its effects may be prolonged, including as a result of variants, which could have an adverse effect on our business, results of operations, and financial condition.</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COVID-19 pandemic continues to evolve, with pockets of resurgence and the emergence of variant strains contributing to continued uncertainty about its scope, duration, severity, trajectory, and lasting impact. COVID-19 has caused significant volatility in financial markets and has contributed to what could be an extended global recession. Public health problems resulting from COVID-19, the resurgence of infections and the emergence of new variants and precautionary measures instituted by governments and businesses to mitigate its spread, including travel restrictions and quarantines, have and could continue to contribute to a general slowdown in the global economy, adversely impact our Members, employees, third-party suppliers, contract manufacturers, logistics providers and other business partners, and otherwise disrupt our operations. Changes in our operations in response to the evolving COVID-19 pandemic and employee illnesses resulting from the pandemic have resulted in inefficiencies and delays, including in sales, delivery, and product development efforts, and additional costs related to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auto"/>
        </w:rPr>
        <w:t>continuity initiatives, that cannot be fully prevented or mitigated through succession and business continuity planning, employees working remotely or teleconferencing technologies.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COVID-19 and related reactions from governments and members of the public have had and may, including as a result of a resurgence or prolonged duration, continue to have a negative impact on our business, liquidity, results of operations, and stock price due to the occurrence of some or all of the following events or circumstances, among others:</w:t>
      </w:r>
    </w:p>
    <w:p>
      <w:pPr>
        <w:spacing w:after="0" w:line="146"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inability to manage our business effectively due to employees, including key employees, becoming ill, working from home inefficiently, and being unable to travel to our facilities;</w:t>
      </w:r>
    </w:p>
    <w:p>
      <w:pPr>
        <w:spacing w:after="0" w:line="17"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 or recommendations;</w:t>
      </w:r>
    </w:p>
    <w:p>
      <w:pPr>
        <w:ind w:left="520" w:hanging="260"/>
        <w:spacing w:after="0" w:line="246"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inability to provide our Members with high-quality Member support due to changes to the delivery experience and our or our logistics providers’ inability to provide in-home servicing of Connected Fitness Products due to safety risks and local government regulations related to COVID-19;</w:t>
      </w:r>
    </w:p>
    <w:p>
      <w:pPr>
        <w:spacing w:after="0" w:line="1" w:lineRule="exact"/>
        <w:rPr>
          <w:rFonts w:ascii="Arial" w:cs="Arial" w:eastAsia="Arial" w:hAnsi="Arial"/>
          <w:sz w:val="13"/>
          <w:szCs w:val="13"/>
          <w:color w:val="auto"/>
        </w:rPr>
      </w:pPr>
    </w:p>
    <w:p>
      <w:pPr>
        <w:jc w:val="both"/>
        <w:ind w:left="520" w:hanging="260"/>
        <w:spacing w:after="0" w:line="244"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temporary inventory shortages caused by a combination of increased demand for our Connected Fitness Products that were difficult to predict with accuracy, and longer lead-times and component shortages in the manufacturing of our Connected Fitness Products, due to work restrictions related to COVID-19, import/export conditions such as port congestion, and local government orders;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interruptions in our ability to offer live studio classes;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interruptions in manufacturing (including the sourcing of key components), shipment and delivery of our products;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disruptions of the operations of our third-party suppliers, which could impact our or our manufacturers’ ability to purchase components at efficient prices and in sufficient amounts;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reduced demand for our Connected Fitness Products and services, including due to any prolonged economic downturn that may occur;</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inability to raise additional capital or the dilution of our common stock if we raise capital by issuing equity securities;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volatility in the market price of our Class A common stock;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incurrence of significant increases to employee health care and benefits costs.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Sales of our Connected Fitness Products increased with the onset of the pandemic as we saw consumers invest in at-home fitness equipment with the imposition of government mandated stay-at-home orders. As a result of our increased sales, the price of our Class A common stock increased significantly with the onset of the COVID-19 pandemic, but has also decreased and fluctuated since then, including based on developments surrounding COVID-19. It remains uncertain how the COVID-19 pandemic and its duration or any resurgence will impact our stock price over the long term.</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full extent of the impact of COVID-19, its duration, or any resurgence on our business and financial results will depend largely on future developments, including, without limitation, the resurgence of infections, the emergence of new variants, the development, availability, and distribution of new vaccines and treatments and the uptake and effectiveness of existing vaccines and treatments, guidance regarding and the imposition of protective public safety measures, companies’ remote work policies, the impact on capital and financial markets and global supply chains, and the related impact on the circumstances and behavior of our Members (including their discretionary spending or their return to pre-COVID routines), all of which are highly uncertain and cannot be predicted. See</w:t>
      </w:r>
    </w:p>
    <w:p>
      <w:pPr>
        <w:jc w:val="both"/>
        <w:spacing w:after="0" w:line="253"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Our operating results have been, and could in the future be, adversely affected if we are unable to accurately forecast consumer demand for our products and services and adequately manage our</w:t>
      </w:r>
      <w:r>
        <w:rPr>
          <w:rFonts w:ascii="Arial" w:cs="Arial" w:eastAsia="Arial" w:hAnsi="Arial"/>
          <w:sz w:val="13"/>
          <w:szCs w:val="13"/>
          <w:color w:val="auto"/>
        </w:rPr>
        <w:t xml:space="preserve"> </w:t>
      </w:r>
      <w:r>
        <w:rPr>
          <w:rFonts w:ascii="Arial" w:cs="Arial" w:eastAsia="Arial" w:hAnsi="Arial"/>
          <w:sz w:val="13"/>
          <w:szCs w:val="13"/>
          <w:i w:val="1"/>
          <w:iCs w:val="1"/>
          <w:color w:val="auto"/>
        </w:rPr>
        <w:t>inventory</w:t>
      </w:r>
      <w:r>
        <w:rPr>
          <w:rFonts w:ascii="Arial" w:cs="Arial" w:eastAsia="Arial" w:hAnsi="Arial"/>
          <w:sz w:val="13"/>
          <w:szCs w:val="13"/>
          <w:color w:val="auto"/>
        </w:rPr>
        <w:t>.” The situation is continuously evolving, and additional impacts may arise that we currently view as immaterial or that we are not currently aware of.</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Music is an important element of the overall content that we make available to our Members. To secure the rights to use music in our content, we enter into agreements to obtain licenses from rights holders such as performing rights organizations, record labels, music publishers, collecting societies, artists and songwriters, and other copyright owners (or their agents). We pay royalties to such parties or their agents around the world.</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process of obtaining licenses involves identifying and negotiating with many rights holders, some of whom are unknown, or difficult to identify, or for whom we may have conflicting ownership information, and this can generate a myriad of complex and evolving legal issues across many jurisdictions, including open questions of law as to when and whether particular licenses are needed. At times, while we may hold the applicable license for certain music in North America, it may be difficult to obtain the license for the same music from the applicable rights holders outside of North America. In addition, our music licenses may not contemplate some of the features and content that we may wish to add to our service, or new service offerings or revenue models that we may wish to launch. Rights holders also may attempt to take advantage of their market power to seek onerous financial terms from us. Our relationship with certain rights holders may deteriorate. We may elect not to renew certain agreements with rights holders for any number of reasons, or we may decide to explore different licensing schemes or economic structures with certain or all rights holders. Artists and/or songwriters may object and may exert public or private pressure on rights holders to discontinue or to modify license terms, or we may elect to discontinue use of an artist or songwriter’s catalog based on a number of factors, including actual or perceived reputational damage.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With respect to musical compositions, in addition to obtaining the synchronization and reproduction rights, we also need to obtain public performance or communication to the public rights. In the United States, public performance rights are typically obtained separately through intermediaries known as performing rights organizations, or PROs, which (a) issue blanket licenses with copyright users for the public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3"/>
          <w:szCs w:val="13"/>
          <w:color w:val="auto"/>
        </w:rPr>
        <w:t>performance of musical compositions in their repertory, (b) collect royalties under those licenses, and (c) distribute such royalties to copyright owners. We have agreements with each of the following PROs in the United States: the American Society of Composers, Authors and Publishers, or ASCAP, Broadcast Music, Inc., or BMI, Global Music Rights, and SESAC. The royalty rates available to us from the PROs today may not be available to us in the future. The royalty rates under licenses provided by ASCAP and BMI currently are governed by consent decrees, which were issued by the U.S. Department of Justice (“DOJ”)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other parts of the world, including in Canada and Europe, we obtain licenses for musical compositions through local collecting societies representing songwriters and publishers, and from certain publishers directly, or a combination thereof. Given the licensing landscape in certain territories,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164"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 xml:space="preserve">Although we expend significant resources to seek to comply with applicable contractual, statutory, regulatory, and judicial frameworks, we cannot guarantee that we currently hold, or will always hold, every necessary right to use all of the music that is used on our service now or that may be used in our products and services in the future, and we cannot assure you that we are not infringing or violating any third-party intellectual property rights, or that we will not do so in the future.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Risks Related to Our Intellectual Property.”</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These challenges, and others concerning the licensing of music on our platform, may subject us to significant liability for copyright infringement, breach of contract, or other claims. For additional information, see Note 13 </w:t>
      </w:r>
      <w:r>
        <w:rPr>
          <w:rFonts w:ascii="Arial" w:cs="Arial" w:eastAsia="Arial" w:hAnsi="Arial"/>
          <w:sz w:val="13"/>
          <w:szCs w:val="13"/>
          <w:i w:val="1"/>
          <w:iCs w:val="1"/>
          <w:color w:val="auto"/>
        </w:rPr>
        <w:t>– Commitments and Contingencies</w:t>
      </w:r>
      <w:r>
        <w:rPr>
          <w:rFonts w:ascii="Arial" w:cs="Arial" w:eastAsia="Arial" w:hAnsi="Arial"/>
          <w:sz w:val="13"/>
          <w:szCs w:val="13"/>
          <w:color w:val="auto"/>
        </w:rPr>
        <w:t xml:space="preserve"> in the Notes to our Consolidated Financial Statements in Part II, Item 8 of this Annual Report on Form 10-K and the section titled “Legal Proceedings” in Part I, Item 3 of this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success depends on our ability to maintain the value and reputation of the Peloton brand.</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believe that our brand is important to attracting and retaining Members. Maintaining, protecting, and enhancing our brand depends on the success of a variety of factors, such as: our marketing efforts; our ability to provide consistent, high-quality products, services, features, content, and support, and our ability to successfully secure, maintain, and enforce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our strategic initiatives, such as our restructuring plan or our products, services, technology, customer service, content, personnel, and suppliers could diminish confidence in, and the use of, our products and services. For example, we have received reports of a number of injuries associated with our Tread+ product, and as a result, on May 5, 2021, we decided to issue a voluntary product recall of our Tread+, which we are conducting in collaboration with the CPSC. On the same day we also issued a voluntary product recall of our Tread. As discussed further in “</w:t>
      </w:r>
      <w:r>
        <w:rPr>
          <w:rFonts w:ascii="Arial" w:cs="Arial" w:eastAsia="Arial" w:hAnsi="Arial"/>
          <w:sz w:val="13"/>
          <w:szCs w:val="13"/>
          <w:i w:val="1"/>
          <w:iCs w:val="1"/>
          <w:color w:val="auto"/>
        </w:rPr>
        <w:t>- Risks Related to Our Connected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Fitness Products and Members” </w:t>
      </w:r>
      <w:r>
        <w:rPr>
          <w:rFonts w:ascii="Arial" w:cs="Arial" w:eastAsia="Arial" w:hAnsi="Arial"/>
          <w:sz w:val="13"/>
          <w:szCs w:val="13"/>
          <w:color w:val="auto"/>
        </w:rPr>
        <w:t>and “-</w:t>
      </w:r>
      <w:r>
        <w:rPr>
          <w:rFonts w:ascii="Arial" w:cs="Arial" w:eastAsia="Arial" w:hAnsi="Arial"/>
          <w:sz w:val="13"/>
          <w:szCs w:val="13"/>
          <w:i w:val="1"/>
          <w:iCs w:val="1"/>
          <w:color w:val="auto"/>
        </w:rPr>
        <w:t xml:space="preserve"> Risks Related to Laws, Regulation, and Legal Proceedings</w:t>
      </w:r>
      <w:r>
        <w:rPr>
          <w:rFonts w:ascii="Arial" w:cs="Arial" w:eastAsia="Arial" w:hAnsi="Arial"/>
          <w:sz w:val="13"/>
          <w:szCs w:val="13"/>
          <w:color w:val="auto"/>
        </w:rPr>
        <w:t>,” the legal proceedings in which we have been named, the regulators’ investigations, and any other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claims or proceedings involving us or our products, actions we take to address these matters, and any further publicity regarding any of the foregoing could harm our brand. Such negative publicity also could have an adverse effect on the size, engagement and loyalty of our Member base and result in decreased revenue, which could have an adverse effect on our business, financial condition, and operating results. In addition, we have recently been the target of an activist stockholder whose claims about us, our management and our business strategy could result in decreased confidence in the Company and adversely affect our reputation. See “— </w:t>
      </w:r>
      <w:r>
        <w:rPr>
          <w:rFonts w:ascii="Arial" w:cs="Arial" w:eastAsia="Arial" w:hAnsi="Arial"/>
          <w:sz w:val="13"/>
          <w:szCs w:val="13"/>
          <w:i w:val="1"/>
          <w:iCs w:val="1"/>
          <w:color w:val="auto"/>
        </w:rPr>
        <w:t>Stockholder activism could disrupt our business, cause us to incur significant expenses, hinder execution of our business strategy, and impact our</w:t>
      </w:r>
      <w:r>
        <w:rPr>
          <w:rFonts w:ascii="Arial" w:cs="Arial" w:eastAsia="Arial" w:hAnsi="Arial"/>
          <w:sz w:val="13"/>
          <w:szCs w:val="13"/>
          <w:color w:val="auto"/>
        </w:rPr>
        <w:t xml:space="preserve"> </w:t>
      </w:r>
      <w:r>
        <w:rPr>
          <w:rFonts w:ascii="Arial" w:cs="Arial" w:eastAsia="Arial" w:hAnsi="Arial"/>
          <w:sz w:val="13"/>
          <w:szCs w:val="13"/>
          <w:i w:val="1"/>
          <w:iCs w:val="1"/>
          <w:color w:val="auto"/>
        </w:rPr>
        <w:t>stock price.</w:t>
      </w:r>
      <w:r>
        <w:rPr>
          <w:rFonts w:ascii="Arial" w:cs="Arial" w:eastAsia="Arial" w:hAnsi="Arial"/>
          <w:sz w:val="13"/>
          <w:szCs w:val="13"/>
          <w:color w:val="auto"/>
        </w:rPr>
        <w: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Accurately forecasting and 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or decreases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 Conversely, in periods when we experience a decrease in demand for our products and an increase in inventory, we may be unable to renegotiate our agreements or purchase commitments with existing suppliers or partners on mutually acceptable terms, which could result in inventory write-offs, storage costs for excess inventory, or litigation. See “— </w:t>
      </w:r>
      <w:r>
        <w:rPr>
          <w:rFonts w:ascii="Arial" w:cs="Arial" w:eastAsia="Arial" w:hAnsi="Arial"/>
          <w:sz w:val="12"/>
          <w:szCs w:val="12"/>
          <w:i w:val="1"/>
          <w:iCs w:val="1"/>
          <w:color w:val="auto"/>
        </w:rPr>
        <w:t>Our operating results have been, and could in the future be, adversely affected if we are unable to accurately forecast consumer demand for our products and services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and adequately manage our inventory</w:t>
      </w:r>
      <w:r>
        <w:rPr>
          <w:rFonts w:ascii="Arial" w:cs="Arial" w:eastAsia="Arial" w:hAnsi="Arial"/>
          <w:sz w:val="13"/>
          <w:szCs w:val="13"/>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1" w:name="page22"/>
    <w:bookmarkEnd w:id="21"/>
    <w:p>
      <w:pPr>
        <w:jc w:val="both"/>
        <w:spacing w:after="0" w:line="247" w:lineRule="auto"/>
        <w:rPr>
          <w:sz w:val="20"/>
          <w:szCs w:val="20"/>
          <w:color w:val="auto"/>
        </w:rPr>
      </w:pPr>
      <w:r>
        <w:rPr>
          <w:rFonts w:ascii="Arial" w:cs="Arial" w:eastAsia="Arial" w:hAnsi="Arial"/>
          <w:sz w:val="13"/>
          <w:szCs w:val="13"/>
          <w:color w:val="auto"/>
        </w:rPr>
        <w:t>Moreover, volatile economic conditions have made it and may continue to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have been and may continue to be impacted by events outside of our control and limit our ability to procure timely delivery of supplies or finished goods and services. Since the beginning of 2018, importing and exporting has involved more risk,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from where imports on specified products are subject to tariffs by the United States following the U.S. Trade Representative Section 301 Investigation. These issues appear to have been and could be further exacerbated by the continuation of the COVID-19 pandemic as well as other global supply chain issues. We have seen, and may continue to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and other supply chain issues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could be adversely affected from an accident, safety incident, or workforce disruption.</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operations could expose us to significant personal injury claims that could subject us to substantial liability. Public health issues such as pandemics increase our exposure to these risks. For example, in connection with the COVID-19 pandemic, we had to secure personal protective equipment, such as face masks and gloves, institute vaccination and testing policies and otherwise implement new methods of monitoring employee health, such as temperature checks. Our inability to timely adapt to changing norms and requirements around maintaining a safe workplace could cause employee illness, accidents, may not successfully prevent outbreaks of illnesses, or may result in team discontent if we fail or if it is perceived that we are failing to protect the health and safety of our employees. Our liability insurance may not be adequate to cover fully all claims, and we may be forced to bear substantial losses from an accident or safety incident resulting from our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could also mount a corporate campaign, resulting in negative publicity and reputational harm or other impacts that require attention by our management team and our employees. Negative publicity, work stoppages, or strikes by unions could have an adverse effect on our business, prospects,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has historically been, and may continue to be, affected by seasonality.</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business has historically been influenced by seasonal trends common to traditional retail selling periods, where we generated a disproportionate amount of sales activity related to our Connected Fitness Products during the period from November through February due in large part to seasonal holiday demand, New Year’s resolutions, and cold weather. However, i</w:t>
      </w:r>
      <w:r>
        <w:rPr>
          <w:rFonts w:ascii="Arial" w:cs="Arial" w:eastAsia="Arial" w:hAnsi="Arial"/>
          <w:sz w:val="13"/>
          <w:szCs w:val="13"/>
          <w:color w:val="050505"/>
        </w:rPr>
        <w:t>n fiscal 2020, we saw a</w:t>
      </w:r>
      <w:r>
        <w:rPr>
          <w:rFonts w:ascii="Arial" w:cs="Arial" w:eastAsia="Arial" w:hAnsi="Arial"/>
          <w:sz w:val="13"/>
          <w:szCs w:val="13"/>
          <w:color w:val="auto"/>
        </w:rPr>
        <w:t xml:space="preserve"> </w:t>
      </w:r>
      <w:r>
        <w:rPr>
          <w:rFonts w:ascii="Arial" w:cs="Arial" w:eastAsia="Arial" w:hAnsi="Arial"/>
          <w:sz w:val="13"/>
          <w:szCs w:val="13"/>
          <w:color w:val="050505"/>
        </w:rPr>
        <w:t xml:space="preserve">significant increase in demand in the fourth quarter related to the onset of COVID-19, and, in contrast to previous years, only 54% of our Total revenue was generated in our second and third quarters during that fiscal year. More recently, in fiscal 2022, the ongoing COVID-19 pandemic and the recalls of our Tread products in the fourth quarter of fiscal 2021 impacted our historical seasonal patterns, with the second and third fiscal quarters accounting for 59% of fiscal 2022 sales. As the pandemic has receded in recent months, we have begun to experience a return to pre-pandemic seasonal trends. However, should the COVID-19 pandemic worsen or if its effects prove to be prolonged, we may continue to see atypical seasonal trends. Over time, we expect the seasonality of our business to return to historical patterns, with pronounced increases in demand during our second and third quarters. </w:t>
      </w:r>
      <w:r>
        <w:rPr>
          <w:rFonts w:ascii="Arial" w:cs="Arial" w:eastAsia="Arial" w:hAnsi="Arial"/>
          <w:sz w:val="13"/>
          <w:szCs w:val="13"/>
          <w:color w:val="000000"/>
        </w:rPr>
        <w:t>Moreover, in the event of higher sales during the period from November through February,</w:t>
      </w:r>
      <w:r>
        <w:rPr>
          <w:rFonts w:ascii="Arial" w:cs="Arial" w:eastAsia="Arial" w:hAnsi="Arial"/>
          <w:sz w:val="13"/>
          <w:szCs w:val="13"/>
          <w:color w:val="050505"/>
        </w:rPr>
        <w:t xml:space="preserve"> </w:t>
      </w:r>
      <w:r>
        <w:rPr>
          <w:rFonts w:ascii="Arial" w:cs="Arial" w:eastAsia="Arial" w:hAnsi="Arial"/>
          <w:sz w:val="13"/>
          <w:szCs w:val="13"/>
          <w:color w:val="000000"/>
        </w:rPr>
        <w:t xml:space="preserve">our working capital needs may be typically greater during the second and third quarters of the fiscal year. As a result of quarterly fluctuations caused by these and other factors, comparisons of our operating results across different fiscal quarters may not be accurate indicators of our future performance. Furthermore, our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See </w:t>
      </w:r>
      <w:r>
        <w:rPr>
          <w:rFonts w:ascii="Arial" w:cs="Arial" w:eastAsia="Arial" w:hAnsi="Arial"/>
          <w:sz w:val="13"/>
          <w:szCs w:val="13"/>
          <w:i w:val="1"/>
          <w:iCs w:val="1"/>
          <w:color w:val="000000"/>
        </w:rPr>
        <w:t>“</w:t>
      </w:r>
      <w:r>
        <w:rPr>
          <w:rFonts w:ascii="Arial" w:cs="Arial" w:eastAsia="Arial" w:hAnsi="Arial"/>
          <w:sz w:val="13"/>
          <w:szCs w:val="13"/>
          <w:color w:val="000000"/>
        </w:rPr>
        <w:t xml:space="preserve">— </w:t>
      </w:r>
      <w:r>
        <w:rPr>
          <w:rFonts w:ascii="Arial" w:cs="Arial" w:eastAsia="Arial" w:hAnsi="Arial"/>
          <w:sz w:val="13"/>
          <w:szCs w:val="13"/>
          <w:i w:val="1"/>
          <w:iCs w:val="1"/>
          <w:color w:val="000000"/>
        </w:rPr>
        <w:t>Our quarterly operating results and other operating metrics may fluctuate from quarter to quarter, which makes</w:t>
      </w:r>
      <w:r>
        <w:rPr>
          <w:rFonts w:ascii="Arial" w:cs="Arial" w:eastAsia="Arial" w:hAnsi="Arial"/>
          <w:sz w:val="13"/>
          <w:szCs w:val="13"/>
          <w:color w:val="000000"/>
        </w:rPr>
        <w:t xml:space="preserve"> </w:t>
      </w:r>
      <w:r>
        <w:rPr>
          <w:rFonts w:ascii="Arial" w:cs="Arial" w:eastAsia="Arial" w:hAnsi="Arial"/>
          <w:sz w:val="13"/>
          <w:szCs w:val="13"/>
          <w:i w:val="1"/>
          <w:iCs w:val="1"/>
          <w:color w:val="000000"/>
        </w:rPr>
        <w:t xml:space="preserve">these metrics difficult to predict.” </w:t>
      </w:r>
      <w:r>
        <w:rPr>
          <w:rFonts w:ascii="Arial" w:cs="Arial" w:eastAsia="Arial" w:hAnsi="Arial"/>
          <w:sz w:val="13"/>
          <w:szCs w:val="13"/>
          <w:color w:val="000000"/>
        </w:rPr>
        <w:t>Seasonality in our business can also be affected by introductions of new or enhanced products and services, including the costs associated with such introductions, as</w:t>
      </w:r>
      <w:r>
        <w:rPr>
          <w:rFonts w:ascii="Arial" w:cs="Arial" w:eastAsia="Arial" w:hAnsi="Arial"/>
          <w:sz w:val="13"/>
          <w:szCs w:val="13"/>
          <w:i w:val="1"/>
          <w:iCs w:val="1"/>
          <w:color w:val="000000"/>
        </w:rPr>
        <w:t xml:space="preserve"> </w:t>
      </w:r>
      <w:r>
        <w:rPr>
          <w:rFonts w:ascii="Arial" w:cs="Arial" w:eastAsia="Arial" w:hAnsi="Arial"/>
          <w:sz w:val="13"/>
          <w:szCs w:val="13"/>
          <w:color w:val="000000"/>
        </w:rPr>
        <w:t>well as external factors beyond our control, such as the duration and trajectory of the COVID-19 pandemic.</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quarterly operating results and other operating metrics may fluctuate from quarter to quarter, which makes these metrics difficult to predict.</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65"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continued market acceptance of, and the growth of the connected fitness and wellness market;</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evolving consumer demand and our ability to maintain and attract new Subscribers;</w:t>
      </w:r>
    </w:p>
    <w:p>
      <w:pPr>
        <w:spacing w:after="0" w:line="2"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development and improvement of the quality of the Peloton experience, including, enhancing existing and creating new Connected Fitness Products, services, technology, features, and content;</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continued development and upgrading of our proprietary technology platform;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2" w:name="page23"/>
    <w:bookmarkEnd w:id="22"/>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timing and success of new product, service, feature, and content introductions by us or our competitors or any other change in the competitive landscape of our market;</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pricing pressure as a result of competition or otherwise;</w:t>
      </w:r>
    </w:p>
    <w:p>
      <w:pPr>
        <w:spacing w:after="0" w:line="5"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timing and our ability to develop certain product solutions to enhance the safety of our Tread+ product to the satisfaction of the CPSC in connection with our voluntary product recall, which we are conducting in collaboration with the CPSC;</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delays or disruptions in our supply chain;</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errors in our forecasting of the demand for our products and services, which could lead to lower revenue or increased costs, or both;</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increases in marketing, sales, and other operating expenses that we may incur to grow and expand our operations and to remain competitive;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short-term expenditures and initiatives we may undertake in furtherance of long-term cost savings, including our restructuring plan announced in February 2022;</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continued expansion of, and reliance on, third-party last mile delivery and maintenance services for our Connected Fitness Products;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successful expansion into international markets, including Canada, the United Kingdom, Germany, and Australia;</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seasonal fluctuations in subscriptions and usage of Connected Fitness Products by our Members, each of which may change as our products and services evolve or as our business grows;</w:t>
      </w:r>
    </w:p>
    <w:p>
      <w:pPr>
        <w:spacing w:after="0" w:line="10" w:lineRule="exact"/>
        <w:rPr>
          <w:rFonts w:ascii="Arial" w:cs="Arial" w:eastAsia="Arial" w:hAnsi="Arial"/>
          <w:sz w:val="12"/>
          <w:szCs w:val="12"/>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diversification and growth of our revenue sources;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maintain gross margins and operating margins;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constraints on the availability of consumer financing or increased down payment requirements to finance purchases of our Connected Fitness Products;</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system failures or breaches of security or privacy;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adverse litigation judgments, settlements, or other litigation-related costs, including content costs for past use;</w:t>
      </w:r>
    </w:p>
    <w:p>
      <w:pPr>
        <w:spacing w:after="0" w:line="2"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the legislative or regulatory environment, including with respect to privacy, consumer product safety, and advertising, or enforcement by government regulators, including fines, orders, or consent decrees;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currency exchange rates and changes in the proportion of our revenue and expenses denominated in foreign currencies;</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our effective tax rate, including as a result of potential changes in tax laws proposed by the Biden administration and Democratic controlled Congress;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 and</w:t>
      </w:r>
    </w:p>
    <w:p>
      <w:pPr>
        <w:spacing w:after="0" w:line="2" w:lineRule="exact"/>
        <w:rPr>
          <w:rFonts w:ascii="Arial" w:cs="Arial" w:eastAsia="Arial" w:hAnsi="Arial"/>
          <w:sz w:val="13"/>
          <w:szCs w:val="13"/>
          <w:color w:val="auto"/>
        </w:rPr>
      </w:pPr>
    </w:p>
    <w:p>
      <w:pPr>
        <w:ind w:left="520" w:hanging="260"/>
        <w:spacing w:after="0" w:line="264"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business or macroeconomic conditions, including the impact of the COVID-19 pandemic, global supply chain issues, lower consumer confidence, inflation, recessionary conditions, increased unemployment rates, or stagnant or declining wages.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Any one of the factors above or the cumulative effect of some of the factors above may result in significant fluctuations in our operating results.</w:t>
      </w:r>
    </w:p>
    <w:p>
      <w:pPr>
        <w:spacing w:after="0" w:line="190"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 See “</w:t>
      </w:r>
      <w:r>
        <w:rPr>
          <w:rFonts w:ascii="Arial" w:cs="Arial" w:eastAsia="Arial" w:hAnsi="Arial"/>
          <w:sz w:val="13"/>
          <w:szCs w:val="13"/>
          <w:i w:val="1"/>
          <w:iCs w:val="1"/>
          <w:color w:val="auto"/>
        </w:rPr>
        <w:t>Risks Related to the Ownership of our Class A Common Stock.</w:t>
      </w:r>
      <w:r>
        <w:rPr>
          <w:rFonts w:ascii="Arial" w:cs="Arial" w:eastAsia="Arial" w:hAnsi="Arial"/>
          <w:sz w:val="13"/>
          <w:szCs w:val="13"/>
          <w:color w:val="auto"/>
        </w:rPr>
        <w:t>”</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While we have recently announced our intention to stabilize our cash flows, we frequently make business decisions that may reduce our short-term financial results if we believe that the decisions are consistent with our goals to improve the Peloton experience, which we believe will improve our financial results over the long term. For example, in February 2022, we committed to a restructuring plan, which has resulted in charges and which we anticipate will require additional charges in the future. See “Part 1, Item 7, “Management’s Discussion and Analysis of Financial Condition and Results of Operations —Fourth Quarter Fiscal 2022 Update and Recent Developments— </w:t>
      </w:r>
      <w:r>
        <w:rPr>
          <w:rFonts w:ascii="Arial" w:cs="Arial" w:eastAsia="Arial" w:hAnsi="Arial"/>
          <w:sz w:val="13"/>
          <w:szCs w:val="13"/>
          <w:i w:val="1"/>
          <w:iCs w:val="1"/>
          <w:color w:val="auto"/>
        </w:rPr>
        <w:t>Restructuring Plan</w:t>
      </w:r>
      <w:r>
        <w:rPr>
          <w:rFonts w:ascii="Arial" w:cs="Arial" w:eastAsia="Arial" w:hAnsi="Arial"/>
          <w:sz w:val="13"/>
          <w:szCs w:val="13"/>
          <w:color w:val="auto"/>
        </w:rPr>
        <w:t>.” These decisions may not be consistent with the expectations of our stockholders and may not produce the long-term benefits that we expect, in which case our membership growth</w:t>
      </w:r>
      <w:r>
        <w:rPr>
          <w:rFonts w:ascii="Arial" w:cs="Arial" w:eastAsia="Arial" w:hAnsi="Arial"/>
          <w:sz w:val="13"/>
          <w:szCs w:val="13"/>
          <w:i w:val="1"/>
          <w:iCs w:val="1"/>
          <w:color w:val="auto"/>
        </w:rPr>
        <w:t xml:space="preserve"> </w:t>
      </w:r>
      <w:r>
        <w:rPr>
          <w:rFonts w:ascii="Arial" w:cs="Arial" w:eastAsia="Arial" w:hAnsi="Arial"/>
          <w:sz w:val="13"/>
          <w:szCs w:val="13"/>
          <w:color w:val="auto"/>
        </w:rPr>
        <w:t>and Member engagement, and our business, financial condition, and operating results could be harmed.</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Most of the fitness and wellness content offered on our platform is produced in one of our production studios located in New York City or London, with some content (including audio-only content) recorded out of studio or in non-Peloton studios. Due to our reliance on a limited number of studios in a concentrated location, any incident involving our studios, or affecting New York City or London at-large, including COVID-19 related public health and safety measures or other restrictions, could render our studios inaccessible or unusable and could inhibit our ability to produce and deliver new fitness and wellness content for our Members. For example, in April 2020, we decided to temporarily pause live production at both our New York and London studios to reduce the risk of exposure to our employees and their families to COVID-19. While we have since reopened our studios for live production, and taken a number of health and safety precautions in doing so, there is no guarantee that the COVID-19 pandemic or other incidents beyond our control will not result in future pauses to live production from our studios or other locations. Production of the fitness and wellness content on our platform is further reliant on the creativity of our fitness instructors who, with the support of our production team, plan and lead our classes. Our standard employment contract with our U.S.-based fitness instructors has a fixed, multi-year term, however, any of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engage them and who they can relate to, then our business, financial condition, and operating results may be adversely affected.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i w:val="1"/>
          <w:iCs w:val="1"/>
          <w:color w:val="auto"/>
        </w:rPr>
        <w:t>Our acquisition of Precor presents risks, and we may not realize our anticipated strategic and financial goals from the acquisition.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Risks we may face in connection with our acquisition and integration of Precor include:</w:t>
      </w:r>
    </w:p>
    <w:p>
      <w:pPr>
        <w:spacing w:after="0" w:line="201"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not realize the benefits we expect to receive from the transaction, such as anticipated synergies;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have difficulties managing Precor’s technologies and lines of business or retaining key personnel from Precor;</w:t>
      </w:r>
    </w:p>
    <w:p>
      <w:pPr>
        <w:spacing w:after="0" w:line="5"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acquisition may not further our business strategy as we expected, we may not successfully integrate Precor as planned, there could be unanticipated adverse impacts on Precor’s business, or we may otherwise not realize the expected return on our investments, which could adversely affect our business or operating results;</w:t>
      </w:r>
    </w:p>
    <w:p>
      <w:pPr>
        <w:ind w:left="520" w:hanging="260"/>
        <w:spacing w:after="0" w:line="24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acquisition may cause, and additional factors relating to the shift in our strategic focus and to our restructuring initiatives have caused and may continue to cause, impairments to assets that we record as a part of an acquisition including intangible assets and goodwill;</w:t>
      </w:r>
    </w:p>
    <w:p>
      <w:pPr>
        <w:spacing w:after="0" w:line="1" w:lineRule="exact"/>
        <w:rPr>
          <w:rFonts w:ascii="Arial" w:cs="Arial" w:eastAsia="Arial" w:hAnsi="Arial"/>
          <w:sz w:val="13"/>
          <w:szCs w:val="13"/>
          <w:color w:val="auto"/>
        </w:rPr>
      </w:pPr>
    </w:p>
    <w:p>
      <w:pPr>
        <w:jc w:val="both"/>
        <w:ind w:left="520" w:hanging="260"/>
        <w:spacing w:after="0" w:line="245"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operating results or financial condition may be adversely impacted by (i) claims or liabilities related to Precor’s business including, among others, claims from government agencies, terminated employees, current or former customers, consumers or business partners, or other third parties;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intellectual property claims or disputes;</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Precor operates in segments of the commercial market that we have less experience with, including traditional gyms, multifamily residences, hotels and college and corporate campuses, and expansion of our operations in these segments through the acquisition could present various integration challenges and result in increased costs and other unforeseen challenges;</w:t>
      </w:r>
    </w:p>
    <w:p>
      <w:pPr>
        <w:spacing w:after="0" w:line="1" w:lineRule="exact"/>
        <w:rPr>
          <w:rFonts w:ascii="Arial" w:cs="Arial" w:eastAsia="Arial" w:hAnsi="Arial"/>
          <w:sz w:val="13"/>
          <w:szCs w:val="13"/>
          <w:color w:val="auto"/>
        </w:rPr>
      </w:pPr>
    </w:p>
    <w:p>
      <w:pPr>
        <w:jc w:val="both"/>
        <w:ind w:left="520" w:hanging="260"/>
        <w:spacing w:after="0"/>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Precor serves customers in more than 100 countries worldwide, and as a result of the acquisition our operations have expanded into new jurisdictions, which could present significant integration challenges and result in significant increased risks and costs inherent in doing business in international markets (see “— </w:t>
      </w:r>
      <w:r>
        <w:rPr>
          <w:rFonts w:ascii="Arial" w:cs="Arial" w:eastAsia="Arial" w:hAnsi="Arial"/>
          <w:sz w:val="13"/>
          <w:szCs w:val="13"/>
          <w:i w:val="1"/>
          <w:iCs w:val="1"/>
          <w:color w:val="auto"/>
        </w:rPr>
        <w:t>Expansion into international markets will expose us to</w:t>
      </w:r>
      <w:r>
        <w:rPr>
          <w:rFonts w:ascii="Arial" w:cs="Arial" w:eastAsia="Arial" w:hAnsi="Arial"/>
          <w:sz w:val="13"/>
          <w:szCs w:val="13"/>
          <w:color w:val="auto"/>
        </w:rPr>
        <w:t xml:space="preserve"> </w:t>
      </w:r>
      <w:r>
        <w:rPr>
          <w:rFonts w:ascii="Arial" w:cs="Arial" w:eastAsia="Arial" w:hAnsi="Arial"/>
          <w:sz w:val="13"/>
          <w:szCs w:val="13"/>
          <w:i w:val="1"/>
          <w:iCs w:val="1"/>
          <w:color w:val="auto"/>
        </w:rPr>
        <w:t>significant risks</w:t>
      </w:r>
      <w:r>
        <w:rPr>
          <w:rFonts w:ascii="Arial" w:cs="Arial" w:eastAsia="Arial" w:hAnsi="Arial"/>
          <w:sz w:val="13"/>
          <w:szCs w:val="13"/>
          <w:color w:val="auto"/>
        </w:rPr>
        <w:t>”);</w:t>
      </w:r>
    </w:p>
    <w:p>
      <w:pPr>
        <w:spacing w:after="0" w:line="1" w:lineRule="exact"/>
        <w:rPr>
          <w:rFonts w:ascii="Arial" w:cs="Arial" w:eastAsia="Arial" w:hAnsi="Arial"/>
          <w:sz w:val="13"/>
          <w:szCs w:val="13"/>
          <w:color w:val="auto"/>
        </w:rPr>
      </w:pPr>
    </w:p>
    <w:p>
      <w:pPr>
        <w:jc w:val="both"/>
        <w:ind w:left="520" w:hanging="260"/>
        <w:spacing w:after="0" w:line="227"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Precor’s employees in a number of countries around the world are now Peloton employees, and we may face new and unanticipated challenges in employing this significant workforce, including integrating these employees into our existing business units, providing benefits and working conditions that comply with the laws in jurisdictions in which we haven’t operated before, and maintaining our One Peloton culture; and</w:t>
      </w:r>
    </w:p>
    <w:p>
      <w:pPr>
        <w:jc w:val="both"/>
        <w:ind w:left="520" w:hanging="260"/>
        <w:spacing w:after="0" w:line="23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have failed to identify or assess the magnitude of certain liabilities, shortcomings or other risks in Precor’s business prior to closing our acquisition of Precor, which could result in unexpected litigation or regulatory exposure, unfavorable accounting treatment, a diversion of management’s attention and resources, and other adverse effects on our business, financial condition,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occurrence of any of these risks could have a material adverse effect on our business, financial condition, and operating results. See “— </w:t>
      </w:r>
      <w:r>
        <w:rPr>
          <w:rFonts w:ascii="Arial" w:cs="Arial" w:eastAsia="Arial" w:hAnsi="Arial"/>
          <w:sz w:val="13"/>
          <w:szCs w:val="13"/>
          <w:i w:val="1"/>
          <w:iCs w:val="1"/>
          <w:color w:val="auto"/>
        </w:rPr>
        <w:t>We have engaged and in the future may engage in</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13"/>
          <w:szCs w:val="13"/>
          <w:i w:val="1"/>
          <w:iCs w:val="1"/>
          <w:color w:val="auto"/>
        </w:rPr>
        <w:t>acquisition and disposition activities, which could require significant management attention, disrupt our business, fail to achieve the intended benefit, dilute stockholder value, and adversely affect our operating results</w:t>
      </w:r>
      <w:r>
        <w:rPr>
          <w:rFonts w:ascii="Arial" w:cs="Arial" w:eastAsia="Arial" w:hAnsi="Arial"/>
          <w:sz w:val="13"/>
          <w:szCs w:val="13"/>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experience delays in the sale of the Ohio industrial facility that was intended to be Peloton Output Park, which could adversely impact our business and financial condition.</w:t>
      </w:r>
    </w:p>
    <w:p>
      <w:pPr>
        <w:spacing w:after="0" w:line="201" w:lineRule="exact"/>
        <w:rPr>
          <w:sz w:val="20"/>
          <w:szCs w:val="20"/>
          <w:color w:val="auto"/>
        </w:rPr>
      </w:pPr>
    </w:p>
    <w:p>
      <w:pPr>
        <w:ind w:right="100"/>
        <w:spacing w:after="0" w:line="275" w:lineRule="auto"/>
        <w:rPr>
          <w:sz w:val="20"/>
          <w:szCs w:val="20"/>
          <w:color w:val="auto"/>
        </w:rPr>
      </w:pPr>
      <w:r>
        <w:rPr>
          <w:rFonts w:ascii="Arial" w:cs="Arial" w:eastAsia="Arial" w:hAnsi="Arial"/>
          <w:sz w:val="12"/>
          <w:szCs w:val="12"/>
          <w:color w:val="auto"/>
        </w:rPr>
        <w:t>In May 2021, we announced our plans to build a U.S.-based manufacturing facility in Troy Township, Ohio, which we called “Peloton Output Park.” While we previously intended to use Peloton Output Park to manufacture some of our Connected Fitness Products, we currently are marketing and intend to sell the Ohio facility. As of June 30, 2022, we had invested approximately $86.6 million to build an industrial building for sale. The process of re-developing, constructing, and marketing for sale the Ohio facility has been inherently complex and has required significant capital expenditure, and its sale may cause significant disruption to our operations and divert management’s attention and resources, all of which could have a material adverse effect on our business, financial condition and operating results. We can give no assurance that we will recoup any of our investment in the development of the Ohio facility or realize the expected benefits of its sale, if any.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Expansion into international markets will expose us to significant risks.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intend to expand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46" w:lineRule="exact"/>
        <w:rPr>
          <w:sz w:val="20"/>
          <w:szCs w:val="20"/>
          <w:color w:val="auto"/>
        </w:rPr>
      </w:pPr>
    </w:p>
    <w:p>
      <w:pPr>
        <w:ind w:left="520" w:hanging="260"/>
        <w:spacing w:after="0" w:line="253"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need to vary pricing and margins to effectively compete in international markets;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need to adapt and localize products for specific countries, including obtaining rights to third-party intellectual property, including music, used in each country;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increased competition from local providers of similar products and services;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ability to protect and enforce intellectual property rights abroad;</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need to offer engaging content and customer support in various languages and across various cultures;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difficulties in understanding and complying with local laws, regulations, and customs in other jurisdictions;</w:t>
      </w:r>
    </w:p>
    <w:p>
      <w:pPr>
        <w:spacing w:after="0" w:line="2"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compliance with anti-bribery laws, such as the U.S. Foreign Corrupt Practices Act (the “FCPA”), and the U.K. Bribery Act 2010 (the “U.K. Bribery Act”), by us, our employees, and our business partners;</w:t>
      </w:r>
    </w:p>
    <w:p>
      <w:pPr>
        <w:spacing w:after="0" w:line="1"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complexity and other risks associated with current and future legal requirements in other countries, including legal requirements related to consumer protection, consumer product safety, and data privacy frameworks, such as the General Data Protection Regulation 2016/679;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1" w:right="319" w:bottom="1440" w:gutter="0" w:footer="0" w:header="0"/>
        </w:sectPr>
      </w:pPr>
    </w:p>
    <w:bookmarkStart w:id="24" w:name="page25"/>
    <w:bookmarkEnd w:id="24"/>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varying levels of internet technology adoption and infrastructure, and increased or varying network and hosting service provider costs;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tariffs and other non-tariff barriers, such as quotas and local content rules, as well as tax consequences;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fluctuations in currency exchange rates and the requirements of currency control regulations, which might restrict or prohibit conversion of other currencies into U.S. dollars; and</w:t>
      </w:r>
    </w:p>
    <w:p>
      <w:pPr>
        <w:spacing w:after="0" w:line="2" w:lineRule="exact"/>
        <w:rPr>
          <w:rFonts w:ascii="Arial" w:cs="Arial" w:eastAsia="Arial" w:hAnsi="Arial"/>
          <w:sz w:val="13"/>
          <w:szCs w:val="13"/>
          <w:color w:val="auto"/>
        </w:rPr>
      </w:pPr>
    </w:p>
    <w:p>
      <w:pPr>
        <w:ind w:left="520" w:hanging="260"/>
        <w:spacing w:after="0" w:line="264"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political or social unrest or economic instability in a specific country or region in which we operate, including, for example, escalating tensions, hostilities, or trade disputes between China and Taiwan or the effects of “Brexit,” each of which could have an adverse impact on our operations in such locations.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 xml:space="preserve">In addition to expanding our operations into international markets through the sale of our Connected Fitness Products and the production of our platform content, we have expanded, and may in the future, expand our international operations through acquisitions of, or investments in, foreign entities, which may result in additional operational costs and risks. For example, as a result of our October 2019 acquisition of Tonic, we acquired manufacturing plants in Taiwan. This acquisition required us to, among other things, fulfill Tonic’s obligations under existing service contracts that are unrelated to our current business, address the difficulties of managing a workforce in a foreign country with different labor laws, customs, and language barriers, and successfully maintain relationships with Tonic’s suppliers and contract partners. In July 2022, we announced our plans to exit all owned manufacturing, which may result in additional operational costs and risks. See “— </w:t>
      </w:r>
      <w:r>
        <w:rPr>
          <w:rFonts w:ascii="Arial" w:cs="Arial" w:eastAsia="Arial" w:hAnsi="Arial"/>
          <w:sz w:val="12"/>
          <w:szCs w:val="12"/>
          <w:i w:val="1"/>
          <w:iCs w:val="1"/>
          <w:color w:val="auto"/>
        </w:rPr>
        <w:t>We have engaged and in the</w:t>
      </w:r>
      <w:r>
        <w:rPr>
          <w:rFonts w:ascii="Arial" w:cs="Arial" w:eastAsia="Arial" w:hAnsi="Arial"/>
          <w:sz w:val="12"/>
          <w:szCs w:val="12"/>
          <w:color w:val="auto"/>
        </w:rPr>
        <w:t xml:space="preserve"> </w:t>
      </w:r>
      <w:r>
        <w:rPr>
          <w:rFonts w:ascii="Arial" w:cs="Arial" w:eastAsia="Arial" w:hAnsi="Arial"/>
          <w:sz w:val="12"/>
          <w:szCs w:val="12"/>
          <w:i w:val="1"/>
          <w:iCs w:val="1"/>
          <w:color w:val="auto"/>
        </w:rPr>
        <w:t>future may engage in acquisition and disposition activities, which could require significant management attention, disrupt our business, fail to achieve the intended benefit, dilute stockholder value, and adversely affect our operating results</w:t>
      </w:r>
      <w:r>
        <w:rPr>
          <w:rFonts w:ascii="Arial" w:cs="Arial" w:eastAsia="Arial" w:hAnsi="Arial"/>
          <w:sz w:val="12"/>
          <w:szCs w:val="12"/>
          <w:color w:val="auto"/>
        </w:rPr>
        <w:t>.” In April 2021, we completed our acquisition of Precor which serves customers in more than 100 countries worldwide. As a result, we began to increase our</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and efforts abroad, which can also result in various integration challenges and amplify the various risks and costs of doing business in international markets described above.</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our plans for expansion into international markets, and have an adverse effect on our business, financial condition, and operating results.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We have engaged and in the future may engage in acquisition and disposition activities, which could require significant management attention, disrupt our business, fail to achieve the intended benefit, dilute stockholder value, and adversely affect our operating results.</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As part of our business strategy, we have made and, in the future, may make investments in other companies, products, or technologies, including acquisitions that may result in our entering markets or lines of business in which we do not currently have expertise. For example, in April 2021, we acquired Precor in order to establish U.S. manufacturing capacity, boost research and development capabilities, and accelerate our penetration of the commercial market.</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may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 in connection with our restructuring initiatives we intend to divest some of our assets, including through site closures and the sale of Peloton Output Park. We may in the future decide to divest other assets or a business. For example, in July 2022 we announced our plans to exit owned manufacturing operations, including Tonic. In connection with these activities, it may be difficult to find or complete divestiture opportunities or alternative exit strategies under the desired timeline and on acceptable terms, if at all. These circumstances could delay the achievement of our strategic objectives or cause us to incur additional expenses with respect to the desired divestiture, or the price or terms of the divestiture may be less favorable than we had anticipated. Even following a divestiture or other exit strategy, we may have certain continuing obligations to former employees, customers, vendors, landlords or other third parties. We may also have continuing liabilities related to former employees, assets or businesses. Such obligations may have a material adverse impact on our results of operations and financial condition.</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3"/>
          <w:szCs w:val="13"/>
          <w:color w:val="auto"/>
        </w:rPr>
        <w:t>our Members to access content on our platform. Our growth over the past several years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Online sales of our Connected Fitness Products through www.onepeloton.com represented a majority of our units sold in the United States for fiscal 2022.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and enjoyment of our products and services may be damaged, our revenue could be reduced, our reputation could be harmed, and we may be required to issue credits or refunds, or risk losing Members.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payment processing risk</w:t>
      </w:r>
      <w:r>
        <w:rPr>
          <w:rFonts w:ascii="Arial" w:cs="Arial" w:eastAsia="Arial" w:hAnsi="Arial"/>
          <w:sz w:val="13"/>
          <w:szCs w:val="13"/>
          <w:color w:val="auto"/>
        </w:rPr>
        <w:t>.</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Cybersecurity risks could adversely affect our business and disrupt our operations.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ransomware or other extortion-based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 negative impact on our Members’ experience, and loss of consumer confidence. In addition, we may be the target of email scams that attempt to acquire personal data or company assets. Despite our efforts to create security barriers to such threats, we may not be able to entirely mitigate these risks.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While we maintain cyber insurance that may help provide coverage for security breaches or other incidents, such insurance may not be adequate to cover the costs and liabilities related to them. Our costs associated with such breaches and incidents, including, for example, those stemming from one or more large claims against us that exceed our available insurance coverage, or that results in changes to our insurance policies, could impact our operating results and/or financial condition. In addition, our insurance policy may change as a result of such incidents or for other reasons, including overall insurance market conditions, premium increases, or the imposition of large deductible or co-insurance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Member engagement on mobile devices depends upon effective operation with mobile and streaming device operating systems, networks, and standards that we do not control.</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6" w:name="page27"/>
    <w:bookmarkEnd w:id="26"/>
    <w:p>
      <w:pPr>
        <w:jc w:val="both"/>
        <w:spacing w:after="0" w:line="248" w:lineRule="auto"/>
        <w:rPr>
          <w:sz w:val="20"/>
          <w:szCs w:val="20"/>
          <w:color w:val="auto"/>
        </w:rPr>
      </w:pPr>
      <w:r>
        <w:rPr>
          <w:rFonts w:ascii="Arial" w:cs="Arial" w:eastAsia="Arial" w:hAnsi="Arial"/>
          <w:sz w:val="13"/>
          <w:szCs w:val="13"/>
          <w:color w:val="auto"/>
        </w:rPr>
        <w:t>systems that we do not control, such as Android and iOS, and any changes in such systems that degrade the functionality of our app offering or give preferential treatment to competitors could adversely affect our platform’s usage on mobile devices and televisions. Additionally, in order to deliver high-quality content, it is important that the Peloton App offering is designed effectively and works well with a range of mobile and streaming technologies, systems, networks, and standards that we do not control. We may not be successful in developing relationships with key participants in the mobile and streaming industry or in developing products that operate effectively with these technologies, systems, networks, or standards. In the event that it is more difficult for our Members to access and use our platform on their mobile devices or televisions, or Members find the Peloton App does not effectively meet their needs, our competitors develop products and services that are perceived to operate more effectively on mobile devices or televisions, or if our Members choose not to access or use our platform on their mobile devices or televisions or use products that do not offer access to our platform, our Member growth and Member engagement could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anticipate appropriate pricing levels for our Connected Fitness Products and subscriptions, our business could be adversely affected.</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we are unable to anticipate appropriate pricing levels for our portfolio of Connected Fitness Products and subscription services, whether due to consumer sentiment and spending power, availability and terms of consumer financing, brand perception, competitive pressure, or otherwise, our revenues and/or gross margins could be significantly reduced. Our decisions around the development of new products and services are in part based upon assumptions around pricing levels. If there are price fluctuations in the market after these decisions are made, it could have a negative effect on our business.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 in March 2022 we began testing a new pricing model in select markets, where Subscribers pay a single monthly fee for the combined use of their Connected Fitness Product and their Connected Fitness Subscription, rather than paying an initial upfront purchase price for their Connected Fitness Product. No assurance can be given that this or any other new offerings will be successful and will not adversely affect our reputation, operating results, and financial condition. Additionally, our focus on long-term Member engagement over short-term financial condition or results of operations can result in us making decisions that may reduce our short-term revenue or profitability if we believe that such decisions benefit the aggregate Member experience and will thereby improve our financial performance over the long term. These decisions may not produce the long-term benefits that we expect, in which case our Member growth and engagement as well as our business, operating results, and financial condition could be negatively impacted.</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how we market our products and services could adversely affect our marketing expenses and subscription levels.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use these marketing tools in a cost effective manner,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economic downturn or economic uncertainty may adversely affect consumer discretionary spending and demand for our products and services.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products and services may be considered discretionary items for consumers. Factors affecting the level of consumer spending for such discretionary items include general economic conditions, including inflation, and other factors such as consumer confidence in future economic conditions, fears of recession, the availability and cost of consumer credit and spending power,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pandemic, trends in consumer discretionary spending also remain unpredictable and subject to reductions and fluctuations. To date, our business has mostly operated in a relatively strong economic environment and, therefore, we cannot be sure the extent to which we may be affected by actual or fears of recessionary conditions. Unfavorable economic conditions may lead consumers to delay or reduce purchases of our products and services and consumer demand for our products and services may not grow as we expect. For example, in more recent quarters, we have experienced reduced consumer demand, partially contributing to a decrease in Connected Fitness Products revenue relative to prior year periods. Our sensitivity to economic cycles and any related fluctuation in consumer demand for our products and services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revenue could decline due to changes in credit markets and decisions made by credit providers.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i w:val="1"/>
          <w:iCs w:val="1"/>
          <w:color w:val="auto"/>
        </w:rPr>
        <w:t>We have a limited operating history with which to predict the profitability of our subscription model. Additionally, we may introduce new revenue models in the future.</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majority of our Subscribers are on month-to-month subscription terms and may cancel their subscriptions at any time. In addition, subscription renewals can fluctuate based on a variety of factors such as consumer preferences, competitive products and services and macroeconomic conditions.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experienced a significant increase in our Subscriber base upon the outbreak of COVID-19, it remains uncertain how the COVID-19 pandemic will ultimately impact Subscriber renewal rates in the long-term.</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Furthermore, in the future, we may offer new subscription products, implement promotions, or replace or modify current subscription models and pricing, any of which could result in additional costs or could adversely impact Subscriber retention. For example, we began experimenting with a rental program in select markets, where Subscribers pay a single monthly fee for both the combined use of their Connected Fitness Product and their Connected Fitness Subscription, rather than paying an initial upfront purchase price for their Connected Fitness Product.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track certain operational and business metrics, including Total Workouts and Average Monthly Workouts per Connected Fitness Subscription, with internal methods, which are not independently verified by any third party and, in particular for the Peloton App,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that are important to our business, for example, as a result of algorithmic or other technical errors, the operational and business metrics that we report publicly, or those that we report to regulatory bodies or otherwise use to manage our business, may not be accurate. In addition, limitations or errors with respect to how we measure certain operational and business metrics may affect our understanding of certain details of our business, which could affect our longer-term strategies, and jeopardize our credibility with Members, partners and regulators.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or if investors, analysts, or customers do not believe that they do, our reputation may be harmed, and our operating and financial results could be adversely affected.</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 xml:space="preserve">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consumer demand and our success in implementing our business strategy, which are subject to many risks and uncertainties. See “— </w:t>
      </w:r>
      <w:r>
        <w:rPr>
          <w:rFonts w:ascii="Arial" w:cs="Arial" w:eastAsia="Arial" w:hAnsi="Arial"/>
          <w:sz w:val="12"/>
          <w:szCs w:val="12"/>
          <w:i w:val="1"/>
          <w:iCs w:val="1"/>
          <w:color w:val="auto"/>
        </w:rPr>
        <w:t>Our operating results have been, and could in the future be, adversely affected if we are unable to accurately forecast consumer demand for our products and services and</w:t>
      </w:r>
    </w:p>
    <w:p>
      <w:pPr>
        <w:spacing w:after="0"/>
        <w:rPr>
          <w:sz w:val="20"/>
          <w:szCs w:val="20"/>
          <w:color w:val="auto"/>
        </w:rPr>
      </w:pPr>
      <w:r>
        <w:rPr>
          <w:rFonts w:ascii="Arial" w:cs="Arial" w:eastAsia="Arial" w:hAnsi="Arial"/>
          <w:sz w:val="13"/>
          <w:szCs w:val="13"/>
          <w:i w:val="1"/>
          <w:iCs w:val="1"/>
          <w:color w:val="auto"/>
        </w:rPr>
        <w:t>adequately manage our inventory</w:t>
      </w:r>
      <w:r>
        <w:rPr>
          <w:rFonts w:ascii="Arial" w:cs="Arial" w:eastAsia="Arial" w:hAnsi="Arial"/>
          <w:sz w:val="13"/>
          <w:szCs w:val="13"/>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or our Subscribers may be subject to sales and other taxes, and we may be subject to liabilities on past sales for taxes, surcharges, and fees.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and consumers have, and may in the future, contest the appropriateness of our tax collection practices through litigation or other means.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Covenants in the credit agreement and the security agreement governing our term loan and revolving credit facility may restrict our operations, and if we do not effectively manage our business to comply with these covenants, our financial condition could be adversely impacted.</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term loan and revolving credit facility contain various restrictive covenants, including, among other things, minimum liquidity and revenue requirements applicable solely to the revolving credit facility, restrictions on our ability to dispose of assets, make acquisitions or investments, incur debt or liens, make distributions to our stockholders, or enter into certain types of related party transactions. In particular, in addition to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our revolving credit facility, as recently amended, requires us to maintain a total level of liquidity of not less than $250.0 million and maintain a minimum total four-quarter revenue level of $3.0 billion (which are replaced with a covenant to maintain a minimum debt to adjusted EBITDA ratio upon our meeting a specified adjusted EBITDA threshold). These restrictions may restrict our current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28" w:name="page29"/>
    <w:bookmarkEnd w:id="28"/>
    <w:p>
      <w:pPr>
        <w:jc w:val="both"/>
        <w:spacing w:after="0" w:line="274" w:lineRule="auto"/>
        <w:rPr>
          <w:sz w:val="20"/>
          <w:szCs w:val="20"/>
          <w:color w:val="auto"/>
        </w:rPr>
      </w:pPr>
      <w:r>
        <w:rPr>
          <w:rFonts w:ascii="Arial" w:cs="Arial" w:eastAsia="Arial" w:hAnsi="Arial"/>
          <w:sz w:val="12"/>
          <w:szCs w:val="12"/>
          <w:color w:val="auto"/>
        </w:rPr>
        <w:t xml:space="preserve">and future operations, particularly our ability to respond to certain changes in our business or industry, or take future actions. Pursuant to the security agreement, we granted the parties thereto a security interest in substantially all of our assets. See </w:t>
      </w:r>
      <w:r>
        <w:rPr>
          <w:rFonts w:ascii="Arial" w:cs="Arial" w:eastAsia="Arial" w:hAnsi="Arial"/>
          <w:sz w:val="12"/>
          <w:szCs w:val="12"/>
          <w:i w:val="1"/>
          <w:iCs w:val="1"/>
          <w:color w:val="auto"/>
        </w:rPr>
        <w:t>Note 12 - Debt</w:t>
      </w:r>
      <w:r>
        <w:rPr>
          <w:rFonts w:ascii="Arial" w:cs="Arial" w:eastAsia="Arial" w:hAnsi="Arial"/>
          <w:sz w:val="12"/>
          <w:szCs w:val="12"/>
          <w:color w:val="auto"/>
        </w:rPr>
        <w:t xml:space="preserve"> in the Notes to our Consolidated Financial Statements in Part II, Item 8. of this Annual Report on Form 10-K and the section titled</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Management’s Discussion and Analysis of Financial Condition and Results of Operations - Liquidity and Capital Resources - Second Amended and Restated Credit Agreement</w:t>
      </w:r>
      <w:r>
        <w:rPr>
          <w:rFonts w:ascii="Arial" w:cs="Arial" w:eastAsia="Arial" w:hAnsi="Arial"/>
          <w:sz w:val="13"/>
          <w:szCs w:val="13"/>
          <w:color w:val="auto"/>
        </w:rPr>
        <w:t>” in Part II, Item 7 of this Annual Report on Form 10-K.</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ability to meet these restrictive covenants can be impacted by events beyond our control and we may be unable to do so. Our credit agreement provides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credit agreement and the security agreement. If the debt under our credit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3"/>
          <w:szCs w:val="13"/>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2"/>
          <w:szCs w:val="12"/>
          <w:color w:val="auto"/>
        </w:rPr>
        <w:t>In the course of preparing our financial statements for fiscal 2021 and fiscal 2022,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reporting involving inventory and the controls that validate the inputs and assumptions used in our impairment testing. We have concluded that these material weaknesses arose because our controls were not effectively designed, documented and maintained to (i) verify that our physical inventory counts were correctly counted and communicated; and (ii) apply fair value measurements and validate the inputs and assumptions used in our impairment testing for reporting in our financial statements.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address our material weaknesses, we have made changes to our program and controls as set forth in See Part II, Item 9A “Controls and Procedures.” We will not be able to fully remediate these material weaknesses until these steps have been completed and have been operating effectively for a sufficient period of time.</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For example, as we exit our last mile warehouses and further expand our reliance on last mile partners, we may face additional challenges in accurately verifying physical inventory counts.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Failure to maintain effective internal control over our financial and management systems may strain our resources, divert management’s attention, and impact our ability to attract and retain executive management and qualified board members.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subject to the reporting requirements of the Exchange Act, the Sarbanes-Oxley Act, the rules and regulations promulgated thereunder by the SEC and any rules and regulations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in the future, improve our disclosure controls and procedures, and internal control over financial reporting to meet this standard, significant resources and management oversight may be required. In the course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9" w:name="page30"/>
    <w:bookmarkEnd w:id="29"/>
    <w:p>
      <w:pPr>
        <w:jc w:val="both"/>
        <w:spacing w:after="0" w:line="274" w:lineRule="auto"/>
        <w:rPr>
          <w:sz w:val="20"/>
          <w:szCs w:val="20"/>
          <w:color w:val="auto"/>
        </w:rPr>
      </w:pPr>
      <w:r>
        <w:rPr>
          <w:rFonts w:ascii="Arial" w:cs="Arial" w:eastAsia="Arial" w:hAnsi="Arial"/>
          <w:sz w:val="12"/>
          <w:szCs w:val="12"/>
          <w:color w:val="auto"/>
        </w:rPr>
        <w:t>preparing our financial statements for fiscal 2021 and fiscal 2022, we identified a material weakness in our internal control over financial reporting. If, in the future, we have a material weakness or deficiencies in our internal control over financial reporting, we may not detect errors on a timely basis and our consolidated financial statements may be materially misstated. Effective internal control is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necessary for us to produce reliable financial reports and is important to prevent fraud.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We have identified material weaknesses in our internal control over financial reporting, and if our</w:t>
      </w:r>
      <w:r>
        <w:rPr>
          <w:rFonts w:ascii="Arial" w:cs="Arial" w:eastAsia="Arial" w:hAnsi="Arial"/>
          <w:sz w:val="13"/>
          <w:szCs w:val="13"/>
          <w:color w:val="auto"/>
        </w:rPr>
        <w:t xml:space="preserve"> </w:t>
      </w:r>
      <w:r>
        <w:rPr>
          <w:rFonts w:ascii="Arial" w:cs="Arial" w:eastAsia="Arial" w:hAnsi="Arial"/>
          <w:sz w:val="13"/>
          <w:szCs w:val="13"/>
          <w:i w:val="1"/>
          <w:iCs w:val="1"/>
          <w:color w:val="auto"/>
        </w:rPr>
        <w:t>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r>
        <w:rPr>
          <w:rFonts w:ascii="Arial" w:cs="Arial" w:eastAsia="Arial" w:hAnsi="Arial"/>
          <w:sz w:val="13"/>
          <w:szCs w:val="13"/>
          <w:color w:val="auto"/>
        </w:rPr>
        <w:t>”</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prove to be incorrect, our operating results could be adversely affected.</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in Part II, Item 7 of this Annual Report on Form 10-K.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exposed to changes to the global macroeconomic environment beyond our control, including inflation fluctuations and foreign currency exchange rate fluctuations.</w:t>
      </w:r>
    </w:p>
    <w:p>
      <w:pPr>
        <w:spacing w:after="0" w:line="190"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We are exposed to fluctuations in inflation, which could negatively affect our business, financial condition and results of operation. The United States has recently experienced historically high levels of inflation. If the inflation rate continues to increase, it will likely affect our expenses, including, but not limited to, employee compensation expenses and increased costs for supplies. Any attempts to offset cost increases with price increases may result in reduced sales, increased customer dissatisfaction or otherwise harm our reputation. Moreover, to the extent inflation results in rising interest rates, reduces discretionary spending, and has other adverse effects on the market, it may adversely affect our business, financial condition and results of operations.</w:t>
      </w:r>
    </w:p>
    <w:p>
      <w:pPr>
        <w:spacing w:after="0" w:line="176"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In addition, 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Stockholder activism could disrupt our business, cause us to incur significant expenses, hinder execution of our business strategy, and impact our stock price.</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been and may in the future be subject to stockholder activism, which can arise in a variety of predictable or unpredictable situations, and can result in substantial costs and divert management’s and our board’s attention and resources from our business. Additionally, such stockholder activism could give rise to perceived uncertainties as to our long-term business, financial forecasts, future operations and strategic planning, harm our reputation, adversely affect our relationships with our Members and business partners, and make it more difficult to attract and retain qualified personnel. We may also be required to incur significant fees and other expenses related to activist matters, including for third-party advisors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3"/>
          <w:szCs w:val="13"/>
          <w:color w:val="auto"/>
        </w:rPr>
        <w:t>Companies across all industries are facing increasing scrutiny related to their environmental, social and governance (“ESG”) practices and reporting. Investors, consumers, employees and other stakeholders have focused increasingly on ESG practices and placed increasing importance on the implications and social cost of their investments, purchases and other interactions with companies. With this increased focus, public reporting regarding ESG practices is becoming more broadly expected. If our ESG practices and reporting do not meet investor, consumer or employee expectations, which continue to evolve, our brand, reputation and customer retention may be negatively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Our ability to achieve any ESG objective is subject to numerous risks, many of which are outside of our control. Examples of such risks include:</w:t>
      </w:r>
    </w:p>
    <w:p>
      <w:pPr>
        <w:spacing w:after="0" w:line="190" w:lineRule="exact"/>
        <w:rPr>
          <w:sz w:val="20"/>
          <w:szCs w:val="20"/>
          <w:color w:val="auto"/>
        </w:rPr>
      </w:pPr>
    </w:p>
    <w:p>
      <w:pPr>
        <w:ind w:left="620" w:hanging="106"/>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availability and cost of low- or non-carbon-based energy sources;</w:t>
      </w:r>
    </w:p>
    <w:p>
      <w:pPr>
        <w:spacing w:after="0" w:line="11" w:lineRule="exact"/>
        <w:rPr>
          <w:rFonts w:ascii="Arial" w:cs="Arial" w:eastAsia="Arial" w:hAnsi="Arial"/>
          <w:sz w:val="13"/>
          <w:szCs w:val="13"/>
          <w:color w:val="auto"/>
        </w:rPr>
      </w:pPr>
    </w:p>
    <w:p>
      <w:pPr>
        <w:ind w:left="620" w:hanging="106"/>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evolving regulatory requirements affecting ESG standards or disclosures;</w:t>
      </w:r>
    </w:p>
    <w:p>
      <w:pPr>
        <w:spacing w:after="0" w:line="5" w:lineRule="exact"/>
        <w:rPr>
          <w:rFonts w:ascii="Arial" w:cs="Arial" w:eastAsia="Arial" w:hAnsi="Arial"/>
          <w:sz w:val="13"/>
          <w:szCs w:val="13"/>
          <w:color w:val="auto"/>
        </w:rPr>
      </w:pPr>
    </w:p>
    <w:p>
      <w:pPr>
        <w:ind w:left="620" w:hanging="106"/>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availability of suppliers that can meet sustainability, diversity and other ESG standards that we may set;</w:t>
      </w:r>
    </w:p>
    <w:p>
      <w:pPr>
        <w:spacing w:after="0" w:line="2" w:lineRule="exact"/>
        <w:rPr>
          <w:rFonts w:ascii="Arial" w:cs="Arial" w:eastAsia="Arial" w:hAnsi="Arial"/>
          <w:sz w:val="13"/>
          <w:szCs w:val="13"/>
          <w:color w:val="auto"/>
        </w:rPr>
      </w:pPr>
    </w:p>
    <w:p>
      <w:pPr>
        <w:ind w:left="620" w:hanging="106"/>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ability to recruit, develop and retain diverse talent in our labor markets; and</w:t>
      </w:r>
    </w:p>
    <w:p>
      <w:pPr>
        <w:spacing w:after="0" w:line="5" w:lineRule="exact"/>
        <w:rPr>
          <w:rFonts w:ascii="Arial" w:cs="Arial" w:eastAsia="Arial" w:hAnsi="Arial"/>
          <w:sz w:val="13"/>
          <w:szCs w:val="13"/>
          <w:color w:val="auto"/>
        </w:rPr>
      </w:pPr>
    </w:p>
    <w:p>
      <w:pPr>
        <w:ind w:left="620" w:hanging="106"/>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success of our organic growth and acquisitions or dispositions of businesses or operations.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we fail, or are perceived to be failing, to meet the standards included in any sustainability disclosure or the expectations of our various stakeholders, it could negatively impact our reputation, customer attraction and retention, access to capital and employee retention. In addition, new sustainability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155"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b w:val="1"/>
          <w:bCs w:val="1"/>
          <w:i w:val="1"/>
          <w:iCs w:val="1"/>
          <w:color w:val="auto"/>
        </w:rPr>
        <w:t>Our business is subject to the risk of earthquakes, fire, power outages, floods, public health crises, ransomware and other cybersecurity attacks, labor disputes, and other catastrophic events, and to interruption by man-made problems such as terrorism and international geopolitical conflicts.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business is vulnerable to damage or interruption from earthquakes, fires, floods, power losses, telecommunications failures, ransomware and other cybersecurity attacks, labor disputes, terrorist attacks, acts of war and international geopolitical conflicts, human errors, break-ins, industrial accidents, public health crises, including the COVID-19 pandemic, and other unforeseen events or events that we cannot control. The third-party providers,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Acts of terrorism, which may be targeted at metropolitan areas that have higher population density than rural areas, could also cause disruptions to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Connected Fitness Products and Members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Our products and services may be affected from time to time by design and manufacturing defects, real or perceived, that could adversely affect our business and result in harm to our reputation.</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or may arise from upgrades or changes to hardware that we or our third-party manufacturing partners may make in the ordinary course of a product’s lifecycle. Actual or perceived defects may not be identified until after a product is in market. Any defects could impact our customer experience, tarnish our brand reputation or make our products and services unsafe and create a risk of environmental or property damage and/or personal injury. We may also become subject to the hazards and uncertainties of product liability claims and related litigation. For example, we have received reports of injuries associated with our Tread+ product, one of which led to the death of a child. As a result of the aforementioned injuries associated with these reported Tread+ incidents, in April 2021, the CPSC unilaterally issued a warning to consumers about the safety hazards associated with the Tread+. While we do not agree with all of the assertions in the CPSC’s warning, in May 2021 we initiated a voluntary recall of our Tread+ product in collaboration with the CPSC. The CPSC is currently investigating the matter and in August 2022 we were notified by the CPSC that the agency staff believes we failed to meet our statutory obligations under the Consumer Product Safety Act and intends to recommend that the CPSC impose civil monetary penalties. The recall, the possibility that the CPSC or other regulators could assess penalties or fines against us, and the risk that the CPSC or we could determine to recall any other product now or in the future, may adversely impact our operating results, brand reputation, and business. In connection with the voluntary recall of the Tread+, we developed and released additional safety features, such as a passcode to protect against unauthorized use, and we are working to develop additional physical hardware to further enhance the safety of the product. If we are unable to develop a product solution to further enhance the safety of our Tread+ product, we may not be able to sell that product for a significant period of time, if ever, and may face substantial costs associated with the development of such features and implementation of the recall. In addition to the CPSC investigation, we are presently subject to class action litigation, private personal injury claims and other regulatory proceedings related to the Tread+ recall and other matters that, regardless of their merits, could harm our reputation, divert management’s attention from our operations, and result in substantial legal fees, judgments, fines, penalties, and other costs. Given that such proceedings are subject to uncertainty, there can be no assurance that such legal and regulatory proceedings, either individually or in the aggregate, will not have a material adverse effect on our stock price, business, results of operations, financial condition or cash flows. Furthermore, the occurrence of real or perceived defects in any of our products, now or in the future, could result in additional negative publicity, regulatory investigations, recalls, or lawsuits filed against us, particularly if Members or others who use or purchase our Connected Fitness Products are injured. Even if injuries are not the result of any defects, if they are perceived to be, we may incur expenses to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1" w:name="page32"/>
    <w:bookmarkEnd w:id="31"/>
    <w:p>
      <w:pPr>
        <w:jc w:val="both"/>
        <w:spacing w:after="0" w:line="266" w:lineRule="auto"/>
        <w:rPr>
          <w:sz w:val="20"/>
          <w:szCs w:val="20"/>
          <w:color w:val="auto"/>
        </w:rPr>
      </w:pPr>
      <w:r>
        <w:rPr>
          <w:rFonts w:ascii="Arial" w:cs="Arial" w:eastAsia="Arial" w:hAnsi="Arial"/>
          <w:sz w:val="13"/>
          <w:szCs w:val="13"/>
          <w:color w:val="auto"/>
        </w:rPr>
        <w:t xml:space="preserve">defend or settle any claims or government inquiries and our brand and reputation may be harmed. See </w:t>
      </w:r>
      <w:r>
        <w:rPr>
          <w:rFonts w:ascii="Arial" w:cs="Arial" w:eastAsia="Arial" w:hAnsi="Arial"/>
          <w:sz w:val="13"/>
          <w:szCs w:val="13"/>
          <w:i w:val="1"/>
          <w:iCs w:val="1"/>
          <w:color w:val="auto"/>
        </w:rPr>
        <w:t>Note 13 - Commitments and Contingencies</w:t>
      </w:r>
      <w:r>
        <w:rPr>
          <w:rFonts w:ascii="Arial" w:cs="Arial" w:eastAsia="Arial" w:hAnsi="Arial"/>
          <w:sz w:val="13"/>
          <w:szCs w:val="13"/>
          <w:color w:val="auto"/>
        </w:rPr>
        <w:t xml:space="preserve"> in the Notes to our Consolidated Financial Statements in Part II, Item 8 of this Annual Report on Form 10-K and the section titled “Legal Proceedings” in Part I, Item 3 of this Annual Report on Form 10-K.</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timely detect and fix all issues and defects in the hardware, software, and services we offer. Failure to do so could result in widespread technical and performance issues affecting our products and services and could lead to claims or investigations against us.</w:t>
      </w:r>
    </w:p>
    <w:p>
      <w:pPr>
        <w:spacing w:after="0" w:line="165"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Design and manufacturing defects, real or perceived,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Members use their Connected Fitness Products, subscriptions, and fitness accessories, such as our heart rate monitor, to track and record certain metrics and data related to their workouts. Examples of data tracked on our platform include heart rate, calories burned, distance traveled and Strive Score as well as cadence, resistance, and output in the case of Bike; pace, speed, and elevation in the case of Tread; and Movement Tracker in the case of Guide. Taken together, these metrics assist our Members in tracking their fitness journey and understanding the effectiveness of their Peloton workouts, both during and after a workout. We anticipate introducing new metrics and features in the future. If the software used in our Connected Fitness Products or on our platform malfunctions and fails to accurately track, display, or record Member workouts and metrics, it could negatively impact our Members’ experience, and we could face claims alleging that our products and services do not operate as advertised. Such reports and claims could result in negative publicity, product liability and/or product safety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our Members’ experience may be negatively impacted, we may become the subject of negative publicity, litigation, regulatory proceedings, and warranty claims, and our brand, operating results, and business could be harmed.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offer high-quality Member support, our business and reputation will suffer.</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Providing a high-quality Member experience is vital to our success in generating word-of-mouth referrals to drive sales and for retaining existing Members. Due to the COVID-19 pandemic, our ability to provide high-quality Member support has been significantly impacted. For example, due to COVID-19, we have at times been unable to provide in-home servicing of our Connected Fitness Products, we have at times had to pause and temporarily suspend the sale, delivery, and installation of the Tread, and delivery procedures for the Bike have been limited in some locations where we are unable to provide in-home delivery and set up services. Additionally, our use of, and expansion of, other distribution channels and our increasing reliance on third-party Member support and third-party last mile partners for in-home delivery and set up services may challenge our ability to control Members’ experience of such services. In addition, the closure of our offices, either due to COVID-19 or due to our restructuring initiatives, has forced our Member support staff to work from home, which may result in work-productivity issues or a decrease in efficiencies, particularly during times of high call volume as we have seen when delivery lead times get longer.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generally provide a minimum 12-month limited warranty on all of our Connected Fitness Products. In addition, we permit returns of our Bikes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We have experienced and may in the future experience higher product returns during periods where there are actual or perceived defects in our products or services or if there are changes in home fitness demand as consumers go back to their pre-COVID routines.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 xml:space="preserve">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For example, in connection with our May 2021 Tread+ recall, we are presently, and may in the future be, subject to warranty claims and lawsuits related to injuries sustained by Members or their friends and family members, or others who use or purchase the Tread+ and other Connected Fitness Products that, regardless of their merits, could harm our reputation, divert management’s attention from our operations and result in substantial legal fees and other costs. See “ — </w:t>
      </w:r>
      <w:r>
        <w:rPr>
          <w:rFonts w:ascii="Arial" w:cs="Arial" w:eastAsia="Arial" w:hAnsi="Arial"/>
          <w:sz w:val="13"/>
          <w:szCs w:val="13"/>
          <w:i w:val="1"/>
          <w:iCs w:val="1"/>
          <w:color w:val="auto"/>
        </w:rPr>
        <w:t>Our products and services may be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i w:val="1"/>
          <w:iCs w:val="1"/>
          <w:color w:val="auto"/>
        </w:rPr>
        <w:t>affected from time to time by design and manufacturing defects, real or perceived, that could adversely affect our business and result in harm to our reputation.”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subject to requirements under the Dodd-Frank Wall Street Reform and Consumer Protection Act of 2010, requiring us to conduct due diligence on and disclose whether or not certain conflict minerals originating from certain geographic regions are necessary for the manufacture or functionality of our products. The implementation of these requirements could adversely affect the sourcing, availability, and pricing of the materials used in the manufacture of components used in our products. In addition, we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any of our products contain minerals not determined to be free of conflict minerals or if we are unable to alter our products, processes, or sources of supply to avoid such materials.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Laws, Regulation, and Legal Proceedings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From time to time, we may be subject to legal proceedings, regulatory investigations or disputes, and governmental inquiries that could cause us to incur significant expenses, divert our management’s attention, and materially harm our business, financial condition, and operating results.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Injuries sustained by Members or their friends and family members, or others who use or purchase our Connected Fitness Products, have, and could in the future, subject us to regulatory proceedings and litigation by governance agencies and private litigants brought against us, that regardless of their merits, could harm our reputation, divert management’s attention from our operations and result in substantial legal fees and other costs. Additionally, we have in the past been subject to intense media scrutiny, which exposes us to increasing regulation, government investigations, legal actions and penalties. For example, we are presently subject to a CPSC investigation and other litigation related to injuries sustained by Members and others who use or purchased the Tread+, and we have reporting obligations to safety regulators in all jurisdictions where we sell Connected Fitness Products, where reporting may trigger further regulatory investigations. In August 2022, we received notice from the CPSC that the agency staff believes we failed to meet our statutory obligations under the Consumer Product Safety Act and intends to recommend that the CPSC impose civil monetary penalties. See “— </w:t>
      </w:r>
      <w:r>
        <w:rPr>
          <w:rFonts w:ascii="Arial" w:cs="Arial" w:eastAsia="Arial" w:hAnsi="Arial"/>
          <w:sz w:val="13"/>
          <w:szCs w:val="13"/>
          <w:i w:val="1"/>
          <w:iCs w:val="1"/>
          <w:color w:val="auto"/>
        </w:rPr>
        <w:t>Risks Related to Our Connected Fitness Products and Members-Our products and services may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be affected from time to time by design and manufacturing defects, real or perceived, that could adversely affect our business and result in harm to our reputation.” </w:t>
      </w:r>
      <w:r>
        <w:rPr>
          <w:rFonts w:ascii="Arial" w:cs="Arial" w:eastAsia="Arial" w:hAnsi="Arial"/>
          <w:sz w:val="13"/>
          <w:szCs w:val="13"/>
          <w:color w:val="auto"/>
        </w:rPr>
        <w:t>In addition, the DOJ and the U.S.</w:t>
      </w:r>
      <w:r>
        <w:rPr>
          <w:rFonts w:ascii="Arial" w:cs="Arial" w:eastAsia="Arial" w:hAnsi="Arial"/>
          <w:sz w:val="13"/>
          <w:szCs w:val="13"/>
          <w:i w:val="1"/>
          <w:iCs w:val="1"/>
          <w:color w:val="auto"/>
        </w:rPr>
        <w:t xml:space="preserve"> </w:t>
      </w:r>
      <w:r>
        <w:rPr>
          <w:rFonts w:ascii="Arial" w:cs="Arial" w:eastAsia="Arial" w:hAnsi="Arial"/>
          <w:sz w:val="13"/>
          <w:szCs w:val="13"/>
          <w:color w:val="auto"/>
        </w:rPr>
        <w:t>Department of Homeland Security (“DHS”) have subpoenaed us for documents and other information related to our reporting of the injuries associated with our products and the SEC is also investigating our public disclosures concerning the recall, as well as other matters.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We have also been named in several lawsuits related to these recalls. For example, the Company and certain of its officers have been named in a consolidated securities class action on behalf of a class consisting of individuals who purchased or otherwise acquired our Class A common stock between September 11, 2020 and May 5, 2021, alleging that the defendants made false and/or misleading statements in violation of Sections 10(b) and 20(a) of the Exchange Act and Rule 10b-5 promulgated thereunder related to the Tread+ recall. In addition, between May and November 2021, four shareholders filed verified shareholder derivative action lawsuits purportedly on behalf of the Company against certain of our executive officers and the members of our Board of Directors alleging breaches of fiduciary duties and violations of Section 14(a) of the Securities Exchange Act, and, for certain of the lawsuits, unjust enrichment, abuse of control, gross mismanagement, waste, and a claim for contribution under Sections 10(b) and 21D of the Exchange Act against certain of our executive officers.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Risks Related to the Ownership of Our Class A Common Stock-The 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price of our Class A common stock has been, and will likely continue to be, volatile and you could lose all or part of your investment.” </w:t>
      </w:r>
      <w:r>
        <w:rPr>
          <w:rFonts w:ascii="Arial" w:cs="Arial" w:eastAsia="Arial" w:hAnsi="Arial"/>
          <w:sz w:val="13"/>
          <w:szCs w:val="13"/>
          <w:color w:val="auto"/>
        </w:rPr>
        <w:t>Separately, we have been named in putative securities class</w:t>
      </w:r>
      <w:r>
        <w:rPr>
          <w:rFonts w:ascii="Arial" w:cs="Arial" w:eastAsia="Arial" w:hAnsi="Arial"/>
          <w:sz w:val="13"/>
          <w:szCs w:val="13"/>
          <w:i w:val="1"/>
          <w:iCs w:val="1"/>
          <w:color w:val="auto"/>
        </w:rPr>
        <w:t xml:space="preserve"> </w:t>
      </w:r>
      <w:r>
        <w:rPr>
          <w:rFonts w:ascii="Arial" w:cs="Arial" w:eastAsia="Arial" w:hAnsi="Arial"/>
          <w:sz w:val="13"/>
          <w:szCs w:val="13"/>
          <w:color w:val="auto"/>
        </w:rPr>
        <w:t>actions related to demand for our Connected Fitness Products. In particular, plaintiffs filed putative securities class action lawsuits purportedly on behalf of a class consisting of individuals who purchased or otherwise acquired our common stock between February 5, 2021 and November 4, 2021, alleging that the Company and certain of its officers made false and/or misleading statements about demand for the Company’s products and engaged in improper trading in violation of Sections 10(b), 20(a), and 20A of the Exchange Act and Rule 10b-5 promulgated thereunder. Additionally, from time to time, we may be, and currently are, subject to inquiries from regulators in which they seek information about us or our practices. Such further inquiries could result in more formal investigations or allegations, which could adversely impact our business, financial condition, and operating results.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Litigation, regulatory proceedings, such as the investigations described above, as well as related personal injury or class action claims and lawsuits, and securities and intellectual property infringement matters that we are currently facing or could face, can be protracted and expensive, and have results that are difficult to predict. Certain of these matters include speculative claims for substantial or indeterminate amounts of damages and include claims for injunctive relief. Additionally, our legal costs for any of these matters, either alone or in the aggregate could be significant. Adverse outcomes with respect to any of these legal or regulatory proceedings may result in significant settlement costs or judgments, penalties and fines, or require us to modify our products or services, make content unavailable, or require us to stop offering certain products, components, or features, all of which could negatively affect our membership and revenue growth. Even if these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3" w:right="319" w:bottom="1440" w:gutter="0" w:footer="0" w:header="0"/>
        </w:sectPr>
      </w:pPr>
    </w:p>
    <w:bookmarkStart w:id="33" w:name="page34"/>
    <w:bookmarkEnd w:id="33"/>
    <w:p>
      <w:pPr>
        <w:ind w:right="80"/>
        <w:spacing w:after="0" w:line="261" w:lineRule="auto"/>
        <w:rPr>
          <w:sz w:val="20"/>
          <w:szCs w:val="20"/>
          <w:color w:val="auto"/>
        </w:rPr>
      </w:pPr>
      <w:r>
        <w:rPr>
          <w:rFonts w:ascii="Arial" w:cs="Arial" w:eastAsia="Arial" w:hAnsi="Arial"/>
          <w:sz w:val="13"/>
          <w:szCs w:val="13"/>
          <w:color w:val="auto"/>
        </w:rPr>
        <w:t xml:space="preserve">proceedings are resolved in our favor, the time and resources necessary to resolve them could divert the resources of our management and require significant expenditures. See </w:t>
      </w:r>
      <w:r>
        <w:rPr>
          <w:rFonts w:ascii="Arial" w:cs="Arial" w:eastAsia="Arial" w:hAnsi="Arial"/>
          <w:sz w:val="13"/>
          <w:szCs w:val="13"/>
          <w:i w:val="1"/>
          <w:iCs w:val="1"/>
          <w:color w:val="auto"/>
        </w:rPr>
        <w:t>Note 13 -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Commitments and Contingencies </w:t>
      </w:r>
      <w:r>
        <w:rPr>
          <w:rFonts w:ascii="Arial" w:cs="Arial" w:eastAsia="Arial" w:hAnsi="Arial"/>
          <w:sz w:val="13"/>
          <w:szCs w:val="13"/>
          <w:color w:val="auto"/>
        </w:rPr>
        <w:t>in the Notes to our Consolidated Financial Statements in Part II, Item 8 of this Annual Report on Form 10-K and the section titled “Legal Proceedings” in Part I, Item 3</w:t>
      </w:r>
      <w:r>
        <w:rPr>
          <w:rFonts w:ascii="Arial" w:cs="Arial" w:eastAsia="Arial" w:hAnsi="Arial"/>
          <w:sz w:val="13"/>
          <w:szCs w:val="13"/>
          <w:i w:val="1"/>
          <w:iCs w:val="1"/>
          <w:color w:val="auto"/>
        </w:rPr>
        <w:t xml:space="preserve"> </w:t>
      </w:r>
      <w:r>
        <w:rPr>
          <w:rFonts w:ascii="Arial" w:cs="Arial" w:eastAsia="Arial" w:hAnsi="Arial"/>
          <w:sz w:val="13"/>
          <w:szCs w:val="13"/>
          <w:color w:val="auto"/>
        </w:rPr>
        <w:t>of this Annual Report on Form 10-K.</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collect, store, process, and use personal data and other Member data, which subjects us to legal obligations and laws and regulations related to security and privacy, and any actual or perceived failure to meet those obligations could harm our business.</w:t>
      </w:r>
    </w:p>
    <w:p>
      <w:pPr>
        <w:spacing w:after="0" w:line="14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collect, process, store, and use a wide variety of data from current and prospective Members, including personal data (some of which is considered sensitive data under applicable laws), such as home addresses, and geolocation data. U.S. federal, state, and international laws and regulations governing privacy, data protection, and e-commerce transactions impose obligations on what we can do with our Members’ personal data. These obligations include heightened transparency about data collection, use and sharing practices, new data privacy rights, and rules in respect to cross-border data transfers, which carry significant enforcement penalties for non-compliance. These laws and regulations also require us to safeguard our Members’ personal data. Although we have established security measures, policies and procedures designed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and there can be no assurances that we will be successful in our efforts to comply with these obligations. Complying with these obligations could cause us to incur substantial costs and could increase negative publicity surrounding any incident that compromises Member data.</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Furthermore, we may legally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new laws or regulations, or changes to or re-interpretations of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Violations of applicable privacy laws or cybersecurity incidents could impact our business in a number of ways, such as a temporary suspension of some or all of our operating and/or information systems, damage our reputation, our relationships with customers, suppliers, vendors, and service providers and the Peloton brand and could result in lost data, lost sales, increased insurance premiums, substantial breach-notification and other remediation costs and lawsuits, as well as adversely affect results of operations. In addition, we may also face regulatory investigations with corresponding fines, civil claims including representative actions, and other class action type litigation (where individuals have suffered harm), potentially amounting to significant compensation or damages liabilities, as well as associated costs, diversion of internal resources, and reputational harm. We may also incur additional costs in the future related to the implementation of additional security measures to protect against new or enhanced data security and privacy threats, to comply with state, federal, and international laws that may be enacted to address personal data processing risks and data security threats, or to investigate or address potential or actual data security or privacy breaches.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United States and various foreign governments have imposed controls, export license requirements, and restrictions on the import or export of certain technologies. Our products may be subject to U.S. export controls and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Our failure to comply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3"/>
          <w:szCs w:val="13"/>
          <w:color w:val="auto"/>
        </w:rPr>
        <w:t>with these laws and regulations could have negative consequences, including government investigations, penalties, reputational harm and could harm our international and domestic sales and adversely affect our revenue.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Recent or future changes to U.S., U.K. and other foreign tax laws could impact the tax treatment of our earnings. For example, the U.S. government may enact significant changes to the taxation of business entities including, among others, the imposition of minimum taxes or surtaxes on certain types of income.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 U.S., U.K., or other jurisdictions’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use our net operating loss to offset future taxable income may be subject to certain limitations.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June 30, 2022, we had U.S. federal net operating loss carryforwards, or NOLs, and state NOLs of approximately $2,896.7 million and $2,130.00 million, respectively, due to prior period losses which if not utilized will begin to expire for federal and state tax purposes beginning in 2034 and 2022, respectively. Realization of these NOLs depends on future income, and there is a risk that our existing NOLs could expire unused and be unavailable to offset future income tax liabilities, which could adversely affect our operating results.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5" w:name="page36"/>
    <w:bookmarkEnd w:id="35"/>
    <w:p>
      <w:pPr>
        <w:jc w:val="both"/>
        <w:spacing w:after="0" w:line="248" w:lineRule="auto"/>
        <w:rPr>
          <w:sz w:val="20"/>
          <w:szCs w:val="20"/>
          <w:color w:val="auto"/>
        </w:rPr>
      </w:pPr>
      <w:r>
        <w:rPr>
          <w:rFonts w:ascii="Arial" w:cs="Arial" w:eastAsia="Arial" w:hAnsi="Arial"/>
          <w:sz w:val="13"/>
          <w:szCs w:val="13"/>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on November 30, 2015 and April 18, 2017 and February 24, 2020 and our NOLs arising before those dates are subject to one or more Section 382 limitations which may materially limit the use of such NOLs to offset our future taxable income.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For these reasons, we may not be able to realize a tax benefit from the use of our NOLs, whether or not we attain profitability.</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In addition, future changes in our stock ownership, the causes of which may be outside of our control, could result in an additional ownership change under Section 382 of the Code. There is also a risk that due to regulatory changes, such as further limitations or suspensions on the use of NOLs, or other unforeseen reasons, our existing NOLs could expire or otherwise be unavailable to offset future income tax liabilities. Our NOLs may also be limited under state laws. For these reasons, we may not be able to realize a tax benefit from the use of our NOLs, whether or not we attain profitability.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Intellectual Property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intellectual property rights are valuable, and any inability to protect them could reduce the value of our products, services, and brand.</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protection, as well as confidentiality and license agreements with our employees, contractors, consultants, and third parties with whom we have relationships, to establish and protect our technology, brand, and other intellectual property. However, our efforts to protect our intellectual property rights may not be sufficient or effective, especially as incidents of infringement on the Peloton brand increase,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infringe on our rights or are substantially similar to ours and that compete with our business.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Effective protection of intellectual property, including but not limited to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order to protect our brand and intellectual property rights, we spend significant resources to monitor and protect these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limited if we shift our strategy or we may be met with defenses, counterclaims, and countersuits attacking the validity and enforceability of our intellectual property rights. Accordingly, we may not be able to prevent third parties from infringing upon or misappropriating our intellectual property. Our inability to secure, protect, and enforce our intellectual property rights could seriously damage our brand and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been, and in the future may be, sued by third parties for alleged infringement of their proprietary rights.</w:t>
      </w:r>
    </w:p>
    <w:p>
      <w:pPr>
        <w:spacing w:after="0" w:line="190"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 xml:space="preserve">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For additional information, see </w:t>
      </w:r>
      <w:r>
        <w:rPr>
          <w:rFonts w:ascii="Arial" w:cs="Arial" w:eastAsia="Arial" w:hAnsi="Arial"/>
          <w:sz w:val="13"/>
          <w:szCs w:val="13"/>
          <w:i w:val="1"/>
          <w:iCs w:val="1"/>
          <w:color w:val="auto"/>
        </w:rPr>
        <w:t>Note 13 - Commitments and Contingencies</w:t>
      </w:r>
      <w:r>
        <w:rPr>
          <w:rFonts w:ascii="Arial" w:cs="Arial" w:eastAsia="Arial" w:hAnsi="Arial"/>
          <w:sz w:val="13"/>
          <w:szCs w:val="13"/>
          <w:color w:val="auto"/>
        </w:rPr>
        <w:t xml:space="preserve"> in the Notes to our Consolidated Financial Statements in Part II, Item 8 of this Annual Report on Form 10-K.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6" w:name="page37"/>
    <w:bookmarkEnd w:id="36"/>
    <w:p>
      <w:pPr>
        <w:ind w:right="800"/>
        <w:spacing w:after="0" w:line="266" w:lineRule="auto"/>
        <w:rPr>
          <w:sz w:val="20"/>
          <w:szCs w:val="20"/>
          <w:color w:val="auto"/>
        </w:rPr>
      </w:pPr>
      <w:r>
        <w:rPr>
          <w:rFonts w:ascii="Arial" w:cs="Arial" w:eastAsia="Arial" w:hAnsi="Arial"/>
          <w:sz w:val="13"/>
          <w:szCs w:val="13"/>
          <w:color w:val="auto"/>
        </w:rPr>
        <w:t>the time and resources necessary to resolve them, could divert the resources of our management and require significant expenditures. See “</w:t>
      </w:r>
      <w:r>
        <w:rPr>
          <w:rFonts w:ascii="Arial" w:cs="Arial" w:eastAsia="Arial" w:hAnsi="Arial"/>
          <w:sz w:val="13"/>
          <w:szCs w:val="13"/>
          <w:i w:val="1"/>
          <w:iCs w:val="1"/>
          <w:color w:val="auto"/>
        </w:rPr>
        <w:t>Risks Related to Laws, Regulation, and Legal</w:t>
      </w:r>
      <w:r>
        <w:rPr>
          <w:rFonts w:ascii="Arial" w:cs="Arial" w:eastAsia="Arial" w:hAnsi="Arial"/>
          <w:sz w:val="13"/>
          <w:szCs w:val="13"/>
          <w:color w:val="auto"/>
        </w:rPr>
        <w:t xml:space="preserve"> </w:t>
      </w:r>
      <w:r>
        <w:rPr>
          <w:rFonts w:ascii="Arial" w:cs="Arial" w:eastAsia="Arial" w:hAnsi="Arial"/>
          <w:sz w:val="13"/>
          <w:szCs w:val="13"/>
          <w:i w:val="1"/>
          <w:iCs w:val="1"/>
          <w:color w:val="auto"/>
        </w:rPr>
        <w:t>Proceedings.</w:t>
      </w:r>
      <w:r>
        <w:rPr>
          <w:rFonts w:ascii="Arial" w:cs="Arial" w:eastAsia="Arial" w:hAnsi="Arial"/>
          <w:sz w:val="13"/>
          <w:szCs w:val="13"/>
          <w:color w:val="auto"/>
        </w:rPr>
        <w:t>” Any of the foregoing could prevent us from competing effectively and could have an adverse effect on our business, financial condition, and operating results.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We cannot compel music rights holders to license their rights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enter into license agreements to obtain rights to use music in our service, including with major record companies (Sony Music Entertainment, Universal Music Group, and Warner Music Group), independent record labels, major music publishers (Sony Music Publishing, Universal Music Publishing Group, and Warner Chappell Music Publishing), and independent music publishers and administrators who collectively hold the rights to a significant number of sound recordings and musical compositions.</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Comprehensive and accurate ownership information for the musical compositions embodied in sound recordings is sometimes unavailable because songwriters' catalogs are frequently bought and sold between rights holders, meaning ownership and share information can change at any time without notification and it may take a while for the appropriate parties to be notified. In some cases, we obtain ownership information directly from music publishers, PROs, collecting societies, or record labels and in other cases we rely on the assistance of third parties to determine ownership information.</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the information provided to us or obtained by such third parties does not comprehensively or accurately identify the ownership of musical compositions, if we are unable to determine which musical compositions correspond to specific sound recordings, or if the same party does not own administer, control or own all rights on a worldwide basis,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17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Given the high level of content concentration in the music industry, the market power of a few licensors, and the lack of transparent ownership information for musical compositions, including on a worldwide basis, we may be unable to license a large amount of music or the music of certain popular artists, and our business, financial condition, and operating results could be materially harmed.</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Our license agreements are complex and impose numerous obligations on us, including obligations to, among other things:</w:t>
      </w:r>
    </w:p>
    <w:p>
      <w:pPr>
        <w:spacing w:after="0" w:line="201" w:lineRule="exact"/>
        <w:rPr>
          <w:sz w:val="20"/>
          <w:szCs w:val="20"/>
          <w:color w:val="auto"/>
        </w:rPr>
      </w:pPr>
    </w:p>
    <w:p>
      <w:pPr>
        <w:ind w:left="520" w:hanging="260"/>
        <w:spacing w:after="0" w:line="248"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calculate and make payments based on complex royalty structures, which requires tracking usage of content in our service that may have inaccurate or incomplete metadata necessary for such calculation;</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periodic reports on the exploitation of the content in specified formats;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 that we will obtain all necessary publishing licenses and consents and pay all associated fees, royalties, and other amounts due for the licensing of musical compositions;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comply with certain marketing and advertising restrictions;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grant the licensor the right to audit our compliance with the terms of such agreements; 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comply with certain security and technical specifications.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Certain of our license agreements also contain minimum guarantees and/or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and/or advances against royalties could be recouped against our actual content costs incurred over the term of the license agreement. To the extent that our estimates underperform relative to our expectations, and our content costs do not exceed such minimum guarantees and/or advance payments, our margins may be adversely affected.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i w:val="1"/>
          <w:iCs w:val="1"/>
          <w:color w:val="auto"/>
        </w:rPr>
        <w:t>We face risks, such as unforeseen costs and potential liability in connection with content we produce, license, and distribute through our platform.</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business. We may not be indemnified against claims or costs of these types and we may not have insurance coverage for these types of claims.</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Service Providers and Our Employees</w:t>
      </w:r>
    </w:p>
    <w:p>
      <w:pPr>
        <w:spacing w:after="0" w:line="179" w:lineRule="exact"/>
        <w:rPr>
          <w:sz w:val="20"/>
          <w:szCs w:val="20"/>
          <w:color w:val="auto"/>
        </w:rPr>
      </w:pPr>
    </w:p>
    <w:p>
      <w:pPr>
        <w:jc w:val="both"/>
        <w:ind w:right="260"/>
        <w:spacing w:after="0" w:line="248" w:lineRule="auto"/>
        <w:rPr>
          <w:sz w:val="20"/>
          <w:szCs w:val="20"/>
          <w:color w:val="auto"/>
        </w:rPr>
      </w:pPr>
      <w:r>
        <w:rPr>
          <w:rFonts w:ascii="Arial" w:cs="Arial" w:eastAsia="Arial" w:hAnsi="Arial"/>
          <w:sz w:val="13"/>
          <w:szCs w:val="13"/>
          <w:b w:val="1"/>
          <w:bCs w:val="1"/>
          <w:i w:val="1"/>
          <w:iCs w:val="1"/>
          <w:color w:val="auto"/>
        </w:rPr>
        <w:t>We rely heavily on third parties for most of our computing, storage, processing, and similar services, and intend to increase our reliance on certain third parties, such as last mile and Member support partners. Any disruption of or interference with our use of these third-party services could have an adverse effect on our business, financial condition, and operating results.</w:t>
      </w:r>
    </w:p>
    <w:p>
      <w:pPr>
        <w:spacing w:after="0" w:line="163"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Additionally, we rely on last mile partners for the delivery and installation of our products, and intend to increase our reliance on third-party Member support partners. The level or quality of service provided by these providers and partners, or regular or prolonged delays or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portion of such claims, the litigation may be time consuming, divert management’s attention, and, if our provider failed to indemnify us, adversely impact our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success depends on the continuing efforts of our key employees and our ability to attract and retain highly skilled personnel and senior management.</w:t>
      </w:r>
    </w:p>
    <w:p>
      <w:pPr>
        <w:spacing w:after="0" w:line="201"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our leadership team to the development of our business, future vision, and strategic direction. Among other recent changes in our senior management team, we have transitioned those serving as our Chief Executive Officer and President and our Chief Financial Officer, as well as other members of management. Our future performance will depend, in part, on the successful integration of these new senior level executives into their roles, and the continuity of leadership among the larger workforce. If we do not successfully manage these transitions, it could be viewed negatively by our customers, employees, investors, suppliers and other third-party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our business, including with respect to strategic initiatives such as our restructuring plan.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Also imperative to our success are our fitness instructors, who we rely on to bring new, exciting, and innovative fitness and wellness content to our platform, and who act as brand ambassadors. The loss of any key personnel, including key instructors, could make it more difficult to manage our brand, operations and research and development activities, could reduce our employee retention and revenue, and impair our ability to compete. Although we have entered into employment agreements with our instructors, the U.S. agreements constitute at-will employment. We do not maintain key person life insurance policies on any of our employees.</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Demand and competition for highly skilled personnel, including those with specific expertise,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we issue equity awards to certain of our employees as part of our hiring and retention efforts, and job candidates and existing employees often consider the value of the equity awards they receive in connection with their employment. Our employees’ inability to sell their shares in the public market at times and/or at prices desired may lead to a larger than normal turnover rate. If the actual or perceived value of our Class A common stock declines, it may adversely affect our ability to hire or retain employees. In addition, we may periodically change our equity compensation practices, which may include reducing the number of employees eligible for equity awards or reducing the size of equity awards granted per employee or undertaking other efforts that may prove to be unsuccessful retention mechanisms. If we are unable to attract, integrate, or retain the qualified and highly skilled personnel required to fulfill our current or future needs, our business and future growth prospects could be harmed.</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cannot maintain our “One Peloton” culture, we could lose the innovation, teamwork, and passion that we believe contribute to our success and our business may be harmed.</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evolve, we will need to maintain our “One Peloton” culture among our employees dispersed across various geographic regions. Impacts resulting from the COVID-19 pandemic have also required us to make substantial changes to the way that our employee population does their work, and we have faced new and unforeseen challenges arising from the management of remote, geographically dispersed teams. Our response to the changing work environment has included a number of employee-focused benefits initiatives and office policies, which are aimed at increasing productivity and employee morale and which have increased our costs. As we continue to develop our infrastructure, and particularly in light of reductions in headcount, including as part of our restructuring initiatives, we may find it difficult to maintain valuable aspects of our culture, to prevent a negative effect on employee morale or attrition beyond our planned reduction in headcount, and to attract competent personnel who are willing to embrace our culture. Any failure to preserve our culture could negatively affect our future success, including our ability to retain and recruit personnel and to effectively focus on and pursue our corporate objectives.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the Ownership of Our Class A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stock price of our Class A common stock has been, and will likely continue to be, volatile and you could lose all or part of your investment.</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market price of our Class A common stock has been, and will likely continue to be, volatile. In addition, the trading prices of securities of technology companies in general have been highly volatile. Moreover, while the trading price of our Class A common initially increased during the outbreak of the COVID-19 pandemic, it has fluctuated widely and has now decreased as the public returned to pre-pandemic routines and due to other factors beyond our control. There are no assurances that the trading price of our Class A common stock will increase, decrease, or will continue at this level for any period of time.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 addition to the factors discussed in this Annual Report on Form 10-K, the market price of our Class A common stock may fluctuate significantly in response to numerous factors, many of which are beyond our control, including:</w:t>
      </w:r>
    </w:p>
    <w:p>
      <w:pPr>
        <w:spacing w:after="0" w:line="147"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ability to execute and realize the benefits of strategic plans, such as the restructuring initiative we announced in February 2022;</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impacts from the COVID-19 pandemic, for example, consumer demand and economic volatility or uncertainty;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9" w:name="page40"/>
    <w:bookmarkEnd w:id="39"/>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overall performance of the equity markets and the performance of technology companies in particular;</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variations in our operating results, cash flows, and other financial metrics and non-financial metrics, and how those results compare to analyst expectations;</w:t>
      </w:r>
    </w:p>
    <w:p>
      <w:pPr>
        <w:ind w:left="500" w:hanging="240"/>
        <w:spacing w:after="0" w:line="221"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the financial projections we may provide to the public or our failure to meet these projections;</w:t>
      </w:r>
    </w:p>
    <w:p>
      <w:pPr>
        <w:ind w:left="520" w:hanging="260"/>
        <w:spacing w:after="0" w:line="229"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timing and our ability to develop certain product solutions to enhance the safety of our Tread+ product to the satisfaction of the CPSC in connection with the Company’s voluntary safety recall, which it is conducting in collaboration with the CPSC;</w:t>
      </w:r>
    </w:p>
    <w:p>
      <w:pPr>
        <w:spacing w:after="0" w:line="1" w:lineRule="exact"/>
        <w:rPr>
          <w:rFonts w:ascii="Arial" w:cs="Arial" w:eastAsia="Arial" w:hAnsi="Arial"/>
          <w:sz w:val="13"/>
          <w:szCs w:val="13"/>
          <w:color w:val="auto"/>
        </w:rPr>
      </w:pPr>
    </w:p>
    <w:p>
      <w:pPr>
        <w:ind w:left="520" w:hanging="260"/>
        <w:spacing w:after="0" w:line="229"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recruitment, satisfaction or departure of key personnel;</w:t>
      </w:r>
    </w:p>
    <w:p>
      <w:pPr>
        <w:ind w:left="500" w:hanging="240"/>
        <w:spacing w:after="0" w:line="221"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economy as a whole and market conditions in our industry;</w:t>
      </w:r>
    </w:p>
    <w:p>
      <w:pPr>
        <w:ind w:left="500" w:hanging="240"/>
        <w:spacing w:after="0" w:line="221"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past or future investments, acquisitions or dispositions;</w:t>
      </w:r>
    </w:p>
    <w:p>
      <w:pPr>
        <w:ind w:left="520" w:hanging="260"/>
        <w:spacing w:after="0" w:line="229"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negative publicity related to problems with our suppliers or partners, or the real or perceived quality of our products, as well as the failure to timely launch new products or services that gain market acceptance;</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rumors and market speculation involving us or other companies in our industry;</w:t>
      </w:r>
    </w:p>
    <w:p>
      <w:pPr>
        <w:ind w:left="520" w:hanging="260"/>
        <w:spacing w:after="0" w:line="229"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announcements by us or our competitors of new products, pricing, services, features and content, significant technical innovations, acquisitions, dispositions, strategic partnerships, joint ventures, or capital commitments;</w:t>
      </w:r>
    </w:p>
    <w:p>
      <w:pPr>
        <w:spacing w:after="0" w:line="1" w:lineRule="exact"/>
        <w:rPr>
          <w:rFonts w:ascii="Arial" w:cs="Arial" w:eastAsia="Arial" w:hAnsi="Arial"/>
          <w:sz w:val="13"/>
          <w:szCs w:val="13"/>
          <w:color w:val="auto"/>
        </w:rPr>
      </w:pPr>
    </w:p>
    <w:p>
      <w:pPr>
        <w:ind w:left="500" w:hanging="240"/>
        <w:spacing w:after="0" w:line="221"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existing laws or regulations applicable to our business;</w:t>
      </w:r>
    </w:p>
    <w:p>
      <w:pPr>
        <w:ind w:left="500" w:hanging="240"/>
        <w:spacing w:after="0" w:line="221"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lawsuits threatened or filed against us, litigation involving our industry, or both;</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developments or disputes concerning our or other parties’ products, services, or intellectual property rights;</w:t>
      </w:r>
    </w:p>
    <w:p>
      <w:pPr>
        <w:ind w:left="500" w:hanging="240"/>
        <w:spacing w:after="0" w:line="221"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incidents of terrorism, or responses to these events;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market reactions if there is a margin call or forced sale of any pledged shares;</w:t>
      </w:r>
    </w:p>
    <w:p>
      <w:pPr>
        <w:ind w:left="500" w:hanging="240"/>
        <w:spacing w:after="0" w:line="221"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expiration of contractual lock-up or market standoff agreements; and</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sales of shares of our Class A common stock by us or our stockholders.</w:t>
      </w:r>
    </w:p>
    <w:p>
      <w:pPr>
        <w:spacing w:after="0" w:line="178" w:lineRule="exact"/>
        <w:rPr>
          <w:sz w:val="20"/>
          <w:szCs w:val="20"/>
          <w:color w:val="auto"/>
        </w:rPr>
      </w:pPr>
    </w:p>
    <w:p>
      <w:pPr>
        <w:jc w:val="both"/>
        <w:spacing w:after="0" w:line="231" w:lineRule="auto"/>
        <w:rPr>
          <w:sz w:val="20"/>
          <w:szCs w:val="20"/>
          <w:color w:val="auto"/>
        </w:rPr>
      </w:pPr>
      <w:r>
        <w:rPr>
          <w:rFonts w:ascii="Arial" w:cs="Arial" w:eastAsia="Arial" w:hAnsi="Arial"/>
          <w:sz w:val="13"/>
          <w:szCs w:val="13"/>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In April and May 2021, two shareholders filed putative class actions against the Company, our Chief Executive Officer, and our Chief Financial Officer, purportedly on behalf of a class consisting of those individuals who purchased or otherwise acquired our Class A common stock between September 11, 2020 and May 5, 2021, alleging that the defendants made false and/or misleading statements in violations of Sections 10(b) and 20(a) of the Exchange Act and Rule 10b-5 promulgated thereunder. In addition, in May, August, and November 2021, four shareholders filed verified shareholder derivative action lawsuits purportedly on behalf of the Company against certain of our executive officers and the members of our Board of Directors alleging breaches of fiduciary duties and violations of Section 14(a) of the Securities Exchange Act, and, for three of the lawsuits, unjust enrichment, abuse of control, gross mismanagement, waste, and a claim for contribution under Sections 10(b) and 21D of the Exchange Act against certain of our executive officers. In addition, the Company, and certain of our officers, were named in a separate putative class action, purportedly on behalf of a class consisting of those individuals who purchased or otherwise acquired our common stock between February 5, 2021 and November 4, 2021, alleging that the defendants made false and/or misleading statements about demand for the Company’s products in violation of Sections 10(b) and 20(a) of the Exchange Act and Rule 10b-5 promulgated thereunder. These lawsuits and any other securities litigation actions could subject us to substantial costs, divert resources and the attention of management from our business, and adversely affect our business. See “</w:t>
      </w:r>
      <w:r>
        <w:rPr>
          <w:rFonts w:ascii="Arial" w:cs="Arial" w:eastAsia="Arial" w:hAnsi="Arial"/>
          <w:sz w:val="13"/>
          <w:szCs w:val="13"/>
          <w:i w:val="1"/>
          <w:iCs w:val="1"/>
          <w:color w:val="auto"/>
        </w:rPr>
        <w:t>Risks Related to Laws, Regulation, and Legal Proceedings.</w:t>
      </w:r>
      <w:r>
        <w:rPr>
          <w:rFonts w:ascii="Arial" w:cs="Arial" w:eastAsia="Arial" w:hAnsi="Arial"/>
          <w:sz w:val="13"/>
          <w:szCs w:val="13"/>
          <w:color w:val="auto"/>
        </w:rPr>
        <w: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155"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 Additionally, some members of our senior leadership team have pledged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shares to secure personal indebtedness. If the price of our Class A common stock declines, the executive could be forced by one or more of the banking institutions to sell shares of our Class A</w:t>
      </w:r>
    </w:p>
    <w:p>
      <w:pPr>
        <w:spacing w:after="0" w:line="41" w:lineRule="exact"/>
        <w:rPr>
          <w:sz w:val="20"/>
          <w:szCs w:val="20"/>
          <w:color w:val="auto"/>
        </w:rPr>
      </w:pPr>
    </w:p>
    <w:p>
      <w:pPr>
        <w:ind w:right="420"/>
        <w:spacing w:after="0" w:line="266" w:lineRule="auto"/>
        <w:rPr>
          <w:sz w:val="20"/>
          <w:szCs w:val="20"/>
          <w:color w:val="auto"/>
        </w:rPr>
      </w:pPr>
      <w:r>
        <w:rPr>
          <w:rFonts w:ascii="Arial" w:cs="Arial" w:eastAsia="Arial" w:hAnsi="Arial"/>
          <w:sz w:val="13"/>
          <w:szCs w:val="13"/>
          <w:color w:val="auto"/>
        </w:rPr>
        <w:t>common stock in order to remain within the margin limitations imposed under the terms of the loans. Any conversion of pledged Class B common shares into shares of Class A common stock in connection with such a sale would result in dilution of the Class A stockholders.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There were a total of 338,274,016 shares of our Class A common stock and Class B common stock outstanding as of June 30, 2022. All shares of our Class A common stock and Class B common stock are freely tradable, except for certain limitations, including with respect to holding periods, on any shares purchased by our “affiliates” as defined in Rule 144 under the Securities Act of 1933, as amended, or the Securities Act.</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as of June 30, 2022, we had 8,977,705 shares of Class A common stock underlying restricted stock units that were awarded but not yet vested, and stock options outstanding that, if fully exercised, would result in the issuance of 33,067,483 shares of Class B common stock and 28,748,443 shares of Class A common stock. Subject to the satisfaction of applicable vesting requirements, and limitations applicable to shares held by our affiliates, the vested restricted stock and shares issued upon exercise of outstanding stock options will be available for immediate resale in the open market.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3"/>
          <w:szCs w:val="13"/>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Class B common stock has 20 votes per share and our Class A common stock has one vote per share. As of June 30, 2022,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dual class structure of our common stock may adversely affect the trading market for our Class A common stock.</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intend to pay dividends for the foreseeable future.</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155"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provide that our Board of Directors is classified into three classes of directors with staggered three-year terms;</w:t>
      </w:r>
    </w:p>
    <w:p>
      <w:pPr>
        <w:spacing w:after="0" w:line="11" w:lineRule="exact"/>
        <w:rPr>
          <w:rFonts w:ascii="Arial" w:cs="Arial" w:eastAsia="Arial" w:hAnsi="Arial"/>
          <w:sz w:val="13"/>
          <w:szCs w:val="13"/>
          <w:color w:val="auto"/>
        </w:rPr>
      </w:pPr>
    </w:p>
    <w:p>
      <w:pPr>
        <w:ind w:left="500" w:hanging="240"/>
        <w:spacing w:after="0" w:line="221"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permit the Board of Directors to establish the number of directors and fill any vacancies and newly-created directorships;</w:t>
      </w: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require super-majority voting to amend some provisions in our restated certificate of incorporation and restated bylaws;</w:t>
      </w:r>
    </w:p>
    <w:p>
      <w:pPr>
        <w:ind w:left="500" w:hanging="240"/>
        <w:spacing w:after="0" w:line="221"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our Board of Directors could use to implement a stockholder rights plan;</w:t>
      </w: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provide that only the chairman of our Board of Directors, our chief executive officer, or a majority of our Board of Directors will be authorized to call a special meeting of stockholders;</w:t>
      </w:r>
    </w:p>
    <w:p>
      <w:pPr>
        <w:ind w:left="500" w:hanging="240"/>
        <w:spacing w:after="0" w:line="221"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eliminate the ability of our stockholders to call special meetings of stockholders;</w:t>
      </w:r>
    </w:p>
    <w:p>
      <w:pPr>
        <w:ind w:left="500" w:hanging="240"/>
        <w:spacing w:after="0" w:line="221"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prohibit cumulative voting;</w:t>
      </w: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provide that directors may only be removed “for cause” and only with the approval of two-thirds of our stockholders;</w:t>
      </w:r>
    </w:p>
    <w:p>
      <w:pPr>
        <w:jc w:val="both"/>
        <w:ind w:left="520" w:hanging="260"/>
        <w:spacing w:after="0" w:line="227"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prohibit stockholder action by written consent, which requires all stockholder actions to be taken at a meeting of our stockholders;</w:t>
      </w:r>
    </w:p>
    <w:p>
      <w:pPr>
        <w:ind w:left="500" w:hanging="240"/>
        <w:spacing w:after="0" w:line="221"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provide that the Board of Directors is expressly authorized to make, alter, or repeal our bylaws; and</w:t>
      </w:r>
    </w:p>
    <w:p>
      <w:pPr>
        <w:ind w:left="500" w:hanging="240"/>
        <w:spacing w:after="0"/>
        <w:tabs>
          <w:tab w:leader="none" w:pos="5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establish advance 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41" w:name="page42"/>
    <w:bookmarkEnd w:id="41"/>
    <w:p>
      <w:pPr>
        <w:jc w:val="both"/>
        <w:spacing w:after="0" w:line="266" w:lineRule="auto"/>
        <w:rPr>
          <w:sz w:val="20"/>
          <w:szCs w:val="20"/>
          <w:color w:val="auto"/>
        </w:rPr>
      </w:pPr>
      <w:r>
        <w:rPr>
          <w:rFonts w:ascii="Arial" w:cs="Arial" w:eastAsia="Arial" w:hAnsi="Arial"/>
          <w:sz w:val="13"/>
          <w:szCs w:val="13"/>
          <w:color w:val="auto"/>
        </w:rPr>
        <w:t>Moreover,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3"/>
          <w:szCs w:val="13"/>
          <w:color w:val="212529"/>
        </w:rPr>
        <w:t>we amended and restated our restated bylaws to provide that the federal district courts of the United States of America will, to the fullest extent permitted by law,</w:t>
      </w:r>
      <w:r>
        <w:rPr>
          <w:rFonts w:ascii="Arial" w:cs="Arial" w:eastAsia="Arial" w:hAnsi="Arial"/>
          <w:sz w:val="13"/>
          <w:szCs w:val="13"/>
          <w:color w:val="auto"/>
        </w:rPr>
        <w:t xml:space="preserve"> </w:t>
      </w:r>
      <w:r>
        <w:rPr>
          <w:rFonts w:ascii="Arial" w:cs="Arial" w:eastAsia="Arial" w:hAnsi="Arial"/>
          <w:sz w:val="13"/>
          <w:szCs w:val="13"/>
          <w:color w:val="212529"/>
        </w:rPr>
        <w:t xml:space="preserve">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3"/>
          <w:szCs w:val="13"/>
          <w:color w:val="000000"/>
        </w:rPr>
        <w:t>the Federal Forum Provision means that suits brought by</w:t>
      </w:r>
      <w:r>
        <w:rPr>
          <w:rFonts w:ascii="Arial" w:cs="Arial" w:eastAsia="Arial" w:hAnsi="Arial"/>
          <w:sz w:val="13"/>
          <w:szCs w:val="13"/>
          <w:color w:val="212529"/>
        </w:rPr>
        <w:t xml:space="preserve"> </w:t>
      </w:r>
      <w:r>
        <w:rPr>
          <w:rFonts w:ascii="Arial" w:cs="Arial" w:eastAsia="Arial" w:hAnsi="Arial"/>
          <w:sz w:val="13"/>
          <w:szCs w:val="13"/>
          <w:color w:val="000000"/>
        </w:rPr>
        <w:t>our stockholders to enforce any duty or liability created by the Securities Act must be brought in federal court and cannot be brought in state court.</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Our stockholders will not be deemed to have waived our compliance with the federal securities laws and the regulations promulgated thereunder.</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3"/>
          <w:szCs w:val="13"/>
          <w:color w:val="000000"/>
        </w:rPr>
        <w:t>. Alternatively, if a court were to find the choice of forum provision contained in our restated certificate of incorporation and/or</w:t>
      </w:r>
      <w:r>
        <w:rPr>
          <w:rFonts w:ascii="Arial" w:cs="Arial" w:eastAsia="Arial" w:hAnsi="Arial"/>
          <w:sz w:val="13"/>
          <w:szCs w:val="13"/>
          <w:color w:val="212529"/>
        </w:rPr>
        <w:t xml:space="preserve"> </w:t>
      </w:r>
      <w:r>
        <w:rPr>
          <w:rFonts w:ascii="Arial" w:cs="Arial" w:eastAsia="Arial" w:hAnsi="Arial"/>
          <w:sz w:val="13"/>
          <w:szCs w:val="13"/>
          <w:color w:val="000000"/>
        </w:rPr>
        <w:t>amended and restated bylaws to be inapplicable or unenforceable in an action, we may incur additional costs associated with resolving such action in other jurisdictions, which could harm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Short sellers of our stock may be manipulative and may drive down the market price of our Class A common stock.</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Class A common stock may decline as a result of their actions.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Indebtedness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Notes are effectively subordinated to our existing and future secured indebtedness and structurally subordinated to the liabilities of our subsidiaries.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0% Convertible Senior Notes due 2026 (the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guarantee the Notes, the Notes are structurally subordinated to all existing and future indebtedness and other liabilities, including trade payables, and (to the extent we are not a holder thereof) preferred equity, if any, of our subsidiaries. As of June 30, 2022, we had approximately $1.0 billion in total indebtedness and approximately $430.1 million of available borrowing capacity under our Second Amended and Restated Credit Agreement (after deducting $69.9 million of outstanding letters of credit secured by the Revolver). Our subsidiaries had no outstanding indebtedness as of June 30, 2022. The indenture governing the Notes does not prohibit us or our subsidiaries from incurring additional indebtedness, including senior or secured indebtedness, in the future.</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42" w:name="page43"/>
    <w:bookmarkEnd w:id="42"/>
    <w:p>
      <w:pPr>
        <w:jc w:val="both"/>
        <w:spacing w:after="0" w:line="266" w:lineRule="auto"/>
        <w:rPr>
          <w:sz w:val="20"/>
          <w:szCs w:val="20"/>
          <w:color w:val="auto"/>
        </w:rPr>
      </w:pPr>
      <w:r>
        <w:rPr>
          <w:rFonts w:ascii="Arial" w:cs="Arial" w:eastAsia="Arial" w:hAnsi="Arial"/>
          <w:sz w:val="13"/>
          <w:szCs w:val="13"/>
          <w:color w:val="auto"/>
        </w:rPr>
        <w:t>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Noteholders may require us to repurchase their Notes following a fundamental change at a cash repurchase price generally equal to the principal amount of the Notes to be repurchased, plus accrued and unpaid special interest, if any. In addition, upon conversion, we will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accounting method for the Notes could adversely affect our reported financial condition and results.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accounting method for reflecting the Notes on our balance sheet, accruing interest expense for the Notes and reflecting the underlying shares of our Class A common stock in our reported diluted earnings per share may adversely affect our reported earnings and financial condition.</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Under applicable accounting principles, the initial liability carrying amount of the Notes is the fair value of a similar debt instrument that does not have a conversion feature, valued using our cost of capital for straight, non-convertible debt. We reflected the difference between the net proceeds from our offering of the Notes and the initial carrying amount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or higher reported loss. The lower reported income or higher reported loss resulting from this accounting treatment could depress the trading price of our Class A common stock and the Notes. However, in August 2020, the Financial Accounting Standards Board published an Accounting Standards Update, which we refer to as ASU 2020-06, that in certain cases will eliminate the separate accounting for the debt and equity components as described above.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When effective, we expect to qualify for the elimination of the separate accounting described above which, as a result, will reduce the interest expense that we expect to recognize for the Notes for accounting purposes.</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addition, because we intend to settle conversions by paying the conversion value in cash up to the principal amount being converted and any excess in shares, we expect to be eligible to use the treasury stock method to reflect the shares underlying the Notes in our diluted earnings per share. Under this method, if the conversion value of the Notes exceeds their principal amount for a reporting period, then we will calculate our diluted earnings per share assuming that all the Notes were converted and that we issued shares of our Class A common stock to settle the excess. However, if reflecting the Notes in diluted earnings per share in this manner is anti-dilutive, or if the conversion value of the Notes does not exceed their principal amount for a reporting period, then the shares underlying the Notes will not be reflected in our diluted earnings per share. In addition, when accounting standards change in the future and we are not permitted to use the treasury stock method, then our diluted earnings per share may decline. ASU 2020-06 amends these accounting standards, effective as of the dates referred to above, to eliminate the treasury stock method for convertible instruments and instead require application of the “if-converted” method. Under that method, diluted earnings per share would generally be calculated assuming that all the Notes were converted solely into shares of Class A common stock at the beginning of the reporting period, unless the result would be anti-dilutive. The application of the if-converted method may reduce our reported diluted earnings per share.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capped call transactions may affect the value of the Notes and our Class A common stock.</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Notes, we entered into capped call transactions with certain financial institutions (the option counterparties). The capped call transactions are expected generally to reduce the potential dilution to our Class A common stock upon any conversion of the Notes and/or offset any potential cash payments we are required to make in excess of the principal amount upon conversion of any Notes, with such reduction and/or offset subject to a cap.</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13"/>
          <w:szCs w:val="13"/>
          <w:color w:val="auto"/>
        </w:rPr>
        <w:t>In connection with establishing their initial hedges of the capped call transactions, the option counterparties and/or their respective affiliates purchased shares of our Class A common stock and/or entered into various derivative transactions with respect to our Class A common stock. This activity could have increased (or reduced the size of any decrease in) the market price of our Class A common stock or the Notes at that time.</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the option counterparties and/or their respective affiliates may modify their hedge positions by entering into or unwinding various derivatives with respect to our Class A common stock and/or purchasing or selling our Class A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Class A common stock or the Notes.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counterparty risk with respect to the capped call transactions, and the capped call may not operate as planned</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option counterparties are financial institutions, and we will be subject to the risk that they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including the bankruptcy filing by</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Lehman Brothers Holdings Inc. and its various affiliates.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any option counterparty.</w:t>
      </w:r>
    </w:p>
    <w:p>
      <w:pPr>
        <w:spacing w:after="0" w:line="32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applicable debt agreements.</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June 30, 2022, we had $1.8 billion of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35"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increasing our vulnerability to adverse economic and industry conditions;</w:t>
      </w: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w:t>
      </w:r>
    </w:p>
    <w:p>
      <w:pPr>
        <w:ind w:left="500" w:hanging="240"/>
        <w:spacing w:after="0" w:line="221"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requiring the dedication of a substantial portion of our cash flow from operations to service our indebtedness, which will reduce the amount of cash available for other purposes;</w:t>
      </w: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limiting our flexibility to plan for, or react to, changes in our business;</w:t>
      </w:r>
    </w:p>
    <w:p>
      <w:pPr>
        <w:ind w:left="500" w:hanging="240"/>
        <w:spacing w:after="0" w:line="221"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diluting the interests of our existing stockholders as a result of issuing shares of our Class A common stock upon conversion of the notes; and</w:t>
      </w: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placing us at a possible competitive disadvantage with competitors that are less leveraged than us or have better access to capital.</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facilities contain,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34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auto"/>
        </w:rPr>
        <w:t>Item 1B. Unresolved Staff Comments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050505"/>
        </w:rPr>
        <w:t>As of June 30, 2022, our principal properties included our corporate headquarter offices, retail locations, production studio facilities, member support locations, and field operations, distribution and manufacturing facilities.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 xml:space="preserve">We are headquartered in New York City, where we occupy facilities totaling approximately 336,000 square feet under a lease that expires in 2035. We also lease our international corporate headquarters, which is located in London, United Kingdom. </w:t>
      </w:r>
      <w:r>
        <w:rPr>
          <w:rFonts w:ascii="Arial" w:cs="Arial" w:eastAsia="Arial" w:hAnsi="Arial"/>
          <w:sz w:val="13"/>
          <w:szCs w:val="13"/>
          <w:color w:val="000000"/>
        </w:rPr>
        <w:t>We</w:t>
      </w:r>
      <w:r>
        <w:rPr>
          <w:rFonts w:ascii="Arial" w:cs="Arial" w:eastAsia="Arial" w:hAnsi="Arial"/>
          <w:sz w:val="13"/>
          <w:szCs w:val="13"/>
          <w:color w:val="050505"/>
        </w:rPr>
        <w:t xml:space="preserve"> primarily use these facilities for technology, product design, research and development, sales and marketing, supply chain and logistics, finance, legal, human resources, and information technology. We also have Member support and sales teams located in Plano, Texas; however, in August 2022, we announced our plans for a reduction in workforce including approximately 230 Member support positions in North America, and therefore will either sublease or terminate our office lease in Plano.</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050505"/>
        </w:rPr>
        <w:t xml:space="preserve">We lease retail properties in the United States, Canada, the United Kingdom, Germany, and Australia, which consist of showrooms, microstores, and concessions. </w:t>
      </w:r>
      <w:r>
        <w:rPr>
          <w:rFonts w:ascii="Arial" w:cs="Arial" w:eastAsia="Arial" w:hAnsi="Arial"/>
          <w:sz w:val="13"/>
          <w:szCs w:val="13"/>
          <w:color w:val="000000"/>
        </w:rPr>
        <w:t>This included 87 North America and</w:t>
      </w:r>
      <w:r>
        <w:rPr>
          <w:rFonts w:ascii="Arial" w:cs="Arial" w:eastAsia="Arial" w:hAnsi="Arial"/>
          <w:sz w:val="13"/>
          <w:szCs w:val="13"/>
          <w:color w:val="050505"/>
        </w:rPr>
        <w:t xml:space="preserve"> </w:t>
      </w:r>
      <w:r>
        <w:rPr>
          <w:rFonts w:ascii="Arial" w:cs="Arial" w:eastAsia="Arial" w:hAnsi="Arial"/>
          <w:sz w:val="13"/>
          <w:szCs w:val="13"/>
          <w:color w:val="000000"/>
        </w:rPr>
        <w:t xml:space="preserve">48 international retail locations as of </w:t>
      </w:r>
      <w:r>
        <w:rPr>
          <w:rFonts w:ascii="Arial" w:cs="Arial" w:eastAsia="Arial" w:hAnsi="Arial"/>
          <w:sz w:val="13"/>
          <w:szCs w:val="13"/>
          <w:color w:val="050505"/>
        </w:rPr>
        <w:t>June 30, 2022. In August 2022, we announced our intention to reduce our retail presence across North America.</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050505"/>
        </w:rPr>
        <w:t xml:space="preserve">Our retail locations and office space are used to support both of our reporting segments, and are suitable and adequate for the conduct of our business. </w:t>
      </w:r>
      <w:r>
        <w:rPr>
          <w:rFonts w:ascii="Arial" w:cs="Arial" w:eastAsia="Arial" w:hAnsi="Arial"/>
          <w:sz w:val="13"/>
          <w:szCs w:val="13"/>
          <w:color w:val="000000"/>
        </w:rPr>
        <w:t>Refer to Note 19 in the “Notes to Consolidated</w:t>
      </w:r>
      <w:r>
        <w:rPr>
          <w:rFonts w:ascii="Arial" w:cs="Arial" w:eastAsia="Arial" w:hAnsi="Arial"/>
          <w:sz w:val="13"/>
          <w:szCs w:val="13"/>
          <w:color w:val="050505"/>
        </w:rPr>
        <w:t xml:space="preserve"> </w:t>
      </w:r>
      <w:r>
        <w:rPr>
          <w:rFonts w:ascii="Arial" w:cs="Arial" w:eastAsia="Arial" w:hAnsi="Arial"/>
          <w:sz w:val="13"/>
          <w:szCs w:val="13"/>
          <w:color w:val="000000"/>
        </w:rPr>
        <w:t>Financial Statements” included in Part II, Item 8 of this Annual Report on Form 10-K for further details regarding our segments.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We lease our production studio facilities, which are located in New York City and London, and are used to support our Subscription segment. In addition, we lease and sublease field operations, distribution, and manufacturing facilities in North America, Europe, and Asia, which are used to support our Connected Fitness segment. In July 2022, we announced we are exiting all owned-manufacturing operations, which will include the sale of two owned manufacturing facilities in Taiwan. Additionally, in August 2022, we announced that we are eliminating our North American field operations warehouses, and therefore will either sublease or terminate our remaining leases.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050505"/>
        </w:rPr>
        <w:t xml:space="preserve">In May 2021, we announced plans to build a U.S. manufacturing facility in Troy Township, Ohio, which we called "Peloton Output Park" and is where we had planned to manufacture Connected Fitness Products in addition to our existing manufacturing facilities. In February 2022, as part of the Restructuring Plan, we announced the </w:t>
      </w:r>
      <w:r>
        <w:rPr>
          <w:rFonts w:ascii="Arial" w:cs="Arial" w:eastAsia="Arial" w:hAnsi="Arial"/>
          <w:sz w:val="13"/>
          <w:szCs w:val="13"/>
          <w:color w:val="000000"/>
        </w:rPr>
        <w:t>closing of several assembly and manufacturing plants, including the</w:t>
      </w:r>
      <w:r>
        <w:rPr>
          <w:rFonts w:ascii="Arial" w:cs="Arial" w:eastAsia="Arial" w:hAnsi="Arial"/>
          <w:sz w:val="13"/>
          <w:szCs w:val="13"/>
          <w:color w:val="050505"/>
        </w:rPr>
        <w:t xml:space="preserve"> </w:t>
      </w:r>
      <w:r>
        <w:rPr>
          <w:rFonts w:ascii="Arial" w:cs="Arial" w:eastAsia="Arial" w:hAnsi="Arial"/>
          <w:sz w:val="13"/>
          <w:szCs w:val="13"/>
          <w:color w:val="000000"/>
        </w:rPr>
        <w:t>completion and subsequent sale of the shell facility of Peloton Output Park</w:t>
      </w:r>
      <w:r>
        <w:rPr>
          <w:rFonts w:ascii="Arial" w:cs="Arial" w:eastAsia="Arial" w:hAnsi="Arial"/>
          <w:sz w:val="13"/>
          <w:szCs w:val="13"/>
          <w:color w:val="050505"/>
        </w:rPr>
        <w: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t>Item 3. Legal Proceedings</w:t>
      </w:r>
    </w:p>
    <w:p>
      <w:pPr>
        <w:spacing w:after="0" w:line="41" w:lineRule="exact"/>
        <w:rPr>
          <w:sz w:val="20"/>
          <w:szCs w:val="20"/>
          <w:color w:val="auto"/>
        </w:rPr>
      </w:pPr>
    </w:p>
    <w:p>
      <w:pPr>
        <w:ind w:right="3400"/>
        <w:spacing w:after="0" w:line="266" w:lineRule="auto"/>
        <w:rPr>
          <w:sz w:val="20"/>
          <w:szCs w:val="20"/>
          <w:color w:val="auto"/>
        </w:rPr>
      </w:pPr>
      <w:r>
        <w:rPr>
          <w:rFonts w:ascii="Arial" w:cs="Arial" w:eastAsia="Arial" w:hAnsi="Arial"/>
          <w:sz w:val="13"/>
          <w:szCs w:val="13"/>
          <w:color w:val="auto"/>
        </w:rPr>
        <w:t>From time to time, we may be involved in claims and proceedings arising in the ordinary course of our business. The outcome of any such claims or proceedings, regardless of the merits, is inherently uncertain.</w:t>
      </w:r>
    </w:p>
    <w:p>
      <w:pPr>
        <w:spacing w:after="0" w:line="167"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 xml:space="preserve">For a discussion of legal and other proceedings in which we are involved, see </w:t>
      </w:r>
      <w:r>
        <w:rPr>
          <w:rFonts w:ascii="Arial" w:cs="Arial" w:eastAsia="Arial" w:hAnsi="Arial"/>
          <w:sz w:val="13"/>
          <w:szCs w:val="13"/>
          <w:i w:val="1"/>
          <w:iCs w:val="1"/>
          <w:color w:val="auto"/>
        </w:rPr>
        <w:t>Note 13 - Commitments and Contingencies</w:t>
      </w:r>
      <w:r>
        <w:rPr>
          <w:rFonts w:ascii="Arial" w:cs="Arial" w:eastAsia="Arial" w:hAnsi="Arial"/>
          <w:sz w:val="13"/>
          <w:szCs w:val="13"/>
          <w:color w:val="auto"/>
        </w:rPr>
        <w:t xml:space="preserve"> in the Notes to Consolidated Financial Statements in Part II, Item 8 of this Annual Report on Form 10-K.</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In addition, as previously disclosed, we have received reports of a number of injuries associated with our Tread+ product, one of which led to the death of a child. In April 2021, the CPSC issued a warning to consumers about the safety hazards associated with the Tread+ and, following our voluntary recall of our Tread+ product in collaboration with the CPSC in May 2021, the CPSC has continued to investigate the matter. As noted, more recently, in August 2022, we were notified by the CPSC that the agency staff believes we failed to meet our statutory obligations under the Consumer Product Safety Act and intends to recommend that the CPSC impose civil monetary penalties. While we disagree with the agency staff, we are engaged in ongoing confidential discussions with the CPSC. We are also subject to investigations by the DOJ and DHS related to our statutory obligations under the Consumer Product Safety Act, and the SEC is investigating our public disclosures concerning the Tread+ recall as well as other matters. We are cooperating fully with each of these investigations, and at this time, we are unable to predict the eventual scope, duration or final outcome of the investigations. See also Part I, Item 1A. “Risk Factors — Risks Related to Laws, Regulation, and Legal Proceedings” of this Annual Report on Form 10-K for more information on these matters.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12" w:right="4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 for Common Stock</w:t>
      </w:r>
    </w:p>
    <w:p>
      <w:pPr>
        <w:spacing w:after="0" w:line="41"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Our Class A common stock began trading on The Nasdaq Global Select Market under the symbol "PTON" on September 26, 2019. Prior to that date, there was no public trading market for our Class A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Our Class B common stock is not listed or traded on any stock exchange.</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Holders of Record</w:t>
      </w:r>
    </w:p>
    <w:p>
      <w:pPr>
        <w:spacing w:after="0" w:line="41"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As of July 29, 2022, there were 37 registered holders of our Class A common stock and 89 registered holders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 Policy</w:t>
      </w:r>
    </w:p>
    <w:p>
      <w:pPr>
        <w:spacing w:after="0" w:line="41"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We have never declared or paid cash dividends on our capital stock. We do not expect to pay dividends on our capital stock for the foreseeable future. Instead, we anticipate that all of our earnings for the foreseeable future will be used for the operation and growth of our business. Any future determination to declare cash dividends would be subject to the discretion of our Board of Directors and would depend upon various factors, including our operating results, financial condition, and capital requirements, restrictions that may be imposed by applicable law, and other factors deemed relevant by our Board of Directors. In addition, our ability to pay dividends on our common stock is limited by the restrictions under the terms of our loan and security agreement.</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Graph</w:t>
      </w:r>
    </w:p>
    <w:p>
      <w:pPr>
        <w:spacing w:after="0" w:line="3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graph below compares the cumulative total stockholder return on our Class A common stock with the cumulative total return on the Standard &amp; Poor’s 500 Index and the Nasdaq Composite Index. The graph assumes an initial investment of $100 in our common stock at the market close on September 26, 2019, which was our initial trading day. Data for the Standard &amp; Poor’s 500 Index and the Nasdaq Composite Index assume reinvestment of dividends.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4850765" cy="254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5076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[Reserved]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discussion of our results of operations for our fiscal year ended June 30, 2021 compared to the year ended June 30, 2020 is included our Annual</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Report on Form 10-K for the fiscal year ended June 30, 2021, filed with the SEC on August 27, 2021 (File No. 001-39058) under the heading “Management’s Discussion and Analysis of Financial Condition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Overview</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Peloton is the largest interactive fitness platform in the world with a loyal community of 6.9 million Members as of June 30, 2022.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All-Access Membership, or a paid Peloton App subscription.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050505"/>
        </w:rPr>
        <w:t xml:space="preserve">Our Connected Fitness Product portfolio includes the Peloton Bike, Bike+, Tread, Tread+, and our recently launched first connected strength product, Peloton Guide. Our revenue is generated primarily from the sale of our Connected Fitness Products and associated recurring Subscription revenue. We have historically experienced significant growth in sales of our Connected Fitness Products, which, when combined with our low Average Net Monthly Connected Fitness Churn has led to significant growth in Connected Fitness Subscriptions. From fiscal </w:t>
      </w:r>
      <w:r>
        <w:rPr>
          <w:rFonts w:ascii="Arial" w:cs="Arial" w:eastAsia="Arial" w:hAnsi="Arial"/>
          <w:sz w:val="13"/>
          <w:szCs w:val="13"/>
          <w:color w:val="000000"/>
        </w:rPr>
        <w:t>2021</w:t>
      </w:r>
      <w:r>
        <w:rPr>
          <w:rFonts w:ascii="Arial" w:cs="Arial" w:eastAsia="Arial" w:hAnsi="Arial"/>
          <w:sz w:val="13"/>
          <w:szCs w:val="13"/>
          <w:color w:val="050505"/>
        </w:rPr>
        <w:t xml:space="preserve"> to fiscal 2022, Total revenue decreased 11%, and our Connected Fitness Subscription base grew 27%.</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050505"/>
        </w:rPr>
        <w:t>Our financial profile has been characterized by strong retention, recurring revenue, and efficient customer acquisition. Our low Average Net Monthly Connected Fitness Churn, together with our high Subscription Contribution Margin, yields an attractive LTV for our Connected Fitness Subscriptions well in excess of our CAC. Maintaining an attractive LTV/CAC ratio is a primary goal of our customer acquisition strategy.</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050505"/>
        </w:rPr>
        <w:t>Fourth Quarter Fiscal 2022 Update and Recent Developments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050505"/>
        </w:rPr>
        <w:t xml:space="preserve">As we have previously disclosed, forecasting for our business during and following the COVID-19 pandemic, particularly in its more recent stages, has proven to be very challenging. While we have been able to grow more than we anticipated just two years ago, fluctuations in demand and supply that we have been navigating during this time period led us to grow our operations beyond what we believe is currently best suited to our business. Although our belief in the positive long-term outlook for Connected Fitness remains unchanged, the long-term cost demands of our business require us to recalibrate our near-term expectations. Additionally, while demand for our Connected Fitness Products has continued to strongly outpace pre-pandemic levels, we have had significant difficulty in forecasting near-term consumer demand and, as a result, our expected near-term operating performance. </w:t>
      </w:r>
      <w:r>
        <w:rPr>
          <w:rFonts w:ascii="Arial" w:cs="Arial" w:eastAsia="Arial" w:hAnsi="Arial"/>
          <w:sz w:val="12"/>
          <w:szCs w:val="12"/>
          <w:color w:val="000000"/>
        </w:rPr>
        <w:t>See</w:t>
      </w:r>
      <w:r>
        <w:rPr>
          <w:rFonts w:ascii="Arial" w:cs="Arial" w:eastAsia="Arial" w:hAnsi="Arial"/>
          <w:sz w:val="12"/>
          <w:szCs w:val="12"/>
          <w:color w:val="050505"/>
        </w:rPr>
        <w:t xml:space="preserve"> </w:t>
      </w:r>
      <w:r>
        <w:rPr>
          <w:rFonts w:ascii="Arial" w:cs="Arial" w:eastAsia="Arial" w:hAnsi="Arial"/>
          <w:sz w:val="12"/>
          <w:szCs w:val="12"/>
          <w:i w:val="1"/>
          <w:iCs w:val="1"/>
          <w:color w:val="000000"/>
        </w:rPr>
        <w:t>“Risk Factors—Risks Related to Our Business—Our operating results have been, and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could in the future be, adversely affected if we are unable to accurately forecast consumer demand for our products and services and adequately manage our inventory</w:t>
      </w:r>
      <w:r>
        <w:rPr>
          <w:rFonts w:ascii="Arial" w:cs="Arial" w:eastAsia="Arial" w:hAnsi="Arial"/>
          <w:sz w:val="13"/>
          <w:szCs w:val="13"/>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0505"/>
        </w:rPr>
        <w:t>Restructuring Plan</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February 2022, we announced and began implementing a restructuring plan to realign our operational focus to support our multi-year growth, scale the business, and improve costs (the “Restructuring Plan”). The Restructuring Plan includes: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Total charges related to the Restructuring Plan were $611.3 million for the fiscal year ended June 30, 2022, consisting of cash charges of $109.1 million for severance and other personnel and $15.4 million for professional fees and other related charges, and non-cash charges of $373.8 million related to non-inventory asset write-downs and write-offs, $56.5 million for stock-based compensation expense and $56.4 million for inventory markdowns.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above charges, the Company has incurred approximately $86.6 million of capital expenditures related to Peloton Output Park since project inception.</w:t>
      </w:r>
    </w:p>
    <w:p>
      <w:pPr>
        <w:spacing w:after="0" w:line="190" w:lineRule="exact"/>
        <w:rPr>
          <w:sz w:val="20"/>
          <w:szCs w:val="20"/>
          <w:color w:val="auto"/>
        </w:rPr>
      </w:pPr>
    </w:p>
    <w:p>
      <w:pPr>
        <w:jc w:val="both"/>
        <w:ind w:right="260"/>
        <w:spacing w:after="0" w:line="250" w:lineRule="auto"/>
        <w:rPr>
          <w:sz w:val="20"/>
          <w:szCs w:val="20"/>
          <w:color w:val="auto"/>
        </w:rPr>
      </w:pPr>
      <w:r>
        <w:rPr>
          <w:rFonts w:ascii="Arial" w:cs="Arial" w:eastAsia="Arial" w:hAnsi="Arial"/>
          <w:sz w:val="13"/>
          <w:szCs w:val="13"/>
          <w:color w:val="auto"/>
        </w:rPr>
        <w:t>On July 12, 2022, we announced we are exiting all owned-manufacturing operations and our expansion of our current relationship with Taiwanese manufacturer Rexon Industrial Corp. Additionally, on August 12, 2022, we announced our decision to perform the following additional restructuring activities: (i) eliminate our North American Field Ops warehouses, including the significant reduction of our delivery workforce teams; (ii) eliminate a significant number of roles on the North America Member Support team and exit our real-estate footprints in our Plano and Tempe locations; and (iii) reduce our North America retail showroom presence. In connection with the Restructuring Plan, we estimate that we will incur additional cash charges of approximately $95.0 million primarily composed of severance and other exit costs in fiscal year 2023 and beyond. Additionally, we expect to recognize approximately $75.0 million of asset impairment charges in fiscal year 2023 in connection with the Restructuring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48" w:name="page49"/>
    <w:bookmarkEnd w:id="48"/>
    <w:p>
      <w:pPr>
        <w:jc w:val="both"/>
        <w:spacing w:after="0" w:line="261" w:lineRule="auto"/>
        <w:rPr>
          <w:sz w:val="20"/>
          <w:szCs w:val="20"/>
          <w:color w:val="auto"/>
        </w:rPr>
      </w:pPr>
      <w:r>
        <w:rPr>
          <w:rFonts w:ascii="Arial" w:cs="Arial" w:eastAsia="Arial" w:hAnsi="Arial"/>
          <w:sz w:val="13"/>
          <w:szCs w:val="13"/>
          <w:color w:val="auto"/>
        </w:rPr>
        <w:t xml:space="preserve">We may not be able to fully realize the cost savings and benefits initially anticipated from the Restructuring Plan, and the expected costs may be greater than expected. See </w:t>
      </w:r>
      <w:r>
        <w:rPr>
          <w:rFonts w:ascii="Arial" w:cs="Arial" w:eastAsia="Arial" w:hAnsi="Arial"/>
          <w:sz w:val="13"/>
          <w:szCs w:val="13"/>
          <w:i w:val="1"/>
          <w:iCs w:val="1"/>
          <w:color w:val="auto"/>
        </w:rPr>
        <w:t>“Risk Factors—Risks</w:t>
      </w:r>
      <w:r>
        <w:rPr>
          <w:rFonts w:ascii="Arial" w:cs="Arial" w:eastAsia="Arial" w:hAnsi="Arial"/>
          <w:sz w:val="13"/>
          <w:szCs w:val="13"/>
          <w:color w:val="auto"/>
        </w:rPr>
        <w:t xml:space="preserve"> </w:t>
      </w:r>
      <w:r>
        <w:rPr>
          <w:rFonts w:ascii="Arial" w:cs="Arial" w:eastAsia="Arial" w:hAnsi="Arial"/>
          <w:sz w:val="13"/>
          <w:szCs w:val="13"/>
          <w:i w:val="1"/>
          <w:iCs w:val="1"/>
          <w:color w:val="auto"/>
        </w:rPr>
        <w:t>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3"/>
          <w:szCs w:val="13"/>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Product and Content Highlights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In April 2022, we soft-launched Peloton Guide, our first connected strength offering. Guide is an AI-enabled device that uses machine learning and innovative camera technology to create an evolving strength training experience. To date, engagement trends among Guide subscribers have been strong, driving higher than average activity levels for both Guide-only subscribers as well as existing Bike and Tread owners who added Guide to their Peloton fitness program. We continue to </w:t>
      </w:r>
      <w:r>
        <w:rPr>
          <w:rFonts w:ascii="Arial" w:cs="Arial" w:eastAsia="Arial" w:hAnsi="Arial"/>
          <w:sz w:val="13"/>
          <w:szCs w:val="13"/>
          <w:color w:val="222222"/>
        </w:rPr>
        <w:t>invest in our new Guide Product with many member-focused software improvements, including responding to</w:t>
      </w:r>
      <w:r>
        <w:rPr>
          <w:rFonts w:ascii="Arial" w:cs="Arial" w:eastAsia="Arial" w:hAnsi="Arial"/>
          <w:sz w:val="13"/>
          <w:szCs w:val="13"/>
          <w:color w:val="auto"/>
        </w:rPr>
        <w:t xml:space="preserve"> </w:t>
      </w:r>
      <w:r>
        <w:rPr>
          <w:rFonts w:ascii="Arial" w:cs="Arial" w:eastAsia="Arial" w:hAnsi="Arial"/>
          <w:sz w:val="13"/>
          <w:szCs w:val="13"/>
          <w:color w:val="222222"/>
        </w:rPr>
        <w:t>top member requests by adding Apple Watch support and the ability to stack consecutive classes for customized strength workouts.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Delivering on our commitment to accessibility, in the fourth quarter of fiscal 2022, we welcomed our first adaptable athlete instructor, Logan Aldridge, and officially launched our Adaptive Training Content vertical. Off-air, Logan acts in a training specialist role working with all instructors in forwarding Peloton's commitment to content accessibility and inclusivity.</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222222"/>
        </w:rPr>
        <w:t>Responding to Member requests, we added a Spanish user interface to enable Spanish-speaking members to navigate more easily. We celebrated the upcoming opening of Peloton Studios New York and Peloton Studios London with an all-new in-studio Member software experience featuring easier login and the ability to race and high-five other Members both in and out of class. Finally, we made many improvements to the Peloton App, including allowing Members to track every outdoor running, walking, and cycling workout with Peloton with our GPS-enabled Just Work Out feature.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0505"/>
        </w:rPr>
        <w:t>Product Recall Update</w:t>
      </w:r>
    </w:p>
    <w:p>
      <w:pPr>
        <w:spacing w:after="0" w:line="31"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050505"/>
        </w:rPr>
        <w:t xml:space="preserve">On May 5, 2021, we announced separate, voluntary recalls of each of our Tread+ and Tread products in collaboration with the CPSC and halted sales of these products to work on product enhancements. Members were notified that they could return their Tread or Tread+ for a full refund, or wait until a solution is available. Tread+ owners were also given the option to have Peloton move their Tread+ to a different location within their home. </w:t>
      </w:r>
      <w:r>
        <w:rPr>
          <w:rFonts w:ascii="Arial" w:cs="Arial" w:eastAsia="Arial" w:hAnsi="Arial"/>
          <w:sz w:val="12"/>
          <w:szCs w:val="12"/>
          <w:color w:val="000000"/>
        </w:rPr>
        <w:t>More recently, in August 2022, we were notified by the CPSC that the agency staff believes we failed to meet our statutory obligations under the</w:t>
      </w:r>
      <w:r>
        <w:rPr>
          <w:rFonts w:ascii="Arial" w:cs="Arial" w:eastAsia="Arial" w:hAnsi="Arial"/>
          <w:sz w:val="12"/>
          <w:szCs w:val="12"/>
          <w:color w:val="050505"/>
        </w:rPr>
        <w:t xml:space="preserve"> </w:t>
      </w:r>
      <w:r>
        <w:rPr>
          <w:rFonts w:ascii="Arial" w:cs="Arial" w:eastAsia="Arial" w:hAnsi="Arial"/>
          <w:sz w:val="12"/>
          <w:szCs w:val="12"/>
          <w:color w:val="000000"/>
        </w:rPr>
        <w:t xml:space="preserve">Consumer Product Safety Act and intends to seek civil monetary penalties. While we disagree with the agency staff, we are engaged in ongoing confidential discussions with the CPSC. </w:t>
      </w:r>
      <w:r>
        <w:rPr>
          <w:rFonts w:ascii="Arial" w:cs="Arial" w:eastAsia="Arial" w:hAnsi="Arial"/>
          <w:sz w:val="12"/>
          <w:szCs w:val="12"/>
          <w:color w:val="050505"/>
        </w:rPr>
        <w:t xml:space="preserve">For the recall-to-date period, the Company recognized a reduction to Connected Fitness Products revenue for actual and estimated future returns of $139.9 million, and a return reserve of $39.9 million and $40.8 million is included within Accounts payable and accrued expenses in the accompanying Consolidated Balance Sheets related to the impacts of the recall as of </w:t>
      </w:r>
      <w:r>
        <w:rPr>
          <w:rFonts w:ascii="Arial" w:cs="Arial" w:eastAsia="Arial" w:hAnsi="Arial"/>
          <w:sz w:val="12"/>
          <w:szCs w:val="12"/>
          <w:color w:val="000000"/>
        </w:rPr>
        <w:t>June 30, 2022 and June 30, 2021,</w:t>
      </w:r>
      <w:r>
        <w:rPr>
          <w:rFonts w:ascii="Arial" w:cs="Arial" w:eastAsia="Arial" w:hAnsi="Arial"/>
          <w:sz w:val="12"/>
          <w:szCs w:val="12"/>
          <w:color w:val="050505"/>
        </w:rPr>
        <w:t xml:space="preserve"> </w:t>
      </w:r>
      <w:r>
        <w:rPr>
          <w:rFonts w:ascii="Arial" w:cs="Arial" w:eastAsia="Arial" w:hAnsi="Arial"/>
          <w:sz w:val="12"/>
          <w:szCs w:val="12"/>
          <w:color w:val="000000"/>
        </w:rPr>
        <w:t>respectively</w:t>
      </w:r>
      <w:r>
        <w:rPr>
          <w:rFonts w:ascii="Arial" w:cs="Arial" w:eastAsia="Arial" w:hAnsi="Arial"/>
          <w:sz w:val="12"/>
          <w:szCs w:val="12"/>
          <w:color w:val="050505"/>
        </w:rPr>
        <w:t>. We may continue to incur additional costs which could include costs for which we have not accrued or established adequate reserves, including increases to the return reserves, inventory</w:t>
      </w:r>
      <w:r>
        <w:rPr>
          <w:rFonts w:ascii="Arial" w:cs="Arial" w:eastAsia="Arial" w:hAnsi="Arial"/>
          <w:sz w:val="12"/>
          <w:szCs w:val="12"/>
          <w:color w:val="000000"/>
        </w:rPr>
        <w:t xml:space="preserve"> </w:t>
      </w:r>
      <w:r>
        <w:rPr>
          <w:rFonts w:ascii="Arial" w:cs="Arial" w:eastAsia="Arial" w:hAnsi="Arial"/>
          <w:sz w:val="12"/>
          <w:szCs w:val="12"/>
          <w:color w:val="050505"/>
        </w:rPr>
        <w:t xml:space="preserve">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 We announced a repair for the Tread in August 2021, shortly before resuming sales. We continue to work on potential hardware enhancements for Tread+, which remains recalled. Our plan for the Tread+ recall is still being finalized and actual costs related to this matter may vary from the estimate, and may result in further impacts to our future results of operations and business. </w:t>
      </w:r>
      <w:r>
        <w:rPr>
          <w:rFonts w:ascii="Arial" w:cs="Arial" w:eastAsia="Arial" w:hAnsi="Arial"/>
          <w:sz w:val="12"/>
          <w:szCs w:val="12"/>
          <w:color w:val="000000"/>
        </w:rPr>
        <w:t>See “</w:t>
      </w:r>
      <w:r>
        <w:rPr>
          <w:rFonts w:ascii="Arial" w:cs="Arial" w:eastAsia="Arial" w:hAnsi="Arial"/>
          <w:sz w:val="12"/>
          <w:szCs w:val="12"/>
          <w:i w:val="1"/>
          <w:iCs w:val="1"/>
          <w:color w:val="000000"/>
        </w:rPr>
        <w:t>Risk Factors—Risks Related to Our Connected</w:t>
      </w:r>
    </w:p>
    <w:p>
      <w:pPr>
        <w:ind w:right="220"/>
        <w:spacing w:after="0" w:line="253" w:lineRule="auto"/>
        <w:rPr>
          <w:sz w:val="20"/>
          <w:szCs w:val="20"/>
          <w:color w:val="auto"/>
        </w:rPr>
      </w:pPr>
      <w:r>
        <w:rPr>
          <w:rFonts w:ascii="Arial" w:cs="Arial" w:eastAsia="Arial" w:hAnsi="Arial"/>
          <w:sz w:val="13"/>
          <w:szCs w:val="13"/>
          <w:i w:val="1"/>
          <w:iCs w:val="1"/>
          <w:color w:val="auto"/>
        </w:rPr>
        <w:t>Fitness Products and Members—We may be subject to warranty claims that could result in significant direct or indirect costs, or we could experience greater product returns than expected, either of which could have an adverse effect on our business, financial condition, and operating results</w:t>
      </w:r>
      <w:r>
        <w:rPr>
          <w:rFonts w:ascii="Arial" w:cs="Arial" w:eastAsia="Arial" w:hAnsi="Arial"/>
          <w:sz w:val="13"/>
          <w:szCs w:val="13"/>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3"/>
          <w:szCs w:val="13"/>
          <w:b w:val="1"/>
          <w:bCs w:val="1"/>
          <w:color w:val="auto"/>
        </w:rPr>
        <w:t>Key Operational and Business Metrics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Fiscal Year Ended June 30,</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2020</w:t>
            </w:r>
          </w:p>
        </w:tc>
      </w:tr>
      <w:tr>
        <w:trPr>
          <w:trHeight w:val="16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Connected Fitness Subscriptions</w:t>
            </w: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6"/>
              </w:rPr>
              <w:t>2,965,677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2,330,700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1,091,100</w:t>
            </w:r>
          </w:p>
        </w:tc>
      </w:tr>
      <w:tr>
        <w:trPr>
          <w:trHeight w:val="169"/>
        </w:trPr>
        <w:tc>
          <w:tcPr>
            <w:tcW w:w="5640" w:type="dxa"/>
            <w:vAlign w:val="bottom"/>
          </w:tcPr>
          <w:p>
            <w:pPr>
              <w:ind w:left="20"/>
              <w:spacing w:after="0"/>
              <w:rPr>
                <w:sz w:val="20"/>
                <w:szCs w:val="20"/>
                <w:color w:val="auto"/>
              </w:rPr>
            </w:pPr>
            <w:r>
              <w:rPr>
                <w:rFonts w:ascii="Arial" w:cs="Arial" w:eastAsia="Arial" w:hAnsi="Arial"/>
                <w:sz w:val="13"/>
                <w:szCs w:val="13"/>
                <w:color w:val="auto"/>
              </w:rPr>
              <w:t>Average Net Monthly Connected Fitness Churn</w:t>
            </w:r>
          </w:p>
        </w:tc>
        <w:tc>
          <w:tcPr>
            <w:tcW w:w="10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0.96 %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0.61 %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0.62 %</w:t>
            </w:r>
          </w:p>
        </w:tc>
      </w:tr>
      <w:tr>
        <w:trPr>
          <w:trHeight w:val="171"/>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Workouts (in millions)</w:t>
            </w:r>
          </w:p>
        </w:tc>
        <w:tc>
          <w:tcPr>
            <w:tcW w:w="10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540.0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459.7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164.5</w:t>
            </w:r>
          </w:p>
        </w:tc>
      </w:tr>
      <w:tr>
        <w:trPr>
          <w:trHeight w:val="169"/>
        </w:trPr>
        <w:tc>
          <w:tcPr>
            <w:tcW w:w="5640" w:type="dxa"/>
            <w:vAlign w:val="bottom"/>
          </w:tcPr>
          <w:p>
            <w:pPr>
              <w:ind w:left="20"/>
              <w:spacing w:after="0"/>
              <w:rPr>
                <w:sz w:val="20"/>
                <w:szCs w:val="20"/>
                <w:color w:val="auto"/>
              </w:rPr>
            </w:pPr>
            <w:r>
              <w:rPr>
                <w:rFonts w:ascii="Arial" w:cs="Arial" w:eastAsia="Arial" w:hAnsi="Arial"/>
                <w:sz w:val="13"/>
                <w:szCs w:val="13"/>
                <w:color w:val="auto"/>
              </w:rPr>
              <w:t>Average Monthly Workouts per Connected Fitness Subscription</w:t>
            </w:r>
          </w:p>
        </w:tc>
        <w:tc>
          <w:tcPr>
            <w:tcW w:w="108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ind w:right="96"/>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17.9</w:t>
            </w:r>
          </w:p>
        </w:tc>
      </w:tr>
      <w:tr>
        <w:trPr>
          <w:trHeight w:val="171"/>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Profit (in millions)</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944.7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541.7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208.0</w:t>
            </w:r>
          </w:p>
        </w:tc>
      </w:tr>
      <w:tr>
        <w:trPr>
          <w:trHeight w:val="191"/>
        </w:trPr>
        <w:tc>
          <w:tcPr>
            <w:tcW w:w="5640" w:type="dxa"/>
            <w:vAlign w:val="bottom"/>
          </w:tcPr>
          <w:p>
            <w:pPr>
              <w:ind w:left="20"/>
              <w:spacing w:after="0"/>
              <w:rPr>
                <w:sz w:val="20"/>
                <w:szCs w:val="20"/>
                <w:color w:val="auto"/>
              </w:rPr>
            </w:pPr>
            <w:r>
              <w:rPr>
                <w:rFonts w:ascii="Arial" w:cs="Arial" w:eastAsia="Arial" w:hAnsi="Arial"/>
                <w:sz w:val="13"/>
                <w:szCs w:val="13"/>
                <w:color w:val="auto"/>
              </w:rPr>
              <w:t>Subscription Contribution (in millions)</w:t>
            </w:r>
            <w:r>
              <w:rPr>
                <w:rFonts w:ascii="Arial" w:cs="Arial" w:eastAsia="Arial" w:hAnsi="Arial"/>
                <w:sz w:val="16"/>
                <w:szCs w:val="16"/>
                <w:color w:val="auto"/>
                <w:vertAlign w:val="superscript"/>
              </w:rPr>
              <w:t>(1)</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994.2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96"/>
              <w:spacing w:after="0"/>
              <w:rPr>
                <w:sz w:val="20"/>
                <w:szCs w:val="20"/>
                <w:color w:val="auto"/>
              </w:rPr>
            </w:pPr>
            <w:r>
              <w:rPr>
                <w:rFonts w:ascii="Arial" w:cs="Arial" w:eastAsia="Arial" w:hAnsi="Arial"/>
                <w:sz w:val="13"/>
                <w:szCs w:val="13"/>
                <w:color w:val="auto"/>
              </w:rPr>
              <w:t>586.5</w:t>
            </w:r>
          </w:p>
        </w:tc>
        <w:tc>
          <w:tcPr>
            <w:tcW w:w="80" w:type="dxa"/>
            <w:vAlign w:val="bottom"/>
          </w:tcPr>
          <w:p>
            <w:pPr>
              <w:spacing w:after="0"/>
              <w:rPr>
                <w:sz w:val="16"/>
                <w:szCs w:val="16"/>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232.1</w:t>
            </w:r>
          </w:p>
        </w:tc>
      </w:tr>
      <w:tr>
        <w:trPr>
          <w:trHeight w:val="17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Margin</w:t>
            </w:r>
          </w:p>
        </w:tc>
        <w:tc>
          <w:tcPr>
            <w:tcW w:w="10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62.1 %</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57.2 %</w:t>
            </w:r>
          </w:p>
        </w:tc>
      </w:tr>
      <w:tr>
        <w:trPr>
          <w:trHeight w:val="191"/>
        </w:trPr>
        <w:tc>
          <w:tcPr>
            <w:tcW w:w="5640" w:type="dxa"/>
            <w:vAlign w:val="bottom"/>
          </w:tcPr>
          <w:p>
            <w:pPr>
              <w:ind w:left="20"/>
              <w:spacing w:after="0"/>
              <w:rPr>
                <w:sz w:val="20"/>
                <w:szCs w:val="20"/>
                <w:color w:val="auto"/>
              </w:rPr>
            </w:pPr>
            <w:r>
              <w:rPr>
                <w:rFonts w:ascii="Arial" w:cs="Arial" w:eastAsia="Arial" w:hAnsi="Arial"/>
                <w:sz w:val="13"/>
                <w:szCs w:val="13"/>
                <w:color w:val="auto"/>
              </w:rPr>
              <w:t>Subscription Contribution Margin</w:t>
            </w:r>
            <w:r>
              <w:rPr>
                <w:rFonts w:ascii="Arial" w:cs="Arial" w:eastAsia="Arial" w:hAnsi="Arial"/>
                <w:sz w:val="16"/>
                <w:szCs w:val="16"/>
                <w:color w:val="auto"/>
                <w:vertAlign w:val="superscript"/>
              </w:rPr>
              <w:t>(1)</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71.3 %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67.2 %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63.8 %</w:t>
            </w:r>
          </w:p>
        </w:tc>
      </w:tr>
      <w:tr>
        <w:trPr>
          <w:trHeight w:val="17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 millions)</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(2,827.7)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(189.0)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(71.6)</w:t>
            </w:r>
          </w:p>
        </w:tc>
      </w:tr>
      <w:tr>
        <w:trPr>
          <w:trHeight w:val="191"/>
        </w:trPr>
        <w:tc>
          <w:tcPr>
            <w:tcW w:w="5640" w:type="dxa"/>
            <w:vAlign w:val="bottom"/>
          </w:tcPr>
          <w:p>
            <w:pPr>
              <w:ind w:left="20"/>
              <w:spacing w:after="0"/>
              <w:rPr>
                <w:sz w:val="20"/>
                <w:szCs w:val="20"/>
                <w:color w:val="auto"/>
              </w:rPr>
            </w:pPr>
            <w:r>
              <w:rPr>
                <w:rFonts w:ascii="Arial" w:cs="Arial" w:eastAsia="Arial" w:hAnsi="Arial"/>
                <w:sz w:val="13"/>
                <w:szCs w:val="13"/>
                <w:color w:val="auto"/>
              </w:rPr>
              <w:t>Adjusted EBITDA (in millions)</w:t>
            </w:r>
            <w:r>
              <w:rPr>
                <w:rFonts w:ascii="Arial" w:cs="Arial" w:eastAsia="Arial" w:hAnsi="Arial"/>
                <w:sz w:val="16"/>
                <w:szCs w:val="16"/>
                <w:color w:val="auto"/>
                <w:vertAlign w:val="superscript"/>
              </w:rPr>
              <w:t>(2)</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(982.7)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96"/>
              <w:spacing w:after="0"/>
              <w:rPr>
                <w:sz w:val="20"/>
                <w:szCs w:val="20"/>
                <w:color w:val="auto"/>
              </w:rPr>
            </w:pPr>
            <w:r>
              <w:rPr>
                <w:rFonts w:ascii="Arial" w:cs="Arial" w:eastAsia="Arial" w:hAnsi="Arial"/>
                <w:sz w:val="13"/>
                <w:szCs w:val="13"/>
                <w:color w:val="auto"/>
              </w:rPr>
              <w:t>253.7</w:t>
            </w:r>
          </w:p>
        </w:tc>
        <w:tc>
          <w:tcPr>
            <w:tcW w:w="80" w:type="dxa"/>
            <w:vAlign w:val="bottom"/>
          </w:tcPr>
          <w:p>
            <w:pPr>
              <w:spacing w:after="0"/>
              <w:rPr>
                <w:sz w:val="16"/>
                <w:szCs w:val="16"/>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117.7</w:t>
            </w:r>
          </w:p>
        </w:tc>
      </w:tr>
      <w:tr>
        <w:trPr>
          <w:trHeight w:val="191"/>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r>
              <w:rPr>
                <w:rFonts w:ascii="Arial" w:cs="Arial" w:eastAsia="Arial" w:hAnsi="Arial"/>
                <w:sz w:val="16"/>
                <w:szCs w:val="16"/>
                <w:color w:val="auto"/>
                <w:vertAlign w:val="superscript"/>
              </w:rPr>
              <w:t>(2)</w:t>
            </w:r>
          </w:p>
        </w:tc>
        <w:tc>
          <w:tcPr>
            <w:tcW w:w="10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6.3 %</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6.4 %</w:t>
            </w:r>
          </w:p>
        </w:tc>
      </w:tr>
      <w:tr>
        <w:trPr>
          <w:trHeight w:val="191"/>
        </w:trPr>
        <w:tc>
          <w:tcPr>
            <w:tcW w:w="5640" w:type="dxa"/>
            <w:vAlign w:val="bottom"/>
          </w:tcPr>
          <w:p>
            <w:pPr>
              <w:ind w:left="20"/>
              <w:spacing w:after="0"/>
              <w:rPr>
                <w:sz w:val="20"/>
                <w:szCs w:val="20"/>
                <w:color w:val="auto"/>
              </w:rPr>
            </w:pPr>
            <w:r>
              <w:rPr>
                <w:rFonts w:ascii="Arial" w:cs="Arial" w:eastAsia="Arial" w:hAnsi="Arial"/>
                <w:sz w:val="13"/>
                <w:szCs w:val="13"/>
                <w:color w:val="auto"/>
              </w:rPr>
              <w:t>Net Cash (Used in) Provided by Operating Activities (in millions)</w:t>
            </w:r>
            <w:r>
              <w:rPr>
                <w:rFonts w:ascii="Arial" w:cs="Arial" w:eastAsia="Arial" w:hAnsi="Arial"/>
                <w:sz w:val="16"/>
                <w:szCs w:val="16"/>
                <w:color w:val="auto"/>
                <w:vertAlign w:val="superscript"/>
              </w:rPr>
              <w:t>(3)</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(2,020.0)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76"/>
              <w:spacing w:after="0"/>
              <w:rPr>
                <w:sz w:val="20"/>
                <w:szCs w:val="20"/>
                <w:color w:val="auto"/>
              </w:rPr>
            </w:pPr>
            <w:r>
              <w:rPr>
                <w:rFonts w:ascii="Arial" w:cs="Arial" w:eastAsia="Arial" w:hAnsi="Arial"/>
                <w:sz w:val="13"/>
                <w:szCs w:val="13"/>
                <w:color w:val="auto"/>
              </w:rPr>
              <w:t>(239.7)</w:t>
            </w:r>
          </w:p>
        </w:tc>
        <w:tc>
          <w:tcPr>
            <w:tcW w:w="80" w:type="dxa"/>
            <w:vAlign w:val="bottom"/>
          </w:tcPr>
          <w:p>
            <w:pPr>
              <w:spacing w:after="0"/>
              <w:rPr>
                <w:sz w:val="16"/>
                <w:szCs w:val="16"/>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376.4</w:t>
            </w:r>
          </w:p>
        </w:tc>
      </w:tr>
      <w:tr>
        <w:trPr>
          <w:trHeight w:val="191"/>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Free Cash Flow (in millions)</w:t>
            </w:r>
            <w:r>
              <w:rPr>
                <w:rFonts w:ascii="Arial" w:cs="Arial" w:eastAsia="Arial" w:hAnsi="Arial"/>
                <w:sz w:val="16"/>
                <w:szCs w:val="16"/>
                <w:color w:val="auto"/>
                <w:vertAlign w:val="superscript"/>
              </w:rPr>
              <w:t>(3)</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(2,357.4)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(491.9)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220.0</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w:t>
      </w:r>
    </w:p>
    <w:p>
      <w:pPr>
        <w:spacing w:after="0" w:line="39" w:lineRule="exact"/>
        <w:rPr>
          <w:sz w:val="20"/>
          <w:szCs w:val="20"/>
          <w:color w:val="auto"/>
        </w:rPr>
      </w:pPr>
    </w:p>
    <w:p>
      <w:pPr>
        <w:ind w:right="520" w:firstLine="5"/>
        <w:spacing w:after="0" w:line="274" w:lineRule="auto"/>
        <w:tabs>
          <w:tab w:leader="none" w:pos="149" w:val="left"/>
        </w:tabs>
        <w:numPr>
          <w:ilvl w:val="0"/>
          <w:numId w:val="30"/>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metrics for investors.</w:t>
      </w:r>
    </w:p>
    <w:p>
      <w:pPr>
        <w:spacing w:after="0" w:line="23" w:lineRule="exact"/>
        <w:rPr>
          <w:rFonts w:ascii="Arial" w:cs="Arial" w:eastAsia="Arial" w:hAnsi="Arial"/>
          <w:sz w:val="10"/>
          <w:szCs w:val="10"/>
          <w:color w:val="auto"/>
        </w:rPr>
      </w:pPr>
    </w:p>
    <w:p>
      <w:pPr>
        <w:ind w:right="120" w:firstLine="5"/>
        <w:spacing w:after="0" w:line="274" w:lineRule="auto"/>
        <w:tabs>
          <w:tab w:leader="none" w:pos="149" w:val="left"/>
        </w:tabs>
        <w:numPr>
          <w:ilvl w:val="0"/>
          <w:numId w:val="30"/>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Measures—Adjusted EBITDA and Adjusted EBITDA Margin” for a reconciliation of Net (loss) income to Adjusted EBITDA and an explanation of why we consider Adjusted EBITDA to be a helpful metric for investors.</w:t>
      </w:r>
    </w:p>
    <w:p>
      <w:pPr>
        <w:spacing w:after="0" w:line="13" w:lineRule="exact"/>
        <w:rPr>
          <w:rFonts w:ascii="Arial" w:cs="Arial" w:eastAsia="Arial" w:hAnsi="Arial"/>
          <w:sz w:val="10"/>
          <w:szCs w:val="10"/>
          <w:color w:val="auto"/>
        </w:rPr>
      </w:pPr>
    </w:p>
    <w:p>
      <w:pPr>
        <w:ind w:right="100" w:firstLine="5"/>
        <w:spacing w:after="0" w:line="274" w:lineRule="auto"/>
        <w:tabs>
          <w:tab w:leader="none" w:pos="149" w:val="left"/>
        </w:tabs>
        <w:numPr>
          <w:ilvl w:val="0"/>
          <w:numId w:val="30"/>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Measures—Free Cash Flow” for a reconciliation of net cash provided by (used in) operating activities to Free Cash Flow and an explanation of why we consider Free Cash Flow to be a helpful metric for investors.</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Subscriptions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 We do not include canceled or unpaid Connected Fitness Subscriptions in the Connected Fitness Subscription count.</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Net Monthly Connected Fitness Churn</w:t>
      </w:r>
    </w:p>
    <w:p>
      <w:pPr>
        <w:spacing w:after="0" w:line="4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Workouts and Average Monthly Workouts per Connected Fitness Subscription</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the completion of at least 50% of an instructor-led class or scenic ride or run, or ten or more minutes of “Just Ride” or “Just Run” mode by a Member associated with a Connected Fitness Subscription. We define “Average Monthly Workouts per Connected Fitness Subscription” as the Total Workouts completed in the quarter divided by the average number of Connected Fitness Subscriptions in each month, divided by three months.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Components of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Products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Connected Fitness Product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 revenue is recognized at the time of delivery, except for extended warranty revenue which is recognized over the warranty period and service revenue which is recognized over the term, and is recorded net of returns and discounts and third-party financing program fees, when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81"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color w:val="auto"/>
        </w:rPr>
        <w:t>Subscription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Subscription revenue consists of revenue generated from our monthly Connected Fitness Subscription and Peloton Digital subscription.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2022, 98% and 86% of our Connected Fitness Subscription and Peloton Digital subscription bases were paying month-to-month, respectively.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 a Connected Fitness Subscription owns a combination of a Bike, Tread or Guide product in the same household, the price of the Subscription remains $44.00 monthly (price increased from $39 to $44 USD effective as of June 1, 2022). As of June 30, 2022, approximately 6% of our Connected Fitness Subscriptions owned both a Bike and Tread product.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Products</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and marketing</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and administrative</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which may also cause research and development expenses to vary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 impairment</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Goodwill impairment consists of non-cash impairment charges relating to goodwill. We review goodwill for impairment annually on April 1 and more frequently if events or changes in circumstances indicate that an impairment may exist. If the carrying value of the reporting unit continues to exceed its fair value, the fair value of the reporting unit’s goodwill is calculated and an impairment loss equal to the excess is recorded.</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expense</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consolidated financial statements. Management disposes of fixed assets during the regular course of business due to damage, obsolescence, strategic shifts, and loss.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Restructuring expense</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Restructuring expense consists of severance and other personnel costs, including stock-based compensation expense, professional services, facility closures and other costs associated with exit and disposal activities.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auto"/>
        </w:rPr>
        <w:t>Supplier settlements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Supplier settlements are payments made to third-party suppliers to terminate certain future inventory purchase commitments.</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Non-operating income and expenses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(expense) income, net</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Other (expense) income, net consists of interest (expense) income, unrealized and realized gains (losses) on investments, and impacts from foreign exchange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 provision</w:t>
      </w:r>
    </w:p>
    <w:p>
      <w:pPr>
        <w:spacing w:after="0" w:line="4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Results of Operations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right="21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14"/>
                <w:szCs w:val="14"/>
                <w:color w:val="auto"/>
              </w:rPr>
            </w:pPr>
          </w:p>
        </w:tc>
      </w:tr>
      <w:tr>
        <w:trPr>
          <w:trHeight w:val="171"/>
        </w:trPr>
        <w:tc>
          <w:tcPr>
            <w:tcW w:w="68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71"/>
        </w:trPr>
        <w:tc>
          <w:tcPr>
            <w:tcW w:w="6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 of Operations Data:</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6880" w:type="dxa"/>
            <w:vAlign w:val="bottom"/>
          </w:tcPr>
          <w:p>
            <w:pPr>
              <w:ind w:left="20"/>
              <w:spacing w:after="0"/>
              <w:rPr>
                <w:sz w:val="20"/>
                <w:szCs w:val="20"/>
                <w:color w:val="auto"/>
              </w:rPr>
            </w:pPr>
            <w:r>
              <w:rPr>
                <w:rFonts w:ascii="Arial" w:cs="Arial" w:eastAsia="Arial" w:hAnsi="Arial"/>
                <w:sz w:val="13"/>
                <w:szCs w:val="13"/>
                <w:color w:val="auto"/>
              </w:rPr>
              <w:t>Revenue</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Connected Fitness Products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2,187.5</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3,149.6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1,462.2</w:t>
            </w:r>
          </w:p>
        </w:tc>
      </w:tr>
      <w:tr>
        <w:trPr>
          <w:trHeight w:val="169"/>
        </w:trPr>
        <w:tc>
          <w:tcPr>
            <w:tcW w:w="68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1,394.7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363.7</w:t>
            </w:r>
          </w:p>
        </w:tc>
      </w:tr>
      <w:tr>
        <w:trPr>
          <w:trHeight w:val="162"/>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revenue</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3,582.1</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4,021.8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1,825.9</w:t>
            </w:r>
          </w:p>
        </w:tc>
      </w:tr>
      <w:tr>
        <w:trPr>
          <w:trHeight w:val="171"/>
        </w:trPr>
        <w:tc>
          <w:tcPr>
            <w:tcW w:w="6880" w:type="dxa"/>
            <w:vAlign w:val="bottom"/>
          </w:tcPr>
          <w:p>
            <w:pPr>
              <w:ind w:left="20"/>
              <w:spacing w:after="0" w:line="171" w:lineRule="exact"/>
              <w:rPr>
                <w:sz w:val="20"/>
                <w:szCs w:val="20"/>
                <w:color w:val="auto"/>
              </w:rPr>
            </w:pPr>
            <w:r>
              <w:rPr>
                <w:rFonts w:ascii="Arial" w:cs="Arial" w:eastAsia="Arial" w:hAnsi="Arial"/>
                <w:sz w:val="13"/>
                <w:szCs w:val="13"/>
                <w:color w:val="auto"/>
              </w:rPr>
              <w:t>Cost of revenue</w:t>
            </w:r>
            <w:r>
              <w:rPr>
                <w:rFonts w:ascii="Arial" w:cs="Arial" w:eastAsia="Arial" w:hAnsi="Arial"/>
                <w:sz w:val="16"/>
                <w:szCs w:val="16"/>
                <w:color w:val="auto"/>
                <w:vertAlign w:val="superscript"/>
              </w:rPr>
              <w:t>(1)(2)</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Connected Fitness Products</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832.5</w:t>
            </w:r>
          </w:p>
        </w:tc>
      </w:tr>
      <w:tr>
        <w:trPr>
          <w:trHeight w:val="190"/>
        </w:trPr>
        <w:tc>
          <w:tcPr>
            <w:tcW w:w="68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450.0</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w:t>
            </w:r>
          </w:p>
        </w:tc>
      </w:tr>
      <w:tr>
        <w:trPr>
          <w:trHeight w:val="162"/>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cost of revenue</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2,883.8</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2,567.4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988.2</w:t>
            </w:r>
          </w:p>
        </w:tc>
      </w:tr>
      <w:tr>
        <w:trPr>
          <w:trHeight w:val="159"/>
        </w:trPr>
        <w:tc>
          <w:tcPr>
            <w:tcW w:w="68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698.4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1,454.4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837.7</w:t>
            </w:r>
          </w:p>
        </w:tc>
      </w:tr>
      <w:tr>
        <w:trPr>
          <w:trHeight w:val="171"/>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80"/>
          </w:cols>
          <w:pgMar w:left="300" w:top="543" w:right="319" w:bottom="1440" w:gutter="0" w:footer="0" w:header="0"/>
        </w:sectPr>
      </w:pPr>
    </w:p>
    <w:p>
      <w:pPr>
        <w:ind w:left="120"/>
        <w:spacing w:after="0"/>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(1)(2)</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General and administrative</w:t>
      </w:r>
      <w:r>
        <w:rPr>
          <w:rFonts w:ascii="Arial" w:cs="Arial" w:eastAsia="Arial" w:hAnsi="Arial"/>
          <w:sz w:val="15"/>
          <w:szCs w:val="15"/>
          <w:color w:val="auto"/>
          <w:vertAlign w:val="superscript"/>
        </w:rPr>
        <w:t>(1)(2)</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Research and development</w:t>
      </w:r>
      <w:r>
        <w:rPr>
          <w:rFonts w:ascii="Arial" w:cs="Arial" w:eastAsia="Arial" w:hAnsi="Arial"/>
          <w:sz w:val="15"/>
          <w:szCs w:val="15"/>
          <w:color w:val="auto"/>
          <w:vertAlign w:val="superscript"/>
        </w:rPr>
        <w:t>(1)(2)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Goodwill impairment</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Impairment expense</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Restructuring expense</w:t>
      </w:r>
      <w:r>
        <w:rPr>
          <w:rFonts w:ascii="Arial" w:cs="Arial" w:eastAsia="Arial" w:hAnsi="Arial"/>
          <w:sz w:val="16"/>
          <w:szCs w:val="16"/>
          <w:color w:val="auto"/>
          <w:vertAlign w:val="superscript"/>
        </w:rPr>
        <w:t>(1)</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Supplier settlements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Total operating expenses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from operations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(expense) income, net: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Interest expense</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Interest income</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Foreign exchange losses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 (expense) income,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420" w:type="dxa"/>
            <w:vAlign w:val="bottom"/>
          </w:tcPr>
          <w:p>
            <w:pPr>
              <w:jc w:val="right"/>
              <w:spacing w:after="0"/>
              <w:rPr>
                <w:sz w:val="20"/>
                <w:szCs w:val="20"/>
                <w:color w:val="auto"/>
              </w:rPr>
            </w:pPr>
            <w:r>
              <w:rPr>
                <w:rFonts w:ascii="Arial" w:cs="Arial" w:eastAsia="Arial" w:hAnsi="Arial"/>
                <w:sz w:val="13"/>
                <w:szCs w:val="13"/>
                <w:color w:val="auto"/>
              </w:rPr>
              <w:t>1,018.9</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728.3</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476.7</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963.4</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661.8</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351.4</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359.5</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247.6</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89.1</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181.9</w:t>
            </w:r>
          </w:p>
        </w:tc>
        <w:tc>
          <w:tcPr>
            <w:tcW w:w="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390.5</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180.7</w:t>
            </w:r>
          </w:p>
        </w:tc>
        <w:tc>
          <w:tcPr>
            <w:tcW w:w="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1420" w:type="dxa"/>
            <w:vAlign w:val="bottom"/>
          </w:tcPr>
          <w:p>
            <w:pPr>
              <w:jc w:val="right"/>
              <w:spacing w:after="0"/>
              <w:rPr>
                <w:sz w:val="20"/>
                <w:szCs w:val="20"/>
                <w:color w:val="auto"/>
              </w:rPr>
            </w:pPr>
            <w:r>
              <w:rPr>
                <w:rFonts w:ascii="Arial" w:cs="Arial" w:eastAsia="Arial" w:hAnsi="Arial"/>
                <w:sz w:val="13"/>
                <w:szCs w:val="13"/>
                <w:color w:val="auto"/>
              </w:rPr>
              <w:t>337.6</w:t>
            </w:r>
          </w:p>
        </w:tc>
        <w:tc>
          <w:tcPr>
            <w:tcW w:w="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3,432.4</w:t>
            </w:r>
          </w:p>
        </w:tc>
        <w:tc>
          <w:tcPr>
            <w:tcW w:w="80" w:type="dxa"/>
            <w:vAlign w:val="bottom"/>
          </w:tcPr>
          <w:p>
            <w:pPr>
              <w:spacing w:after="0"/>
              <w:rPr>
                <w:sz w:val="13"/>
                <w:szCs w:val="1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1,642.2</w:t>
            </w:r>
          </w:p>
        </w:tc>
        <w:tc>
          <w:tcPr>
            <w:tcW w:w="100" w:type="dxa"/>
            <w:vAlign w:val="bottom"/>
          </w:tcPr>
          <w:p>
            <w:pPr>
              <w:spacing w:after="0"/>
              <w:rPr>
                <w:sz w:val="13"/>
                <w:szCs w:val="1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918.4</w:t>
            </w:r>
          </w:p>
        </w:tc>
      </w:tr>
      <w:tr>
        <w:trPr>
          <w:trHeight w:val="159"/>
        </w:trPr>
        <w:tc>
          <w:tcPr>
            <w:tcW w:w="1420" w:type="dxa"/>
            <w:vAlign w:val="bottom"/>
          </w:tcPr>
          <w:p>
            <w:pPr>
              <w:jc w:val="right"/>
              <w:spacing w:after="0"/>
              <w:rPr>
                <w:sz w:val="20"/>
                <w:szCs w:val="20"/>
                <w:color w:val="auto"/>
              </w:rPr>
            </w:pPr>
            <w:r>
              <w:rPr>
                <w:rFonts w:ascii="Arial" w:cs="Arial" w:eastAsia="Arial" w:hAnsi="Arial"/>
                <w:sz w:val="13"/>
                <w:szCs w:val="13"/>
                <w:color w:val="auto"/>
              </w:rPr>
              <w:t>(2,734.0)</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(187.8)</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(80.7)</w:t>
            </w:r>
          </w:p>
        </w:tc>
      </w:tr>
      <w:tr>
        <w:trPr>
          <w:trHeight w:val="340"/>
        </w:trPr>
        <w:tc>
          <w:tcPr>
            <w:tcW w:w="1420" w:type="dxa"/>
            <w:vAlign w:val="bottom"/>
          </w:tcPr>
          <w:p>
            <w:pPr>
              <w:jc w:val="right"/>
              <w:spacing w:after="0"/>
              <w:rPr>
                <w:sz w:val="20"/>
                <w:szCs w:val="20"/>
                <w:color w:val="auto"/>
              </w:rPr>
            </w:pPr>
            <w:r>
              <w:rPr>
                <w:rFonts w:ascii="Arial" w:cs="Arial" w:eastAsia="Arial" w:hAnsi="Arial"/>
                <w:sz w:val="13"/>
                <w:szCs w:val="13"/>
                <w:color w:val="auto"/>
              </w:rPr>
              <w:t>(43.0)</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0"/>
        </w:trPr>
        <w:tc>
          <w:tcPr>
            <w:tcW w:w="14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18.2</w:t>
            </w:r>
          </w:p>
        </w:tc>
      </w:tr>
      <w:tr>
        <w:trPr>
          <w:trHeight w:val="170"/>
        </w:trPr>
        <w:tc>
          <w:tcPr>
            <w:tcW w:w="1420" w:type="dxa"/>
            <w:vAlign w:val="bottom"/>
          </w:tcPr>
          <w:p>
            <w:pPr>
              <w:jc w:val="right"/>
              <w:spacing w:after="0"/>
              <w:rPr>
                <w:sz w:val="20"/>
                <w:szCs w:val="20"/>
                <w:color w:val="auto"/>
              </w:rPr>
            </w:pPr>
            <w:r>
              <w:rPr>
                <w:rFonts w:ascii="Arial" w:cs="Arial" w:eastAsia="Arial" w:hAnsi="Arial"/>
                <w:sz w:val="13"/>
                <w:szCs w:val="13"/>
                <w:color w:val="auto"/>
              </w:rPr>
              <w:t>(31.8)</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70"/>
        </w:trPr>
        <w:tc>
          <w:tcPr>
            <w:tcW w:w="142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-1493520</wp:posOffset>
            </wp:positionV>
            <wp:extent cx="7161530" cy="121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-1250950</wp:posOffset>
            </wp:positionV>
            <wp:extent cx="7161530" cy="12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-1008380</wp:posOffset>
            </wp:positionV>
            <wp:extent cx="7161530" cy="121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-765810</wp:posOffset>
            </wp:positionV>
            <wp:extent cx="7161530"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-536575</wp:posOffset>
            </wp:positionV>
            <wp:extent cx="7161530" cy="107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-321310</wp:posOffset>
            </wp:positionV>
            <wp:extent cx="7161530" cy="107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-105410</wp:posOffset>
            </wp:positionV>
            <wp:extent cx="7161530" cy="107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160" w:space="720"/>
            <w:col w:w="4400"/>
          </w:cols>
          <w:pgMar w:left="300" w:top="543" w:right="3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6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other (expense) income, net</w:t>
            </w:r>
          </w:p>
        </w:tc>
        <w:tc>
          <w:tcPr>
            <w:tcW w:w="4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(74.1)</w:t>
            </w:r>
          </w:p>
        </w:tc>
        <w:tc>
          <w:tcPr>
            <w:tcW w:w="8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w:t>
            </w:r>
          </w:p>
        </w:tc>
      </w:tr>
      <w:tr>
        <w:trPr>
          <w:trHeight w:val="16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before provision for income taxes</w:t>
            </w: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(2,808.1)</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w:t>
            </w:r>
          </w:p>
        </w:tc>
      </w:tr>
      <w:tr>
        <w:trPr>
          <w:trHeight w:val="15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8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30"/>
        </w:trPr>
        <w:tc>
          <w:tcPr>
            <w:tcW w:w="3280" w:type="dxa"/>
            <w:vAlign w:val="bottom"/>
          </w:tcPr>
          <w:p>
            <w:pPr>
              <w:spacing w:after="0"/>
              <w:rPr>
                <w:sz w:val="20"/>
                <w:szCs w:val="20"/>
                <w:color w:val="auto"/>
              </w:rPr>
            </w:pPr>
            <w:r>
              <w:rPr>
                <w:rFonts w:ascii="Arial" w:cs="Arial" w:eastAsia="Arial" w:hAnsi="Arial"/>
                <w:sz w:val="10"/>
                <w:szCs w:val="10"/>
                <w:color w:val="auto"/>
              </w:rPr>
              <w:t>(1) Includes stock-based compensation expense as follows:</w:t>
            </w: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56"/>
              <w:spacing w:after="0"/>
              <w:rPr>
                <w:sz w:val="20"/>
                <w:szCs w:val="20"/>
                <w:color w:val="auto"/>
              </w:rPr>
            </w:pPr>
            <w:r>
              <w:rPr>
                <w:rFonts w:ascii="Arial" w:cs="Arial" w:eastAsia="Arial" w:hAnsi="Arial"/>
                <w:sz w:val="13"/>
                <w:szCs w:val="13"/>
                <w:b w:val="1"/>
                <w:bCs w:val="1"/>
                <w:color w:val="auto"/>
                <w:w w:val="97"/>
              </w:rPr>
              <w:t>Fiscal Year Ended 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900" w:type="dxa"/>
            <w:vAlign w:val="bottom"/>
            <w:gridSpan w:val="3"/>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20.2</w:t>
            </w:r>
          </w:p>
        </w:tc>
        <w:tc>
          <w:tcPr>
            <w:tcW w:w="36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9"/>
        </w:trPr>
        <w:tc>
          <w:tcPr>
            <w:tcW w:w="328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3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3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Restructuring</w:t>
            </w:r>
          </w:p>
        </w:tc>
        <w:tc>
          <w:tcPr>
            <w:tcW w:w="3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stock-based compensation expense</w:t>
            </w:r>
          </w:p>
        </w:tc>
        <w:tc>
          <w:tcPr>
            <w:tcW w:w="3900" w:type="dxa"/>
            <w:vAlign w:val="bottom"/>
            <w:gridSpan w:val="3"/>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328.4</w:t>
            </w:r>
          </w:p>
        </w:tc>
        <w:tc>
          <w:tcPr>
            <w:tcW w:w="360" w:type="dxa"/>
            <w:vAlign w:val="bottom"/>
            <w:gridSpan w:val="3"/>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____________________</w:t>
            </w:r>
          </w:p>
        </w:tc>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80" w:type="dxa"/>
            <w:vAlign w:val="bottom"/>
            <w:vMerge w:val="continue"/>
          </w:tcPr>
          <w:p>
            <w:pPr>
              <w:spacing w:after="0"/>
              <w:rPr>
                <w:sz w:val="20"/>
                <w:szCs w:val="20"/>
                <w:color w:val="auto"/>
              </w:rPr>
            </w:pPr>
          </w:p>
        </w:tc>
        <w:tc>
          <w:tcPr>
            <w:tcW w:w="3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20"/>
                <w:szCs w:val="20"/>
                <w:color w:val="auto"/>
              </w:rPr>
            </w:pPr>
            <w:r>
              <w:rPr>
                <w:rFonts w:ascii="Arial" w:cs="Arial" w:eastAsia="Arial" w:hAnsi="Arial"/>
                <w:sz w:val="10"/>
                <w:szCs w:val="10"/>
                <w:color w:val="auto"/>
              </w:rPr>
              <w:t>(2) Includes depreciation and amortization expense as follows:</w:t>
            </w:r>
          </w:p>
        </w:tc>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56"/>
              <w:spacing w:after="0"/>
              <w:rPr>
                <w:sz w:val="20"/>
                <w:szCs w:val="20"/>
                <w:color w:val="auto"/>
              </w:rPr>
            </w:pPr>
            <w:r>
              <w:rPr>
                <w:rFonts w:ascii="Arial" w:cs="Arial" w:eastAsia="Arial" w:hAnsi="Arial"/>
                <w:sz w:val="13"/>
                <w:szCs w:val="13"/>
                <w:b w:val="1"/>
                <w:bCs w:val="1"/>
                <w:color w:val="auto"/>
                <w:w w:val="97"/>
              </w:rPr>
              <w:t>Fiscal Year Ended 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900" w:type="dxa"/>
            <w:vAlign w:val="bottom"/>
            <w:gridSpan w:val="3"/>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20.0</w:t>
            </w:r>
          </w:p>
        </w:tc>
        <w:tc>
          <w:tcPr>
            <w:tcW w:w="36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9"/>
        </w:trPr>
        <w:tc>
          <w:tcPr>
            <w:tcW w:w="328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3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45.7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3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3"/>
                <w:szCs w:val="13"/>
                <w:color w:val="auto"/>
              </w:rPr>
              <w:t>Total depreciation and amortization expense</w:t>
            </w:r>
          </w:p>
        </w:tc>
        <w:tc>
          <w:tcPr>
            <w:tcW w:w="3600" w:type="dxa"/>
            <w:vAlign w:val="bottom"/>
            <w:gridSpan w:val="2"/>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142.8</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280" w:type="dxa"/>
            <w:vAlign w:val="bottom"/>
          </w:tcPr>
          <w:p>
            <w:pPr>
              <w:spacing w:after="0"/>
              <w:rPr>
                <w:sz w:val="24"/>
                <w:szCs w:val="24"/>
                <w:color w:val="auto"/>
              </w:rPr>
            </w:pPr>
          </w:p>
        </w:tc>
        <w:tc>
          <w:tcPr>
            <w:tcW w:w="4960" w:type="dxa"/>
            <w:vAlign w:val="bottom"/>
            <w:gridSpan w:val="4"/>
          </w:tcPr>
          <w:p>
            <w:pPr>
              <w:jc w:val="right"/>
              <w:ind w:right="676"/>
              <w:spacing w:after="0"/>
              <w:rPr>
                <w:sz w:val="20"/>
                <w:szCs w:val="20"/>
                <w:color w:val="auto"/>
              </w:rPr>
            </w:pPr>
            <w:r>
              <w:rPr>
                <w:rFonts w:ascii="Arial" w:cs="Arial" w:eastAsia="Arial" w:hAnsi="Arial"/>
                <w:sz w:val="13"/>
                <w:szCs w:val="13"/>
                <w:b w:val="1"/>
                <w:bCs w:val="1"/>
                <w:color w:val="auto"/>
              </w:rPr>
              <w:t>Comparison of the fiscal years ended June 30, 2022 and 2021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280" w:type="dxa"/>
            <w:vAlign w:val="bottom"/>
          </w:tcPr>
          <w:p>
            <w:pPr>
              <w:spacing w:after="0"/>
              <w:rPr>
                <w:sz w:val="20"/>
                <w:szCs w:val="20"/>
                <w:color w:val="auto"/>
              </w:rPr>
            </w:pPr>
            <w:r>
              <w:rPr>
                <w:rFonts w:ascii="Arial" w:cs="Arial" w:eastAsia="Arial" w:hAnsi="Arial"/>
                <w:sz w:val="13"/>
                <w:szCs w:val="13"/>
                <w:b w:val="1"/>
                <w:bCs w:val="1"/>
                <w:i w:val="1"/>
                <w:iCs w:val="1"/>
                <w:color w:val="auto"/>
              </w:rPr>
              <w:t>Revenue</w:t>
            </w: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3"/>
                <w:szCs w:val="13"/>
                <w:b w:val="1"/>
                <w:bCs w:val="1"/>
                <w:color w:val="auto"/>
              </w:rPr>
              <w:t>Fiscal Year Ended June 30,</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tcPr>
          <w:p>
            <w:pPr>
              <w:jc w:val="right"/>
              <w:ind w:right="920"/>
              <w:spacing w:after="0"/>
              <w:rPr>
                <w:sz w:val="20"/>
                <w:szCs w:val="20"/>
                <w:color w:val="auto"/>
              </w:rPr>
            </w:pPr>
            <w:r>
              <w:rPr>
                <w:rFonts w:ascii="Arial" w:cs="Arial" w:eastAsia="Arial" w:hAnsi="Arial"/>
                <w:sz w:val="13"/>
                <w:szCs w:val="13"/>
                <w:b w:val="1"/>
                <w:bCs w:val="1"/>
                <w:color w:val="auto"/>
              </w:rPr>
              <w:t>(dollars in millions)</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2,187.5</w:t>
            </w:r>
          </w:p>
        </w:tc>
        <w:tc>
          <w:tcPr>
            <w:tcW w:w="36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3,149.6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16"/>
              <w:spacing w:after="0"/>
              <w:rPr>
                <w:sz w:val="20"/>
                <w:szCs w:val="20"/>
                <w:color w:val="auto"/>
              </w:rPr>
            </w:pPr>
            <w:r>
              <w:rPr>
                <w:rFonts w:ascii="Arial" w:cs="Arial" w:eastAsia="Arial" w:hAnsi="Arial"/>
                <w:sz w:val="13"/>
                <w:szCs w:val="13"/>
                <w:color w:val="auto"/>
                <w:w w:val="96"/>
              </w:rPr>
              <w:t>(30.5)%</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5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1,394.7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872.2</w:t>
            </w: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116"/>
              <w:spacing w:after="0"/>
              <w:rPr>
                <w:sz w:val="20"/>
                <w:szCs w:val="20"/>
                <w:color w:val="auto"/>
              </w:rPr>
            </w:pPr>
            <w:r>
              <w:rPr>
                <w:rFonts w:ascii="Arial" w:cs="Arial" w:eastAsia="Arial" w:hAnsi="Arial"/>
                <w:sz w:val="13"/>
                <w:szCs w:val="13"/>
                <w:color w:val="auto"/>
                <w:w w:val="94"/>
              </w:rPr>
              <w:t>59.9</w:t>
            </w: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3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3,582.1</w:t>
            </w:r>
          </w:p>
        </w:tc>
        <w:tc>
          <w:tcPr>
            <w:tcW w:w="36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4,021.8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16"/>
              <w:spacing w:after="0"/>
              <w:rPr>
                <w:sz w:val="20"/>
                <w:szCs w:val="20"/>
                <w:color w:val="auto"/>
              </w:rPr>
            </w:pPr>
            <w:r>
              <w:rPr>
                <w:rFonts w:ascii="Arial" w:cs="Arial" w:eastAsia="Arial" w:hAnsi="Arial"/>
                <w:sz w:val="13"/>
                <w:szCs w:val="13"/>
                <w:color w:val="auto"/>
                <w:w w:val="96"/>
              </w:rPr>
              <w:t>(10.9)%</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Percentage of revenue</w:t>
            </w:r>
          </w:p>
        </w:tc>
        <w:tc>
          <w:tcPr>
            <w:tcW w:w="3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61.1 %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3"/>
                <w:szCs w:val="13"/>
                <w:color w:val="auto"/>
              </w:rPr>
              <w:t>78.3 %</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5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38.9</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21.7</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80"/>
              <w:spacing w:after="0"/>
              <w:rPr>
                <w:sz w:val="20"/>
                <w:szCs w:val="20"/>
                <w:color w:val="auto"/>
              </w:rPr>
            </w:pPr>
            <w:r>
              <w:rPr>
                <w:rFonts w:ascii="Arial" w:cs="Arial" w:eastAsia="Arial" w:hAnsi="Arial"/>
                <w:sz w:val="13"/>
                <w:szCs w:val="13"/>
                <w:color w:val="auto"/>
              </w:rPr>
              <w:t>Total</w:t>
            </w:r>
          </w:p>
        </w:tc>
        <w:tc>
          <w:tcPr>
            <w:tcW w:w="3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100.0 %</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Connected Fitness Products revenue decreased $962.2 million for the fiscal year ended June 30, 2022 compared to the fiscal year ended June 30, 2021. This decrease was primarily attributable to fewer Bike and Tread+ deliveries, and charges associated with the voluntary product recalls, partially offset by increased Tread deliveries for the fiscal year ended June 30, 2022. The decrease in Bike deliveries was primarily due to a return to our historical seasonality following the strong increase in demand for home fitness during the COVID-19 pandemic during the fiscal year ended June 30, 2021. The decrease was partially offset by revenues generated from Precor-branded commercial products of $186.6 million for the fiscal year ended June 30, 2022.</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Subscription revenue increased $522.5 million for the fiscal year ended June 30, 2022 compared to the fiscal year ended June 30, 2021. This increase was primarily attributable to the year-over-year growth in our Connected Fitness Subscriptions. The growth of our Connected Fitness Subscriptions was primarily driven by the number of Connected Fitness Products delivered during the fiscal year ended June 30, 2022 under new Subscriptions and our low Average Net Monthly Connected Fitness Churn of 0.96% for the fiscal year ended June 30, 2022.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20"/>
                <w:szCs w:val="20"/>
                <w:color w:val="auto"/>
              </w:rPr>
            </w:pPr>
            <w:r>
              <w:rPr>
                <w:rFonts w:ascii="Arial" w:cs="Arial" w:eastAsia="Arial" w:hAnsi="Arial"/>
                <w:sz w:val="13"/>
                <w:szCs w:val="13"/>
                <w:b w:val="1"/>
                <w:bCs w:val="1"/>
                <w:i w:val="1"/>
                <w:iCs w:val="1"/>
                <w:color w:val="auto"/>
              </w:rPr>
              <w:t>Cost of Revenue, Gross Profit, and Gross Margin</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674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rPr>
              <w:t>Fiscal Year Ended June 30,</w:t>
            </w:r>
          </w:p>
        </w:tc>
        <w:tc>
          <w:tcPr>
            <w:tcW w:w="58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67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 Change</w:t>
            </w:r>
          </w:p>
        </w:tc>
      </w:tr>
      <w:tr>
        <w:trPr>
          <w:trHeight w:val="160"/>
        </w:trPr>
        <w:tc>
          <w:tcPr>
            <w:tcW w:w="6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gridSpan w:val="3"/>
          </w:tcPr>
          <w:p>
            <w:pPr>
              <w:jc w:val="right"/>
              <w:ind w:right="256"/>
              <w:spacing w:after="0"/>
              <w:rPr>
                <w:sz w:val="20"/>
                <w:szCs w:val="20"/>
                <w:color w:val="auto"/>
              </w:rPr>
            </w:pPr>
            <w:r>
              <w:rPr>
                <w:rFonts w:ascii="Arial" w:cs="Arial" w:eastAsia="Arial" w:hAnsi="Arial"/>
                <w:sz w:val="13"/>
                <w:szCs w:val="13"/>
                <w:b w:val="1"/>
                <w:bCs w:val="1"/>
                <w:color w:val="auto"/>
              </w:rPr>
              <w:t>(dollars in millions)</w:t>
            </w:r>
          </w:p>
        </w:tc>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91"/>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69"/>
        </w:trPr>
        <w:tc>
          <w:tcPr>
            <w:tcW w:w="67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w w:val="92"/>
              </w:rPr>
              <w:t>2,433.8</w:t>
            </w:r>
          </w:p>
        </w:tc>
        <w:tc>
          <w:tcPr>
            <w:tcW w:w="100" w:type="dxa"/>
            <w:vAlign w:val="bottom"/>
          </w:tcPr>
          <w:p>
            <w:pPr>
              <w:spacing w:after="0"/>
              <w:rPr>
                <w:sz w:val="14"/>
                <w:szCs w:val="14"/>
                <w:color w:val="auto"/>
              </w:rPr>
            </w:pP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w w:val="92"/>
              </w:rPr>
              <w:t>2,236.9</w:t>
            </w:r>
          </w:p>
        </w:tc>
        <w:tc>
          <w:tcPr>
            <w:tcW w:w="1480" w:type="dxa"/>
            <w:vAlign w:val="bottom"/>
          </w:tcPr>
          <w:p>
            <w:pPr>
              <w:jc w:val="center"/>
              <w:ind w:left="36"/>
              <w:spacing w:after="0"/>
              <w:rPr>
                <w:sz w:val="20"/>
                <w:szCs w:val="20"/>
                <w:color w:val="auto"/>
              </w:rPr>
            </w:pPr>
            <w:r>
              <w:rPr>
                <w:rFonts w:ascii="Arial" w:cs="Arial" w:eastAsia="Arial" w:hAnsi="Arial"/>
                <w:sz w:val="13"/>
                <w:szCs w:val="13"/>
                <w:color w:val="auto"/>
              </w:rPr>
              <w:t>8.8%</w:t>
            </w:r>
          </w:p>
        </w:tc>
      </w:tr>
      <w:tr>
        <w:trPr>
          <w:trHeight w:val="170"/>
        </w:trPr>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330.5</w:t>
            </w:r>
          </w:p>
        </w:tc>
        <w:tc>
          <w:tcPr>
            <w:tcW w:w="148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rPr>
              <w:t>36.1</w:t>
            </w:r>
          </w:p>
        </w:tc>
      </w:tr>
      <w:tr>
        <w:trPr>
          <w:trHeight w:val="162"/>
        </w:trPr>
        <w:tc>
          <w:tcPr>
            <w:tcW w:w="674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2"/>
              </w:rPr>
              <w:t>2,883.8</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2"/>
              </w:rPr>
              <w:t>2,567.4</w:t>
            </w:r>
          </w:p>
        </w:tc>
        <w:tc>
          <w:tcPr>
            <w:tcW w:w="1480" w:type="dxa"/>
            <w:vAlign w:val="bottom"/>
          </w:tcPr>
          <w:p>
            <w:pPr>
              <w:jc w:val="center"/>
              <w:ind w:left="16"/>
              <w:spacing w:after="0"/>
              <w:rPr>
                <w:sz w:val="20"/>
                <w:szCs w:val="20"/>
                <w:color w:val="auto"/>
              </w:rPr>
            </w:pPr>
            <w:r>
              <w:rPr>
                <w:rFonts w:ascii="Arial" w:cs="Arial" w:eastAsia="Arial" w:hAnsi="Arial"/>
                <w:sz w:val="13"/>
                <w:szCs w:val="13"/>
                <w:color w:val="auto"/>
                <w:w w:val="97"/>
              </w:rPr>
              <w:t>12.3%</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31"/>
        </w:trPr>
        <w:tc>
          <w:tcPr>
            <w:tcW w:w="67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Gross Profit:</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169"/>
        </w:trPr>
        <w:tc>
          <w:tcPr>
            <w:tcW w:w="67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6"/>
              <w:spacing w:after="0"/>
              <w:rPr>
                <w:sz w:val="20"/>
                <w:szCs w:val="20"/>
                <w:color w:val="auto"/>
              </w:rPr>
            </w:pPr>
            <w:r>
              <w:rPr>
                <w:rFonts w:ascii="Arial" w:cs="Arial" w:eastAsia="Arial" w:hAnsi="Arial"/>
                <w:sz w:val="13"/>
                <w:szCs w:val="13"/>
                <w:color w:val="auto"/>
              </w:rPr>
              <w:t>(246.3)</w:t>
            </w:r>
          </w:p>
        </w:tc>
        <w:tc>
          <w:tcPr>
            <w:tcW w:w="100" w:type="dxa"/>
            <w:vAlign w:val="bottom"/>
          </w:tcPr>
          <w:p>
            <w:pPr>
              <w:spacing w:after="0"/>
              <w:rPr>
                <w:sz w:val="14"/>
                <w:szCs w:val="14"/>
                <w:color w:val="auto"/>
              </w:rPr>
            </w:pP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912.7</w:t>
            </w:r>
          </w:p>
        </w:tc>
        <w:tc>
          <w:tcPr>
            <w:tcW w:w="1480" w:type="dxa"/>
            <w:vAlign w:val="bottom"/>
          </w:tcPr>
          <w:p>
            <w:pPr>
              <w:jc w:val="center"/>
              <w:ind w:left="16"/>
              <w:spacing w:after="0"/>
              <w:rPr>
                <w:sz w:val="20"/>
                <w:szCs w:val="20"/>
                <w:color w:val="auto"/>
              </w:rPr>
            </w:pPr>
            <w:r>
              <w:rPr>
                <w:rFonts w:ascii="Arial" w:cs="Arial" w:eastAsia="Arial" w:hAnsi="Arial"/>
                <w:sz w:val="13"/>
                <w:szCs w:val="13"/>
                <w:color w:val="auto"/>
                <w:w w:val="98"/>
              </w:rPr>
              <w:t>(127.0)%</w:t>
            </w:r>
          </w:p>
        </w:tc>
      </w:tr>
      <w:tr>
        <w:trPr>
          <w:trHeight w:val="170"/>
        </w:trPr>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944.7</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541.7</w:t>
            </w:r>
          </w:p>
        </w:tc>
        <w:tc>
          <w:tcPr>
            <w:tcW w:w="148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rPr>
              <w:t>74.4</w:t>
            </w:r>
          </w:p>
        </w:tc>
      </w:tr>
      <w:tr>
        <w:trPr>
          <w:trHeight w:val="162"/>
        </w:trPr>
        <w:tc>
          <w:tcPr>
            <w:tcW w:w="6740" w:type="dxa"/>
            <w:vAlign w:val="bottom"/>
          </w:tcPr>
          <w:p>
            <w:pPr>
              <w:ind w:left="180"/>
              <w:spacing w:after="0"/>
              <w:rPr>
                <w:sz w:val="20"/>
                <w:szCs w:val="20"/>
                <w:color w:val="auto"/>
              </w:rPr>
            </w:pPr>
            <w:r>
              <w:rPr>
                <w:rFonts w:ascii="Arial" w:cs="Arial" w:eastAsia="Arial" w:hAnsi="Arial"/>
                <w:sz w:val="13"/>
                <w:szCs w:val="13"/>
                <w:color w:val="auto"/>
              </w:rPr>
              <w:t>Total 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698.4</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2"/>
              </w:rPr>
              <w:t>1,454.4</w:t>
            </w:r>
          </w:p>
        </w:tc>
        <w:tc>
          <w:tcPr>
            <w:tcW w:w="1480" w:type="dxa"/>
            <w:vAlign w:val="bottom"/>
          </w:tcPr>
          <w:p>
            <w:pPr>
              <w:jc w:val="center"/>
              <w:ind w:left="36"/>
              <w:spacing w:after="0"/>
              <w:rPr>
                <w:sz w:val="20"/>
                <w:szCs w:val="20"/>
                <w:color w:val="auto"/>
              </w:rPr>
            </w:pPr>
            <w:r>
              <w:rPr>
                <w:rFonts w:ascii="Arial" w:cs="Arial" w:eastAsia="Arial" w:hAnsi="Arial"/>
                <w:sz w:val="13"/>
                <w:szCs w:val="13"/>
                <w:color w:val="auto"/>
              </w:rPr>
              <w:t>(52.0)%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52"/>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Margin:</w:t>
            </w: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90"/>
        </w:trPr>
        <w:tc>
          <w:tcPr>
            <w:tcW w:w="67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29.0 %</w:t>
            </w:r>
          </w:p>
        </w:tc>
        <w:tc>
          <w:tcPr>
            <w:tcW w:w="1480" w:type="dxa"/>
            <w:vAlign w:val="bottom"/>
          </w:tcPr>
          <w:p>
            <w:pPr>
              <w:spacing w:after="0"/>
              <w:rPr>
                <w:sz w:val="16"/>
                <w:szCs w:val="16"/>
                <w:color w:val="auto"/>
              </w:rPr>
            </w:pPr>
          </w:p>
        </w:tc>
      </w:tr>
      <w:tr>
        <w:trPr>
          <w:trHeight w:val="192"/>
        </w:trPr>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62.1 %</w:t>
            </w:r>
          </w:p>
        </w:tc>
        <w:tc>
          <w:tcPr>
            <w:tcW w:w="1480" w:type="dxa"/>
            <w:vAlign w:val="bottom"/>
            <w:shd w:val="clear" w:color="auto" w:fill="CCEEFF"/>
          </w:tcPr>
          <w:p>
            <w:pPr>
              <w:spacing w:after="0"/>
              <w:rPr>
                <w:sz w:val="16"/>
                <w:szCs w:val="16"/>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2022 and 2021</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Connected Fitness Products cost of revenue for the fiscal year ended June 30, 2022 increased $196.9 million, or 8.8%, compared to the fiscal year ended June 30, 2021. This increase was primarily driven by increased inventory reserves in the amount of $222.1 million primarily related to excess inventory we do not expect to sell above cost and write-downs of raw materials that we estimate would have no future use as a result of our restructuring activities, costs of $169.0 million associated with Precor-branded commercial products, and increased Tread costs of $137.7 million, primarily driven by the launch of Tread in the first quarter of fiscal 2022. These increases were partially offset by fewer deliveries for the fiscal year ended June 30, 2022 compared to the fiscal year ended June 30, 2021.</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Connected Fitness Products Gross Margin decreased to (11.3)% from 29.0% for the fiscal year ended June 30, 2022 compared to the fiscal year ended June 30, 2021, primarily driven by increased inventory reserves related to excess inventory we do not expect to sell above cost, higher logistics expenses per delivery, increased port and storage costs, fixed logistics cost deleveraging, the August 2021 Peloton Bike price reduction, and charges associated with the voluntary recall of our Tread+ product.</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Subscription cost of revenue for the fiscal year ended June 30, 2022 increased $119.5 million, or 36.1%, compared to the fiscal year ended June 30, 2021. This increase was primarily driven by an increase of $83.6 million in music royalties and platform streaming costs and an increase of $17.0 million in personnel-related expenses, excluding stock-based compensation expense, due to increased average headcount.</w:t>
      </w:r>
    </w:p>
    <w:p>
      <w:pPr>
        <w:spacing w:after="0" w:line="21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Subscription Gross Margin increased by 563 basis points for the fiscal year ended June 30, 2022 compared to the fiscal year ended June 30, 2021, primarily driven by fixed cost leverage with more Connected Fitness Subscriptions as well as modest efficiencies associated with certain variable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20"/>
                <w:szCs w:val="20"/>
                <w:color w:val="auto"/>
              </w:rPr>
            </w:pPr>
            <w:r>
              <w:rPr>
                <w:rFonts w:ascii="Arial" w:cs="Arial" w:eastAsia="Arial" w:hAnsi="Arial"/>
                <w:sz w:val="13"/>
                <w:szCs w:val="13"/>
                <w:b w:val="1"/>
                <w:bCs w:val="1"/>
                <w:i w:val="1"/>
                <w:iCs w:val="1"/>
                <w:color w:val="auto"/>
              </w:rPr>
              <w:t>Operating Expenses</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3"/>
                <w:szCs w:val="13"/>
                <w:i w:val="1"/>
                <w:iCs w:val="1"/>
                <w:color w:val="auto"/>
              </w:rPr>
              <w:t>Sales and Marketing</w:t>
            </w: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5"/>
        </w:trPr>
        <w:tc>
          <w:tcPr>
            <w:tcW w:w="680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Fiscal Year Ended June 30,</w:t>
            </w:r>
          </w:p>
        </w:tc>
        <w:tc>
          <w:tcPr>
            <w:tcW w:w="56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171"/>
        </w:trPr>
        <w:tc>
          <w:tcPr>
            <w:tcW w:w="68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5"/>
              </w:rPr>
              <w:t>% Change</w:t>
            </w:r>
          </w:p>
        </w:tc>
      </w:tr>
      <w:tr>
        <w:trPr>
          <w:trHeight w:val="171"/>
        </w:trPr>
        <w:tc>
          <w:tcPr>
            <w:tcW w:w="6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rPr>
              <w:t>(dollars in millions)</w:t>
            </w: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92"/>
              </w:rPr>
              <w:t>1,018.9</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728.3</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39.9%</w:t>
            </w:r>
          </w:p>
        </w:tc>
      </w:tr>
      <w:tr>
        <w:trPr>
          <w:trHeight w:val="189"/>
        </w:trPr>
        <w:tc>
          <w:tcPr>
            <w:tcW w:w="680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28.4 %</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18.1 %</w:t>
            </w:r>
          </w:p>
        </w:tc>
        <w:tc>
          <w:tcPr>
            <w:tcW w:w="1400" w:type="dxa"/>
            <w:vAlign w:val="bottom"/>
          </w:tcPr>
          <w:p>
            <w:pPr>
              <w:spacing w:after="0"/>
              <w:rPr>
                <w:sz w:val="16"/>
                <w:szCs w:val="16"/>
                <w:color w:val="auto"/>
              </w:rPr>
            </w:pPr>
          </w:p>
        </w:tc>
      </w:tr>
    </w:tbl>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Sales and marketing expense increased $290.6 million in the fiscal year ended June 30, 2022 compared to the fiscal year ended June 30, 2021. The increase was primarily due to an increase in spending on advertising and marketing programs of $223.9 million and personnel-related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auto"/>
        </w:rPr>
        <w:t>expenses which increased $45.1 million, primarily due to increased average headcount as we expanded our operations rapidly throughout fiscal 2021 during the COVID-19 pandemic.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Pr>
          <w:p>
            <w:pPr>
              <w:spacing w:after="0"/>
              <w:rPr>
                <w:sz w:val="20"/>
                <w:szCs w:val="20"/>
                <w:color w:val="auto"/>
              </w:rPr>
            </w:pPr>
            <w:r>
              <w:rPr>
                <w:rFonts w:ascii="Arial" w:cs="Arial" w:eastAsia="Arial" w:hAnsi="Arial"/>
                <w:sz w:val="13"/>
                <w:szCs w:val="13"/>
                <w:i w:val="1"/>
                <w:iCs w:val="1"/>
                <w:color w:val="auto"/>
              </w:rPr>
              <w:t>General and Administrative</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5"/>
        </w:trPr>
        <w:tc>
          <w:tcPr>
            <w:tcW w:w="680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Fiscal Year Ended June 30,</w:t>
            </w:r>
          </w:p>
        </w:tc>
        <w:tc>
          <w:tcPr>
            <w:tcW w:w="56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171"/>
        </w:trPr>
        <w:tc>
          <w:tcPr>
            <w:tcW w:w="68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5"/>
              </w:rPr>
              <w:t>% Change</w:t>
            </w:r>
          </w:p>
        </w:tc>
      </w:tr>
      <w:tr>
        <w:trPr>
          <w:trHeight w:val="171"/>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rPr>
              <w:t>(dollars in millions)</w:t>
            </w: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963.4</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661.8</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45.6%</w:t>
            </w:r>
          </w:p>
        </w:tc>
      </w:tr>
      <w:tr>
        <w:trPr>
          <w:trHeight w:val="189"/>
        </w:trPr>
        <w:tc>
          <w:tcPr>
            <w:tcW w:w="680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26.9 %</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16.5 %</w:t>
            </w:r>
          </w:p>
        </w:tc>
        <w:tc>
          <w:tcPr>
            <w:tcW w:w="1400" w:type="dxa"/>
            <w:vAlign w:val="bottom"/>
          </w:tcPr>
          <w:p>
            <w:pPr>
              <w:spacing w:after="0"/>
              <w:rPr>
                <w:sz w:val="16"/>
                <w:szCs w:val="16"/>
                <w:color w:val="auto"/>
              </w:rPr>
            </w:pPr>
          </w:p>
        </w:tc>
      </w:tr>
    </w:tbl>
    <w:p>
      <w:pPr>
        <w:spacing w:after="0" w:line="34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General and administrative expense increased $301.6 million when comparing the fiscal year ended June 30, 2022 with the fiscal year ended June 30, 2021. This increase was primarily due to an increase in personnel-related expenses of $128.2 million, including stock-based compensation expense, due to increased average headcount and employee stock grants. This increase was also due to an increase in professional services fees and IT costs associated with ongoing systems implementations of $113.3 million, which related primarily to the upgrading of our back-office systems and infrastructure as well as integration costs related to our acquisitions, and an increase of $32.7 million in depreciation and amortization expense primarily due to our New York City headquarters that was placed in service in fiscal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Pr>
          <w:p>
            <w:pPr>
              <w:spacing w:after="0"/>
              <w:rPr>
                <w:sz w:val="20"/>
                <w:szCs w:val="20"/>
                <w:color w:val="auto"/>
              </w:rPr>
            </w:pPr>
            <w:r>
              <w:rPr>
                <w:rFonts w:ascii="Arial" w:cs="Arial" w:eastAsia="Arial" w:hAnsi="Arial"/>
                <w:sz w:val="13"/>
                <w:szCs w:val="13"/>
                <w:i w:val="1"/>
                <w:iCs w:val="1"/>
                <w:color w:val="auto"/>
              </w:rPr>
              <w:t>Research and Development</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5"/>
        </w:trPr>
        <w:tc>
          <w:tcPr>
            <w:tcW w:w="680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Fiscal Year Ended June 30,</w:t>
            </w:r>
          </w:p>
        </w:tc>
        <w:tc>
          <w:tcPr>
            <w:tcW w:w="56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171"/>
        </w:trPr>
        <w:tc>
          <w:tcPr>
            <w:tcW w:w="68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5"/>
              </w:rPr>
              <w:t>% Change</w:t>
            </w:r>
          </w:p>
        </w:tc>
      </w:tr>
      <w:tr>
        <w:trPr>
          <w:trHeight w:val="171"/>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rPr>
              <w:t>(dollars in millions)</w:t>
            </w: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359.5</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247.6</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45.2%</w:t>
            </w:r>
          </w:p>
        </w:tc>
      </w:tr>
      <w:tr>
        <w:trPr>
          <w:trHeight w:val="189"/>
        </w:trPr>
        <w:tc>
          <w:tcPr>
            <w:tcW w:w="680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10.0 %</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6.2 %</w:t>
            </w:r>
          </w:p>
        </w:tc>
        <w:tc>
          <w:tcPr>
            <w:tcW w:w="1400" w:type="dxa"/>
            <w:vAlign w:val="bottom"/>
          </w:tcPr>
          <w:p>
            <w:pPr>
              <w:spacing w:after="0"/>
              <w:rPr>
                <w:sz w:val="16"/>
                <w:szCs w:val="16"/>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Research and development expense increased $111.8 million, or 45.2% when comparing the fiscal year ended June 30, 2022 with the fiscal year ended June 30, 2021. The increase was primarily due to an increase in personnel-related expenses which, including stock-based compensation expense, increased $79.9 million. This increase was due to increased average headcount and employee stock grants. The increase was also driven by $19.0 million in product development and research costs associated with development of new software features and products.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20"/>
                <w:szCs w:val="20"/>
                <w:color w:val="auto"/>
              </w:rPr>
            </w:pPr>
            <w:r>
              <w:rPr>
                <w:rFonts w:ascii="Arial" w:cs="Arial" w:eastAsia="Arial" w:hAnsi="Arial"/>
                <w:sz w:val="13"/>
                <w:szCs w:val="13"/>
                <w:i w:val="1"/>
                <w:iCs w:val="1"/>
                <w:color w:val="auto"/>
              </w:rPr>
              <w:t>Goodwill impairment</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3"/>
        </w:trPr>
        <w:tc>
          <w:tcPr>
            <w:tcW w:w="696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3"/>
                <w:szCs w:val="13"/>
                <w:b w:val="1"/>
                <w:bCs w:val="1"/>
                <w:color w:val="auto"/>
              </w:rPr>
              <w:t>Fiscal Year Ended June 30,</w:t>
            </w:r>
          </w:p>
        </w:tc>
        <w:tc>
          <w:tcPr>
            <w:tcW w:w="380" w:type="dxa"/>
            <w:vAlign w:val="bottom"/>
            <w:tcBorders>
              <w:bottom w:val="single" w:sz="8" w:color="auto"/>
            </w:tcBorders>
          </w:tcPr>
          <w:p>
            <w:pPr>
              <w:spacing w:after="0"/>
              <w:rPr>
                <w:sz w:val="15"/>
                <w:szCs w:val="15"/>
                <w:color w:val="auto"/>
              </w:rPr>
            </w:pPr>
          </w:p>
        </w:tc>
        <w:tc>
          <w:tcPr>
            <w:tcW w:w="1420" w:type="dxa"/>
            <w:vAlign w:val="bottom"/>
          </w:tcPr>
          <w:p>
            <w:pPr>
              <w:spacing w:after="0"/>
              <w:rPr>
                <w:sz w:val="15"/>
                <w:szCs w:val="15"/>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w w:val="98"/>
              </w:rPr>
              <w:t>(dollars in millions)</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181.9</w:t>
            </w:r>
          </w:p>
        </w:tc>
        <w:tc>
          <w:tcPr>
            <w:tcW w:w="110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8"/>
              </w:rPr>
              <w:t>NM</w:t>
            </w:r>
          </w:p>
        </w:tc>
      </w:tr>
    </w:tbl>
    <w:p>
      <w:pPr>
        <w:spacing w:after="0" w:line="2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fiscal year ended June 30, 2022, we recognized a Goodwill impairment charge of $181.9 million representing the entire amount of goodwill related to the Connected Fitness Products reporting unit in the Connected Fitness Products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20"/>
                <w:szCs w:val="20"/>
                <w:color w:val="auto"/>
              </w:rPr>
            </w:pPr>
            <w:r>
              <w:rPr>
                <w:rFonts w:ascii="Arial" w:cs="Arial" w:eastAsia="Arial" w:hAnsi="Arial"/>
                <w:sz w:val="13"/>
                <w:szCs w:val="13"/>
                <w:i w:val="1"/>
                <w:iCs w:val="1"/>
                <w:color w:val="auto"/>
              </w:rPr>
              <w:t>Impairment expense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5"/>
        </w:trPr>
        <w:tc>
          <w:tcPr>
            <w:tcW w:w="6960" w:type="dxa"/>
            <w:vAlign w:val="bottom"/>
          </w:tcPr>
          <w:p>
            <w:pPr>
              <w:spacing w:after="0"/>
              <w:rPr>
                <w:sz w:val="19"/>
                <w:szCs w:val="19"/>
                <w:color w:val="auto"/>
              </w:rPr>
            </w:pPr>
          </w:p>
        </w:tc>
        <w:tc>
          <w:tcPr>
            <w:tcW w:w="250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3"/>
                <w:szCs w:val="13"/>
                <w:b w:val="1"/>
                <w:bCs w:val="1"/>
                <w:color w:val="auto"/>
              </w:rPr>
              <w:t>Fiscal Year Ended June 30,</w:t>
            </w:r>
          </w:p>
        </w:tc>
        <w:tc>
          <w:tcPr>
            <w:tcW w:w="40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tcPr>
          <w:p>
            <w:pPr>
              <w:jc w:val="right"/>
              <w:ind w:right="356"/>
              <w:spacing w:after="0"/>
              <w:rPr>
                <w:sz w:val="20"/>
                <w:szCs w:val="20"/>
                <w:color w:val="auto"/>
              </w:rPr>
            </w:pPr>
            <w:r>
              <w:rPr>
                <w:rFonts w:ascii="Arial" w:cs="Arial" w:eastAsia="Arial" w:hAnsi="Arial"/>
                <w:sz w:val="13"/>
                <w:szCs w:val="13"/>
                <w:b w:val="1"/>
                <w:bCs w:val="1"/>
                <w:color w:val="auto"/>
                <w:w w:val="98"/>
              </w:rPr>
              <w:t>(dollars in millions)</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expense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390.5</w:t>
            </w:r>
          </w:p>
        </w:tc>
        <w:tc>
          <w:tcPr>
            <w:tcW w:w="108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8"/>
              </w:rPr>
              <w:t>NM</w:t>
            </w:r>
          </w:p>
        </w:tc>
      </w:tr>
    </w:tbl>
    <w:p>
      <w:pPr>
        <w:spacing w:after="0" w:line="25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Impairment expense was comprised primarily of $373.8 million of asset write-downs and write-offs related to our previously announced restructuring initiatives, including $165.6 million in write-offs of certain acquired developed technology, brand, distributor and customer relationships, and assembled workforce, $86.1 million related to Connected Fitness assets, primarily related to manufacturing</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and supply chain assets at several of our to-be-closed locations, $70.0 million related to software under development, and $40.3 million related to Peloton Output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color w:val="auto"/>
        </w:rPr>
        <w:t>Park and related manufacturing assets. Additionally, we recognized impairment expense of $7.7 million driven by the disposal of lease build out costs for the fiscal year ended June 30,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20"/>
                <w:szCs w:val="20"/>
                <w:color w:val="auto"/>
              </w:rPr>
            </w:pPr>
            <w:r>
              <w:rPr>
                <w:rFonts w:ascii="Arial" w:cs="Arial" w:eastAsia="Arial" w:hAnsi="Arial"/>
                <w:sz w:val="13"/>
                <w:szCs w:val="13"/>
                <w:i w:val="1"/>
                <w:iCs w:val="1"/>
                <w:color w:val="auto"/>
              </w:rPr>
              <w:t>Restructuring expense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5"/>
        </w:trPr>
        <w:tc>
          <w:tcPr>
            <w:tcW w:w="696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3"/>
                <w:szCs w:val="13"/>
                <w:b w:val="1"/>
                <w:bCs w:val="1"/>
                <w:color w:val="auto"/>
              </w:rPr>
              <w:t>Fiscal Year Ended June 30,</w:t>
            </w:r>
          </w:p>
        </w:tc>
        <w:tc>
          <w:tcPr>
            <w:tcW w:w="38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w w:val="98"/>
              </w:rPr>
              <w:t>(dollars in millions)</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expense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180.7</w:t>
            </w:r>
          </w:p>
        </w:tc>
        <w:tc>
          <w:tcPr>
            <w:tcW w:w="110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8"/>
              </w:rPr>
              <w:t>NM</w:t>
            </w:r>
          </w:p>
        </w:tc>
      </w:tr>
    </w:tbl>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Restructuring expense was $180.7 million in the fiscal year ended June 30, 2022. The restructuring expenses consisted of $109.1 million of severance and other personnel costs, $56.5 million of stock-based compensation expense driven by the acceleration of certain vesting schedules and incremental stock-based compensation expense pursuant to severance arrangements, and $15.1 million of professional fees and other costs associated with exit and disposal activities. There were no restructuring expenses for the fiscal year ended June 30,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20"/>
                <w:szCs w:val="20"/>
                <w:color w:val="auto"/>
              </w:rPr>
            </w:pPr>
            <w:r>
              <w:rPr>
                <w:rFonts w:ascii="Arial" w:cs="Arial" w:eastAsia="Arial" w:hAnsi="Arial"/>
                <w:sz w:val="13"/>
                <w:szCs w:val="13"/>
                <w:i w:val="1"/>
                <w:iCs w:val="1"/>
                <w:color w:val="auto"/>
              </w:rPr>
              <w:t>Supplier settlements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5"/>
        </w:trPr>
        <w:tc>
          <w:tcPr>
            <w:tcW w:w="696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3"/>
                <w:szCs w:val="13"/>
                <w:b w:val="1"/>
                <w:bCs w:val="1"/>
                <w:color w:val="auto"/>
              </w:rPr>
              <w:t>Fiscal Year Ended June 30,</w:t>
            </w:r>
          </w:p>
        </w:tc>
        <w:tc>
          <w:tcPr>
            <w:tcW w:w="38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w w:val="98"/>
              </w:rPr>
              <w:t>(dollars in millions)</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Supplier settlements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337.6</w:t>
            </w:r>
          </w:p>
        </w:tc>
        <w:tc>
          <w:tcPr>
            <w:tcW w:w="110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8"/>
              </w:rPr>
              <w:t>NM</w:t>
            </w:r>
          </w:p>
        </w:tc>
      </w:tr>
    </w:tbl>
    <w:p>
      <w:pPr>
        <w:spacing w:after="0" w:line="2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Supplier settlements were $337.6 million in the fiscal year ended June 30, 2022, which consist of settlement and related costs paid to third-party suppliers to terminate certain future inventory purchase commitments.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Pr>
          <w:p>
            <w:pPr>
              <w:spacing w:after="0"/>
              <w:rPr>
                <w:sz w:val="20"/>
                <w:szCs w:val="20"/>
                <w:color w:val="auto"/>
              </w:rPr>
            </w:pPr>
            <w:r>
              <w:rPr>
                <w:rFonts w:ascii="Arial" w:cs="Arial" w:eastAsia="Arial" w:hAnsi="Arial"/>
                <w:sz w:val="13"/>
                <w:szCs w:val="13"/>
                <w:b w:val="1"/>
                <w:bCs w:val="1"/>
                <w:i w:val="1"/>
                <w:iCs w:val="1"/>
                <w:color w:val="auto"/>
              </w:rPr>
              <w:t>Other Expense, Net and Income Tax Expense</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9"/>
        </w:trPr>
        <w:tc>
          <w:tcPr>
            <w:tcW w:w="6960" w:type="dxa"/>
            <w:vAlign w:val="bottom"/>
          </w:tcPr>
          <w:p>
            <w:pPr>
              <w:spacing w:after="0"/>
              <w:rPr>
                <w:sz w:val="19"/>
                <w:szCs w:val="19"/>
                <w:color w:val="auto"/>
              </w:rPr>
            </w:pPr>
          </w:p>
        </w:tc>
        <w:tc>
          <w:tcPr>
            <w:tcW w:w="24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Fiscal Year Ended June 30,</w:t>
            </w:r>
          </w:p>
        </w:tc>
        <w:tc>
          <w:tcPr>
            <w:tcW w:w="46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w w:val="98"/>
              </w:rPr>
              <w:t>(dollars in millions)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8"/>
              </w:rPr>
              <w:t>NM</w:t>
            </w:r>
          </w:p>
        </w:tc>
      </w:tr>
      <w:tr>
        <w:trPr>
          <w:trHeight w:val="167"/>
        </w:trPr>
        <w:tc>
          <w:tcPr>
            <w:tcW w:w="696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19.6</w:t>
            </w:r>
          </w:p>
        </w:tc>
        <w:tc>
          <w:tcPr>
            <w:tcW w:w="1000" w:type="dxa"/>
            <w:vAlign w:val="bottom"/>
          </w:tcPr>
          <w:p>
            <w:pPr>
              <w:jc w:val="right"/>
              <w:ind w:right="796"/>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(9.2)</w:t>
            </w:r>
          </w:p>
        </w:tc>
        <w:tc>
          <w:tcPr>
            <w:tcW w:w="1420" w:type="dxa"/>
            <w:vAlign w:val="bottom"/>
          </w:tcPr>
          <w:p>
            <w:pPr>
              <w:jc w:val="center"/>
              <w:ind w:left="36"/>
              <w:spacing w:after="0"/>
              <w:rPr>
                <w:sz w:val="20"/>
                <w:szCs w:val="20"/>
                <w:color w:val="auto"/>
              </w:rPr>
            </w:pPr>
            <w:r>
              <w:rPr>
                <w:rFonts w:ascii="Arial" w:cs="Arial" w:eastAsia="Arial" w:hAnsi="Arial"/>
                <w:sz w:val="13"/>
                <w:szCs w:val="13"/>
                <w:color w:val="auto"/>
                <w:w w:val="98"/>
              </w:rPr>
              <w:t>NM</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*NM - not meaningful</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Other expense, net, was comprised of the following for the fiscal year ended June 30, 2022:</w:t>
      </w:r>
    </w:p>
    <w:p>
      <w:pPr>
        <w:spacing w:after="0" w:line="222"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Interest expense primarily related to the amortization of the convertible notes discount and deferred financing costs of $(43.0) million;</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Interest income from cash, cash equivalents, and short-term investments of $2.3 million;</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Foreign exchange losses of $(31.8) million;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Unrealized losses on short-term investments partially offset by gain on lease termination of $(1.5) million.</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Other expense, net, was comprised of the following for the fiscal year ended June 30, 2021:</w:t>
      </w:r>
    </w:p>
    <w:p>
      <w:pPr>
        <w:spacing w:after="0" w:line="190"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Interest expense primarily related to the amortization of the convertible notes discount and deferred financing costs of $(14.8) million;</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Interest income from cash, cash equivalents, and short-term investments of $7.9 million; and</w:t>
      </w:r>
    </w:p>
    <w:p>
      <w:pPr>
        <w:spacing w:after="0" w:line="2" w:lineRule="exact"/>
        <w:rPr>
          <w:rFonts w:ascii="Arial" w:cs="Arial" w:eastAsia="Arial" w:hAnsi="Arial"/>
          <w:sz w:val="13"/>
          <w:szCs w:val="13"/>
          <w:color w:val="auto"/>
        </w:rPr>
      </w:pPr>
    </w:p>
    <w:p>
      <w:pPr>
        <w:ind w:left="520" w:hanging="260"/>
        <w:spacing w:after="0"/>
        <w:tabs>
          <w:tab w:leader="none" w:pos="520" w:val="left"/>
        </w:tabs>
        <w:numPr>
          <w:ilvl w:val="0"/>
          <w:numId w:val="32"/>
        </w:numPr>
        <w:rPr>
          <w:rFonts w:ascii="Arial" w:cs="Arial" w:eastAsia="Arial" w:hAnsi="Arial"/>
          <w:sz w:val="13"/>
          <w:szCs w:val="13"/>
          <w:i w:val="1"/>
          <w:iCs w:val="1"/>
          <w:color w:val="auto"/>
        </w:rPr>
      </w:pPr>
      <w:r>
        <w:rPr>
          <w:rFonts w:ascii="Arial" w:cs="Arial" w:eastAsia="Arial" w:hAnsi="Arial"/>
          <w:sz w:val="13"/>
          <w:szCs w:val="13"/>
          <w:color w:val="auto"/>
        </w:rPr>
        <w:t>Foreign exchange losses of $(3.5) million.</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for the fiscal year ended June 30, 2022 of $19.6 million was primarily due to state and international taxes.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Non-GAAP Financial Measures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EBITDA and Adjusted EBITDA Margin</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050505"/>
        </w:rPr>
        <w:t>We calculate Adjusted EBITDA as net (loss) income adjusted to exclude: other expense (income), net; income tax expense (benefit); depreciation and amortization expense; stock-based compensation expense; impairment expense; product recall costs; litigation and settlement expenses; transaction and integration costs; reorganization, severance, exit, disposal and other costs associated with restructuring plans; supplier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050505"/>
        </w:rPr>
        <w:t>settlements; and other adjustment items that arise outside the ordinary course of our business. Adjusted EBITDA Margin is calculated by dividing Adjusted EBITDA by total revenue.</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46" w:lineRule="exact"/>
        <w:rPr>
          <w:sz w:val="20"/>
          <w:szCs w:val="20"/>
          <w:color w:val="auto"/>
        </w:rPr>
      </w:pPr>
    </w:p>
    <w:p>
      <w:pPr>
        <w:jc w:val="both"/>
        <w:ind w:left="520" w:hanging="260"/>
        <w:spacing w:after="0" w:line="261"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and Adjusted EBITDA Margin are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10" w:lineRule="exact"/>
        <w:rPr>
          <w:rFonts w:ascii="Arial" w:cs="Arial" w:eastAsia="Arial" w:hAnsi="Arial"/>
          <w:sz w:val="13"/>
          <w:szCs w:val="13"/>
          <w:color w:val="auto"/>
        </w:rPr>
      </w:pPr>
    </w:p>
    <w:p>
      <w:pPr>
        <w:ind w:left="520" w:hanging="260"/>
        <w:spacing w:after="0" w:line="281"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ind w:left="520" w:hanging="260"/>
        <w:spacing w:after="0" w:line="283"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and Adjusted EBITDA Margin provide consistency and comparability with our past financial performance, facilitate period-to-period comparisons of our core operating results, and may also facilitate comparisons with other peer companies, many of which use similar non-GAAP financial measures to supplement their GAAP results.</w:t>
      </w:r>
    </w:p>
    <w:p>
      <w:pPr>
        <w:spacing w:after="0" w:line="14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67" w:lineRule="exact"/>
        <w:rPr>
          <w:sz w:val="20"/>
          <w:szCs w:val="20"/>
          <w:color w:val="auto"/>
        </w:rPr>
      </w:pPr>
    </w:p>
    <w:p>
      <w:pPr>
        <w:ind w:left="520" w:hanging="260"/>
        <w:spacing w:after="0" w:line="266"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8" w:lineRule="exact"/>
        <w:rPr>
          <w:rFonts w:ascii="Arial" w:cs="Arial" w:eastAsia="Arial" w:hAnsi="Arial"/>
          <w:sz w:val="13"/>
          <w:szCs w:val="13"/>
          <w:color w:val="auto"/>
        </w:rPr>
      </w:pPr>
    </w:p>
    <w:p>
      <w:pPr>
        <w:ind w:left="520" w:hanging="260"/>
        <w:spacing w:after="0" w:line="281"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ind w:left="520" w:hanging="260"/>
        <w:spacing w:after="0" w:line="281"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jc w:val="both"/>
        <w:ind w:left="520" w:hanging="260"/>
        <w:spacing w:after="0" w:line="253"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pacing w:after="0" w:line="27"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transaction and integration costs related to acquisitions;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incremental costs associated with the COVID-19 pandemic, which consist of hazard pay for field operations employees;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impairment charges for goodwill and fixed assets, and gains (losses) on disposals for fixed assets;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the impact of purchase accounting adjustments to inventory related to the Precor acquisition;</w:t>
      </w:r>
    </w:p>
    <w:p>
      <w:pPr>
        <w:spacing w:after="0" w:line="41"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w:t>
      </w:r>
    </w:p>
    <w:p>
      <w:pPr>
        <w:spacing w:after="0" w:line="10"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b w:val="1"/>
          <w:bCs w:val="1"/>
          <w:color w:val="auto"/>
        </w:rPr>
      </w:pPr>
      <w:r>
        <w:rPr>
          <w:rFonts w:ascii="Arial" w:cs="Arial" w:eastAsia="Arial" w:hAnsi="Arial"/>
          <w:sz w:val="13"/>
          <w:szCs w:val="13"/>
          <w:color w:val="auto"/>
        </w:rPr>
        <w:t xml:space="preserve">Adjusted EBITDA and Adjusted EBITDA Margin do not reflect </w:t>
      </w:r>
      <w:r>
        <w:rPr>
          <w:rFonts w:ascii="Arial" w:cs="Arial" w:eastAsia="Arial" w:hAnsi="Arial"/>
          <w:sz w:val="13"/>
          <w:szCs w:val="13"/>
          <w:color w:val="050505"/>
        </w:rPr>
        <w:t>reorganization, severance, exit, disposal and other costs associated with restructuring plans;</w:t>
      </w:r>
    </w:p>
    <w:p>
      <w:pPr>
        <w:spacing w:after="0" w:line="52" w:lineRule="exact"/>
        <w:rPr>
          <w:rFonts w:ascii="Arial" w:cs="Arial" w:eastAsia="Arial" w:hAnsi="Arial"/>
          <w:sz w:val="13"/>
          <w:szCs w:val="13"/>
          <w:b w:val="1"/>
          <w:bCs w:val="1"/>
          <w:color w:val="auto"/>
        </w:rPr>
      </w:pPr>
    </w:p>
    <w:p>
      <w:pPr>
        <w:ind w:left="500" w:hanging="240"/>
        <w:spacing w:after="0"/>
        <w:tabs>
          <w:tab w:leader="none" w:pos="500" w:val="left"/>
        </w:tabs>
        <w:numPr>
          <w:ilvl w:val="0"/>
          <w:numId w:val="34"/>
        </w:numPr>
        <w:rPr>
          <w:rFonts w:ascii="Arial" w:cs="Arial" w:eastAsia="Arial" w:hAnsi="Arial"/>
          <w:sz w:val="13"/>
          <w:szCs w:val="13"/>
          <w:color w:val="050505"/>
        </w:rPr>
      </w:pPr>
      <w:r>
        <w:rPr>
          <w:rFonts w:ascii="Arial" w:cs="Arial" w:eastAsia="Arial" w:hAnsi="Arial"/>
          <w:sz w:val="13"/>
          <w:szCs w:val="13"/>
          <w:color w:val="050505"/>
        </w:rPr>
        <w:t>Adjusted EBITDA and Adjusted EBITDA Margin do not reflect non-recurring supplier settlements; and</w:t>
      </w:r>
    </w:p>
    <w:p>
      <w:pPr>
        <w:spacing w:after="0" w:line="41" w:lineRule="exact"/>
        <w:rPr>
          <w:rFonts w:ascii="Arial" w:cs="Arial" w:eastAsia="Arial" w:hAnsi="Arial"/>
          <w:sz w:val="13"/>
          <w:szCs w:val="13"/>
          <w:color w:val="050505"/>
        </w:rPr>
      </w:pPr>
    </w:p>
    <w:p>
      <w:pPr>
        <w:jc w:val="both"/>
        <w:ind w:left="520" w:hanging="260"/>
        <w:spacing w:after="0" w:line="261"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expenses or other items from these financial measures. Because companies in our industry may calculate such measures differently than we do, their usefulness as comparative measures can be limited.</w:t>
      </w:r>
    </w:p>
    <w:p>
      <w:pPr>
        <w:spacing w:after="0" w:line="15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Because of these limitations, Adjusted EBITDA and Adjusted EBITDA Margin should be considered along with other operating and financial performance measures presented in accordance with GAAP.</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57" w:name="page58"/>
    <w:bookmarkEnd w:id="57"/>
    <w:p>
      <w:pPr>
        <w:spacing w:after="0" w:line="266" w:lineRule="auto"/>
        <w:rPr>
          <w:sz w:val="20"/>
          <w:szCs w:val="20"/>
          <w:color w:val="auto"/>
        </w:rPr>
      </w:pPr>
      <w:r>
        <w:rPr>
          <w:rFonts w:ascii="Arial" w:cs="Arial" w:eastAsia="Arial" w:hAnsi="Arial"/>
          <w:sz w:val="13"/>
          <w:szCs w:val="13"/>
          <w:color w:val="auto"/>
        </w:rPr>
        <w:t>The following table presents a reconciliation of Adjusted EBITDA to Net (loss) income, the most directly comparable financial measure prepared in accordance with GAAP, for each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20"/>
                <w:szCs w:val="20"/>
                <w:color w:val="auto"/>
              </w:rPr>
            </w:pPr>
            <w:r>
              <w:rPr>
                <w:rFonts w:ascii="Arial" w:cs="Arial" w:eastAsia="Arial" w:hAnsi="Arial"/>
                <w:sz w:val="13"/>
                <w:szCs w:val="13"/>
                <w:b w:val="1"/>
                <w:bCs w:val="1"/>
                <w:i w:val="1"/>
                <w:iCs w:val="1"/>
                <w:color w:val="auto"/>
              </w:rPr>
              <w:t>Adjusted EBITDA and Adjusted EBITDA Margin</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3"/>
                <w:szCs w:val="13"/>
                <w:b w:val="1"/>
                <w:bCs w:val="1"/>
                <w:color w:val="auto"/>
              </w:rPr>
              <w:t>Fiscal Year Ended June 30,</w:t>
            </w:r>
          </w:p>
        </w:tc>
        <w:tc>
          <w:tcPr>
            <w:tcW w:w="0" w:type="dxa"/>
            <w:vAlign w:val="bottom"/>
          </w:tcPr>
          <w:p>
            <w:pPr>
              <w:spacing w:after="0"/>
              <w:rPr>
                <w:sz w:val="1"/>
                <w:szCs w:val="1"/>
                <w:color w:val="auto"/>
              </w:rPr>
            </w:pPr>
          </w:p>
        </w:tc>
      </w:tr>
      <w:tr>
        <w:trPr>
          <w:trHeight w:val="171"/>
        </w:trPr>
        <w:tc>
          <w:tcPr>
            <w:tcW w:w="8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1"/>
        </w:trPr>
        <w:tc>
          <w:tcPr>
            <w:tcW w:w="8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(2,827.7)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(189.0)</w:t>
            </w:r>
          </w:p>
        </w:tc>
        <w:tc>
          <w:tcPr>
            <w:tcW w:w="0" w:type="dxa"/>
            <w:vAlign w:val="bottom"/>
          </w:tcPr>
          <w:p>
            <w:pPr>
              <w:spacing w:after="0"/>
              <w:rPr>
                <w:sz w:val="1"/>
                <w:szCs w:val="1"/>
                <w:color w:val="auto"/>
              </w:rPr>
            </w:pPr>
          </w:p>
        </w:tc>
      </w:tr>
      <w:tr>
        <w:trPr>
          <w:trHeight w:val="169"/>
        </w:trPr>
        <w:tc>
          <w:tcPr>
            <w:tcW w:w="8180" w:type="dxa"/>
            <w:vAlign w:val="bottom"/>
          </w:tcPr>
          <w:p>
            <w:pPr>
              <w:ind w:left="20"/>
              <w:spacing w:after="0"/>
              <w:rPr>
                <w:sz w:val="20"/>
                <w:szCs w:val="20"/>
                <w:color w:val="auto"/>
              </w:rPr>
            </w:pPr>
            <w:r>
              <w:rPr>
                <w:rFonts w:ascii="Arial" w:cs="Arial" w:eastAsia="Arial" w:hAnsi="Arial"/>
                <w:sz w:val="13"/>
                <w:szCs w:val="13"/>
                <w:color w:val="auto"/>
              </w:rPr>
              <w:t>Adjusted to exclude the following:</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9"/>
        </w:trPr>
        <w:tc>
          <w:tcPr>
            <w:tcW w:w="818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360" w:type="dxa"/>
            <w:vAlign w:val="bottom"/>
          </w:tcPr>
          <w:p>
            <w:pPr>
              <w:spacing w:after="0"/>
              <w:rPr>
                <w:sz w:val="14"/>
                <w:szCs w:val="14"/>
                <w:color w:val="auto"/>
              </w:rPr>
            </w:pP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 expense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142.8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69"/>
        </w:trPr>
        <w:tc>
          <w:tcPr>
            <w:tcW w:w="81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360" w:type="dxa"/>
            <w:vAlign w:val="bottom"/>
          </w:tcPr>
          <w:p>
            <w:pPr>
              <w:spacing w:after="0"/>
              <w:rPr>
                <w:sz w:val="14"/>
                <w:szCs w:val="14"/>
                <w:color w:val="auto"/>
              </w:rPr>
            </w:pP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271.8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194.0</w:t>
            </w: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181.9</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180" w:type="dxa"/>
            <w:vAlign w:val="bottom"/>
          </w:tcPr>
          <w:p>
            <w:pPr>
              <w:ind w:left="20"/>
              <w:spacing w:after="0"/>
              <w:rPr>
                <w:sz w:val="20"/>
                <w:szCs w:val="20"/>
                <w:color w:val="auto"/>
              </w:rPr>
            </w:pPr>
            <w:r>
              <w:rPr>
                <w:rFonts w:ascii="Arial" w:cs="Arial" w:eastAsia="Arial" w:hAnsi="Arial"/>
                <w:sz w:val="13"/>
                <w:szCs w:val="13"/>
                <w:color w:val="auto"/>
              </w:rPr>
              <w:t>Impairment expense</w:t>
            </w:r>
          </w:p>
        </w:tc>
        <w:tc>
          <w:tcPr>
            <w:tcW w:w="360" w:type="dxa"/>
            <w:vAlign w:val="bottom"/>
          </w:tcPr>
          <w:p>
            <w:pPr>
              <w:spacing w:after="0"/>
              <w:rPr>
                <w:sz w:val="14"/>
                <w:szCs w:val="14"/>
                <w:color w:val="auto"/>
              </w:rPr>
            </w:pP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390.5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expense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237.5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180" w:type="dxa"/>
            <w:vAlign w:val="bottom"/>
          </w:tcPr>
          <w:p>
            <w:pPr>
              <w:ind w:left="20"/>
              <w:spacing w:after="0"/>
              <w:rPr>
                <w:sz w:val="20"/>
                <w:szCs w:val="20"/>
                <w:color w:val="auto"/>
              </w:rPr>
            </w:pPr>
            <w:r>
              <w:rPr>
                <w:rFonts w:ascii="Arial" w:cs="Arial" w:eastAsia="Arial" w:hAnsi="Arial"/>
                <w:sz w:val="13"/>
                <w:szCs w:val="13"/>
                <w:color w:val="auto"/>
              </w:rPr>
              <w:t>Supplier settlements</w:t>
            </w:r>
          </w:p>
        </w:tc>
        <w:tc>
          <w:tcPr>
            <w:tcW w:w="360" w:type="dxa"/>
            <w:vAlign w:val="bottom"/>
          </w:tcPr>
          <w:p>
            <w:pPr>
              <w:spacing w:after="0"/>
              <w:rPr>
                <w:sz w:val="14"/>
                <w:szCs w:val="14"/>
                <w:color w:val="auto"/>
              </w:rPr>
            </w:pP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337.6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 recalls(1)</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62.3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9"/>
        </w:trPr>
        <w:tc>
          <w:tcPr>
            <w:tcW w:w="8180" w:type="dxa"/>
            <w:vAlign w:val="bottom"/>
          </w:tcPr>
          <w:p>
            <w:pPr>
              <w:ind w:left="20"/>
              <w:spacing w:after="0"/>
              <w:rPr>
                <w:sz w:val="20"/>
                <w:szCs w:val="20"/>
                <w:color w:val="auto"/>
              </w:rPr>
            </w:pPr>
            <w:r>
              <w:rPr>
                <w:rFonts w:ascii="Arial" w:cs="Arial" w:eastAsia="Arial" w:hAnsi="Arial"/>
                <w:sz w:val="13"/>
                <w:szCs w:val="13"/>
                <w:color w:val="auto"/>
              </w:rPr>
              <w:t>Litigation and settlement expenses(2)</w:t>
            </w:r>
          </w:p>
        </w:tc>
        <w:tc>
          <w:tcPr>
            <w:tcW w:w="360" w:type="dxa"/>
            <w:vAlign w:val="bottom"/>
          </w:tcPr>
          <w:p>
            <w:pPr>
              <w:spacing w:after="0"/>
              <w:rPr>
                <w:sz w:val="14"/>
                <w:szCs w:val="14"/>
                <w:color w:val="auto"/>
              </w:rPr>
            </w:pP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118.6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and integration costs(3)</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adjustment items (4)</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8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(982.7)</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253.7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180" w:type="dxa"/>
            <w:vAlign w:val="bottom"/>
          </w:tcPr>
          <w:p>
            <w:pPr>
              <w:ind w:left="20"/>
              <w:spacing w:after="0" w:line="133" w:lineRule="exact"/>
              <w:rPr>
                <w:sz w:val="20"/>
                <w:szCs w:val="20"/>
                <w:color w:val="auto"/>
              </w:rPr>
            </w:pPr>
            <w:r>
              <w:rPr>
                <w:rFonts w:ascii="Arial" w:cs="Arial" w:eastAsia="Arial" w:hAnsi="Arial"/>
                <w:sz w:val="13"/>
                <w:szCs w:val="13"/>
                <w:color w:val="auto"/>
              </w:rPr>
              <w:t>Adjusted EBITDA margin</w:t>
            </w: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(27.4)%</w:t>
            </w: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6.3 %</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firstLine="5"/>
        <w:spacing w:after="0" w:line="258" w:lineRule="auto"/>
        <w:tabs>
          <w:tab w:leader="none" w:pos="155" w:val="left"/>
        </w:tabs>
        <w:numPr>
          <w:ilvl w:val="0"/>
          <w:numId w:val="35"/>
        </w:numPr>
        <w:rPr>
          <w:rFonts w:ascii="Arial" w:cs="Arial" w:eastAsia="Arial" w:hAnsi="Arial"/>
          <w:sz w:val="10"/>
          <w:szCs w:val="10"/>
          <w:color w:val="auto"/>
        </w:rPr>
      </w:pPr>
      <w:r>
        <w:rPr>
          <w:rFonts w:ascii="Arial" w:cs="Arial" w:eastAsia="Arial" w:hAnsi="Arial"/>
          <w:sz w:val="10"/>
          <w:szCs w:val="10"/>
          <w:color w:val="auto"/>
        </w:rPr>
        <w:t>Represents adjustments and charges associated with the Tread and Tread+ product recall, as well as accrual adjustments. These include a reduction to Connected Fitness Products revenue for actual and estimated future returns of $48.9 million and $81.1 million, recorded costs in Connected Fitness Products cost of revenue associated with inventory write-downs and logistic costs of $8.1 million and $15.7 million, and operating expenses of $5.4 million and $3.2 million associated with recall-related hardware development costs, in each case for the fiscal years ended June 30, 2022 and 2021, respectively.</w:t>
      </w:r>
    </w:p>
    <w:p>
      <w:pPr>
        <w:spacing w:after="0" w:line="21" w:lineRule="exact"/>
        <w:rPr>
          <w:rFonts w:ascii="Arial" w:cs="Arial" w:eastAsia="Arial" w:hAnsi="Arial"/>
          <w:sz w:val="10"/>
          <w:szCs w:val="10"/>
          <w:color w:val="auto"/>
        </w:rPr>
      </w:pPr>
    </w:p>
    <w:p>
      <w:pPr>
        <w:ind w:left="160" w:hanging="155"/>
        <w:spacing w:after="0"/>
        <w:tabs>
          <w:tab w:leader="none" w:pos="1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litigation-related expenses for certain non-recurring patent infringement litigation, consumer arbitration, and product recalls for the fiscal years ended June 30, 2022 and 2021.</w:t>
      </w:r>
    </w:p>
    <w:p>
      <w:pPr>
        <w:spacing w:after="0" w:line="44" w:lineRule="exact"/>
        <w:rPr>
          <w:rFonts w:ascii="Arial" w:cs="Arial" w:eastAsia="Arial" w:hAnsi="Arial"/>
          <w:sz w:val="10"/>
          <w:szCs w:val="10"/>
          <w:color w:val="auto"/>
        </w:rPr>
      </w:pPr>
    </w:p>
    <w:p>
      <w:pPr>
        <w:ind w:left="160" w:hanging="155"/>
        <w:spacing w:after="0"/>
        <w:tabs>
          <w:tab w:leader="none" w:pos="1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transaction and integration costs primarily associated with the acquisition and integration of Precor Fitness for the fiscal years ended June 30, 2022 and 2021.</w:t>
      </w:r>
    </w:p>
    <w:p>
      <w:pPr>
        <w:spacing w:after="0" w:line="54" w:lineRule="exact"/>
        <w:rPr>
          <w:rFonts w:ascii="Arial" w:cs="Arial" w:eastAsia="Arial" w:hAnsi="Arial"/>
          <w:sz w:val="10"/>
          <w:szCs w:val="10"/>
          <w:color w:val="auto"/>
        </w:rPr>
      </w:pPr>
    </w:p>
    <w:p>
      <w:pPr>
        <w:ind w:firstLine="5"/>
        <w:spacing w:after="0" w:line="274" w:lineRule="auto"/>
        <w:tabs>
          <w:tab w:leader="none" w:pos="154"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short-term non-cash purchase accounting adjustment amortization of $1.9 million for the fiscal year ended June 30, 2022. Includes incremental costs associated with the COVID-19 pandemic of $5.9 million and short-term purchase accounting adjustments of $4.6 million for the fiscal year ended June 30, 2021.</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 Contribution and Subscription Contribution Margin</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46" w:lineRule="exact"/>
        <w:rPr>
          <w:sz w:val="20"/>
          <w:szCs w:val="20"/>
          <w:color w:val="auto"/>
        </w:rPr>
      </w:pPr>
    </w:p>
    <w:p>
      <w:pPr>
        <w:ind w:left="520" w:hanging="260"/>
        <w:spacing w:after="0" w:line="266"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18"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Because of these limitations, Subscription Contribution and Subscription Contribution Margin should be considered along with other operating and financial performance measures presented in accordance with GAAP.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58" w:name="page59"/>
    <w:bookmarkEnd w:id="58"/>
    <w:p>
      <w:pPr>
        <w:jc w:val="both"/>
        <w:spacing w:after="0" w:line="266" w:lineRule="auto"/>
        <w:rPr>
          <w:sz w:val="20"/>
          <w:szCs w:val="20"/>
          <w:color w:val="auto"/>
        </w:rPr>
      </w:pPr>
      <w:r>
        <w:rPr>
          <w:rFonts w:ascii="Arial" w:cs="Arial" w:eastAsia="Arial" w:hAnsi="Arial"/>
          <w:sz w:val="13"/>
          <w:szCs w:val="13"/>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rPr>
              <w:t>Fiscal Year Ended June 30,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67"/>
        </w:trPr>
        <w:tc>
          <w:tcPr>
            <w:tcW w:w="8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75"/>
        </w:trPr>
        <w:tc>
          <w:tcPr>
            <w:tcW w:w="8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gridSpan w:val="3"/>
          </w:tcPr>
          <w:p>
            <w:pPr>
              <w:jc w:val="right"/>
              <w:ind w:right="296"/>
              <w:spacing w:after="0"/>
              <w:rPr>
                <w:sz w:val="20"/>
                <w:szCs w:val="20"/>
                <w:color w:val="auto"/>
              </w:rPr>
            </w:pPr>
            <w:r>
              <w:rPr>
                <w:rFonts w:ascii="Arial" w:cs="Arial" w:eastAsia="Arial" w:hAnsi="Arial"/>
                <w:sz w:val="13"/>
                <w:szCs w:val="13"/>
                <w:b w:val="1"/>
                <w:bCs w:val="1"/>
                <w:color w:val="auto"/>
              </w:rPr>
              <w:t>(dollars in millions)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Revenue</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2"/>
              </w:rPr>
              <w:t>1,394.7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872.2</w:t>
            </w:r>
          </w:p>
        </w:tc>
        <w:tc>
          <w:tcPr>
            <w:tcW w:w="80" w:type="dxa"/>
            <w:vAlign w:val="bottom"/>
            <w:shd w:val="clear" w:color="auto" w:fill="CCEEFF"/>
          </w:tcPr>
          <w:p>
            <w:pPr>
              <w:spacing w:after="0"/>
              <w:rPr>
                <w:sz w:val="14"/>
                <w:szCs w:val="14"/>
                <w:color w:val="auto"/>
              </w:rPr>
            </w:pPr>
          </w:p>
        </w:tc>
      </w:tr>
      <w:tr>
        <w:trPr>
          <w:trHeight w:val="16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Cost of Subscription</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450.0</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330.5</w:t>
            </w:r>
          </w:p>
        </w:tc>
        <w:tc>
          <w:tcPr>
            <w:tcW w:w="80" w:type="dxa"/>
            <w:vAlign w:val="bottom"/>
            <w:tcBorders>
              <w:bottom w:val="single" w:sz="8" w:color="CCEEFF"/>
            </w:tcBorders>
          </w:tcPr>
          <w:p>
            <w:pPr>
              <w:spacing w:after="0"/>
              <w:rPr>
                <w:sz w:val="14"/>
                <w:szCs w:val="14"/>
                <w:color w:val="auto"/>
              </w:rPr>
            </w:pPr>
          </w:p>
        </w:tc>
      </w:tr>
      <w:tr>
        <w:trPr>
          <w:trHeight w:val="18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Gross Profit</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944.7</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541.7</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32"/>
        </w:trPr>
        <w:tc>
          <w:tcPr>
            <w:tcW w:w="8140" w:type="dxa"/>
            <w:vAlign w:val="bottom"/>
          </w:tcPr>
          <w:p>
            <w:pPr>
              <w:ind w:left="20"/>
              <w:spacing w:after="0" w:line="133" w:lineRule="exact"/>
              <w:rPr>
                <w:sz w:val="20"/>
                <w:szCs w:val="20"/>
                <w:color w:val="auto"/>
              </w:rPr>
            </w:pPr>
            <w:r>
              <w:rPr>
                <w:rFonts w:ascii="Arial" w:cs="Arial" w:eastAsia="Arial" w:hAnsi="Arial"/>
                <w:sz w:val="13"/>
                <w:szCs w:val="13"/>
                <w:color w:val="auto"/>
              </w:rPr>
              <w:t>Subscription Gross Margin</w:t>
            </w:r>
          </w:p>
        </w:tc>
        <w:tc>
          <w:tcPr>
            <w:tcW w:w="9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67.7 %</w:t>
            </w: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62.1 %</w:t>
            </w:r>
          </w:p>
        </w:tc>
        <w:tc>
          <w:tcPr>
            <w:tcW w:w="80" w:type="dxa"/>
            <w:vAlign w:val="bottom"/>
          </w:tcPr>
          <w:p>
            <w:pPr>
              <w:spacing w:after="0"/>
              <w:rPr>
                <w:sz w:val="11"/>
                <w:szCs w:val="1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31"/>
        </w:trPr>
        <w:tc>
          <w:tcPr>
            <w:tcW w:w="81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Add back:</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9"/>
        </w:trPr>
        <w:tc>
          <w:tcPr>
            <w:tcW w:w="8140" w:type="dxa"/>
            <w:vAlign w:val="bottom"/>
          </w:tcPr>
          <w:p>
            <w:pPr>
              <w:ind w:left="100"/>
              <w:spacing w:after="0"/>
              <w:rPr>
                <w:sz w:val="20"/>
                <w:szCs w:val="20"/>
                <w:color w:val="auto"/>
              </w:rPr>
            </w:pPr>
            <w:r>
              <w:rPr>
                <w:rFonts w:ascii="Arial" w:cs="Arial" w:eastAsia="Arial" w:hAnsi="Arial"/>
                <w:sz w:val="13"/>
                <w:szCs w:val="13"/>
                <w:color w:val="auto"/>
              </w:rPr>
              <w:t>Depreciation and amortization expense</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26.8</w:t>
            </w:r>
          </w:p>
        </w:tc>
        <w:tc>
          <w:tcPr>
            <w:tcW w:w="8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4"/>
                <w:szCs w:val="14"/>
                <w:color w:val="auto"/>
              </w:rPr>
            </w:pPr>
          </w:p>
        </w:tc>
      </w:tr>
      <w:tr>
        <w:trPr>
          <w:trHeight w:val="170"/>
        </w:trPr>
        <w:tc>
          <w:tcPr>
            <w:tcW w:w="8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compensation expense</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22.7</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25.9</w:t>
            </w:r>
          </w:p>
        </w:tc>
        <w:tc>
          <w:tcPr>
            <w:tcW w:w="80" w:type="dxa"/>
            <w:vAlign w:val="bottom"/>
            <w:shd w:val="clear" w:color="auto" w:fill="CCEEFF"/>
          </w:tcPr>
          <w:p>
            <w:pPr>
              <w:spacing w:after="0"/>
              <w:rPr>
                <w:sz w:val="14"/>
                <w:szCs w:val="14"/>
                <w:color w:val="auto"/>
              </w:rPr>
            </w:pPr>
          </w:p>
        </w:tc>
      </w:tr>
      <w:tr>
        <w:trPr>
          <w:trHeight w:val="162"/>
        </w:trPr>
        <w:tc>
          <w:tcPr>
            <w:tcW w:w="8140" w:type="dxa"/>
            <w:vAlign w:val="bottom"/>
          </w:tcPr>
          <w:p>
            <w:pPr>
              <w:ind w:left="20"/>
              <w:spacing w:after="0"/>
              <w:rPr>
                <w:sz w:val="20"/>
                <w:szCs w:val="20"/>
                <w:color w:val="auto"/>
              </w:rPr>
            </w:pPr>
            <w:r>
              <w:rPr>
                <w:rFonts w:ascii="Arial" w:cs="Arial" w:eastAsia="Arial" w:hAnsi="Arial"/>
                <w:sz w:val="13"/>
                <w:szCs w:val="13"/>
                <w:color w:val="auto"/>
              </w:rPr>
              <w:t>Subscription Contribution</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994.2</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586.5</w:t>
            </w:r>
          </w:p>
        </w:tc>
        <w:tc>
          <w:tcPr>
            <w:tcW w:w="80" w:type="dxa"/>
            <w:vAlign w:val="bottom"/>
          </w:tcPr>
          <w:p>
            <w:pPr>
              <w:spacing w:after="0"/>
              <w:rPr>
                <w:sz w:val="14"/>
                <w:szCs w:val="14"/>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Contribution Margin</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71.3 %</w:t>
            </w:r>
          </w:p>
        </w:tc>
        <w:tc>
          <w:tcPr>
            <w:tcW w:w="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67.2 %</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Free Cash Flow</w:t>
      </w:r>
    </w:p>
    <w:p>
      <w:pPr>
        <w:spacing w:after="0" w:line="190"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We define Free Cash Flow as Net cash provided by (used in)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reconciliation of Free Cash Flow to Net cash provided by (used in) operating activities, the most directly comparable financial measure prepared in accordance with</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GAAP, for each of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15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14"/>
                <w:szCs w:val="14"/>
                <w:color w:val="auto"/>
              </w:rPr>
            </w:pPr>
          </w:p>
        </w:tc>
      </w:tr>
      <w:tr>
        <w:trPr>
          <w:trHeight w:val="160"/>
        </w:trPr>
        <w:tc>
          <w:tcPr>
            <w:tcW w:w="68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6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9"/>
        </w:trPr>
        <w:tc>
          <w:tcPr>
            <w:tcW w:w="6880" w:type="dxa"/>
            <w:vAlign w:val="bottom"/>
          </w:tcPr>
          <w:p>
            <w:pPr>
              <w:ind w:left="180"/>
              <w:spacing w:after="0"/>
              <w:rPr>
                <w:sz w:val="20"/>
                <w:szCs w:val="20"/>
                <w:color w:val="auto"/>
              </w:rPr>
            </w:pPr>
            <w:r>
              <w:rPr>
                <w:rFonts w:ascii="Arial" w:cs="Arial" w:eastAsia="Arial" w:hAnsi="Arial"/>
                <w:sz w:val="13"/>
                <w:szCs w:val="13"/>
                <w:color w:val="auto"/>
              </w:rPr>
              <w:t>Net cash (used in) provided by operating activities</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(2,020.0)</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(239.7)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center"/>
              <w:ind w:left="576"/>
              <w:spacing w:after="0"/>
              <w:rPr>
                <w:sz w:val="20"/>
                <w:szCs w:val="20"/>
                <w:color w:val="auto"/>
              </w:rPr>
            </w:pPr>
            <w:r>
              <w:rPr>
                <w:rFonts w:ascii="Arial" w:cs="Arial" w:eastAsia="Arial" w:hAnsi="Arial"/>
                <w:sz w:val="13"/>
                <w:szCs w:val="13"/>
                <w:color w:val="auto"/>
                <w:w w:val="98"/>
              </w:rPr>
              <w:t>376.4</w:t>
            </w:r>
          </w:p>
        </w:tc>
      </w:tr>
      <w:tr>
        <w:trPr>
          <w:trHeight w:val="170"/>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 expenditures, including software</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3"/>
                <w:szCs w:val="13"/>
                <w:color w:val="auto"/>
                <w:w w:val="97"/>
              </w:rPr>
              <w:t>(156.4)</w:t>
            </w:r>
          </w:p>
        </w:tc>
      </w:tr>
      <w:tr>
        <w:trPr>
          <w:trHeight w:val="162"/>
        </w:trPr>
        <w:tc>
          <w:tcPr>
            <w:tcW w:w="6880" w:type="dxa"/>
            <w:vAlign w:val="bottom"/>
          </w:tcPr>
          <w:p>
            <w:pPr>
              <w:ind w:left="20"/>
              <w:spacing w:after="0"/>
              <w:rPr>
                <w:sz w:val="20"/>
                <w:szCs w:val="20"/>
                <w:color w:val="auto"/>
              </w:rPr>
            </w:pPr>
            <w:r>
              <w:rPr>
                <w:rFonts w:ascii="Arial" w:cs="Arial" w:eastAsia="Arial" w:hAnsi="Arial"/>
                <w:sz w:val="13"/>
                <w:szCs w:val="13"/>
                <w:color w:val="auto"/>
              </w:rPr>
              <w:t>Free Cash Flow</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(2,357.4)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center"/>
              <w:ind w:left="576"/>
              <w:spacing w:after="0"/>
              <w:rPr>
                <w:sz w:val="20"/>
                <w:szCs w:val="20"/>
                <w:color w:val="auto"/>
              </w:rPr>
            </w:pPr>
            <w:r>
              <w:rPr>
                <w:rFonts w:ascii="Arial" w:cs="Arial" w:eastAsia="Arial" w:hAnsi="Arial"/>
                <w:sz w:val="13"/>
                <w:szCs w:val="13"/>
                <w:color w:val="auto"/>
                <w:w w:val="98"/>
              </w:rPr>
              <w:t>220.0</w:t>
            </w: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Liquidity and Capital Resources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operations have been funded primarily through net proceeds from the sales of our equity and convertible debt securities, and term loan, as well as cash flows from operating activities. As of June 30, 2022, we had Cash and cash equivalents of approximately $1,253.9 million.</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anticipate approximately $90 million to $100 million of capital expenditures over the next 12 months, which includes amounts related to capitalized labor, investments in content and our studios, product development, systems implementation, and the impact of expenditures before any proceeds from the expected eventual sale of Peloton Output Park.</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believe our existing cash and cash equivalent balances and cash flow from operations will be sufficient to meet our working capital and capital expenditure needs for at least the next 12 months.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3"/>
          <w:szCs w:val="13"/>
          <w:color w:val="auto"/>
        </w:rPr>
        <w:t>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Restructuring Plan</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February 2022, we announced and began implementing a restructuring plan to realign our operational focus to support our multi-year growth, scale the business, and improve costs (the “Restructuring Plan”). The Restructuring Plan includes: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Total charges related to the Restructuring Plan were $611.3 million for fiscal year ended June 30, 2022 consisting of cash charges of $124.5 million for severance and other personnel costs and $15.4 million for professional fees and other related charges, and non-cash charges of $373.8 million related to non-inventory asset write-downs and write-offs, $56.5 million for stock-based compensation expense and $56.4 million for inventory markdowns.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above charges, we incurred approximately $86.6 million for capital expenditures related to Peloton Output Park since project inception.</w:t>
      </w:r>
    </w:p>
    <w:p>
      <w:pPr>
        <w:spacing w:after="0" w:line="190" w:lineRule="exact"/>
        <w:rPr>
          <w:sz w:val="20"/>
          <w:szCs w:val="20"/>
          <w:color w:val="auto"/>
        </w:rPr>
      </w:pPr>
    </w:p>
    <w:p>
      <w:pPr>
        <w:jc w:val="both"/>
        <w:ind w:right="260"/>
        <w:spacing w:after="0" w:line="250" w:lineRule="auto"/>
        <w:rPr>
          <w:sz w:val="20"/>
          <w:szCs w:val="20"/>
          <w:color w:val="auto"/>
        </w:rPr>
      </w:pPr>
      <w:r>
        <w:rPr>
          <w:rFonts w:ascii="Arial" w:cs="Arial" w:eastAsia="Arial" w:hAnsi="Arial"/>
          <w:sz w:val="13"/>
          <w:szCs w:val="13"/>
          <w:color w:val="auto"/>
        </w:rPr>
        <w:t>On July 12, 2022 we announced we are exiting all owned-manufacturing operations and our expansion of our current relationship with Taiwanese manufacturer Rexon Industrial Corp. Additionally, on August 12, 2022 we announced the decision to perform the following additional restructuring activities: (i) eliminate our North American Field Ops warehouses, including the significant reduction of our delivery workforce teams; (ii) eliminate a significant number of roles on the North America Member Support team and exit our real-estate footprints in our Plano and Tempe locations; and (iii) reduce our North America retail showroom presence. In connection with the Restructuring Plan, we estimate that we will incur additional cash charges of approximately $95.0 million primarily composed of severance and other exit costs in fiscal year 2023 and beyond. Additionally, we expect to recognize approximately $75.0 million of asset impairment charges in fiscal year 2023 in connection with the Restructuring Plan.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We may not be able to realize the cost savings and benefits initially anticipated as a result of the Restructuring Plan, and the costs may be greater than expected. See </w:t>
      </w:r>
      <w:r>
        <w:rPr>
          <w:rFonts w:ascii="Arial" w:cs="Arial" w:eastAsia="Arial" w:hAnsi="Arial"/>
          <w:sz w:val="12"/>
          <w:szCs w:val="12"/>
          <w:i w:val="1"/>
          <w:iCs w:val="1"/>
          <w:color w:val="auto"/>
        </w:rPr>
        <w:t>“Risk Factors—Risks Related to</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3"/>
          <w:szCs w:val="13"/>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Notes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Capped Call Transactions</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Class A Common Stock Offering</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November 16, 2021, we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par value $0.000025 per share, which includes 3,260,869 shares of Class A common stock issued and sold pursuant to the exercise in full by the underwriters of their option to purchase additional shares of Class A common stock pursuant to the Underwriting Agreement. We sold the Shares to the underwriters at the public offering price of $46.00 per share less underwriting discounts</w:t>
      </w:r>
      <w:r>
        <w:rPr>
          <w:rFonts w:ascii="Arial" w:cs="Arial" w:eastAsia="Arial" w:hAnsi="Arial"/>
          <w:sz w:val="13"/>
          <w:szCs w:val="13"/>
          <w:b w:val="1"/>
          <w:bCs w:val="1"/>
          <w:color w:val="auto"/>
        </w:rPr>
        <w:t>.</w:t>
      </w:r>
      <w:r>
        <w:rPr>
          <w:rFonts w:ascii="Arial" w:cs="Arial" w:eastAsia="Arial" w:hAnsi="Arial"/>
          <w:sz w:val="13"/>
          <w:szCs w:val="13"/>
          <w:color w:val="auto"/>
        </w:rPr>
        <w:t xml:space="preserve"> The net proceeds from the Offering were approximately $1.2 billion, after deducting the underwriters’ discounts and commissions and our offering expenses.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i w:val="1"/>
          <w:iCs w:val="1"/>
          <w:color w:val="auto"/>
        </w:rPr>
        <w:t>Second Amended and Restated Credit Agreement</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2019, the Company entered into an amended and restated revolving credit agreement (as amended, modified or supplemented prior to entrance into the Second Amended and Restated Credit Agreement (as defined below), the “Amended and Restated Credit Agreement”). The Amended and Restated Credit Agreement provided for a $500.0 million secured revolving credit facility, including up to the lesser of $250.0 million and the aggregate unused amount of the facility for the issuance of letters of credit.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Amended and Restated Credit Agreement also permitted the incurrence of indebtedness to permit the Capped Call Transactions and issuance of the Notes.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On May 25, 2022, the Company entered into an Amendment and Restatement Agreement to which the Second Amended and Restated Credit Agreement is attached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Second Amended and Restated Credit Agreement provides for a $750.0 million term loan facility (the “Term Loan”), which will be due and payable on May 25, 2027 or, if greater than $200.0 million of our 0% convertible senior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Second Amended and Restated Credit Agreement also provides for a $500.0 million revolving credit facility (the “Revolving Facility”), $35.0 million of which will mature on June 20, 2024 (the “Non-Consenting Commitments”), with the rest ($465.0 million) maturing on December 10, 2026 (the “Consenting Commitments”) or if the Springing Maturity Condition is met and the Term Loan is outstanding on such date, the Springing Maturity Date. The key terms of the Revolving Facility remain substantially unchanged from those set forth in the Amended and Restated Credit Agreement, including requiring compliance with a total level of liquidity of not less than $250.0 million and maintaining a minimum total four-quarter revenue level of $3.0 billion (which are replaced with a covenant to maintain a minimum debt to adjusted EBITDA ratio upon our meeting a specified adjusted EBITDA threshold).</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Each such margin will increase one time by 0.50% per annum if the Company chooses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June 30, 2022, we were in compliance with the covenants under the Second Amended and Restated Credit Agreement. As of June 30, 2022, we had drawn the full amount of the Term Loan and we had not drawn on the Revolving Facility, and we therefore had $750.0 million total outstanding borrowings under the Second Amended and Restated Credit Agreement. As of June 30, 2022, we had outstanding letters of credit totaling $77.6 million, of which $69.9 million was secured against the Revolver.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20"/>
                <w:szCs w:val="20"/>
                <w:color w:val="auto"/>
              </w:rPr>
            </w:pPr>
            <w:r>
              <w:rPr>
                <w:rFonts w:ascii="Arial" w:cs="Arial" w:eastAsia="Arial" w:hAnsi="Arial"/>
                <w:sz w:val="13"/>
                <w:szCs w:val="13"/>
                <w:b w:val="1"/>
                <w:bCs w:val="1"/>
                <w:i w:val="1"/>
                <w:iCs w:val="1"/>
                <w:color w:val="auto"/>
              </w:rPr>
              <w:t>Cash Flows</w:t>
            </w: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9"/>
        </w:trPr>
        <w:tc>
          <w:tcPr>
            <w:tcW w:w="58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Fiscal Year Ended June 30,</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71"/>
        </w:trPr>
        <w:tc>
          <w:tcPr>
            <w:tcW w:w="5820" w:type="dxa"/>
            <w:vAlign w:val="bottom"/>
          </w:tcPr>
          <w:p>
            <w:pPr>
              <w:spacing w:after="0"/>
              <w:rPr>
                <w:sz w:val="14"/>
                <w:szCs w:val="14"/>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6"/>
              <w:spacing w:after="0"/>
              <w:rPr>
                <w:sz w:val="20"/>
                <w:szCs w:val="20"/>
                <w:color w:val="auto"/>
              </w:rPr>
            </w:pPr>
            <w:r>
              <w:rPr>
                <w:rFonts w:ascii="Arial" w:cs="Arial" w:eastAsia="Arial" w:hAnsi="Arial"/>
                <w:sz w:val="13"/>
                <w:szCs w:val="13"/>
                <w:b w:val="1"/>
                <w:bCs w:val="1"/>
                <w:color w:val="auto"/>
                <w:w w:val="96"/>
              </w:rPr>
              <w:t>2021</w:t>
            </w:r>
          </w:p>
        </w:tc>
        <w:tc>
          <w:tcPr>
            <w:tcW w:w="4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r>
      <w:tr>
        <w:trPr>
          <w:trHeight w:val="171"/>
        </w:trPr>
        <w:tc>
          <w:tcPr>
            <w:tcW w:w="5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center"/>
              <w:ind w:right="276"/>
              <w:spacing w:after="0"/>
              <w:rPr>
                <w:sz w:val="20"/>
                <w:szCs w:val="20"/>
                <w:color w:val="auto"/>
              </w:rPr>
            </w:pPr>
            <w:r>
              <w:rPr>
                <w:rFonts w:ascii="Arial" w:cs="Arial" w:eastAsia="Arial" w:hAnsi="Arial"/>
                <w:sz w:val="13"/>
                <w:szCs w:val="13"/>
                <w:b w:val="1"/>
                <w:bCs w:val="1"/>
                <w:color w:val="auto"/>
                <w:w w:val="98"/>
              </w:rPr>
              <w:t>(in millions)</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provided by operating activities</w:t>
            </w:r>
          </w:p>
        </w:tc>
        <w:tc>
          <w:tcPr>
            <w:tcW w:w="114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(2,020.0)</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center"/>
              <w:ind w:left="916"/>
              <w:spacing w:after="0"/>
              <w:rPr>
                <w:sz w:val="20"/>
                <w:szCs w:val="20"/>
                <w:color w:val="auto"/>
              </w:rPr>
            </w:pPr>
            <w:r>
              <w:rPr>
                <w:rFonts w:ascii="Arial" w:cs="Arial" w:eastAsia="Arial" w:hAnsi="Arial"/>
                <w:sz w:val="13"/>
                <w:szCs w:val="13"/>
                <w:color w:val="auto"/>
                <w:w w:val="97"/>
              </w:rPr>
              <w:t>(239.7)</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376.4</w:t>
            </w:r>
          </w:p>
        </w:tc>
      </w:tr>
      <w:tr>
        <w:trPr>
          <w:trHeight w:val="169"/>
        </w:trPr>
        <w:tc>
          <w:tcPr>
            <w:tcW w:w="582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14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153.3</w:t>
            </w:r>
          </w:p>
        </w:tc>
        <w:tc>
          <w:tcPr>
            <w:tcW w:w="360" w:type="dxa"/>
            <w:vAlign w:val="bottom"/>
          </w:tcPr>
          <w:p>
            <w:pPr>
              <w:spacing w:after="0"/>
              <w:rPr>
                <w:sz w:val="14"/>
                <w:szCs w:val="14"/>
                <w:color w:val="auto"/>
              </w:rPr>
            </w:pPr>
          </w:p>
        </w:tc>
        <w:tc>
          <w:tcPr>
            <w:tcW w:w="1500" w:type="dxa"/>
            <w:vAlign w:val="bottom"/>
          </w:tcPr>
          <w:p>
            <w:pPr>
              <w:jc w:val="center"/>
              <w:ind w:left="916"/>
              <w:spacing w:after="0"/>
              <w:rPr>
                <w:sz w:val="20"/>
                <w:szCs w:val="20"/>
                <w:color w:val="auto"/>
              </w:rPr>
            </w:pPr>
            <w:r>
              <w:rPr>
                <w:rFonts w:ascii="Arial" w:cs="Arial" w:eastAsia="Arial" w:hAnsi="Arial"/>
                <w:sz w:val="13"/>
                <w:szCs w:val="13"/>
                <w:color w:val="auto"/>
                <w:w w:val="97"/>
              </w:rPr>
              <w:t>(585.1)</w:t>
            </w:r>
          </w:p>
        </w:tc>
        <w:tc>
          <w:tcPr>
            <w:tcW w:w="4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(741.3)</w:t>
            </w:r>
          </w:p>
        </w:tc>
      </w:tr>
      <w:tr>
        <w:trPr>
          <w:trHeight w:val="171"/>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2,015.1</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916"/>
              <w:spacing w:after="0"/>
              <w:rPr>
                <w:sz w:val="20"/>
                <w:szCs w:val="20"/>
                <w:color w:val="auto"/>
              </w:rPr>
            </w:pPr>
            <w:r>
              <w:rPr>
                <w:rFonts w:ascii="Arial" w:cs="Arial" w:eastAsia="Arial" w:hAnsi="Arial"/>
                <w:sz w:val="13"/>
                <w:szCs w:val="13"/>
                <w:color w:val="auto"/>
                <w:w w:val="98"/>
              </w:rPr>
              <w:t>916.8</w:t>
            </w: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1,240.2</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2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Net cash used in operating activities of $2,020.0 million for the fiscal year ended June 30, 2022 was primarily due to a net loss of $2,827.7 million and a net increase in operating assets and liabilities of $623.6 million, partially offset by an increase in non-cash adjustments of $1,431.2 million. The increase in cash used in operating activities was primarily due to a $398.6 million increase in inventory levels as we ramped up supply to support anticipated demand ahead of the 2021 holiday season that did not materialize and prepared for the relaunch of Tread in the United States, Canada, U.K. and Germany, a $168.6 million decrease in accounts payable and accrued expenses as a result of a decrease in payables due to decreased inventory spending in the latter half of fiscal 2022, as well as increased efficiency in our accounts payable process, and $36.8 million increase in customer deposits and deferred revenue driven by timing of sales and deliveries in the period. Non-cash adjustments primarily consisted of goodwill and long lived asset impairment expense, stock-based compensation expense, excess and obsolete inventory reserves, depreciation and amortization, and non-cash operating lease expense.</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Net cash provided by investing activities for the fiscal year ended June 30, 2022 of $153.3 million was primarily related to sales and maturities of marketable securities of $517.7 million, partially offset by $337.3 million used for capital expenditures primarily related to construction of Peloton Output Park in Troy Township, Ohio, the continued build out of our showrooms and offices, and software placed into service throughout the year.</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Net cash provided by financing activities of $2,015.1 million for the fiscal year ended June 30, 2022 was primarily related to proceeds of $1,218.8 million from the Offering, proceeds from issuance of the Term Loan of $696.4 million, exercises of stock options of $84.3 million, and $17.3 million in net proceeds from withholdings under the 2019 Employee Stock Purchase Plan.</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Commitments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2022, our contractual obligations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Payments due by period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Less than</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1-3 years</w:t>
            </w:r>
          </w:p>
        </w:tc>
        <w:tc>
          <w:tcPr>
            <w:tcW w:w="240" w:type="dxa"/>
            <w:vAlign w:val="bottom"/>
          </w:tcPr>
          <w:p>
            <w:pPr>
              <w:spacing w:after="0"/>
              <w:rPr>
                <w:sz w:val="17"/>
                <w:szCs w:val="1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3-5 years</w:t>
            </w:r>
          </w:p>
        </w:tc>
        <w:tc>
          <w:tcPr>
            <w:tcW w:w="220" w:type="dxa"/>
            <w:vAlign w:val="bottom"/>
          </w:tcPr>
          <w:p>
            <w:pPr>
              <w:spacing w:after="0"/>
              <w:rPr>
                <w:sz w:val="17"/>
                <w:szCs w:val="17"/>
                <w:color w:val="auto"/>
              </w:rPr>
            </w:pPr>
          </w:p>
        </w:tc>
        <w:tc>
          <w:tcPr>
            <w:tcW w:w="1140" w:type="dxa"/>
            <w:vAlign w:val="bottom"/>
          </w:tcPr>
          <w:p>
            <w:pPr>
              <w:jc w:val="right"/>
              <w:ind w:right="316"/>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85"/>
        </w:trPr>
        <w:tc>
          <w:tcPr>
            <w:tcW w:w="4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Contractual obligations:</w:t>
            </w:r>
          </w:p>
        </w:tc>
        <w:tc>
          <w:tcPr>
            <w:tcW w:w="3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1 year</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24"/>
        </w:trPr>
        <w:tc>
          <w:tcPr>
            <w:tcW w:w="4120" w:type="dxa"/>
            <w:vAlign w:val="bottom"/>
            <w:tcBorders>
              <w:bottom w:val="single" w:sz="8" w:color="CCEEFF"/>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8"/>
              </w:rPr>
              <w:t>(in millions)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Lease obligations </w:t>
            </w:r>
            <w:r>
              <w:rPr>
                <w:rFonts w:ascii="Arial" w:cs="Arial" w:eastAsia="Arial" w:hAnsi="Arial"/>
                <w:sz w:val="16"/>
                <w:szCs w:val="16"/>
                <w:color w:val="auto"/>
                <w:vertAlign w:val="superscript"/>
              </w:rPr>
              <w:t>(1)</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1,091.1</w:t>
            </w:r>
          </w:p>
        </w:tc>
        <w:tc>
          <w:tcPr>
            <w:tcW w:w="100" w:type="dxa"/>
            <w:vAlign w:val="bottom"/>
          </w:tcPr>
          <w:p>
            <w:pPr>
              <w:spacing w:after="0"/>
              <w:rPr>
                <w:sz w:val="14"/>
                <w:szCs w:val="14"/>
                <w:color w:val="auto"/>
              </w:rPr>
            </w:pP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138.4</w:t>
            </w:r>
          </w:p>
        </w:tc>
        <w:tc>
          <w:tcPr>
            <w:tcW w:w="30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246.9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208.3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497.5</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Minimum guarantees </w:t>
            </w:r>
            <w:r>
              <w:rPr>
                <w:rFonts w:ascii="Arial" w:cs="Arial" w:eastAsia="Arial" w:hAnsi="Arial"/>
                <w:sz w:val="16"/>
                <w:szCs w:val="16"/>
                <w:color w:val="auto"/>
                <w:vertAlign w:val="superscript"/>
              </w:rPr>
              <w:t>(2)</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129.8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Unused credit facility fee payments </w:t>
            </w:r>
            <w:r>
              <w:rPr>
                <w:rFonts w:ascii="Arial" w:cs="Arial" w:eastAsia="Arial" w:hAnsi="Arial"/>
                <w:sz w:val="16"/>
                <w:szCs w:val="16"/>
                <w:color w:val="auto"/>
                <w:vertAlign w:val="superscript"/>
              </w:rPr>
              <w:t>(3)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purchase obligations </w:t>
            </w:r>
            <w:r>
              <w:rPr>
                <w:rFonts w:ascii="Arial" w:cs="Arial" w:eastAsia="Arial" w:hAnsi="Arial"/>
                <w:sz w:val="16"/>
                <w:szCs w:val="16"/>
                <w:color w:val="auto"/>
                <w:vertAlign w:val="superscript"/>
              </w:rPr>
              <w:t>(4)</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Convertible senior notes </w:t>
            </w:r>
            <w:r>
              <w:rPr>
                <w:rFonts w:ascii="Arial" w:cs="Arial" w:eastAsia="Arial" w:hAnsi="Arial"/>
                <w:sz w:val="16"/>
                <w:szCs w:val="16"/>
                <w:color w:val="auto"/>
                <w:vertAlign w:val="superscript"/>
              </w:rPr>
              <w:t>(5)</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Supplier settlements </w:t>
            </w:r>
            <w:r>
              <w:rPr>
                <w:rFonts w:ascii="Arial" w:cs="Arial" w:eastAsia="Arial" w:hAnsi="Arial"/>
                <w:sz w:val="16"/>
                <w:szCs w:val="16"/>
                <w:color w:val="auto"/>
                <w:vertAlign w:val="superscript"/>
              </w:rPr>
              <w:t>(6)</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148.8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Term loan</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750.0</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3,397.5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486.1</w:t>
            </w:r>
          </w:p>
        </w:tc>
        <w:tc>
          <w:tcPr>
            <w:tcW w:w="30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5"/>
        <w:spacing w:after="0" w:line="258" w:lineRule="auto"/>
        <w:tabs>
          <w:tab w:leader="none" w:pos="155" w:val="left"/>
        </w:tabs>
        <w:numPr>
          <w:ilvl w:val="0"/>
          <w:numId w:val="37"/>
        </w:numPr>
        <w:rPr>
          <w:rFonts w:ascii="Arial" w:cs="Arial" w:eastAsia="Arial" w:hAnsi="Arial"/>
          <w:sz w:val="10"/>
          <w:szCs w:val="10"/>
          <w:color w:val="050505"/>
        </w:rPr>
      </w:pPr>
      <w:r>
        <w:rPr>
          <w:rFonts w:ascii="Arial" w:cs="Arial" w:eastAsia="Arial" w:hAnsi="Arial"/>
          <w:sz w:val="10"/>
          <w:szCs w:val="10"/>
          <w:color w:val="050505"/>
        </w:rPr>
        <w:t xml:space="preserve">Lease obligations relate to our office space, warehouses, production studios, equipment, and retail showrooms and microstores. As of </w:t>
      </w:r>
      <w:r>
        <w:rPr>
          <w:rFonts w:ascii="Arial" w:cs="Arial" w:eastAsia="Arial" w:hAnsi="Arial"/>
          <w:sz w:val="10"/>
          <w:szCs w:val="10"/>
          <w:color w:val="000000"/>
        </w:rPr>
        <w:t>June 30, 2022</w:t>
      </w:r>
      <w:r>
        <w:rPr>
          <w:rFonts w:ascii="Arial" w:cs="Arial" w:eastAsia="Arial" w:hAnsi="Arial"/>
          <w:sz w:val="10"/>
          <w:szCs w:val="10"/>
          <w:color w:val="050505"/>
        </w:rPr>
        <w:t>, the Company had additional operating leases for real estate that have not yet commenced of $15.2 million which has been included above. The original lease terms are between one and twenty-one years, and the majority of the lease agreements are renewable at the end of the lease period. The Company has finance lease obligations of $3.1 million, also included above.</w:t>
      </w:r>
    </w:p>
    <w:p>
      <w:pPr>
        <w:spacing w:after="0" w:line="21" w:lineRule="exact"/>
        <w:rPr>
          <w:rFonts w:ascii="Arial" w:cs="Arial" w:eastAsia="Arial" w:hAnsi="Arial"/>
          <w:sz w:val="10"/>
          <w:szCs w:val="10"/>
          <w:color w:val="050505"/>
        </w:rPr>
      </w:pPr>
    </w:p>
    <w:p>
      <w:pPr>
        <w:ind w:firstLine="5"/>
        <w:spacing w:after="0" w:line="296" w:lineRule="auto"/>
        <w:tabs>
          <w:tab w:leader="none" w:pos="151" w:val="left"/>
        </w:tabs>
        <w:numPr>
          <w:ilvl w:val="0"/>
          <w:numId w:val="37"/>
        </w:numPr>
        <w:rPr>
          <w:rFonts w:ascii="Arial" w:cs="Arial" w:eastAsia="Arial" w:hAnsi="Arial"/>
          <w:sz w:val="10"/>
          <w:szCs w:val="10"/>
          <w:color w:val="050505"/>
        </w:rPr>
      </w:pPr>
      <w:r>
        <w:rPr>
          <w:rFonts w:ascii="Arial" w:cs="Arial" w:eastAsia="Arial" w:hAnsi="Arial"/>
          <w:sz w:val="10"/>
          <w:szCs w:val="10"/>
          <w:color w:val="050505"/>
        </w:rPr>
        <w:t xml:space="preserve">We are subject to minimum royalty payments associated with our license agreements for the use of licensed content. See </w:t>
      </w:r>
      <w:r>
        <w:rPr>
          <w:rFonts w:ascii="Arial" w:cs="Arial" w:eastAsia="Arial" w:hAnsi="Arial"/>
          <w:sz w:val="10"/>
          <w:szCs w:val="10"/>
          <w:i w:val="1"/>
          <w:iCs w:val="1"/>
          <w:color w:val="050505"/>
        </w:rPr>
        <w:t>“Risk Factors — Risks Related to Our Business—</w:t>
      </w:r>
      <w:r>
        <w:rPr>
          <w:rFonts w:ascii="Arial" w:cs="Arial" w:eastAsia="Arial" w:hAnsi="Arial"/>
          <w:sz w:val="10"/>
          <w:szCs w:val="10"/>
          <w:color w:val="050505"/>
        </w:rPr>
        <w:t xml:space="preserve"> </w:t>
      </w:r>
      <w:r>
        <w:rPr>
          <w:rFonts w:ascii="Arial" w:cs="Arial" w:eastAsia="Arial" w:hAnsi="Arial"/>
          <w:sz w:val="10"/>
          <w:szCs w:val="10"/>
          <w:i w:val="1"/>
          <w:iCs w:val="1"/>
          <w:color w:val="000000"/>
        </w:rPr>
        <w:t>We are a party to many music license agreements that are complex and impose</w:t>
      </w:r>
      <w:r>
        <w:rPr>
          <w:rFonts w:ascii="Arial" w:cs="Arial" w:eastAsia="Arial" w:hAnsi="Arial"/>
          <w:sz w:val="10"/>
          <w:szCs w:val="10"/>
          <w:color w:val="050505"/>
        </w:rPr>
        <w:t xml:space="preserve"> </w:t>
      </w:r>
      <w:r>
        <w:rPr>
          <w:rFonts w:ascii="Arial" w:cs="Arial" w:eastAsia="Arial" w:hAnsi="Arial"/>
          <w:sz w:val="10"/>
          <w:szCs w:val="10"/>
          <w:i w:val="1"/>
          <w:iCs w:val="1"/>
          <w:color w:val="000000"/>
        </w:rPr>
        <w:t>numerous obligations upon us that may make it difficult to operate our business, and a breach of such agreements could adversely affect our business, operating results, and financial condition.”</w:t>
      </w:r>
    </w:p>
    <w:p>
      <w:pPr>
        <w:spacing w:after="0" w:line="2" w:lineRule="exact"/>
        <w:rPr>
          <w:rFonts w:ascii="Arial" w:cs="Arial" w:eastAsia="Arial" w:hAnsi="Arial"/>
          <w:sz w:val="10"/>
          <w:szCs w:val="10"/>
          <w:color w:val="050505"/>
        </w:rPr>
      </w:pPr>
    </w:p>
    <w:p>
      <w:pPr>
        <w:ind w:firstLine="5"/>
        <w:spacing w:after="0" w:line="274" w:lineRule="auto"/>
        <w:tabs>
          <w:tab w:leader="none" w:pos="162" w:val="left"/>
        </w:tabs>
        <w:numPr>
          <w:ilvl w:val="0"/>
          <w:numId w:val="37"/>
        </w:numPr>
        <w:rPr>
          <w:rFonts w:ascii="Arial" w:cs="Arial" w:eastAsia="Arial" w:hAnsi="Arial"/>
          <w:sz w:val="10"/>
          <w:szCs w:val="10"/>
          <w:color w:val="auto"/>
        </w:rPr>
      </w:pPr>
      <w:r>
        <w:rPr>
          <w:rFonts w:ascii="Arial" w:cs="Arial" w:eastAsia="Arial" w:hAnsi="Arial"/>
          <w:sz w:val="10"/>
          <w:szCs w:val="10"/>
          <w:color w:val="auto"/>
        </w:rPr>
        <w:t>Pursuant to the Second Amended and Restated Credit Agreement, we are required to pay a commitment fee of 0.325% and 0.375% on a quarterly basis based on the unused portion of the Revolving Facility for the revolving loans maturing on December 10, 2026 and June 20, 2024, respectively. As of June 30, 2022, we had outstanding letters of credit totaling $77.6 million, of which $69.9 million was secured against the Revolver.</w:t>
      </w:r>
    </w:p>
    <w:p>
      <w:pPr>
        <w:spacing w:after="0" w:line="13" w:lineRule="exact"/>
        <w:rPr>
          <w:rFonts w:ascii="Arial" w:cs="Arial" w:eastAsia="Arial" w:hAnsi="Arial"/>
          <w:sz w:val="10"/>
          <w:szCs w:val="10"/>
          <w:color w:val="auto"/>
        </w:rPr>
      </w:pPr>
    </w:p>
    <w:p>
      <w:pPr>
        <w:ind w:left="160" w:hanging="155"/>
        <w:spacing w:after="0"/>
        <w:tabs>
          <w:tab w:leader="none" w:pos="160" w:val="left"/>
        </w:tabs>
        <w:numPr>
          <w:ilvl w:val="0"/>
          <w:numId w:val="37"/>
        </w:numPr>
        <w:rPr>
          <w:rFonts w:ascii="Arial" w:cs="Arial" w:eastAsia="Arial" w:hAnsi="Arial"/>
          <w:sz w:val="10"/>
          <w:szCs w:val="10"/>
          <w:color w:val="auto"/>
        </w:rPr>
      </w:pPr>
      <w:r>
        <w:rPr>
          <w:rFonts w:ascii="Arial" w:cs="Arial" w:eastAsia="Arial" w:hAnsi="Arial"/>
          <w:sz w:val="10"/>
          <w:szCs w:val="10"/>
          <w:color w:val="auto"/>
        </w:rPr>
        <w:t>Other purchase obligations include all other non-cancelable contractual obligations. These contracts are primarily related to cloud computing costs.</w:t>
      </w:r>
    </w:p>
    <w:p>
      <w:pPr>
        <w:spacing w:after="0" w:line="44" w:lineRule="exact"/>
        <w:rPr>
          <w:rFonts w:ascii="Arial" w:cs="Arial" w:eastAsia="Arial" w:hAnsi="Arial"/>
          <w:sz w:val="10"/>
          <w:szCs w:val="10"/>
          <w:color w:val="auto"/>
        </w:rPr>
      </w:pPr>
    </w:p>
    <w:p>
      <w:pPr>
        <w:ind w:left="160" w:hanging="155"/>
        <w:spacing w:after="0"/>
        <w:tabs>
          <w:tab w:leader="none" w:pos="160" w:val="left"/>
        </w:tabs>
        <w:numPr>
          <w:ilvl w:val="0"/>
          <w:numId w:val="37"/>
        </w:numPr>
        <w:rPr>
          <w:rFonts w:ascii="Arial" w:cs="Arial" w:eastAsia="Arial" w:hAnsi="Arial"/>
          <w:sz w:val="10"/>
          <w:szCs w:val="10"/>
          <w:color w:val="auto"/>
        </w:rPr>
      </w:pPr>
      <w:r>
        <w:rPr>
          <w:rFonts w:ascii="Arial" w:cs="Arial" w:eastAsia="Arial" w:hAnsi="Arial"/>
          <w:sz w:val="10"/>
          <w:szCs w:val="10"/>
          <w:color w:val="auto"/>
        </w:rPr>
        <w:t xml:space="preserve">Refer to </w:t>
      </w:r>
      <w:r>
        <w:rPr>
          <w:rFonts w:ascii="Arial" w:cs="Arial" w:eastAsia="Arial" w:hAnsi="Arial"/>
          <w:sz w:val="10"/>
          <w:szCs w:val="10"/>
          <w:i w:val="1"/>
          <w:iCs w:val="1"/>
          <w:color w:val="auto"/>
        </w:rPr>
        <w:t>Note 12 - Debt</w:t>
      </w:r>
      <w:r>
        <w:rPr>
          <w:rFonts w:ascii="Arial" w:cs="Arial" w:eastAsia="Arial" w:hAnsi="Arial"/>
          <w:sz w:val="10"/>
          <w:szCs w:val="10"/>
          <w:color w:val="auto"/>
        </w:rPr>
        <w:t xml:space="preserve"> in the Notes to Consolidated Financial Statements in Part II, Item 8 of this Annual Report on Form 10-K for further details regarding our convertible senior notes obligations.</w:t>
      </w:r>
    </w:p>
    <w:p>
      <w:pPr>
        <w:spacing w:after="0" w:line="33" w:lineRule="exact"/>
        <w:rPr>
          <w:rFonts w:ascii="Arial" w:cs="Arial" w:eastAsia="Arial" w:hAnsi="Arial"/>
          <w:sz w:val="10"/>
          <w:szCs w:val="10"/>
          <w:color w:val="auto"/>
        </w:rPr>
      </w:pPr>
    </w:p>
    <w:p>
      <w:pPr>
        <w:ind w:left="160" w:hanging="155"/>
        <w:spacing w:after="0"/>
        <w:tabs>
          <w:tab w:leader="none" w:pos="160" w:val="left"/>
        </w:tabs>
        <w:numPr>
          <w:ilvl w:val="0"/>
          <w:numId w:val="37"/>
        </w:numPr>
        <w:rPr>
          <w:rFonts w:ascii="Arial" w:cs="Arial" w:eastAsia="Arial" w:hAnsi="Arial"/>
          <w:sz w:val="10"/>
          <w:szCs w:val="10"/>
          <w:color w:val="auto"/>
        </w:rPr>
      </w:pPr>
      <w:r>
        <w:rPr>
          <w:rFonts w:ascii="Arial" w:cs="Arial" w:eastAsia="Arial" w:hAnsi="Arial"/>
          <w:sz w:val="10"/>
          <w:szCs w:val="10"/>
          <w:color w:val="auto"/>
        </w:rPr>
        <w:t>Supplier settlements relate to payments to third-party suppliers to exit purchase commitments. Subsequent to June 30, 2022 the Company entered into an additional $97.3 million to be paid through fiscal 2023.</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62" w:name="page63"/>
    <w:bookmarkEnd w:id="62"/>
    <w:p>
      <w:pPr>
        <w:jc w:val="both"/>
        <w:spacing w:after="0" w:line="266" w:lineRule="auto"/>
        <w:rPr>
          <w:sz w:val="20"/>
          <w:szCs w:val="20"/>
          <w:color w:val="auto"/>
        </w:rPr>
      </w:pPr>
      <w:r>
        <w:rPr>
          <w:rFonts w:ascii="Arial" w:cs="Arial" w:eastAsia="Arial" w:hAnsi="Arial"/>
          <w:sz w:val="13"/>
          <w:szCs w:val="13"/>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2022, our commitments to contract with third-party manufacturers for their inventory on-hand and component purchase commitments related to the manufacture of our products were</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estimated to be approximately $334.7 million. See </w:t>
      </w:r>
      <w:r>
        <w:rPr>
          <w:rFonts w:ascii="Arial" w:cs="Arial" w:eastAsia="Arial" w:hAnsi="Arial"/>
          <w:sz w:val="13"/>
          <w:szCs w:val="13"/>
          <w:i w:val="1"/>
          <w:iCs w:val="1"/>
          <w:color w:val="auto"/>
        </w:rPr>
        <w:t>“Risk Factors—Risks Related to Our Business—Our operating results could be adversely affected if we are unable to accurately forecast consumer</w:t>
      </w:r>
      <w:r>
        <w:rPr>
          <w:rFonts w:ascii="Arial" w:cs="Arial" w:eastAsia="Arial" w:hAnsi="Arial"/>
          <w:sz w:val="13"/>
          <w:szCs w:val="13"/>
          <w:color w:val="auto"/>
        </w:rPr>
        <w:t xml:space="preserve"> </w:t>
      </w:r>
      <w:r>
        <w:rPr>
          <w:rFonts w:ascii="Arial" w:cs="Arial" w:eastAsia="Arial" w:hAnsi="Arial"/>
          <w:sz w:val="13"/>
          <w:szCs w:val="13"/>
          <w:i w:val="1"/>
          <w:iCs w:val="1"/>
          <w:color w:val="auto"/>
        </w:rPr>
        <w:t>demand for our products and services and adequately manage our inventory</w:t>
      </w:r>
      <w:r>
        <w:rPr>
          <w:rFonts w:ascii="Arial" w:cs="Arial" w:eastAsia="Arial" w:hAnsi="Arial"/>
          <w:sz w:val="13"/>
          <w:szCs w:val="13"/>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We did not have any undisclosed off-balance sheet arrangements as of June 30, 2022.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Recent Accounting Pronouncements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2 - Summary of Significant Accounting Policies</w:t>
      </w:r>
      <w:r>
        <w:rPr>
          <w:rFonts w:ascii="Arial" w:cs="Arial" w:eastAsia="Arial" w:hAnsi="Arial"/>
          <w:sz w:val="13"/>
          <w:szCs w:val="13"/>
          <w:color w:val="auto"/>
        </w:rPr>
        <w:t xml:space="preserve"> in the Notes to Consolidated Financial Statements in Part II, Item 8 of this Annual Report on Form 10-K under the heading </w:t>
      </w:r>
      <w:r>
        <w:rPr>
          <w:rFonts w:ascii="Arial" w:cs="Arial" w:eastAsia="Arial" w:hAnsi="Arial"/>
          <w:sz w:val="13"/>
          <w:szCs w:val="13"/>
          <w:i w:val="1"/>
          <w:iCs w:val="1"/>
          <w:color w:val="auto"/>
        </w:rPr>
        <w:t>“Recently Issued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Accounting Pronouncements” </w:t>
      </w:r>
      <w:r>
        <w:rPr>
          <w:rFonts w:ascii="Arial" w:cs="Arial" w:eastAsia="Arial" w:hAnsi="Arial"/>
          <w:sz w:val="13"/>
          <w:szCs w:val="13"/>
          <w:color w:val="auto"/>
        </w:rPr>
        <w:t>for a discussion about new accounting pronouncements adopted and not yet adopted as of the date of this Annual Report on Form 10-K.</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Critical Accounting Estimates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primary source of revenue is from sales of our Connected Fitness Products and related accessories and associated recurring Subscription revenue, as well as Precor branded fitness products, delivery and installation services.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We determine revenue recognition through the following steps in accordance with ASC 606:</w:t>
      </w:r>
    </w:p>
    <w:p>
      <w:pPr>
        <w:spacing w:after="0" w:line="190" w:lineRule="exact"/>
        <w:rPr>
          <w:sz w:val="20"/>
          <w:szCs w:val="20"/>
          <w:color w:val="auto"/>
        </w:rPr>
      </w:pP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recognition of revenue when, or as, we satisfy a performance obligation.</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Revenue is recognized when control of the promised goods or services is transferred to our customers, in an amount that reflects the consideration that we expect to be entitled to in exchange for those goods or services. Our revenue is reported net of sales returns, discounts, incentives, and rebates to commercial distributors as a reduction of the transaction price. Certain contracts include consideration payable that is accounted for as a payment for distinct goods or services. Our transaction price estimate includes our estimate for product returns and concessions based on the terms and conditions of home trial programs, historical return trends by product category, impact of seasonality, an evaluation of current economic and market conditions, and current business practices, and record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There is not significant judgement required in the determination of performance obligations, allocation of our transaction price, or the recognition of revenue. See further discussion in Note 3 to the consolidated financial statements.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described in Note 13 of the consolidated financial statements, the Company announced voluntary recalls of the Company's Tread+ and Tread products, permitting customers to return the products for a refund. The amount of a refund customers are eligible to receive may differ based on the status of an approved remediation of the issue driving the recall, and the age of the CFU being returned. We estimate a returns reserve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4" w:right="319" w:bottom="144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13"/>
          <w:szCs w:val="13"/>
          <w:color w:val="auto"/>
        </w:rPr>
        <w:t xml:space="preserve">primarily based on historical and expected product returns, product warranty and service call trends. We also consider current trends in consumer behavior in order to identify correlations to current trends in returns. However, with current uncertainty in the global economy, negative press and general sentiment surrounding Peloton’s post-pandemic business and financial performance, absence of a remediation plan with the Consumer Product Safety Commission, predicting expected product returns based on historical returns becomes less relevant, requiring reliance on highly subjective estimates based on our interpretation of how current conditions and factors will drive consumer behavior. Since the inception of the product recall, we have recorded return provisions as a reduction to Connected Fitness Products revenue of approximately $139.9 million. </w:t>
      </w:r>
      <w:r>
        <w:rPr>
          <w:rFonts w:ascii="Arial" w:cs="Arial" w:eastAsia="Arial" w:hAnsi="Arial"/>
          <w:sz w:val="13"/>
          <w:szCs w:val="13"/>
          <w:color w:val="050505"/>
        </w:rPr>
        <w:t>As of June 30, 2022 and June 30, 2021, our returns reserve related to the impacts of the recalls was $39.9 million and $40.8</w:t>
      </w:r>
      <w:r>
        <w:rPr>
          <w:rFonts w:ascii="Arial" w:cs="Arial" w:eastAsia="Arial" w:hAnsi="Arial"/>
          <w:sz w:val="13"/>
          <w:szCs w:val="13"/>
          <w:color w:val="auto"/>
        </w:rPr>
        <w:t xml:space="preserve"> </w:t>
      </w:r>
      <w:r>
        <w:rPr>
          <w:rFonts w:ascii="Arial" w:cs="Arial" w:eastAsia="Arial" w:hAnsi="Arial"/>
          <w:sz w:val="13"/>
          <w:szCs w:val="13"/>
          <w:color w:val="050505"/>
        </w:rPr>
        <w:t>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Inventory Valuation</w:t>
      </w:r>
    </w:p>
    <w:p>
      <w:pPr>
        <w:spacing w:after="0" w:line="41" w:lineRule="exact"/>
        <w:rPr>
          <w:sz w:val="20"/>
          <w:szCs w:val="20"/>
          <w:color w:val="auto"/>
        </w:rPr>
      </w:pPr>
    </w:p>
    <w:p>
      <w:pPr>
        <w:jc w:val="both"/>
        <w:ind w:right="120"/>
        <w:spacing w:after="0" w:line="253" w:lineRule="auto"/>
        <w:rPr>
          <w:sz w:val="20"/>
          <w:szCs w:val="20"/>
          <w:color w:val="auto"/>
        </w:rPr>
      </w:pPr>
      <w:r>
        <w:rPr>
          <w:rFonts w:ascii="Arial" w:cs="Arial" w:eastAsia="Arial" w:hAnsi="Arial"/>
          <w:sz w:val="13"/>
          <w:szCs w:val="13"/>
          <w:color w:val="auto"/>
        </w:rPr>
        <w:t>We review our inventory to ensure that its carrying value does not exceed its net realizable value (“NRV”), with NRV based on the estimated selling price of inventory in the ordinary course of business, less estimated costs of completion, disposal and transportation. When our expectations indicate that the carrying value of inventory may exceed its NRV, we perform an exercise to calculate the approximate amount by which carrying value is greater than NRV and record additional cost of revenue for the difference. Once a write-off occurs, a new, lower cost basis is established. Should our estimates used in these calculations change in the future, such as estimated selling prices or disposal costs, additional write-downs may occur.</w:t>
      </w:r>
    </w:p>
    <w:p>
      <w:pPr>
        <w:spacing w:after="0" w:line="155" w:lineRule="exact"/>
        <w:rPr>
          <w:sz w:val="20"/>
          <w:szCs w:val="20"/>
          <w:color w:val="auto"/>
        </w:rPr>
      </w:pPr>
    </w:p>
    <w:p>
      <w:pPr>
        <w:jc w:val="both"/>
        <w:ind w:right="120"/>
        <w:spacing w:after="0" w:line="261" w:lineRule="auto"/>
        <w:rPr>
          <w:sz w:val="20"/>
          <w:szCs w:val="20"/>
          <w:color w:val="auto"/>
        </w:rPr>
      </w:pPr>
      <w:r>
        <w:rPr>
          <w:rFonts w:ascii="Arial" w:cs="Arial" w:eastAsia="Arial" w:hAnsi="Arial"/>
          <w:sz w:val="13"/>
          <w:szCs w:val="13"/>
          <w:color w:val="auto"/>
        </w:rPr>
        <w:t>We also regularly monitor inventory quantities on hand and in transit and reserve for excess and obsolete inventories using estimates based on historical experience, historical and projected sales trends, specific categories of inventory, and age of on-hand inventory. Inventories presented in the Consolidated Balance Sheets are net of reserves for excess and obsolete inventory. If actual conditions or product demands are less favorable than our assumptions, additional inventory reserves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 Warranty</w:t>
      </w:r>
    </w:p>
    <w:p>
      <w:pPr>
        <w:spacing w:after="0" w:line="41" w:lineRule="exact"/>
        <w:rPr>
          <w:sz w:val="20"/>
          <w:szCs w:val="20"/>
          <w:color w:val="auto"/>
        </w:rPr>
      </w:pPr>
    </w:p>
    <w:p>
      <w:pPr>
        <w:jc w:val="both"/>
        <w:ind w:right="120"/>
        <w:spacing w:after="0" w:line="250" w:lineRule="auto"/>
        <w:rPr>
          <w:sz w:val="20"/>
          <w:szCs w:val="20"/>
          <w:color w:val="auto"/>
        </w:rPr>
      </w:pPr>
      <w:r>
        <w:rPr>
          <w:rFonts w:ascii="Arial" w:cs="Arial" w:eastAsia="Arial" w:hAnsi="Arial"/>
          <w:sz w:val="13"/>
          <w:szCs w:val="13"/>
          <w:color w:val="auto"/>
        </w:rPr>
        <w:t>We offer a standard product warranty that our Connected Fitness Products and Precor branded fitness products will operate under normal, non-commercial use for a period of one year covering the touchscreen and most original Bike, Bike+, Tread, Tread+, and Guide components from the date of original delivery. We have the obligation, at our option, to either repair or replace the defective product. At the time revenue is recognized, an estimate of future warranty costs, including costs associated with service of Connected Fitness Products outside of the warranty period, is recorded as a component of cost of revenue. Factors that affect the warranty obligation include historical as well as current product failure rates, service delivery costs incurred in correcting product failures, including the expected utilization of our logistics network, and warranty policies and business practices. Our products are manufactured both in-house and by contract manufacturers, and in certain cases, we may have recourse to such contract and component manufacturers.</w:t>
      </w:r>
    </w:p>
    <w:p>
      <w:pPr>
        <w:spacing w:after="0" w:line="169" w:lineRule="exact"/>
        <w:rPr>
          <w:sz w:val="20"/>
          <w:szCs w:val="20"/>
          <w:color w:val="auto"/>
        </w:rPr>
      </w:pPr>
    </w:p>
    <w:p>
      <w:pPr>
        <w:jc w:val="both"/>
        <w:ind w:right="120"/>
        <w:spacing w:after="0" w:line="283" w:lineRule="auto"/>
        <w:rPr>
          <w:sz w:val="20"/>
          <w:szCs w:val="20"/>
          <w:color w:val="auto"/>
        </w:rPr>
      </w:pPr>
      <w:r>
        <w:rPr>
          <w:rFonts w:ascii="Arial" w:cs="Arial" w:eastAsia="Arial" w:hAnsi="Arial"/>
          <w:sz w:val="13"/>
          <w:szCs w:val="13"/>
          <w:color w:val="auto"/>
        </w:rPr>
        <w:t>We also offer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36 months.</w:t>
      </w:r>
    </w:p>
    <w:p>
      <w:pPr>
        <w:spacing w:after="0" w:line="146" w:lineRule="exact"/>
        <w:rPr>
          <w:sz w:val="20"/>
          <w:szCs w:val="20"/>
          <w:color w:val="auto"/>
        </w:rPr>
      </w:pPr>
    </w:p>
    <w:p>
      <w:pPr>
        <w:jc w:val="both"/>
        <w:ind w:right="140"/>
        <w:spacing w:after="0" w:line="266" w:lineRule="auto"/>
        <w:rPr>
          <w:sz w:val="20"/>
          <w:szCs w:val="20"/>
          <w:color w:val="auto"/>
        </w:rPr>
      </w:pPr>
      <w:r>
        <w:rPr>
          <w:rFonts w:ascii="Arial" w:cs="Arial" w:eastAsia="Arial" w:hAnsi="Arial"/>
          <w:sz w:val="13"/>
          <w:szCs w:val="13"/>
          <w:color w:val="auto"/>
        </w:rPr>
        <w:t>Revenue and related fees paid to the third-party provider are recognized on a gross basis as we have a continuing obligation to perform over the service period. Extended warranty revenue is recognized ratably over the extended warranty coverage period and is included in Connected Fitness Products revenue in the Consolidated Statements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 and Intangible Assets</w:t>
      </w:r>
    </w:p>
    <w:p>
      <w:pPr>
        <w:spacing w:after="0" w:line="41" w:lineRule="exact"/>
        <w:rPr>
          <w:sz w:val="20"/>
          <w:szCs w:val="20"/>
          <w:color w:val="auto"/>
        </w:rPr>
      </w:pPr>
    </w:p>
    <w:p>
      <w:pPr>
        <w:jc w:val="both"/>
        <w:ind w:right="140"/>
        <w:spacing w:after="0" w:line="266" w:lineRule="auto"/>
        <w:rPr>
          <w:sz w:val="20"/>
          <w:szCs w:val="20"/>
          <w:color w:val="auto"/>
        </w:rPr>
      </w:pPr>
      <w:r>
        <w:rPr>
          <w:rFonts w:ascii="Arial" w:cs="Arial" w:eastAsia="Arial" w:hAnsi="Arial"/>
          <w:sz w:val="13"/>
          <w:szCs w:val="13"/>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135" w:lineRule="exact"/>
        <w:rPr>
          <w:sz w:val="20"/>
          <w:szCs w:val="20"/>
          <w:color w:val="auto"/>
        </w:rPr>
      </w:pPr>
    </w:p>
    <w:p>
      <w:pPr>
        <w:jc w:val="both"/>
        <w:ind w:right="120"/>
        <w:spacing w:after="0" w:line="261" w:lineRule="auto"/>
        <w:rPr>
          <w:sz w:val="20"/>
          <w:szCs w:val="20"/>
          <w:color w:val="auto"/>
        </w:rPr>
      </w:pPr>
      <w:r>
        <w:rPr>
          <w:rFonts w:ascii="Arial" w:cs="Arial" w:eastAsia="Arial" w:hAnsi="Arial"/>
          <w:sz w:val="13"/>
          <w:szCs w:val="13"/>
          <w:color w:val="auto"/>
        </w:rPr>
        <w:t>Intangible assets other than goodwill are comprised of acquired developed technology, brand name, customer relationships, distributor relationships,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w:t>
      </w:r>
    </w:p>
    <w:p>
      <w:pPr>
        <w:spacing w:after="0" w:line="149" w:lineRule="exact"/>
        <w:rPr>
          <w:sz w:val="20"/>
          <w:szCs w:val="20"/>
          <w:color w:val="auto"/>
        </w:rPr>
      </w:pPr>
    </w:p>
    <w:p>
      <w:pPr>
        <w:jc w:val="both"/>
        <w:ind w:right="120"/>
        <w:spacing w:after="0" w:line="249" w:lineRule="auto"/>
        <w:rPr>
          <w:sz w:val="20"/>
          <w:szCs w:val="20"/>
          <w:color w:val="auto"/>
        </w:rPr>
      </w:pPr>
      <w:r>
        <w:rPr>
          <w:rFonts w:ascii="Arial" w:cs="Arial" w:eastAsia="Arial" w:hAnsi="Arial"/>
          <w:sz w:val="13"/>
          <w:szCs w:val="13"/>
          <w:color w:val="auto"/>
        </w:rPr>
        <w:t>We review goodwill for impairment annually on April 1 of each fiscal year or whenever events or changes in circumstances indicate that an impairment may exist. The process of evaluating the potential impairment of goodwill is highly subjective and requires significant judgment. In conducting our annual impairment test, we first review qualitative factors to determine whether it is more likely than not that the fair value of the reporting unit is less than its carrying amount. If factors indicate that the fair value of the reporting unit is less than its carrying amount, we perform a quantitative assessment and the fair value of the reporting unit is estimated by analyzing the expected present value of future cash flows. If the carrying value of the reporting unit continues to exceed its fair value, the fair value of the reporting unit’s goodwill is calculated and an impairment loss equal to the excess is recorded.</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We assess the impairment of intangible assets whenever events or changes in circumstances indicate that the carrying amount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of Long-Lived Assets</w:t>
      </w:r>
    </w:p>
    <w:p>
      <w:pPr>
        <w:spacing w:after="0" w:line="4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test our long-lived asset groups when changes in circumstances indicate their carrying value may not be recoverable. Events that trigger a test for recoverability include material adverse changes in projected revenues and expenses, present cash flow losses combined with a history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13"/>
          <w:szCs w:val="13"/>
          <w:color w:val="auto"/>
        </w:rPr>
        <w:t>of cash flow losses and a forecast that demonstrates significant continuing losses, significant negative industry or economic trends, a current expectation that a long-lived asset group will be disposed of significantly before the end of its useful life, a significant adverse change in the manner in which an asset group is used or in its physical condition, or when there is a change in the asset grouping. When a triggering event occurs, a test for recoverability is performed, comparing projected undiscounted future cash flows to the carrying value of the asset group. If the test for recoverability identifies a possible impairment, the asset group’s fair value is measured relying primarily on a discounted cash flow method. To the extent available, we will also consider third-party valuations of our long-lived assets that were prepared for other business purposes. An impairment charge is recognized for the amount by which the carrying value of the asset group exceeds its estimated fair value. When an impairment loss is recognized for assets to be held and used, the adjusted carrying amounts of those assets are depreciated over their remaining useful life.</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our Connected Fitness segment and Subscription segment, we evaluate long-lived tangible assets at the lowest level at which independent cash flows can be identified, which is dependent on the strategy and expected future use of our long-lived assets. We evaluate corporate assets or other long-lived assets that are not segment-specific at the consolidated level.</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measure the fair value of an asset group based on market prices (i.e., the amount for which the asset could be sold to a third party) when available. When market prices are not available, we generally estimate the fair value of the asset group using the income approach and/or the market approach. The income approach uses cash flow projections. Inherent in our development of cash flow projections are assumptions and estimates derived from a review of our operating results, business plan forecasts, expected growth rates,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Changes in assumptions or estimates can materially affect the fair value measurement of an asset group and, therefore, can affect the test results. Since there is typically no active market for our long-lived tangible assets, we estimate fair values based on the expected future cash flows. We estimate future cash flows based on historical results, current trends, and operating and cash flow projections. Our estimates are subject to uncertainty and may be affected by a number of factors outside our control, including general economic conditions and the competitive environment. While we believe our estimates and judgments about future cash flows are reasonable, future impairment charges may be required if the expected cash flow estimates, as projected, do not occur or if events change requiring us to revise our estimates.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fiscal 2022, we identified various qualitative factors that collectively indicated that the Company had triggering events, including (i) realignment of cost structure in connection with the Restructuring Plan, (ii) softening demand and (iii) a sustained decrease in stock price.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Combination</w:t>
      </w:r>
    </w:p>
    <w:p>
      <w:pPr>
        <w:spacing w:after="0" w:line="169" w:lineRule="exact"/>
        <w:rPr>
          <w:sz w:val="20"/>
          <w:szCs w:val="20"/>
          <w:color w:val="auto"/>
        </w:rPr>
      </w:pPr>
    </w:p>
    <w:p>
      <w:pPr>
        <w:jc w:val="both"/>
        <w:ind w:right="120"/>
        <w:spacing w:after="0" w:line="253" w:lineRule="auto"/>
        <w:rPr>
          <w:sz w:val="20"/>
          <w:szCs w:val="20"/>
          <w:color w:val="auto"/>
        </w:rPr>
      </w:pPr>
      <w:r>
        <w:rPr>
          <w:rFonts w:ascii="Arial" w:cs="Arial" w:eastAsia="Arial" w:hAnsi="Arial"/>
          <w:sz w:val="13"/>
          <w:szCs w:val="13"/>
          <w:color w:val="auto"/>
        </w:rPr>
        <w:t>To determine whether transactions should be accounted for as acquisitions of assets or business combinations, we make certain judgments, which include assessment of the inputs, processes, and outputs associated with the acquired set of activities. If we determine that substantially all of the fair value of gross assets included in a transaction is concentrated in a single asset (or a group of similar assets), the assets would not represent a business. To be considered a business, the assets in a transaction need to include an input and a substantive process that together significantly contribute to the ability to create outputs.</w:t>
      </w:r>
    </w:p>
    <w:p>
      <w:pPr>
        <w:spacing w:after="0" w:line="155" w:lineRule="exact"/>
        <w:rPr>
          <w:sz w:val="20"/>
          <w:szCs w:val="20"/>
          <w:color w:val="auto"/>
        </w:rPr>
      </w:pPr>
    </w:p>
    <w:p>
      <w:pPr>
        <w:jc w:val="both"/>
        <w:ind w:right="120"/>
        <w:spacing w:after="0" w:line="249" w:lineRule="auto"/>
        <w:rPr>
          <w:sz w:val="20"/>
          <w:szCs w:val="20"/>
          <w:color w:val="auto"/>
        </w:rPr>
      </w:pPr>
      <w:r>
        <w:rPr>
          <w:rFonts w:ascii="Arial" w:cs="Arial" w:eastAsia="Arial" w:hAnsi="Arial"/>
          <w:sz w:val="13"/>
          <w:szCs w:val="13"/>
          <w:color w:val="auto"/>
        </w:rPr>
        <w:t>We allocate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 values, we typically obtain assistance from third-party valuation specialists for significant items. Any excess of the purchase price (consideration transferred)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at the acquisition date becomes available.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Loss Contingencies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involved in legal proceedings, claims, and regulatory, tax, and government inquiries and investigations that arise in the ordinary course of business. Certain of these matters include claims for substantial or indeterminate amounts of damages. We record a liability when we believe that it is both probable that a loss has been incurred and the amount can be reasonably estimated. If we determine that a loss is reasonably possible and the loss or range of loss can be reasonably estimated, we disclose the possible loss in the accompanying notes to the consolidated financial statements. If we determine that a loss is reasonably possible but the loss or range of loss cannot be reasonably estimated, we state that such an estimate cannot be made.</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review the developments in our contingencies that could affect the amount of the provisions that have been previously recorded, and the matters and related reasonably possible losses disclosed. We make adjustments to our provisions and changes to our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outcome of legal proceedings, claims, and regulatory, tax, and government inquiries and investigations is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auto"/>
        </w:rPr>
        <w:t>Item 7A. Quantitative and Qualitative Disclosure About Market Risk</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had Cash and cash equivalents of $1,253.9 million as of June 30, 2022.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Annual Report on Form 10-K would not have had a material impact on our consolidated financial statements.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primarily exposed to changes in short-term interest rates with respect to our cost of borrowing under our Second Amended and Restated Credit Agreement. We monitor our cost of borrowing under our facilities, taking into account our funding requirements, and our expectations for short-term rates in the future. A hypothetical 10% change in the interest rate on our Second Amended and Restated Credit Agreement for all periods presented would not have a material impact on our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Risk</w:t>
      </w:r>
    </w:p>
    <w:p>
      <w:pPr>
        <w:spacing w:after="0" w:line="3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Risk</w:t>
      </w:r>
    </w:p>
    <w:p>
      <w:pPr>
        <w:spacing w:after="0" w:line="41"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Given the recent rise in inflation, there have been and may continue to be additional pressures on the ongoing increases in supply chain and logistics costs, materials costs, and labor costs. Although we do not believe that inflation has had a material impact on our business, financial condition or results of operations,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auto"/>
        </w:rPr>
        <w:t>Item 8.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60" w:type="dxa"/>
            <w:vAlign w:val="bottom"/>
            <w:gridSpan w:val="3"/>
          </w:tcPr>
          <w:p>
            <w:pPr>
              <w:jc w:val="center"/>
              <w:ind w:left="4376"/>
              <w:spacing w:after="0"/>
              <w:rPr>
                <w:sz w:val="20"/>
                <w:szCs w:val="20"/>
                <w:color w:val="auto"/>
              </w:rPr>
            </w:pPr>
            <w:r>
              <w:rPr>
                <w:rFonts w:ascii="Arial" w:cs="Arial" w:eastAsia="Arial" w:hAnsi="Arial"/>
                <w:sz w:val="13"/>
                <w:szCs w:val="13"/>
                <w:b w:val="1"/>
                <w:bCs w:val="1"/>
                <w:color w:val="auto"/>
                <w:w w:val="96"/>
              </w:rPr>
              <w:t>Page</w:t>
            </w:r>
          </w:p>
        </w:tc>
      </w:tr>
      <w:tr>
        <w:trPr>
          <w:trHeight w:val="138"/>
        </w:trPr>
        <w:tc>
          <w:tcPr>
            <w:tcW w:w="280" w:type="dxa"/>
            <w:vAlign w:val="bottom"/>
          </w:tcPr>
          <w:p>
            <w:pPr>
              <w:spacing w:after="0"/>
              <w:rPr>
                <w:sz w:val="11"/>
                <w:szCs w:val="11"/>
                <w:color w:val="auto"/>
              </w:rPr>
            </w:pPr>
          </w:p>
        </w:tc>
        <w:tc>
          <w:tcPr>
            <w:tcW w:w="4740" w:type="dxa"/>
            <w:vAlign w:val="bottom"/>
            <w:gridSpan w:val="7"/>
          </w:tcPr>
          <w:p>
            <w:pPr>
              <w:spacing w:after="0" w:line="138" w:lineRule="exact"/>
              <w:rPr>
                <w:sz w:val="20"/>
                <w:szCs w:val="20"/>
                <w:color w:val="auto"/>
              </w:rPr>
            </w:pPr>
            <w:r>
              <w:rPr>
                <w:rFonts w:ascii="Arial" w:cs="Arial" w:eastAsia="Arial" w:hAnsi="Arial"/>
                <w:sz w:val="13"/>
                <w:szCs w:val="13"/>
                <w:color w:val="0000FF"/>
              </w:rPr>
              <w:t xml:space="preserve">Report of Independent Registered Public Accounting Firm </w:t>
            </w:r>
            <w:r>
              <w:rPr>
                <w:rFonts w:ascii="Arial" w:cs="Arial" w:eastAsia="Arial" w:hAnsi="Arial"/>
                <w:sz w:val="13"/>
                <w:szCs w:val="13"/>
                <w:color w:val="000000"/>
              </w:rPr>
              <w:t>(PCAOB ID: 42)</w:t>
            </w:r>
          </w:p>
        </w:tc>
        <w:tc>
          <w:tcPr>
            <w:tcW w:w="5420" w:type="dxa"/>
            <w:vAlign w:val="bottom"/>
            <w:gridSpan w:val="2"/>
          </w:tcPr>
          <w:p>
            <w:pPr>
              <w:jc w:val="center"/>
              <w:ind w:left="5216"/>
              <w:spacing w:after="0" w:line="138" w:lineRule="exact"/>
              <w:rPr>
                <w:sz w:val="20"/>
                <w:szCs w:val="20"/>
                <w:color w:val="auto"/>
              </w:rPr>
            </w:pPr>
            <w:r>
              <w:rPr>
                <w:rFonts w:ascii="Arial" w:cs="Arial" w:eastAsia="Arial" w:hAnsi="Arial"/>
                <w:sz w:val="13"/>
                <w:szCs w:val="13"/>
                <w:color w:val="0000FF"/>
                <w:w w:val="96"/>
              </w:rPr>
              <w:t>67</w:t>
            </w:r>
          </w:p>
        </w:tc>
        <w:tc>
          <w:tcPr>
            <w:tcW w:w="840" w:type="dxa"/>
            <w:vAlign w:val="bottom"/>
          </w:tcPr>
          <w:p>
            <w:pPr>
              <w:spacing w:after="0"/>
              <w:rPr>
                <w:sz w:val="11"/>
                <w:szCs w:val="11"/>
                <w:color w:val="auto"/>
              </w:rPr>
            </w:pPr>
          </w:p>
        </w:tc>
      </w:tr>
      <w:tr>
        <w:trPr>
          <w:trHeight w:val="20"/>
        </w:trPr>
        <w:tc>
          <w:tcPr>
            <w:tcW w:w="28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260" w:type="dxa"/>
            <w:vAlign w:val="bottom"/>
            <w:gridSpan w:val="5"/>
          </w:tcPr>
          <w:p>
            <w:pPr>
              <w:spacing w:after="0"/>
              <w:rPr>
                <w:sz w:val="20"/>
                <w:szCs w:val="20"/>
                <w:color w:val="auto"/>
              </w:rPr>
            </w:pPr>
            <w:r>
              <w:rPr>
                <w:rFonts w:ascii="Arial" w:cs="Arial" w:eastAsia="Arial" w:hAnsi="Arial"/>
                <w:sz w:val="13"/>
                <w:szCs w:val="13"/>
                <w:color w:val="0000FF"/>
              </w:rPr>
              <w:t>Consolidated Balance Sheets</w:t>
            </w:r>
          </w:p>
        </w:tc>
        <w:tc>
          <w:tcPr>
            <w:tcW w:w="1480" w:type="dxa"/>
            <w:vAlign w:val="bottom"/>
            <w:gridSpan w:val="2"/>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70</w:t>
            </w:r>
          </w:p>
        </w:tc>
        <w:tc>
          <w:tcPr>
            <w:tcW w:w="8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700" w:type="dxa"/>
            <w:vAlign w:val="bottom"/>
            <w:gridSpan w:val="6"/>
          </w:tcPr>
          <w:p>
            <w:pPr>
              <w:spacing w:after="0"/>
              <w:rPr>
                <w:sz w:val="20"/>
                <w:szCs w:val="20"/>
                <w:color w:val="auto"/>
              </w:rPr>
            </w:pPr>
            <w:r>
              <w:rPr>
                <w:rFonts w:ascii="Arial" w:cs="Arial" w:eastAsia="Arial" w:hAnsi="Arial"/>
                <w:sz w:val="13"/>
                <w:szCs w:val="13"/>
                <w:color w:val="0000FF"/>
                <w:w w:val="97"/>
              </w:rPr>
              <w:t>Consolidated Statements of Operations and Comprehensive Loss</w:t>
            </w:r>
          </w:p>
        </w:tc>
        <w:tc>
          <w:tcPr>
            <w:tcW w:w="1040" w:type="dxa"/>
            <w:vAlign w:val="bottom"/>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71</w:t>
            </w:r>
          </w:p>
        </w:tc>
        <w:tc>
          <w:tcPr>
            <w:tcW w:w="8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700" w:type="dxa"/>
            <w:vAlign w:val="bottom"/>
            <w:gridSpan w:val="6"/>
          </w:tcPr>
          <w:p>
            <w:pPr>
              <w:spacing w:after="0"/>
              <w:rPr>
                <w:sz w:val="20"/>
                <w:szCs w:val="20"/>
                <w:color w:val="auto"/>
              </w:rPr>
            </w:pPr>
            <w:r>
              <w:rPr>
                <w:rFonts w:ascii="Arial" w:cs="Arial" w:eastAsia="Arial" w:hAnsi="Arial"/>
                <w:sz w:val="13"/>
                <w:szCs w:val="13"/>
                <w:color w:val="0000FF"/>
              </w:rPr>
              <w:t>Consolidated Statements of Cash Flows</w:t>
            </w:r>
          </w:p>
        </w:tc>
        <w:tc>
          <w:tcPr>
            <w:tcW w:w="1040" w:type="dxa"/>
            <w:vAlign w:val="bottom"/>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71</w:t>
            </w:r>
          </w:p>
        </w:tc>
        <w:tc>
          <w:tcPr>
            <w:tcW w:w="8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760" w:type="dxa"/>
            <w:vAlign w:val="bottom"/>
            <w:gridSpan w:val="4"/>
          </w:tcPr>
          <w:p>
            <w:pPr>
              <w:spacing w:after="0"/>
              <w:rPr>
                <w:sz w:val="20"/>
                <w:szCs w:val="20"/>
                <w:color w:val="auto"/>
              </w:rPr>
            </w:pPr>
            <w:r>
              <w:rPr>
                <w:rFonts w:ascii="Arial" w:cs="Arial" w:eastAsia="Arial" w:hAnsi="Arial"/>
                <w:sz w:val="13"/>
                <w:szCs w:val="13"/>
                <w:color w:val="0000FF"/>
                <w:w w:val="97"/>
              </w:rPr>
              <w:t>Consolidated Statements of Stockholders’ Equity</w:t>
            </w:r>
          </w:p>
        </w:tc>
        <w:tc>
          <w:tcPr>
            <w:tcW w:w="1980" w:type="dxa"/>
            <w:vAlign w:val="bottom"/>
            <w:gridSpan w:val="3"/>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74</w:t>
            </w:r>
          </w:p>
        </w:tc>
        <w:tc>
          <w:tcPr>
            <w:tcW w:w="8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760" w:type="dxa"/>
            <w:vAlign w:val="bottom"/>
            <w:gridSpan w:val="4"/>
          </w:tcPr>
          <w:p>
            <w:pPr>
              <w:spacing w:after="0"/>
              <w:rPr>
                <w:sz w:val="20"/>
                <w:szCs w:val="20"/>
                <w:color w:val="auto"/>
              </w:rPr>
            </w:pPr>
            <w:r>
              <w:rPr>
                <w:rFonts w:ascii="Arial" w:cs="Arial" w:eastAsia="Arial" w:hAnsi="Arial"/>
                <w:sz w:val="13"/>
                <w:szCs w:val="13"/>
                <w:color w:val="0000FF"/>
              </w:rPr>
              <w:t>Notes to Consolidated Financial Statements</w:t>
            </w:r>
          </w:p>
        </w:tc>
        <w:tc>
          <w:tcPr>
            <w:tcW w:w="1980" w:type="dxa"/>
            <w:vAlign w:val="bottom"/>
            <w:gridSpan w:val="3"/>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75</w:t>
            </w:r>
          </w:p>
        </w:tc>
        <w:tc>
          <w:tcPr>
            <w:tcW w:w="840" w:type="dxa"/>
            <w:vAlign w:val="bottom"/>
          </w:tcPr>
          <w:p>
            <w:pPr>
              <w:spacing w:after="0"/>
              <w:rPr>
                <w:sz w:val="13"/>
                <w:szCs w:val="13"/>
                <w:color w:val="auto"/>
              </w:rPr>
            </w:pPr>
          </w:p>
        </w:tc>
      </w:tr>
      <w:tr>
        <w:trPr>
          <w:trHeight w:val="338"/>
        </w:trPr>
        <w:tc>
          <w:tcPr>
            <w:tcW w:w="280" w:type="dxa"/>
            <w:vAlign w:val="bottom"/>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80" w:type="dxa"/>
            <w:vAlign w:val="bottom"/>
          </w:tcPr>
          <w:p>
            <w:pPr>
              <w:jc w:val="right"/>
              <w:ind w:right="4516"/>
              <w:spacing w:after="0"/>
              <w:rPr>
                <w:sz w:val="20"/>
                <w:szCs w:val="20"/>
                <w:color w:val="auto"/>
              </w:rPr>
            </w:pPr>
            <w:r>
              <w:rPr>
                <w:rFonts w:ascii="Arial" w:cs="Arial" w:eastAsia="Arial" w:hAnsi="Arial"/>
                <w:sz w:val="13"/>
                <w:szCs w:val="13"/>
                <w:color w:val="auto"/>
              </w:rPr>
              <w:t>66</w:t>
            </w:r>
          </w:p>
        </w:tc>
        <w:tc>
          <w:tcPr>
            <w:tcW w:w="1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r>
      <w:tr>
        <w:trPr>
          <w:trHeight w:val="89"/>
        </w:trPr>
        <w:tc>
          <w:tcPr>
            <w:tcW w:w="2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67" w:name="page68"/>
    <w:bookmarkEnd w:id="67"/>
    <w:p>
      <w:pPr>
        <w:ind w:left="38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Peloton Interactive, Inc.</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190" w:lineRule="exact"/>
        <w:rPr>
          <w:sz w:val="20"/>
          <w:szCs w:val="20"/>
          <w:color w:val="auto"/>
        </w:rPr>
      </w:pPr>
    </w:p>
    <w:p>
      <w:pPr>
        <w:ind w:right="340"/>
        <w:spacing w:after="0" w:line="253" w:lineRule="auto"/>
        <w:rPr>
          <w:sz w:val="20"/>
          <w:szCs w:val="20"/>
          <w:color w:val="auto"/>
        </w:rPr>
      </w:pPr>
      <w:r>
        <w:rPr>
          <w:rFonts w:ascii="Arial" w:cs="Arial" w:eastAsia="Arial" w:hAnsi="Arial"/>
          <w:sz w:val="13"/>
          <w:szCs w:val="13"/>
          <w:color w:val="auto"/>
        </w:rPr>
        <w:t>We have audited the accompanying consolidated balance sheets of Peloton Interactive, Inc. (the Company) as of June 30, 2022 and 2021, the related consolidated statements of operations and comprehensive loss, cash flows and stockholders’ equity for each of the three years in the period ended June 30, 2022, and the related notes (collectively referred to as the “consolidated financial statements”). In our opinion, the consolidated financial statements present fairly, in all material respects, the financial position of the Company at June 30, 2022 and 2021, and the results of its operations and its cash flows for each of the three years in the period ended June 30, 2022, in conformity with U.S. generally accepted accounting principles.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June 30, 2022, based on criteria established in Internal Control-Integrated Framework issued by the Committee of Sponsoring Organizations of the Treadway Commission (2013 framework) and our report dated September 6, 2022 expressed an adverse opinion thereon.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Audit Matters</w:t>
      </w:r>
    </w:p>
    <w:p>
      <w:pPr>
        <w:spacing w:after="0" w:line="190"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80"/>
          </w:cols>
          <w:pgMar w:left="300" w:top="62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Timing of Revenue Recognition – Connected Fitness Products</w:t>
      </w:r>
    </w:p>
    <w:p>
      <w:pPr>
        <w:spacing w:after="0" w:line="254" w:lineRule="exact"/>
        <w:rPr>
          <w:sz w:val="20"/>
          <w:szCs w:val="20"/>
          <w:color w:val="auto"/>
        </w:rPr>
      </w:pPr>
    </w:p>
    <w:p>
      <w:pPr>
        <w:ind w:right="420"/>
        <w:spacing w:after="0" w:line="252" w:lineRule="auto"/>
        <w:rPr>
          <w:sz w:val="20"/>
          <w:szCs w:val="20"/>
          <w:color w:val="auto"/>
        </w:rPr>
      </w:pPr>
      <w:r>
        <w:rPr>
          <w:rFonts w:ascii="Arial" w:cs="Arial" w:eastAsia="Arial" w:hAnsi="Arial"/>
          <w:sz w:val="13"/>
          <w:szCs w:val="13"/>
          <w:color w:val="auto"/>
        </w:rPr>
        <w:t>The Company recognized $2,187.5 million of Connected Fitness Products revenue for the year ended June 30, 2022. As discussed in Note 3 to the consolidated financial statements, the Company recognizes Connected Fitness Product revenue when control of the promised good is transferred to the customer, which is completed upon delivery of the Connected Fitness Product.</w:t>
      </w:r>
    </w:p>
    <w:p>
      <w:pPr>
        <w:spacing w:after="0" w:line="176"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color w:val="auto"/>
        </w:rPr>
        <w:t>Auditing the timing of Connected Fitness Products revenue recognition was especially challenging as it involved significant audit effort in evaluating the audit evidence from multiple sources supporting the delivery of the Connected Fitness Products to the customer.</w:t>
      </w:r>
    </w:p>
    <w:p>
      <w:pPr>
        <w:spacing w:after="0" w:line="210" w:lineRule="exact"/>
        <w:rPr>
          <w:sz w:val="20"/>
          <w:szCs w:val="20"/>
          <w:color w:val="auto"/>
        </w:rPr>
      </w:pPr>
    </w:p>
    <w:p>
      <w:pPr>
        <w:ind w:right="300"/>
        <w:spacing w:after="0" w:line="266" w:lineRule="auto"/>
        <w:rPr>
          <w:sz w:val="20"/>
          <w:szCs w:val="20"/>
          <w:color w:val="auto"/>
        </w:rPr>
      </w:pPr>
      <w:r>
        <w:rPr>
          <w:rFonts w:ascii="Arial" w:cs="Arial" w:eastAsia="Arial" w:hAnsi="Arial"/>
          <w:sz w:val="13"/>
          <w:szCs w:val="13"/>
          <w:color w:val="auto"/>
        </w:rPr>
        <w:t>We obtained an understanding, evaluated the design, and tested the operating effectiveness of the controls over the timing of revenue recognition for Connected Fitness Products including management’s reconciliation of revenue recognized to the evidence of delivery.</w:t>
      </w:r>
    </w:p>
    <w:p>
      <w:pPr>
        <w:spacing w:after="0" w:line="157" w:lineRule="exact"/>
        <w:rPr>
          <w:sz w:val="20"/>
          <w:szCs w:val="20"/>
          <w:color w:val="auto"/>
        </w:rPr>
      </w:pPr>
    </w:p>
    <w:p>
      <w:pPr>
        <w:ind w:right="360"/>
        <w:spacing w:after="0" w:line="287" w:lineRule="auto"/>
        <w:rPr>
          <w:sz w:val="20"/>
          <w:szCs w:val="20"/>
          <w:color w:val="auto"/>
        </w:rPr>
      </w:pPr>
      <w:r>
        <w:rPr>
          <w:rFonts w:ascii="Arial" w:cs="Arial" w:eastAsia="Arial" w:hAnsi="Arial"/>
          <w:sz w:val="12"/>
          <w:szCs w:val="12"/>
          <w:color w:val="auto"/>
        </w:rPr>
        <w:t>To test the timing of revenue recognition, our audit procedures included, among others, reconciling the evidence of delivery from multiple sources to support the timing of revenue recognized. On a sample basis, we tested the completeness and accuracy of the underlying delivery data. In addition, we performed testing as of year-end to validate the appropriate cutoff associated with revenue recognition. Lastly, at year-end, we performed a review of revenue activity for any material or unusual transactions and obtained supporting evidence of delivery, as needed.</w:t>
      </w:r>
    </w:p>
    <w:p>
      <w:pPr>
        <w:spacing w:after="0" w:line="200" w:lineRule="exact"/>
        <w:rPr>
          <w:sz w:val="20"/>
          <w:szCs w:val="20"/>
          <w:color w:val="auto"/>
        </w:rPr>
      </w:pPr>
    </w:p>
    <w:p>
      <w:pPr>
        <w:sectPr>
          <w:pgSz w:w="11900" w:h="16838" w:orient="portrait"/>
          <w:cols w:equalWidth="0" w:num="2">
            <w:col w:w="2460" w:space="320"/>
            <w:col w:w="8500"/>
          </w:cols>
          <w:pgMar w:left="300" w:top="628" w:right="319" w:bottom="1440" w:gutter="0" w:footer="0" w:header="0"/>
          <w:type w:val="continuous"/>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8" w:right="319" w:bottom="1440" w:gutter="0" w:footer="0" w:header="0"/>
          <w:type w:val="continuous"/>
        </w:sectPr>
      </w:pPr>
    </w:p>
    <w:bookmarkStart w:id="68" w:name="page69"/>
    <w:bookmarkEnd w:id="68"/>
    <w:p>
      <w:pPr>
        <w:spacing w:after="0" w:line="39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Impairments of Goodwill and Long-Lived Assets</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discussed in Notes 8 and 9 to the consolidated financial statements, the Company tests goodwill for impairment at least annually, or more frequently if events or changes in circumstances occur that would more likely than not result in impairment. The Company tests long-lived assets for impairment whenever events or changes in circumstances indicate that the carrying amounts of the asset or group of assets may not be recoverable. During fiscal 2022, the Company identified various impairment indicators, including realignment of cost structure, softening demand, and sustained decrease in stock price, that indicated that the carrying amount of the long-lived assets might not be recoverable. During the year ended June 30, 2022, the Company evaluated the goodwill and long-lived assets (consisting primarily of property and equipment, operating lease right-of-use assets and intangible assets) for impairment. The Company recognized goodwill and long-lived assets impairment charges of $181.9 million and $390.5 million, respectively.</w:t>
      </w:r>
    </w:p>
    <w:p>
      <w:pPr>
        <w:spacing w:after="0" w:line="170" w:lineRule="exact"/>
        <w:rPr>
          <w:sz w:val="20"/>
          <w:szCs w:val="20"/>
          <w:color w:val="auto"/>
        </w:rPr>
      </w:pPr>
    </w:p>
    <w:p>
      <w:pPr>
        <w:jc w:val="both"/>
        <w:ind w:right="80"/>
        <w:spacing w:after="0" w:line="261" w:lineRule="auto"/>
        <w:rPr>
          <w:sz w:val="20"/>
          <w:szCs w:val="20"/>
          <w:color w:val="auto"/>
        </w:rPr>
      </w:pPr>
      <w:r>
        <w:rPr>
          <w:rFonts w:ascii="Arial" w:cs="Arial" w:eastAsia="Arial" w:hAnsi="Arial"/>
          <w:sz w:val="13"/>
          <w:szCs w:val="13"/>
          <w:color w:val="auto"/>
        </w:rPr>
        <w:t>Auditing the impairments of goodwill and the long-lived assets was especially challenging due to the material weakness in the Company’s internal control over financial reporting relating to goodwill and long-lived asset impairment testing. This in turn led to significant audit efforts to support the measurement and recognition of the Connected Fitness Products reporting unit and the long-lived assets subject to impairment.</w:t>
      </w:r>
    </w:p>
    <w:p>
      <w:pPr>
        <w:spacing w:after="0" w:line="202"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To test the impairments of goodwill and the long-lived assets, we performed audit procedures that included, among others, assessing methodologies used by the Company in assessing the recoverability and fair values of goodwill and the long-lived assets, as applicable. In addition, we obtained an understanding of the Company’s realignment of cost structure and the implications on the resulting fair values. We involved our valuation specialists and evaluated the reasonableness of management’s measurement of the long-lived assets and the Connected Fitness Products reporting unit subject to impairment. In response to the material weakness in the Company’s internal controls, we adjusted audit testing thresholds over the Company’s long-lived assets and performed incremental testing of the significant assumptions to support the determination of fair value of the long-lived assets.</w:t>
      </w:r>
    </w:p>
    <w:p>
      <w:pPr>
        <w:spacing w:after="0" w:line="594" w:lineRule="exact"/>
        <w:rPr>
          <w:sz w:val="20"/>
          <w:szCs w:val="20"/>
          <w:color w:val="auto"/>
        </w:rPr>
      </w:pPr>
    </w:p>
    <w:p>
      <w:pPr>
        <w:sectPr>
          <w:pgSz w:w="11900" w:h="16838" w:orient="portrait"/>
          <w:cols w:equalWidth="0" w:num="2">
            <w:col w:w="2460" w:space="320"/>
            <w:col w:w="8280"/>
          </w:cols>
          <w:pgMar w:left="300" w:top="808" w:right="539" w:bottom="1440" w:gutter="0" w:footer="0" w:header="0"/>
        </w:sectPr>
      </w:pPr>
    </w:p>
    <w:p>
      <w:pPr>
        <w:spacing w:after="0"/>
        <w:rPr>
          <w:sz w:val="20"/>
          <w:szCs w:val="20"/>
          <w:color w:val="auto"/>
        </w:rPr>
      </w:pPr>
      <w:r>
        <w:rPr>
          <w:rFonts w:ascii="Arial" w:cs="Arial" w:eastAsia="Arial" w:hAnsi="Arial"/>
          <w:sz w:val="13"/>
          <w:szCs w:val="13"/>
          <w:color w:val="auto"/>
        </w:rPr>
        <w:t>We have served as the Company’s auditor since 2017.</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September 6,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08" w:right="539" w:bottom="1440" w:gutter="0" w:footer="0" w:header="0"/>
          <w:type w:val="continuous"/>
        </w:sectPr>
      </w:pPr>
    </w:p>
    <w:bookmarkStart w:id="69" w:name="page70"/>
    <w:bookmarkEnd w:id="69"/>
    <w:p>
      <w:pPr>
        <w:ind w:left="38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Peloton Interactive, Inc.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190" w:lineRule="exact"/>
        <w:rPr>
          <w:sz w:val="20"/>
          <w:szCs w:val="20"/>
          <w:color w:val="auto"/>
        </w:rPr>
      </w:pPr>
    </w:p>
    <w:p>
      <w:pPr>
        <w:ind w:right="140"/>
        <w:spacing w:after="0" w:line="253" w:lineRule="auto"/>
        <w:rPr>
          <w:sz w:val="20"/>
          <w:szCs w:val="20"/>
          <w:color w:val="auto"/>
        </w:rPr>
      </w:pPr>
      <w:r>
        <w:rPr>
          <w:rFonts w:ascii="Arial" w:cs="Arial" w:eastAsia="Arial" w:hAnsi="Arial"/>
          <w:sz w:val="13"/>
          <w:szCs w:val="13"/>
          <w:color w:val="auto"/>
        </w:rPr>
        <w:t>We have audited Peloton Interactive, Inc.’s internal control over financial reporting as of June 30, 2022,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Peloton Interactive, Inc. (the Company) has not maintained effective internal control over financial reporting as of June 30, 2022, based on the COSO criteria.</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material weaknesses in the Company’s inventory and goodwill and long-lived asset impairment processes and restructuring assessment.</w:t>
      </w:r>
    </w:p>
    <w:p>
      <w:pPr>
        <w:spacing w:after="0" w:line="159" w:lineRule="exact"/>
        <w:rPr>
          <w:sz w:val="20"/>
          <w:szCs w:val="20"/>
          <w:color w:val="auto"/>
        </w:rPr>
      </w:pPr>
    </w:p>
    <w:p>
      <w:pPr>
        <w:jc w:val="both"/>
        <w:ind w:right="60"/>
        <w:spacing w:after="0" w:line="25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Company as of June 30, 2022 and 2021, the related consolidated statements of operations and comprehensive loss, cash flows and stockholders’ equity for each of the three years in the period ended June 30, 2022, and the related notes. These material weaknesses were considered in determining the nature, timing and extent of audit tests applied in our audit of the 2022 consolidated financial statements, and this report does not affect our report dated September 6, 2022, which expressed an unqualified opinion thereon</w:t>
      </w:r>
      <w:r>
        <w:rPr>
          <w:rFonts w:ascii="Arial" w:cs="Arial" w:eastAsia="Arial" w:hAnsi="Arial"/>
          <w:sz w:val="13"/>
          <w:szCs w:val="13"/>
          <w:b w:val="1"/>
          <w:b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201"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September 6, 2022</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8" w:right="339" w:bottom="1440" w:gutter="0" w:footer="0" w:header="0"/>
        </w:sectPr>
      </w:pPr>
    </w:p>
    <w:bookmarkStart w:id="70" w:name="page71"/>
    <w:bookmarkEnd w:id="70"/>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2"/>
        </w:trPr>
        <w:tc>
          <w:tcPr>
            <w:tcW w:w="7620" w:type="dxa"/>
            <w:vAlign w:val="bottom"/>
          </w:tcPr>
          <w:p>
            <w:pPr>
              <w:spacing w:after="0"/>
              <w:rPr>
                <w:sz w:val="15"/>
                <w:szCs w:val="15"/>
                <w:color w:val="auto"/>
              </w:rPr>
            </w:pPr>
          </w:p>
        </w:tc>
        <w:tc>
          <w:tcPr>
            <w:tcW w:w="1180" w:type="dxa"/>
            <w:vAlign w:val="bottom"/>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6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1,253.9</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1,134.8</w:t>
            </w:r>
          </w:p>
        </w:tc>
        <w:tc>
          <w:tcPr>
            <w:tcW w:w="0" w:type="dxa"/>
            <w:vAlign w:val="bottom"/>
          </w:tcPr>
          <w:p>
            <w:pPr>
              <w:spacing w:after="0"/>
              <w:rPr>
                <w:sz w:val="1"/>
                <w:szCs w:val="1"/>
                <w:color w:val="auto"/>
              </w:rPr>
            </w:pPr>
          </w:p>
        </w:tc>
      </w:tr>
      <w:tr>
        <w:trPr>
          <w:trHeight w:val="169"/>
        </w:trPr>
        <w:tc>
          <w:tcPr>
            <w:tcW w:w="7620" w:type="dxa"/>
            <w:vAlign w:val="bottom"/>
          </w:tcPr>
          <w:p>
            <w:pPr>
              <w:ind w:left="280"/>
              <w:spacing w:after="0"/>
              <w:rPr>
                <w:sz w:val="20"/>
                <w:szCs w:val="20"/>
                <w:color w:val="auto"/>
              </w:rPr>
            </w:pPr>
            <w:r>
              <w:rPr>
                <w:rFonts w:ascii="Arial" w:cs="Arial" w:eastAsia="Arial" w:hAnsi="Arial"/>
                <w:sz w:val="13"/>
                <w:szCs w:val="13"/>
                <w:color w:val="auto"/>
              </w:rPr>
              <w:t>Marketable securities</w:t>
            </w:r>
          </w:p>
        </w:tc>
        <w:tc>
          <w:tcPr>
            <w:tcW w:w="11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472.0</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receivable, net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69"/>
        </w:trPr>
        <w:tc>
          <w:tcPr>
            <w:tcW w:w="7620" w:type="dxa"/>
            <w:vAlign w:val="bottom"/>
          </w:tcPr>
          <w:p>
            <w:pPr>
              <w:ind w:left="280"/>
              <w:spacing w:after="0"/>
              <w:rPr>
                <w:sz w:val="20"/>
                <w:szCs w:val="20"/>
                <w:color w:val="auto"/>
              </w:rPr>
            </w:pPr>
            <w:r>
              <w:rPr>
                <w:rFonts w:ascii="Arial" w:cs="Arial" w:eastAsia="Arial" w:hAnsi="Arial"/>
                <w:sz w:val="13"/>
                <w:szCs w:val="13"/>
                <w:color w:val="auto"/>
              </w:rPr>
              <w:t>Inventories, net</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1,104.5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937.1</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192.5</w:t>
            </w:r>
          </w:p>
        </w:tc>
        <w:tc>
          <w:tcPr>
            <w:tcW w:w="1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202.8</w:t>
            </w:r>
          </w:p>
        </w:tc>
        <w:tc>
          <w:tcPr>
            <w:tcW w:w="0" w:type="dxa"/>
            <w:vAlign w:val="bottom"/>
          </w:tcPr>
          <w:p>
            <w:pPr>
              <w:spacing w:after="0"/>
              <w:rPr>
                <w:sz w:val="1"/>
                <w:szCs w:val="1"/>
                <w:color w:val="auto"/>
              </w:rPr>
            </w:pPr>
          </w:p>
        </w:tc>
      </w:tr>
      <w:tr>
        <w:trPr>
          <w:trHeight w:val="159"/>
        </w:trPr>
        <w:tc>
          <w:tcPr>
            <w:tcW w:w="762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current assets</w:t>
            </w:r>
          </w:p>
        </w:tc>
        <w:tc>
          <w:tcPr>
            <w:tcW w:w="1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2,634.6</w:t>
            </w: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2,818.1</w:t>
            </w: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610.9</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591.9</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247.9</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210.1</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 net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662.5</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580.1</w:t>
            </w:r>
          </w:p>
        </w:tc>
        <w:tc>
          <w:tcPr>
            <w:tcW w:w="0" w:type="dxa"/>
            <w:vAlign w:val="bottom"/>
          </w:tcPr>
          <w:p>
            <w:pPr>
              <w:spacing w:after="0"/>
              <w:rPr>
                <w:sz w:val="1"/>
                <w:szCs w:val="1"/>
                <w:color w:val="auto"/>
              </w:rPr>
            </w:pPr>
          </w:p>
        </w:tc>
      </w:tr>
      <w:tr>
        <w:trPr>
          <w:trHeight w:val="16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87"/>
        </w:trPr>
        <w:tc>
          <w:tcPr>
            <w:tcW w:w="7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Total assets</w:t>
            </w: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4,028.5</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4,485.6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62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tcPr>
          <w:p>
            <w:pPr>
              <w:ind w:left="280"/>
              <w:spacing w:after="0"/>
              <w:rPr>
                <w:sz w:val="20"/>
                <w:szCs w:val="20"/>
                <w:color w:val="auto"/>
              </w:rPr>
            </w:pPr>
            <w:r>
              <w:rPr>
                <w:rFonts w:ascii="Arial" w:cs="Arial" w:eastAsia="Arial" w:hAnsi="Arial"/>
                <w:sz w:val="13"/>
                <w:szCs w:val="13"/>
                <w:color w:val="auto"/>
              </w:rPr>
              <w:t>Accounts payable and accrued expenses</w:t>
            </w:r>
          </w:p>
        </w:tc>
        <w:tc>
          <w:tcPr>
            <w:tcW w:w="1180" w:type="dxa"/>
            <w:vAlign w:val="bottom"/>
          </w:tcPr>
          <w:p>
            <w:pPr>
              <w:jc w:val="right"/>
              <w:ind w:right="10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797.4</w:t>
            </w:r>
          </w:p>
        </w:tc>
        <w:tc>
          <w:tcPr>
            <w:tcW w:w="14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989.1</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portion of long term debt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20" w:type="dxa"/>
            <w:vAlign w:val="bottom"/>
          </w:tcPr>
          <w:p>
            <w:pPr>
              <w:ind w:left="280"/>
              <w:spacing w:after="0"/>
              <w:rPr>
                <w:sz w:val="20"/>
                <w:szCs w:val="20"/>
                <w:color w:val="auto"/>
              </w:rPr>
            </w:pPr>
            <w:r>
              <w:rPr>
                <w:rFonts w:ascii="Arial" w:cs="Arial" w:eastAsia="Arial" w:hAnsi="Arial"/>
                <w:sz w:val="13"/>
                <w:szCs w:val="13"/>
                <w:color w:val="auto"/>
              </w:rPr>
              <w:t>Customer deposits and deferred revenue</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Operating lease liabilities, current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69"/>
        </w:trPr>
        <w:tc>
          <w:tcPr>
            <w:tcW w:w="76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current liabilities</w:t>
            </w: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Total current liabilities</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1,105.5</w:t>
            </w:r>
          </w:p>
        </w:tc>
        <w:tc>
          <w:tcPr>
            <w:tcW w:w="1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1,243.0</w:t>
            </w:r>
          </w:p>
        </w:tc>
        <w:tc>
          <w:tcPr>
            <w:tcW w:w="0" w:type="dxa"/>
            <w:vAlign w:val="bottom"/>
          </w:tcPr>
          <w:p>
            <w:pPr>
              <w:spacing w:after="0"/>
              <w:rPr>
                <w:sz w:val="1"/>
                <w:szCs w:val="1"/>
                <w:color w:val="auto"/>
              </w:rPr>
            </w:pPr>
          </w:p>
        </w:tc>
      </w:tr>
      <w:tr>
        <w:trPr>
          <w:trHeight w:val="159"/>
        </w:trPr>
        <w:tc>
          <w:tcPr>
            <w:tcW w:w="7620" w:type="dxa"/>
            <w:vAlign w:val="bottom"/>
          </w:tcPr>
          <w:p>
            <w:pPr>
              <w:ind w:left="20"/>
              <w:spacing w:after="0"/>
              <w:rPr>
                <w:sz w:val="20"/>
                <w:szCs w:val="20"/>
                <w:color w:val="auto"/>
              </w:rPr>
            </w:pPr>
            <w:r>
              <w:rPr>
                <w:rFonts w:ascii="Arial" w:cs="Arial" w:eastAsia="Arial" w:hAnsi="Arial"/>
                <w:sz w:val="13"/>
                <w:szCs w:val="13"/>
                <w:color w:val="auto"/>
              </w:rPr>
              <w:t>0% Convertible senior notes, net</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864.0</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829.8</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net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690.0</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Operating lease liabilities, non-current</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725.4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620.4</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59"/>
        </w:trPr>
        <w:tc>
          <w:tcPr>
            <w:tcW w:w="762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liabilities</w:t>
            </w:r>
          </w:p>
        </w:tc>
        <w:tc>
          <w:tcPr>
            <w:tcW w:w="1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3,435.6</w:t>
            </w: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2,731.5</w:t>
            </w:r>
          </w:p>
        </w:tc>
        <w:tc>
          <w:tcPr>
            <w:tcW w:w="0" w:type="dxa"/>
            <w:vAlign w:val="bottom"/>
          </w:tcPr>
          <w:p>
            <w:pPr>
              <w:spacing w:after="0"/>
              <w:rPr>
                <w:sz w:val="1"/>
                <w:szCs w:val="1"/>
                <w:color w:val="auto"/>
              </w:rPr>
            </w:pPr>
          </w:p>
        </w:tc>
      </w:tr>
      <w:tr>
        <w:trPr>
          <w:trHeight w:val="151"/>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13)</w:t>
            </w:r>
          </w:p>
        </w:tc>
        <w:tc>
          <w:tcPr>
            <w:tcW w:w="1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2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Common stock, $0.000025 par value; 2,500,000,000 and 2,500,000,000 Class A shares authorized, 308,241,938 and</w:t>
            </w:r>
          </w:p>
        </w:tc>
        <w:tc>
          <w:tcPr>
            <w:tcW w:w="1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270,855,356 shares issued and outstanding as of June 30, 2022 and June 30, 2021, respectively; 2,500,000,000 and</w:t>
            </w:r>
          </w:p>
        </w:tc>
        <w:tc>
          <w:tcPr>
            <w:tcW w:w="1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2,500,000,000 Class B shares authorized, 30,032,078 and 29,291,774 shares issued and outstanding as of June 30, 2022 and</w:t>
            </w:r>
          </w:p>
        </w:tc>
        <w:tc>
          <w:tcPr>
            <w:tcW w:w="11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June 30, 2021, respectively.</w:t>
            </w:r>
          </w:p>
        </w:tc>
        <w:tc>
          <w:tcPr>
            <w:tcW w:w="1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tcPr>
          <w:p>
            <w:pPr>
              <w:ind w:left="280"/>
              <w:spacing w:after="0"/>
              <w:rPr>
                <w:sz w:val="20"/>
                <w:szCs w:val="20"/>
                <w:color w:val="auto"/>
              </w:rPr>
            </w:pPr>
            <w:r>
              <w:rPr>
                <w:rFonts w:ascii="Arial" w:cs="Arial" w:eastAsia="Arial" w:hAnsi="Arial"/>
                <w:sz w:val="13"/>
                <w:szCs w:val="13"/>
                <w:color w:val="auto"/>
              </w:rPr>
              <w:t>Additional paid-in capital</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4,291.3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2,618.9</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69"/>
        </w:trPr>
        <w:tc>
          <w:tcPr>
            <w:tcW w:w="76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Accumulated deficit</w:t>
            </w: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(3,710.6)</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(883.0)</w:t>
            </w:r>
          </w:p>
        </w:tc>
        <w:tc>
          <w:tcPr>
            <w:tcW w:w="0" w:type="dxa"/>
            <w:vAlign w:val="bottom"/>
          </w:tcPr>
          <w:p>
            <w:pPr>
              <w:spacing w:after="0"/>
              <w:rPr>
                <w:sz w:val="1"/>
                <w:szCs w:val="1"/>
                <w:color w:val="auto"/>
              </w:rPr>
            </w:pPr>
          </w:p>
        </w:tc>
      </w:tr>
      <w:tr>
        <w:trPr>
          <w:trHeight w:val="160"/>
        </w:trPr>
        <w:tc>
          <w:tcPr>
            <w:tcW w:w="76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Total stockholders’ equity</w:t>
            </w:r>
          </w:p>
        </w:tc>
        <w:tc>
          <w:tcPr>
            <w:tcW w:w="1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592.9</w:t>
            </w:r>
          </w:p>
        </w:tc>
        <w:tc>
          <w:tcPr>
            <w:tcW w:w="1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1,754.1</w:t>
            </w:r>
          </w:p>
        </w:tc>
        <w:tc>
          <w:tcPr>
            <w:tcW w:w="0" w:type="dxa"/>
            <w:vAlign w:val="bottom"/>
          </w:tcPr>
          <w:p>
            <w:pPr>
              <w:spacing w:after="0"/>
              <w:rPr>
                <w:sz w:val="1"/>
                <w:szCs w:val="1"/>
                <w:color w:val="auto"/>
              </w:rPr>
            </w:pPr>
          </w:p>
        </w:tc>
      </w:tr>
      <w:tr>
        <w:trPr>
          <w:trHeight w:val="162"/>
        </w:trPr>
        <w:tc>
          <w:tcPr>
            <w:tcW w:w="7620" w:type="dxa"/>
            <w:vAlign w:val="bottom"/>
          </w:tcPr>
          <w:p>
            <w:pPr>
              <w:ind w:left="60"/>
              <w:spacing w:after="0"/>
              <w:rPr>
                <w:sz w:val="20"/>
                <w:szCs w:val="20"/>
                <w:color w:val="auto"/>
              </w:rPr>
            </w:pPr>
            <w:r>
              <w:rPr>
                <w:rFonts w:ascii="Arial" w:cs="Arial" w:eastAsia="Arial" w:hAnsi="Arial"/>
                <w:sz w:val="13"/>
                <w:szCs w:val="13"/>
                <w:color w:val="auto"/>
              </w:rPr>
              <w:t>Total liabilities and stockholders’ equity</w:t>
            </w:r>
          </w:p>
        </w:tc>
        <w:tc>
          <w:tcPr>
            <w:tcW w:w="1180" w:type="dxa"/>
            <w:vAlign w:val="bottom"/>
            <w:tcBorders>
              <w:bottom w:val="single" w:sz="8" w:color="auto"/>
            </w:tcBorders>
          </w:tcPr>
          <w:p>
            <w:pPr>
              <w:jc w:val="right"/>
              <w:ind w:right="103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4,028.5</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4,485.6</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236"/>
              <w:spacing w:after="0"/>
              <w:rPr>
                <w:sz w:val="20"/>
                <w:szCs w:val="20"/>
                <w:color w:val="auto"/>
              </w:rPr>
            </w:pPr>
            <w:r>
              <w:rPr>
                <w:rFonts w:ascii="Arial" w:cs="Arial" w:eastAsia="Arial" w:hAnsi="Arial"/>
                <w:sz w:val="13"/>
                <w:szCs w:val="13"/>
                <w:b w:val="1"/>
                <w:bCs w:val="1"/>
                <w:color w:val="auto"/>
              </w:rPr>
              <w:t>Fiscal Year Ended June 30,</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8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0"/>
        </w:trPr>
        <w:tc>
          <w:tcPr>
            <w:tcW w:w="68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Revenue: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80" w:type="dxa"/>
            <w:vAlign w:val="bottom"/>
          </w:tcPr>
          <w:p>
            <w:pPr>
              <w:ind w:left="280"/>
              <w:spacing w:after="0"/>
              <w:rPr>
                <w:sz w:val="20"/>
                <w:szCs w:val="20"/>
                <w:color w:val="auto"/>
              </w:rPr>
            </w:pPr>
            <w:r>
              <w:rPr>
                <w:rFonts w:ascii="Arial" w:cs="Arial" w:eastAsia="Arial" w:hAnsi="Arial"/>
                <w:sz w:val="13"/>
                <w:szCs w:val="13"/>
                <w:color w:val="auto"/>
              </w:rPr>
              <w:t>Connected Fitness Products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2,187.5</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3,149.6</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1,462.2</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Subscription</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1,394.7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363.7</w:t>
            </w:r>
          </w:p>
        </w:tc>
        <w:tc>
          <w:tcPr>
            <w:tcW w:w="0" w:type="dxa"/>
            <w:vAlign w:val="bottom"/>
          </w:tcPr>
          <w:p>
            <w:pPr>
              <w:spacing w:after="0"/>
              <w:rPr>
                <w:sz w:val="1"/>
                <w:szCs w:val="1"/>
                <w:color w:val="auto"/>
              </w:rPr>
            </w:pPr>
          </w:p>
        </w:tc>
      </w:tr>
      <w:tr>
        <w:trPr>
          <w:trHeight w:val="159"/>
        </w:trPr>
        <w:tc>
          <w:tcPr>
            <w:tcW w:w="68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revenue</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3,582.1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4,021.8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1,825.9</w:t>
            </w:r>
          </w:p>
        </w:tc>
        <w:tc>
          <w:tcPr>
            <w:tcW w:w="0" w:type="dxa"/>
            <w:vAlign w:val="bottom"/>
          </w:tcPr>
          <w:p>
            <w:pPr>
              <w:spacing w:after="0"/>
              <w:rPr>
                <w:sz w:val="1"/>
                <w:szCs w:val="1"/>
                <w:color w:val="auto"/>
              </w:rPr>
            </w:pPr>
          </w:p>
        </w:tc>
      </w:tr>
      <w:tr>
        <w:trPr>
          <w:trHeight w:val="151"/>
        </w:trPr>
        <w:tc>
          <w:tcPr>
            <w:tcW w:w="6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Cost of revenue: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80" w:type="dxa"/>
            <w:vAlign w:val="bottom"/>
          </w:tcPr>
          <w:p>
            <w:pPr>
              <w:ind w:left="280"/>
              <w:spacing w:after="0"/>
              <w:rPr>
                <w:sz w:val="20"/>
                <w:szCs w:val="20"/>
                <w:color w:val="auto"/>
              </w:rPr>
            </w:pPr>
            <w:r>
              <w:rPr>
                <w:rFonts w:ascii="Arial" w:cs="Arial" w:eastAsia="Arial" w:hAnsi="Arial"/>
                <w:sz w:val="13"/>
                <w:szCs w:val="13"/>
                <w:color w:val="auto"/>
              </w:rPr>
              <w:t>Connected Fitness Products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2,433.8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2,236.9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832.5</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Subscription</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155.7</w:t>
            </w:r>
          </w:p>
        </w:tc>
        <w:tc>
          <w:tcPr>
            <w:tcW w:w="0" w:type="dxa"/>
            <w:vAlign w:val="bottom"/>
          </w:tcPr>
          <w:p>
            <w:pPr>
              <w:spacing w:after="0"/>
              <w:rPr>
                <w:sz w:val="1"/>
                <w:szCs w:val="1"/>
                <w:color w:val="auto"/>
              </w:rPr>
            </w:pPr>
          </w:p>
        </w:tc>
      </w:tr>
      <w:tr>
        <w:trPr>
          <w:trHeight w:val="159"/>
        </w:trPr>
        <w:tc>
          <w:tcPr>
            <w:tcW w:w="68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cost of revenue</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2,883.8</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2,567.4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988.2</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837.7</w:t>
            </w:r>
          </w:p>
        </w:tc>
        <w:tc>
          <w:tcPr>
            <w:tcW w:w="0" w:type="dxa"/>
            <w:vAlign w:val="bottom"/>
          </w:tcPr>
          <w:p>
            <w:pPr>
              <w:spacing w:after="0"/>
              <w:rPr>
                <w:sz w:val="1"/>
                <w:szCs w:val="1"/>
                <w:color w:val="auto"/>
              </w:rPr>
            </w:pPr>
          </w:p>
        </w:tc>
      </w:tr>
      <w:tr>
        <w:trPr>
          <w:trHeight w:val="169"/>
        </w:trPr>
        <w:tc>
          <w:tcPr>
            <w:tcW w:w="6880" w:type="dxa"/>
            <w:vAlign w:val="bottom"/>
          </w:tcPr>
          <w:p>
            <w:pPr>
              <w:ind w:left="280"/>
              <w:spacing w:after="0"/>
              <w:rPr>
                <w:sz w:val="20"/>
                <w:szCs w:val="20"/>
                <w:color w:val="auto"/>
              </w:rPr>
            </w:pPr>
            <w:r>
              <w:rPr>
                <w:rFonts w:ascii="Arial" w:cs="Arial" w:eastAsia="Arial" w:hAnsi="Arial"/>
                <w:sz w:val="13"/>
                <w:szCs w:val="13"/>
                <w:color w:val="auto"/>
              </w:rPr>
              <w:t>Operating expenses: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and marketing</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476.7</w:t>
            </w:r>
          </w:p>
        </w:tc>
        <w:tc>
          <w:tcPr>
            <w:tcW w:w="0" w:type="dxa"/>
            <w:vAlign w:val="bottom"/>
          </w:tcPr>
          <w:p>
            <w:pPr>
              <w:spacing w:after="0"/>
              <w:rPr>
                <w:sz w:val="1"/>
                <w:szCs w:val="1"/>
                <w:color w:val="auto"/>
              </w:rPr>
            </w:pPr>
          </w:p>
        </w:tc>
      </w:tr>
      <w:tr>
        <w:trPr>
          <w:trHeight w:val="169"/>
        </w:trPr>
        <w:tc>
          <w:tcPr>
            <w:tcW w:w="6880" w:type="dxa"/>
            <w:vAlign w:val="bottom"/>
          </w:tcPr>
          <w:p>
            <w:pPr>
              <w:ind w:left="280"/>
              <w:spacing w:after="0"/>
              <w:rPr>
                <w:sz w:val="20"/>
                <w:szCs w:val="20"/>
                <w:color w:val="auto"/>
              </w:rPr>
            </w:pPr>
            <w:r>
              <w:rPr>
                <w:rFonts w:ascii="Arial" w:cs="Arial" w:eastAsia="Arial" w:hAnsi="Arial"/>
                <w:sz w:val="13"/>
                <w:szCs w:val="13"/>
                <w:color w:val="auto"/>
              </w:rPr>
              <w:t>General and administrative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351.4</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w:t>
            </w:r>
          </w:p>
        </w:tc>
        <w:tc>
          <w:tcPr>
            <w:tcW w:w="0" w:type="dxa"/>
            <w:vAlign w:val="bottom"/>
          </w:tcPr>
          <w:p>
            <w:pPr>
              <w:spacing w:after="0"/>
              <w:rPr>
                <w:sz w:val="1"/>
                <w:szCs w:val="1"/>
                <w:color w:val="auto"/>
              </w:rPr>
            </w:pPr>
          </w:p>
        </w:tc>
      </w:tr>
      <w:tr>
        <w:trPr>
          <w:trHeight w:val="169"/>
        </w:trPr>
        <w:tc>
          <w:tcPr>
            <w:tcW w:w="6880" w:type="dxa"/>
            <w:vAlign w:val="bottom"/>
          </w:tcPr>
          <w:p>
            <w:pPr>
              <w:ind w:left="280"/>
              <w:spacing w:after="0"/>
              <w:rPr>
                <w:sz w:val="20"/>
                <w:szCs w:val="20"/>
                <w:color w:val="auto"/>
              </w:rPr>
            </w:pPr>
            <w:r>
              <w:rPr>
                <w:rFonts w:ascii="Arial" w:cs="Arial" w:eastAsia="Arial" w:hAnsi="Arial"/>
                <w:sz w:val="13"/>
                <w:szCs w:val="13"/>
                <w:color w:val="auto"/>
              </w:rPr>
              <w:t>Goodwill impairment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 expense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6880" w:type="dxa"/>
            <w:vAlign w:val="bottom"/>
          </w:tcPr>
          <w:p>
            <w:pPr>
              <w:ind w:left="280"/>
              <w:spacing w:after="0"/>
              <w:rPr>
                <w:sz w:val="20"/>
                <w:szCs w:val="20"/>
                <w:color w:val="auto"/>
              </w:rPr>
            </w:pPr>
            <w:r>
              <w:rPr>
                <w:rFonts w:ascii="Arial" w:cs="Arial" w:eastAsia="Arial" w:hAnsi="Arial"/>
                <w:sz w:val="13"/>
                <w:szCs w:val="13"/>
                <w:color w:val="auto"/>
              </w:rPr>
              <w:t>Restructuring expense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Supplier settlements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6880" w:type="dxa"/>
            <w:vAlign w:val="bottom"/>
          </w:tcPr>
          <w:p>
            <w:pPr>
              <w:ind w:left="52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3,432.4</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1,642.2</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918.4</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(2,734.0)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69"/>
        </w:trPr>
        <w:tc>
          <w:tcPr>
            <w:tcW w:w="6880" w:type="dxa"/>
            <w:vAlign w:val="bottom"/>
          </w:tcPr>
          <w:p>
            <w:pPr>
              <w:ind w:left="20"/>
              <w:spacing w:after="0"/>
              <w:rPr>
                <w:sz w:val="20"/>
                <w:szCs w:val="20"/>
                <w:color w:val="auto"/>
              </w:rPr>
            </w:pPr>
            <w:r>
              <w:rPr>
                <w:rFonts w:ascii="Arial" w:cs="Arial" w:eastAsia="Arial" w:hAnsi="Arial"/>
                <w:sz w:val="13"/>
                <w:szCs w:val="13"/>
                <w:color w:val="auto"/>
              </w:rPr>
              <w:t>Other (expense) income, net:</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9"/>
        </w:trPr>
        <w:tc>
          <w:tcPr>
            <w:tcW w:w="6880" w:type="dxa"/>
            <w:vAlign w:val="bottom"/>
          </w:tcPr>
          <w:p>
            <w:pPr>
              <w:ind w:left="280"/>
              <w:spacing w:after="0"/>
              <w:rPr>
                <w:sz w:val="20"/>
                <w:szCs w:val="20"/>
                <w:color w:val="auto"/>
              </w:rPr>
            </w:pPr>
            <w:r>
              <w:rPr>
                <w:rFonts w:ascii="Arial" w:cs="Arial" w:eastAsia="Arial" w:hAnsi="Arial"/>
                <w:sz w:val="13"/>
                <w:szCs w:val="13"/>
                <w:color w:val="auto"/>
              </w:rPr>
              <w:t>Interest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Foreign exchange losses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9"/>
        </w:trPr>
        <w:tc>
          <w:tcPr>
            <w:tcW w:w="68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(expense) income, net</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other (expense) income, net</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9"/>
        </w:trPr>
        <w:tc>
          <w:tcPr>
            <w:tcW w:w="6880" w:type="dxa"/>
            <w:vAlign w:val="bottom"/>
          </w:tcPr>
          <w:p>
            <w:pPr>
              <w:ind w:left="20"/>
              <w:spacing w:after="0"/>
              <w:rPr>
                <w:sz w:val="20"/>
                <w:szCs w:val="20"/>
                <w:color w:val="auto"/>
              </w:rPr>
            </w:pPr>
            <w:r>
              <w:rPr>
                <w:rFonts w:ascii="Arial" w:cs="Arial" w:eastAsia="Arial" w:hAnsi="Arial"/>
                <w:sz w:val="13"/>
                <w:szCs w:val="13"/>
                <w:color w:val="auto"/>
              </w:rPr>
              <w:t>Loss before provision for income taxes</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(2,808.1)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(198.2)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2"/>
        </w:trPr>
        <w:tc>
          <w:tcPr>
            <w:tcW w:w="6880" w:type="dxa"/>
            <w:vAlign w:val="bottom"/>
          </w:tcPr>
          <w:p>
            <w:pPr>
              <w:ind w:left="20"/>
              <w:spacing w:after="0"/>
              <w:rPr>
                <w:sz w:val="20"/>
                <w:szCs w:val="20"/>
                <w:color w:val="auto"/>
              </w:rPr>
            </w:pPr>
            <w:r>
              <w:rPr>
                <w:rFonts w:ascii="Arial" w:cs="Arial" w:eastAsia="Arial" w:hAnsi="Arial"/>
                <w:sz w:val="13"/>
                <w:szCs w:val="13"/>
                <w:color w:val="auto"/>
              </w:rPr>
              <w:t>Net loss</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(2,827.7)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attributable to Class A and Class B common stockholders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80" w:type="dxa"/>
            <w:vAlign w:val="bottom"/>
          </w:tcPr>
          <w:p>
            <w:pPr>
              <w:ind w:left="20"/>
              <w:spacing w:after="0" w:line="133" w:lineRule="exact"/>
              <w:rPr>
                <w:sz w:val="20"/>
                <w:szCs w:val="20"/>
                <w:color w:val="auto"/>
              </w:rPr>
            </w:pPr>
            <w:r>
              <w:rPr>
                <w:rFonts w:ascii="Arial" w:cs="Arial" w:eastAsia="Arial" w:hAnsi="Arial"/>
                <w:sz w:val="13"/>
                <w:szCs w:val="13"/>
                <w:color w:val="auto"/>
              </w:rPr>
              <w:t>Net loss per share attributable to common stockholders, basic and diluted</w:t>
            </w: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(8.77)</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(0.64)</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Class A and Class B common shares outstanding, basic and diluted</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322,368,818</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293,892,643</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220,952,237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Other comprehensive (loss)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unrealized (losses) gains on marketable securities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69"/>
        </w:trPr>
        <w:tc>
          <w:tcPr>
            <w:tcW w:w="6880" w:type="dxa"/>
            <w:vAlign w:val="bottom"/>
          </w:tcPr>
          <w:p>
            <w:pPr>
              <w:ind w:left="180"/>
              <w:spacing w:after="0"/>
              <w:rPr>
                <w:sz w:val="20"/>
                <w:szCs w:val="20"/>
                <w:color w:val="auto"/>
              </w:rPr>
            </w:pPr>
            <w:r>
              <w:rPr>
                <w:rFonts w:ascii="Arial" w:cs="Arial" w:eastAsia="Arial" w:hAnsi="Arial"/>
                <w:sz w:val="13"/>
                <w:szCs w:val="13"/>
                <w:color w:val="auto"/>
              </w:rPr>
              <w:t>Change in foreign currency translation adjustment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Derivative adjustments: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80" w:type="dxa"/>
            <w:vAlign w:val="bottom"/>
          </w:tcPr>
          <w:p>
            <w:pPr>
              <w:ind w:left="360"/>
              <w:spacing w:after="0"/>
              <w:rPr>
                <w:sz w:val="20"/>
                <w:szCs w:val="20"/>
                <w:color w:val="auto"/>
              </w:rPr>
            </w:pPr>
            <w:r>
              <w:rPr>
                <w:rFonts w:ascii="Arial" w:cs="Arial" w:eastAsia="Arial" w:hAnsi="Arial"/>
                <w:sz w:val="13"/>
                <w:szCs w:val="13"/>
                <w:color w:val="auto"/>
              </w:rPr>
              <w:t>Net unrealized loss on hedging derivatives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6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Reclassification for derivative adjustments included in Net (loss) income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other comprehensive (loss) income</w:t>
            </w: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8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loss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(2,833.7)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33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36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50"/>
        </w:trPr>
        <w:tc>
          <w:tcPr>
            <w:tcW w:w="5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Flows from Operating Activities:</w:t>
            </w:r>
          </w:p>
        </w:tc>
        <w:tc>
          <w:tcPr>
            <w:tcW w:w="1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9"/>
        </w:trPr>
        <w:tc>
          <w:tcPr>
            <w:tcW w:w="5360" w:type="dxa"/>
            <w:vAlign w:val="bottom"/>
          </w:tcPr>
          <w:p>
            <w:pPr>
              <w:ind w:left="280"/>
              <w:spacing w:after="0"/>
              <w:rPr>
                <w:sz w:val="20"/>
                <w:szCs w:val="20"/>
                <w:color w:val="auto"/>
              </w:rPr>
            </w:pPr>
            <w:r>
              <w:rPr>
                <w:rFonts w:ascii="Arial" w:cs="Arial" w:eastAsia="Arial" w:hAnsi="Arial"/>
                <w:sz w:val="13"/>
                <w:szCs w:val="13"/>
                <w:color w:val="auto"/>
              </w:rPr>
              <w:t>Net loss</w:t>
            </w:r>
          </w:p>
        </w:tc>
        <w:tc>
          <w:tcPr>
            <w:tcW w:w="238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(2,827.7)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(189.0)</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(71.6)</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Depreciation and amortization expense</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40.2</w:t>
            </w:r>
          </w:p>
        </w:tc>
      </w:tr>
      <w:tr>
        <w:trPr>
          <w:trHeight w:val="171"/>
        </w:trPr>
        <w:tc>
          <w:tcPr>
            <w:tcW w:w="5360" w:type="dxa"/>
            <w:vAlign w:val="bottom"/>
            <w:shd w:val="clear" w:color="auto" w:fill="CCEEFF"/>
          </w:tcPr>
          <w:p>
            <w:pPr>
              <w:ind w:left="620"/>
              <w:spacing w:after="0"/>
              <w:rPr>
                <w:sz w:val="20"/>
                <w:szCs w:val="20"/>
                <w:color w:val="auto"/>
              </w:rPr>
            </w:pPr>
            <w:r>
              <w:rPr>
                <w:rFonts w:ascii="Arial" w:cs="Arial" w:eastAsia="Arial" w:hAnsi="Arial"/>
                <w:sz w:val="13"/>
                <w:szCs w:val="13"/>
                <w:color w:val="auto"/>
              </w:rPr>
              <w:t>Stock-based compensation expense</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w:t>
            </w: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Non-cash operating lease expense</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47.7</w:t>
            </w:r>
          </w:p>
        </w:tc>
      </w:tr>
      <w:tr>
        <w:trPr>
          <w:trHeight w:val="171"/>
        </w:trPr>
        <w:tc>
          <w:tcPr>
            <w:tcW w:w="536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Amortization of premium from marketable securities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Amortization of debt discount and issuance costs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71"/>
        </w:trPr>
        <w:tc>
          <w:tcPr>
            <w:tcW w:w="5360" w:type="dxa"/>
            <w:vAlign w:val="bottom"/>
            <w:shd w:val="clear" w:color="auto" w:fill="CCEEFF"/>
          </w:tcPr>
          <w:p>
            <w:pPr>
              <w:ind w:left="620"/>
              <w:spacing w:after="0"/>
              <w:rPr>
                <w:sz w:val="20"/>
                <w:szCs w:val="20"/>
                <w:color w:val="auto"/>
              </w:rPr>
            </w:pPr>
            <w:r>
              <w:rPr>
                <w:rFonts w:ascii="Arial" w:cs="Arial" w:eastAsia="Arial" w:hAnsi="Arial"/>
                <w:sz w:val="13"/>
                <w:szCs w:val="13"/>
                <w:color w:val="auto"/>
              </w:rPr>
              <w:t>Goodwill impairment</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Impairment expense</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390.5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5360" w:type="dxa"/>
            <w:vAlign w:val="bottom"/>
            <w:shd w:val="clear" w:color="auto" w:fill="CCEEFF"/>
          </w:tcPr>
          <w:p>
            <w:pPr>
              <w:ind w:left="620"/>
              <w:spacing w:after="0"/>
              <w:rPr>
                <w:sz w:val="20"/>
                <w:szCs w:val="20"/>
                <w:color w:val="auto"/>
              </w:rPr>
            </w:pPr>
            <w:r>
              <w:rPr>
                <w:rFonts w:ascii="Arial" w:cs="Arial" w:eastAsia="Arial" w:hAnsi="Arial"/>
                <w:sz w:val="13"/>
                <w:szCs w:val="13"/>
                <w:color w:val="auto"/>
              </w:rPr>
              <w:t>Excess and obsolete inventory reserve adjustments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Net foreign currency adjustments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Accounts receivable</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71"/>
        </w:trPr>
        <w:tc>
          <w:tcPr>
            <w:tcW w:w="5360" w:type="dxa"/>
            <w:vAlign w:val="bottom"/>
            <w:shd w:val="clear" w:color="auto" w:fill="CCEEFF"/>
          </w:tcPr>
          <w:p>
            <w:pPr>
              <w:ind w:left="620"/>
              <w:spacing w:after="0"/>
              <w:rPr>
                <w:sz w:val="20"/>
                <w:szCs w:val="20"/>
                <w:color w:val="auto"/>
              </w:rPr>
            </w:pPr>
            <w:r>
              <w:rPr>
                <w:rFonts w:ascii="Arial" w:cs="Arial" w:eastAsia="Arial" w:hAnsi="Arial"/>
                <w:sz w:val="13"/>
                <w:szCs w:val="13"/>
                <w:color w:val="auto"/>
              </w:rPr>
              <w:t>Inventories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Prepaid expenses and other current assets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(33.1)</w:t>
            </w:r>
          </w:p>
        </w:tc>
      </w:tr>
      <w:tr>
        <w:trPr>
          <w:trHeight w:val="171"/>
        </w:trPr>
        <w:tc>
          <w:tcPr>
            <w:tcW w:w="5360" w:type="dxa"/>
            <w:vAlign w:val="bottom"/>
            <w:shd w:val="clear" w:color="auto" w:fill="CCEEFF"/>
          </w:tcPr>
          <w:p>
            <w:pPr>
              <w:ind w:left="620"/>
              <w:spacing w:after="0"/>
              <w:rPr>
                <w:sz w:val="20"/>
                <w:szCs w:val="20"/>
                <w:color w:val="auto"/>
              </w:rPr>
            </w:pPr>
            <w:r>
              <w:rPr>
                <w:rFonts w:ascii="Arial" w:cs="Arial" w:eastAsia="Arial" w:hAnsi="Arial"/>
                <w:sz w:val="13"/>
                <w:szCs w:val="13"/>
                <w:color w:val="auto"/>
              </w:rPr>
              <w:t>Other assets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Accounts payable and accrued expenses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(168.6)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439.8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133.4</w:t>
            </w:r>
          </w:p>
        </w:tc>
      </w:tr>
      <w:tr>
        <w:trPr>
          <w:trHeight w:val="171"/>
        </w:trPr>
        <w:tc>
          <w:tcPr>
            <w:tcW w:w="536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Customer deposits and deferred revenue</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w:t>
            </w:r>
          </w:p>
        </w:tc>
      </w:tr>
      <w:tr>
        <w:trPr>
          <w:trHeight w:val="169"/>
        </w:trPr>
        <w:tc>
          <w:tcPr>
            <w:tcW w:w="5360" w:type="dxa"/>
            <w:vAlign w:val="bottom"/>
          </w:tcPr>
          <w:p>
            <w:pPr>
              <w:ind w:left="620"/>
              <w:spacing w:after="0"/>
              <w:rPr>
                <w:sz w:val="20"/>
                <w:szCs w:val="20"/>
                <w:color w:val="auto"/>
              </w:rPr>
            </w:pPr>
            <w:r>
              <w:rPr>
                <w:rFonts w:ascii="Arial" w:cs="Arial" w:eastAsia="Arial" w:hAnsi="Arial"/>
                <w:sz w:val="13"/>
                <w:szCs w:val="13"/>
                <w:color w:val="auto"/>
              </w:rPr>
              <w:t>Operating lease liabilities, net</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(55.8)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(23.6)</w:t>
            </w:r>
          </w:p>
        </w:tc>
      </w:tr>
      <w:tr>
        <w:trPr>
          <w:trHeight w:val="171"/>
        </w:trPr>
        <w:tc>
          <w:tcPr>
            <w:tcW w:w="5360" w:type="dxa"/>
            <w:vAlign w:val="bottom"/>
            <w:shd w:val="clear" w:color="auto" w:fill="CCEEFF"/>
          </w:tcPr>
          <w:p>
            <w:pPr>
              <w:ind w:left="620"/>
              <w:spacing w:after="0"/>
              <w:rPr>
                <w:sz w:val="20"/>
                <w:szCs w:val="20"/>
                <w:color w:val="auto"/>
              </w:rPr>
            </w:pPr>
            <w:r>
              <w:rPr>
                <w:rFonts w:ascii="Arial" w:cs="Arial" w:eastAsia="Arial" w:hAnsi="Arial"/>
                <w:sz w:val="13"/>
                <w:szCs w:val="13"/>
                <w:color w:val="auto"/>
              </w:rPr>
              <w:t>Other liabilities</w:t>
            </w:r>
          </w:p>
        </w:tc>
        <w:tc>
          <w:tcPr>
            <w:tcW w:w="15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r>
      <w:tr>
        <w:trPr>
          <w:trHeight w:val="159"/>
        </w:trPr>
        <w:tc>
          <w:tcPr>
            <w:tcW w:w="536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(used in) provided by operating activities</w:t>
            </w:r>
          </w:p>
        </w:tc>
        <w:tc>
          <w:tcPr>
            <w:tcW w:w="15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(2,020.0)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376.4</w:t>
            </w:r>
          </w:p>
        </w:tc>
      </w:tr>
      <w:tr>
        <w:trPr>
          <w:trHeight w:val="151"/>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1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9"/>
        </w:trPr>
        <w:tc>
          <w:tcPr>
            <w:tcW w:w="5360" w:type="dxa"/>
            <w:vAlign w:val="bottom"/>
          </w:tcPr>
          <w:p>
            <w:pPr>
              <w:ind w:left="280"/>
              <w:spacing w:after="0"/>
              <w:rPr>
                <w:sz w:val="20"/>
                <w:szCs w:val="20"/>
                <w:color w:val="auto"/>
              </w:rPr>
            </w:pPr>
            <w:r>
              <w:rPr>
                <w:rFonts w:ascii="Arial" w:cs="Arial" w:eastAsia="Arial" w:hAnsi="Arial"/>
                <w:sz w:val="13"/>
                <w:szCs w:val="13"/>
                <w:color w:val="auto"/>
              </w:rPr>
              <w:t>Purchases of marketable securities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(1,199.6)</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Maturities of marketable securities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435.4</w:t>
            </w:r>
          </w:p>
        </w:tc>
      </w:tr>
      <w:tr>
        <w:trPr>
          <w:trHeight w:val="169"/>
        </w:trPr>
        <w:tc>
          <w:tcPr>
            <w:tcW w:w="5360" w:type="dxa"/>
            <w:vAlign w:val="bottom"/>
          </w:tcPr>
          <w:p>
            <w:pPr>
              <w:ind w:left="280"/>
              <w:spacing w:after="0"/>
              <w:rPr>
                <w:sz w:val="20"/>
                <w:szCs w:val="20"/>
                <w:color w:val="auto"/>
              </w:rPr>
            </w:pPr>
            <w:r>
              <w:rPr>
                <w:rFonts w:ascii="Arial" w:cs="Arial" w:eastAsia="Arial" w:hAnsi="Arial"/>
                <w:sz w:val="13"/>
                <w:szCs w:val="13"/>
                <w:color w:val="auto"/>
              </w:rPr>
              <w:t>Sales of marketable securities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224.3</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Capital expenditures, including software</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w:t>
            </w:r>
          </w:p>
        </w:tc>
      </w:tr>
      <w:tr>
        <w:trPr>
          <w:trHeight w:val="169"/>
        </w:trPr>
        <w:tc>
          <w:tcPr>
            <w:tcW w:w="5360" w:type="dxa"/>
            <w:vAlign w:val="bottom"/>
          </w:tcPr>
          <w:p>
            <w:pPr>
              <w:ind w:left="280"/>
              <w:spacing w:after="0"/>
              <w:rPr>
                <w:sz w:val="20"/>
                <w:szCs w:val="20"/>
                <w:color w:val="auto"/>
              </w:rPr>
            </w:pPr>
            <w:r>
              <w:rPr>
                <w:rFonts w:ascii="Arial" w:cs="Arial" w:eastAsia="Arial" w:hAnsi="Arial"/>
                <w:sz w:val="13"/>
                <w:szCs w:val="13"/>
                <w:color w:val="auto"/>
              </w:rPr>
              <w:t>Business combinations, net of cash acquired</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(45.0)</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 acquisitions, net of cash acquired</w:t>
            </w:r>
          </w:p>
        </w:tc>
        <w:tc>
          <w:tcPr>
            <w:tcW w:w="15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536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provided by (used in) investing activities</w:t>
            </w:r>
          </w:p>
        </w:tc>
        <w:tc>
          <w:tcPr>
            <w:tcW w:w="15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(741.3)</w:t>
            </w:r>
          </w:p>
        </w:tc>
      </w:tr>
      <w:tr>
        <w:trPr>
          <w:trHeight w:val="151"/>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1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9"/>
        </w:trPr>
        <w:tc>
          <w:tcPr>
            <w:tcW w:w="5360" w:type="dxa"/>
            <w:vAlign w:val="bottom"/>
          </w:tcPr>
          <w:p>
            <w:pPr>
              <w:ind w:left="280"/>
              <w:spacing w:after="0"/>
              <w:rPr>
                <w:sz w:val="20"/>
                <w:szCs w:val="20"/>
                <w:color w:val="auto"/>
              </w:rPr>
            </w:pPr>
            <w:r>
              <w:rPr>
                <w:rFonts w:ascii="Arial" w:cs="Arial" w:eastAsia="Arial" w:hAnsi="Arial"/>
                <w:sz w:val="13"/>
                <w:szCs w:val="13"/>
                <w:color w:val="auto"/>
              </w:rPr>
              <w:t>Proceeds from public offering, net of issuance costs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1,218.8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1,195.7</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issuance of term loan, net of issuance costs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360" w:type="dxa"/>
            <w:vAlign w:val="bottom"/>
          </w:tcPr>
          <w:p>
            <w:pPr>
              <w:ind w:left="280"/>
              <w:spacing w:after="0"/>
              <w:rPr>
                <w:sz w:val="20"/>
                <w:szCs w:val="20"/>
                <w:color w:val="auto"/>
              </w:rPr>
            </w:pPr>
            <w:r>
              <w:rPr>
                <w:rFonts w:ascii="Arial" w:cs="Arial" w:eastAsia="Arial" w:hAnsi="Arial"/>
                <w:sz w:val="13"/>
                <w:szCs w:val="13"/>
                <w:color w:val="auto"/>
              </w:rPr>
              <w:t>Proceeds from issuance of convertible notes, net of issuance costs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capped calls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360" w:type="dxa"/>
            <w:vAlign w:val="bottom"/>
          </w:tcPr>
          <w:p>
            <w:pPr>
              <w:ind w:left="280"/>
              <w:spacing w:after="0"/>
              <w:rPr>
                <w:sz w:val="20"/>
                <w:szCs w:val="20"/>
                <w:color w:val="auto"/>
              </w:rPr>
            </w:pPr>
            <w:r>
              <w:rPr>
                <w:rFonts w:ascii="Arial" w:cs="Arial" w:eastAsia="Arial" w:hAnsi="Arial"/>
                <w:sz w:val="13"/>
                <w:szCs w:val="13"/>
                <w:color w:val="auto"/>
              </w:rPr>
              <w:t>Proceeds from employee stock purchase plan withholdings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exercise of stock options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r>
      <w:tr>
        <w:trPr>
          <w:trHeight w:val="169"/>
        </w:trPr>
        <w:tc>
          <w:tcPr>
            <w:tcW w:w="5360" w:type="dxa"/>
            <w:vAlign w:val="bottom"/>
          </w:tcPr>
          <w:p>
            <w:pPr>
              <w:ind w:left="280"/>
              <w:spacing w:after="0"/>
              <w:rPr>
                <w:sz w:val="20"/>
                <w:szCs w:val="20"/>
                <w:color w:val="auto"/>
              </w:rPr>
            </w:pPr>
            <w:r>
              <w:rPr>
                <w:rFonts w:ascii="Arial" w:cs="Arial" w:eastAsia="Arial" w:hAnsi="Arial"/>
                <w:sz w:val="13"/>
                <w:szCs w:val="13"/>
                <w:color w:val="auto"/>
              </w:rPr>
              <w:t>Taxes withheld and paid on employee stock awards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Principal repayments of finance leases</w:t>
            </w:r>
          </w:p>
        </w:tc>
        <w:tc>
          <w:tcPr>
            <w:tcW w:w="15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536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provided by financing activities</w:t>
            </w:r>
          </w:p>
        </w:tc>
        <w:tc>
          <w:tcPr>
            <w:tcW w:w="15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2,015.1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916.8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1,240.2</w:t>
            </w:r>
          </w:p>
        </w:tc>
      </w:tr>
      <w:tr>
        <w:trPr>
          <w:trHeight w:val="162"/>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w:t>
            </w: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5360" w:type="dxa"/>
            <w:vAlign w:val="bottom"/>
          </w:tcPr>
          <w:p>
            <w:pPr>
              <w:ind w:left="20"/>
              <w:spacing w:after="0"/>
              <w:rPr>
                <w:sz w:val="20"/>
                <w:szCs w:val="20"/>
                <w:color w:val="auto"/>
              </w:rPr>
            </w:pPr>
            <w:r>
              <w:rPr>
                <w:rFonts w:ascii="Arial" w:cs="Arial" w:eastAsia="Arial" w:hAnsi="Arial"/>
                <w:sz w:val="13"/>
                <w:szCs w:val="13"/>
                <w:color w:val="auto"/>
              </w:rPr>
              <w:t>Net change in cash, cash equivalents, and restricted cash</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874.0</w:t>
            </w:r>
          </w:p>
        </w:tc>
      </w:tr>
      <w:tr>
        <w:trPr>
          <w:trHeight w:val="171"/>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 Beginning of period</w:t>
            </w:r>
          </w:p>
        </w:tc>
        <w:tc>
          <w:tcPr>
            <w:tcW w:w="15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1,135.7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163.0</w:t>
            </w:r>
          </w:p>
        </w:tc>
      </w:tr>
      <w:tr>
        <w:trPr>
          <w:trHeight w:val="444"/>
        </w:trPr>
        <w:tc>
          <w:tcPr>
            <w:tcW w:w="5360" w:type="dxa"/>
            <w:vAlign w:val="bottom"/>
          </w:tcPr>
          <w:p>
            <w:pPr>
              <w:spacing w:after="0"/>
              <w:rPr>
                <w:sz w:val="24"/>
                <w:szCs w:val="24"/>
                <w:color w:val="auto"/>
              </w:rPr>
            </w:pPr>
          </w:p>
        </w:tc>
        <w:tc>
          <w:tcPr>
            <w:tcW w:w="1520" w:type="dxa"/>
            <w:vAlign w:val="bottom"/>
          </w:tcPr>
          <w:p>
            <w:pPr>
              <w:jc w:val="right"/>
              <w:ind w:right="1096"/>
              <w:spacing w:after="0"/>
              <w:rPr>
                <w:sz w:val="20"/>
                <w:szCs w:val="20"/>
                <w:color w:val="auto"/>
              </w:rPr>
            </w:pPr>
            <w:r>
              <w:rPr>
                <w:rFonts w:ascii="Arial" w:cs="Arial" w:eastAsia="Arial" w:hAnsi="Arial"/>
                <w:sz w:val="13"/>
                <w:szCs w:val="13"/>
                <w:color w:val="auto"/>
              </w:rPr>
              <w:t>72</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9"/>
        </w:trPr>
        <w:tc>
          <w:tcPr>
            <w:tcW w:w="53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8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 End of period</w:t>
            </w: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1,257.6</w:t>
            </w:r>
          </w:p>
        </w:tc>
        <w:tc>
          <w:tcPr>
            <w:tcW w:w="8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1,135.7</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1,037.0</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8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Supplemental Disclosures of Cash Flow Information:</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80" w:type="dxa"/>
            <w:vAlign w:val="bottom"/>
          </w:tcPr>
          <w:p>
            <w:pPr>
              <w:ind w:left="280"/>
              <w:spacing w:after="0"/>
              <w:rPr>
                <w:sz w:val="20"/>
                <w:szCs w:val="20"/>
                <w:color w:val="auto"/>
              </w:rPr>
            </w:pPr>
            <w:r>
              <w:rPr>
                <w:rFonts w:ascii="Arial" w:cs="Arial" w:eastAsia="Arial" w:hAnsi="Arial"/>
                <w:sz w:val="13"/>
                <w:szCs w:val="13"/>
                <w:color w:val="auto"/>
              </w:rPr>
              <w:t>Cash paid for interest</w:t>
            </w: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Cash paid for income taxes</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Non-Cash Investing and Financing Information:</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880" w:type="dxa"/>
            <w:vAlign w:val="bottom"/>
            <w:tcBorders>
              <w:bottom w:val="single" w:sz="8" w:color="CCEEFF"/>
            </w:tcBorders>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Conversion of convertible preferred stock to common stock</w:t>
            </w: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(941.1)</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80" w:type="dxa"/>
            <w:vAlign w:val="bottom"/>
          </w:tcPr>
          <w:p>
            <w:pPr>
              <w:ind w:left="280"/>
              <w:spacing w:after="0" w:line="133" w:lineRule="exact"/>
              <w:rPr>
                <w:sz w:val="20"/>
                <w:szCs w:val="20"/>
                <w:color w:val="auto"/>
              </w:rPr>
            </w:pPr>
            <w:r>
              <w:rPr>
                <w:rFonts w:ascii="Arial" w:cs="Arial" w:eastAsia="Arial" w:hAnsi="Arial"/>
                <w:sz w:val="13"/>
                <w:szCs w:val="13"/>
                <w:color w:val="auto"/>
              </w:rPr>
              <w:t>Accrued and unpaid capital expenditures, including software</w:t>
            </w:r>
          </w:p>
        </w:tc>
        <w:tc>
          <w:tcPr>
            <w:tcW w:w="500" w:type="dxa"/>
            <w:vAlign w:val="bottom"/>
            <w:tcBorders>
              <w:bottom w:val="single" w:sz="8" w:color="auto"/>
            </w:tcBorders>
          </w:tcPr>
          <w:p>
            <w:pPr>
              <w:jc w:val="right"/>
              <w:ind w:right="356"/>
              <w:spacing w:after="0" w:line="133"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18.7</w:t>
            </w:r>
          </w:p>
        </w:tc>
        <w:tc>
          <w:tcPr>
            <w:tcW w:w="80" w:type="dxa"/>
            <w:vAlign w:val="bottom"/>
          </w:tcPr>
          <w:p>
            <w:pPr>
              <w:spacing w:after="0"/>
              <w:rPr>
                <w:sz w:val="11"/>
                <w:szCs w:val="11"/>
                <w:color w:val="auto"/>
              </w:rPr>
            </w:pPr>
          </w:p>
        </w:tc>
        <w:tc>
          <w:tcPr>
            <w:tcW w:w="500" w:type="dxa"/>
            <w:vAlign w:val="bottom"/>
            <w:tcBorders>
              <w:bottom w:val="single" w:sz="8" w:color="auto"/>
            </w:tcBorders>
          </w:tcPr>
          <w:p>
            <w:pPr>
              <w:jc w:val="right"/>
              <w:ind w:right="356"/>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46.1</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56"/>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Stock-based compensation capitalized for software development costs</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21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7"/>
              </w:rPr>
              <w:t>Redeemable Convertible</w:t>
            </w:r>
          </w:p>
        </w:tc>
        <w:tc>
          <w:tcPr>
            <w:tcW w:w="2160" w:type="dxa"/>
            <w:vAlign w:val="bottom"/>
            <w:gridSpan w:val="5"/>
          </w:tcPr>
          <w:p>
            <w:pPr>
              <w:ind w:left="140"/>
              <w:spacing w:after="0"/>
              <w:rPr>
                <w:sz w:val="20"/>
                <w:szCs w:val="20"/>
                <w:color w:val="auto"/>
              </w:rPr>
            </w:pPr>
            <w:r>
              <w:rPr>
                <w:rFonts w:ascii="Arial" w:cs="Arial" w:eastAsia="Arial" w:hAnsi="Arial"/>
                <w:sz w:val="13"/>
                <w:szCs w:val="13"/>
                <w:b w:val="1"/>
                <w:bCs w:val="1"/>
                <w:color w:val="auto"/>
              </w:rPr>
              <w:t>Class A and Class B Common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2160" w:type="dxa"/>
            <w:vAlign w:val="bottom"/>
            <w:gridSpan w:val="5"/>
          </w:tcPr>
          <w:p>
            <w:pPr>
              <w:jc w:val="center"/>
              <w:ind w:right="80"/>
              <w:spacing w:after="0" w:line="128" w:lineRule="exact"/>
              <w:rPr>
                <w:sz w:val="20"/>
                <w:szCs w:val="20"/>
                <w:color w:val="auto"/>
              </w:rPr>
            </w:pPr>
            <w:r>
              <w:rPr>
                <w:rFonts w:ascii="Arial" w:cs="Arial" w:eastAsia="Arial" w:hAnsi="Arial"/>
                <w:sz w:val="13"/>
                <w:szCs w:val="13"/>
                <w:b w:val="1"/>
                <w:bCs w:val="1"/>
                <w:color w:val="auto"/>
                <w:w w:val="99"/>
              </w:rPr>
              <w:t>Preferred Stock</w:t>
            </w:r>
          </w:p>
        </w:tc>
        <w:tc>
          <w:tcPr>
            <w:tcW w:w="1280" w:type="dxa"/>
            <w:vAlign w:val="bottom"/>
            <w:gridSpan w:val="3"/>
          </w:tcPr>
          <w:p>
            <w:pPr>
              <w:jc w:val="right"/>
              <w:spacing w:after="0" w:line="128" w:lineRule="exact"/>
              <w:rPr>
                <w:sz w:val="20"/>
                <w:szCs w:val="20"/>
                <w:color w:val="auto"/>
              </w:rPr>
            </w:pPr>
            <w:r>
              <w:rPr>
                <w:rFonts w:ascii="Arial" w:cs="Arial" w:eastAsia="Arial" w:hAnsi="Arial"/>
                <w:sz w:val="13"/>
                <w:szCs w:val="13"/>
                <w:b w:val="1"/>
                <w:bCs w:val="1"/>
                <w:color w:val="auto"/>
              </w:rPr>
              <w:t>Stock</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6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gridSpan w:val="3"/>
            <w:vMerge w:val="restart"/>
          </w:tcPr>
          <w:p>
            <w:pPr>
              <w:ind w:left="20"/>
              <w:spacing w:after="0" w:line="85" w:lineRule="exact"/>
              <w:rPr>
                <w:sz w:val="20"/>
                <w:szCs w:val="20"/>
                <w:color w:val="auto"/>
              </w:rPr>
            </w:pPr>
            <w:r>
              <w:rPr>
                <w:rFonts w:ascii="Arial" w:cs="Arial" w:eastAsia="Arial" w:hAnsi="Arial"/>
                <w:sz w:val="8"/>
                <w:szCs w:val="8"/>
                <w:b w:val="1"/>
                <w:bCs w:val="1"/>
                <w:color w:val="auto"/>
              </w:rPr>
              <w:t>Additional Paid-</w:t>
            </w:r>
          </w:p>
        </w:tc>
        <w:tc>
          <w:tcPr>
            <w:tcW w:w="1100" w:type="dxa"/>
            <w:vAlign w:val="bottom"/>
            <w:gridSpan w:val="3"/>
            <w:vMerge w:val="restart"/>
          </w:tcPr>
          <w:p>
            <w:pPr>
              <w:jc w:val="center"/>
              <w:ind w:right="60"/>
              <w:spacing w:after="0" w:line="85"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3"/>
                <w:szCs w:val="3"/>
                <w:color w:val="auto"/>
              </w:rPr>
            </w:pPr>
          </w:p>
        </w:tc>
        <w:tc>
          <w:tcPr>
            <w:tcW w:w="1000" w:type="dxa"/>
            <w:vAlign w:val="bottom"/>
            <w:gridSpan w:val="2"/>
            <w:vMerge w:val="restart"/>
          </w:tcPr>
          <w:p>
            <w:pPr>
              <w:ind w:left="20"/>
              <w:spacing w:after="0" w:line="85"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3"/>
                <w:szCs w:val="3"/>
                <w:color w:val="auto"/>
              </w:rPr>
            </w:pPr>
          </w:p>
        </w:tc>
        <w:tc>
          <w:tcPr>
            <w:tcW w:w="940" w:type="dxa"/>
            <w:vAlign w:val="bottom"/>
            <w:vMerge w:val="restart"/>
          </w:tcPr>
          <w:p>
            <w:pPr>
              <w:jc w:val="center"/>
              <w:ind w:right="37"/>
              <w:spacing w:after="0" w:line="8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2660" w:type="dxa"/>
            <w:vAlign w:val="bottom"/>
          </w:tcPr>
          <w:p>
            <w:pPr>
              <w:spacing w:after="0" w:line="20" w:lineRule="exact"/>
              <w:rPr>
                <w:sz w:val="1"/>
                <w:szCs w:val="1"/>
                <w:color w:val="auto"/>
              </w:rPr>
            </w:pPr>
          </w:p>
        </w:tc>
        <w:tc>
          <w:tcPr>
            <w:tcW w:w="1000" w:type="dxa"/>
            <w:vAlign w:val="bottom"/>
            <w:vMerge w:val="restart"/>
          </w:tcPr>
          <w:p>
            <w:pPr>
              <w:jc w:val="right"/>
              <w:ind w:right="216"/>
              <w:spacing w:after="0"/>
              <w:rPr>
                <w:sz w:val="20"/>
                <w:szCs w:val="20"/>
                <w:color w:val="auto"/>
              </w:rPr>
            </w:pPr>
            <w:r>
              <w:rPr>
                <w:rFonts w:ascii="Arial" w:cs="Arial" w:eastAsia="Arial" w:hAnsi="Arial"/>
                <w:sz w:val="13"/>
                <w:szCs w:val="13"/>
                <w:b w:val="1"/>
                <w:bCs w:val="1"/>
                <w:color w:val="auto"/>
              </w:rPr>
              <w:t>Shares</w:t>
            </w:r>
          </w:p>
        </w:tc>
        <w:tc>
          <w:tcPr>
            <w:tcW w:w="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line="20" w:lineRule="exact"/>
              <w:rPr>
                <w:sz w:val="1"/>
                <w:szCs w:val="1"/>
                <w:color w:val="auto"/>
              </w:rPr>
            </w:pPr>
          </w:p>
        </w:tc>
        <w:tc>
          <w:tcPr>
            <w:tcW w:w="1000" w:type="dxa"/>
            <w:vAlign w:val="bottom"/>
            <w:vMerge w:val="restart"/>
          </w:tcPr>
          <w:p>
            <w:pPr>
              <w:jc w:val="right"/>
              <w:ind w:right="216"/>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vMerge w:val="restart"/>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In Capital</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Income</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June 30, 2019</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180"/>
              <w:spacing w:after="0" w:line="109" w:lineRule="exact"/>
              <w:rPr>
                <w:sz w:val="20"/>
                <w:szCs w:val="20"/>
                <w:color w:val="auto"/>
              </w:rPr>
            </w:pPr>
            <w:r>
              <w:rPr>
                <w:rFonts w:ascii="Arial" w:cs="Arial" w:eastAsia="Arial" w:hAnsi="Arial"/>
                <w:sz w:val="12"/>
                <w:szCs w:val="12"/>
                <w:color w:val="auto"/>
              </w:rPr>
              <w:t>Initial public offering, net of issuance costs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660" w:type="dxa"/>
            <w:vAlign w:val="bottom"/>
            <w:vMerge w:val="continue"/>
          </w:tcPr>
          <w:p>
            <w:pPr>
              <w:spacing w:after="0"/>
              <w:rPr>
                <w:sz w:val="5"/>
                <w:szCs w:val="5"/>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43.4</w:t>
            </w:r>
          </w:p>
        </w:tc>
        <w:tc>
          <w:tcPr>
            <w:tcW w:w="80" w:type="dxa"/>
            <w:vAlign w:val="bottom"/>
          </w:tcPr>
          <w:p>
            <w:pPr>
              <w:spacing w:after="0"/>
              <w:rPr>
                <w:sz w:val="5"/>
                <w:szCs w:val="5"/>
                <w:color w:val="auto"/>
              </w:rPr>
            </w:pP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1,195.7</w:t>
            </w:r>
          </w:p>
        </w:tc>
        <w:tc>
          <w:tcPr>
            <w:tcW w:w="6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1,195.7</w:t>
            </w:r>
          </w:p>
        </w:tc>
        <w:tc>
          <w:tcPr>
            <w:tcW w:w="0" w:type="dxa"/>
            <w:vAlign w:val="bottom"/>
          </w:tcPr>
          <w:p>
            <w:pPr>
              <w:spacing w:after="0"/>
              <w:rPr>
                <w:sz w:val="1"/>
                <w:szCs w:val="1"/>
                <w:color w:val="auto"/>
              </w:rPr>
            </w:pPr>
          </w:p>
        </w:tc>
      </w:tr>
      <w:tr>
        <w:trPr>
          <w:trHeight w:val="168"/>
        </w:trPr>
        <w:tc>
          <w:tcPr>
            <w:tcW w:w="2660" w:type="dxa"/>
            <w:vAlign w:val="bottom"/>
          </w:tcPr>
          <w:p>
            <w:pPr>
              <w:ind w:left="180"/>
              <w:spacing w:after="0"/>
              <w:rPr>
                <w:sz w:val="20"/>
                <w:szCs w:val="20"/>
                <w:color w:val="auto"/>
              </w:rPr>
            </w:pPr>
            <w:r>
              <w:rPr>
                <w:rFonts w:ascii="Arial" w:cs="Arial" w:eastAsia="Arial" w:hAnsi="Arial"/>
                <w:sz w:val="13"/>
                <w:szCs w:val="13"/>
                <w:color w:val="auto"/>
              </w:rPr>
              <w:t>of $6.3 million</w:t>
            </w:r>
          </w:p>
        </w:tc>
        <w:tc>
          <w:tcPr>
            <w:tcW w:w="106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Conversion of redeemable convertible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(210.6)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(941.1)</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941.1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941.1</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to common stock</w:t>
            </w: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60" w:type="dxa"/>
            <w:vAlign w:val="bottom"/>
          </w:tcPr>
          <w:p>
            <w:pPr>
              <w:ind w:left="180"/>
              <w:spacing w:after="0" w:line="128" w:lineRule="exact"/>
              <w:rPr>
                <w:sz w:val="20"/>
                <w:szCs w:val="20"/>
                <w:color w:val="auto"/>
              </w:rPr>
            </w:pPr>
            <w:r>
              <w:rPr>
                <w:rFonts w:ascii="Arial" w:cs="Arial" w:eastAsia="Arial" w:hAnsi="Arial"/>
                <w:sz w:val="13"/>
                <w:szCs w:val="13"/>
                <w:color w:val="auto"/>
              </w:rPr>
              <w:t>Activity related to stock-based</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68"/>
        </w:trPr>
        <w:tc>
          <w:tcPr>
            <w:tcW w:w="2660" w:type="dxa"/>
            <w:vAlign w:val="bottom"/>
          </w:tcPr>
          <w:p>
            <w:pPr>
              <w:ind w:left="180"/>
              <w:spacing w:after="0"/>
              <w:rPr>
                <w:sz w:val="20"/>
                <w:szCs w:val="20"/>
                <w:color w:val="auto"/>
              </w:rPr>
            </w:pPr>
            <w:r>
              <w:rPr>
                <w:rFonts w:ascii="Arial" w:cs="Arial" w:eastAsia="Arial" w:hAnsi="Arial"/>
                <w:sz w:val="13"/>
                <w:szCs w:val="13"/>
                <w:color w:val="auto"/>
              </w:rPr>
              <w:t>compensation</w:t>
            </w: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common stock under</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w:t>
            </w:r>
          </w:p>
        </w:tc>
        <w:tc>
          <w:tcPr>
            <w:tcW w:w="10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27"/>
        </w:trPr>
        <w:tc>
          <w:tcPr>
            <w:tcW w:w="2660" w:type="dxa"/>
            <w:vAlign w:val="bottom"/>
          </w:tcPr>
          <w:p>
            <w:pPr>
              <w:ind w:left="180"/>
              <w:spacing w:after="0" w:line="128" w:lineRule="exact"/>
              <w:rPr>
                <w:sz w:val="20"/>
                <w:szCs w:val="20"/>
                <w:color w:val="auto"/>
              </w:rPr>
            </w:pPr>
            <w:r>
              <w:rPr>
                <w:rFonts w:ascii="Arial" w:cs="Arial" w:eastAsia="Arial" w:hAnsi="Arial"/>
                <w:sz w:val="13"/>
                <w:szCs w:val="13"/>
                <w:color w:val="auto"/>
                <w:w w:val="99"/>
              </w:rPr>
              <w:t>Cumulative effect adjustment in connection</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ind w:left="620"/>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8"/>
        </w:trPr>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with adoption of ASU 2016-02</w:t>
            </w:r>
          </w:p>
        </w:tc>
        <w:tc>
          <w:tcPr>
            <w:tcW w:w="10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June 30, 2020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180"/>
              <w:spacing w:after="0" w:line="109" w:lineRule="exact"/>
              <w:rPr>
                <w:sz w:val="20"/>
                <w:szCs w:val="20"/>
                <w:color w:val="auto"/>
              </w:rPr>
            </w:pPr>
            <w:r>
              <w:rPr>
                <w:rFonts w:ascii="Arial" w:cs="Arial" w:eastAsia="Arial" w:hAnsi="Arial"/>
                <w:sz w:val="12"/>
                <w:szCs w:val="12"/>
                <w:color w:val="auto"/>
              </w:rPr>
              <w:t>Activity related to stock-based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660" w:type="dxa"/>
            <w:vAlign w:val="bottom"/>
            <w:vMerge w:val="continue"/>
          </w:tcPr>
          <w:p>
            <w:pPr>
              <w:spacing w:after="0"/>
              <w:rPr>
                <w:sz w:val="5"/>
                <w:szCs w:val="5"/>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5"/>
                <w:szCs w:val="5"/>
                <w:color w:val="auto"/>
              </w:rPr>
            </w:pP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165.2</w:t>
            </w:r>
          </w:p>
        </w:tc>
        <w:tc>
          <w:tcPr>
            <w:tcW w:w="6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168"/>
        </w:trPr>
        <w:tc>
          <w:tcPr>
            <w:tcW w:w="2660" w:type="dxa"/>
            <w:vAlign w:val="bottom"/>
          </w:tcPr>
          <w:p>
            <w:pPr>
              <w:ind w:left="180"/>
              <w:spacing w:after="0"/>
              <w:rPr>
                <w:sz w:val="20"/>
                <w:szCs w:val="20"/>
                <w:color w:val="auto"/>
              </w:rPr>
            </w:pPr>
            <w:r>
              <w:rPr>
                <w:rFonts w:ascii="Arial" w:cs="Arial" w:eastAsia="Arial" w:hAnsi="Arial"/>
                <w:sz w:val="13"/>
                <w:szCs w:val="13"/>
                <w:color w:val="auto"/>
              </w:rPr>
              <w:t>compensation</w:t>
            </w:r>
          </w:p>
        </w:tc>
        <w:tc>
          <w:tcPr>
            <w:tcW w:w="106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common stock under</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w:t>
            </w:r>
          </w:p>
        </w:tc>
        <w:tc>
          <w:tcPr>
            <w:tcW w:w="10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60" w:type="dxa"/>
            <w:vAlign w:val="bottom"/>
          </w:tcPr>
          <w:p>
            <w:pPr>
              <w:ind w:left="180"/>
              <w:spacing w:after="0" w:line="128" w:lineRule="exact"/>
              <w:rPr>
                <w:sz w:val="20"/>
                <w:szCs w:val="20"/>
                <w:color w:val="auto"/>
              </w:rPr>
            </w:pPr>
            <w:r>
              <w:rPr>
                <w:rFonts w:ascii="Arial" w:cs="Arial" w:eastAsia="Arial" w:hAnsi="Arial"/>
                <w:sz w:val="13"/>
                <w:szCs w:val="13"/>
                <w:color w:val="auto"/>
              </w:rPr>
              <w:t>Equity component of convertible senior</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160.1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160.1</w:t>
            </w:r>
          </w:p>
        </w:tc>
        <w:tc>
          <w:tcPr>
            <w:tcW w:w="0" w:type="dxa"/>
            <w:vAlign w:val="bottom"/>
          </w:tcPr>
          <w:p>
            <w:pPr>
              <w:spacing w:after="0"/>
              <w:rPr>
                <w:sz w:val="1"/>
                <w:szCs w:val="1"/>
                <w:color w:val="auto"/>
              </w:rPr>
            </w:pPr>
          </w:p>
        </w:tc>
      </w:tr>
      <w:tr>
        <w:trPr>
          <w:trHeight w:val="168"/>
        </w:trPr>
        <w:tc>
          <w:tcPr>
            <w:tcW w:w="2660" w:type="dxa"/>
            <w:vAlign w:val="bottom"/>
          </w:tcPr>
          <w:p>
            <w:pPr>
              <w:ind w:left="180"/>
              <w:spacing w:after="0"/>
              <w:rPr>
                <w:sz w:val="20"/>
                <w:szCs w:val="20"/>
                <w:color w:val="auto"/>
              </w:rPr>
            </w:pPr>
            <w:r>
              <w:rPr>
                <w:rFonts w:ascii="Arial" w:cs="Arial" w:eastAsia="Arial" w:hAnsi="Arial"/>
                <w:sz w:val="13"/>
                <w:szCs w:val="13"/>
                <w:color w:val="auto"/>
              </w:rPr>
              <w:t>notes, net of issuance costs</w:t>
            </w: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Purchases of capped calls related to</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convertible senior notes</w:t>
            </w:r>
          </w:p>
        </w:tc>
        <w:tc>
          <w:tcPr>
            <w:tcW w:w="10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Balance - June 30, 2021</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300.1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2,618.9</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18.2</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(883.0)</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1,754.1</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660" w:type="dxa"/>
            <w:vAlign w:val="bottom"/>
            <w:shd w:val="clear" w:color="auto" w:fill="CCEEFF"/>
          </w:tcPr>
          <w:p>
            <w:pPr>
              <w:ind w:left="180"/>
              <w:spacing w:after="0" w:line="89" w:lineRule="exact"/>
              <w:rPr>
                <w:sz w:val="20"/>
                <w:szCs w:val="20"/>
                <w:color w:val="auto"/>
              </w:rPr>
            </w:pPr>
            <w:r>
              <w:rPr>
                <w:rFonts w:ascii="Arial" w:cs="Arial" w:eastAsia="Arial" w:hAnsi="Arial"/>
                <w:sz w:val="10"/>
                <w:szCs w:val="10"/>
                <w:color w:val="auto"/>
              </w:rPr>
              <w:t>Activity related to stock-based</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431.7</w:t>
            </w:r>
          </w:p>
        </w:tc>
        <w:tc>
          <w:tcPr>
            <w:tcW w:w="6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431.7</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compensation</w:t>
            </w:r>
          </w:p>
        </w:tc>
        <w:tc>
          <w:tcPr>
            <w:tcW w:w="106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60" w:type="dxa"/>
            <w:vAlign w:val="bottom"/>
          </w:tcPr>
          <w:p>
            <w:pPr>
              <w:ind w:left="180"/>
              <w:spacing w:after="0" w:line="128" w:lineRule="exact"/>
              <w:rPr>
                <w:sz w:val="20"/>
                <w:szCs w:val="20"/>
                <w:color w:val="auto"/>
              </w:rPr>
            </w:pPr>
            <w:r>
              <w:rPr>
                <w:rFonts w:ascii="Arial" w:cs="Arial" w:eastAsia="Arial" w:hAnsi="Arial"/>
                <w:sz w:val="13"/>
                <w:szCs w:val="13"/>
                <w:color w:val="auto"/>
              </w:rPr>
              <w:t>Issuance of common stock under</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8"/>
        </w:trPr>
        <w:tc>
          <w:tcPr>
            <w:tcW w:w="2660" w:type="dxa"/>
            <w:vAlign w:val="bottom"/>
          </w:tcPr>
          <w:p>
            <w:pPr>
              <w:ind w:left="180"/>
              <w:spacing w:after="0"/>
              <w:rPr>
                <w:sz w:val="20"/>
                <w:szCs w:val="20"/>
                <w:color w:val="auto"/>
              </w:rPr>
            </w:pPr>
            <w:r>
              <w:rPr>
                <w:rFonts w:ascii="Arial" w:cs="Arial" w:eastAsia="Arial" w:hAnsi="Arial"/>
                <w:sz w:val="13"/>
                <w:szCs w:val="13"/>
                <w:color w:val="auto"/>
              </w:rPr>
              <w:t>employee stock purchase plan</w:t>
            </w: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1,218.7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1,218.7</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public offering, net of issuance costs</w:t>
            </w: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Balance - June 30, 2022</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338.3</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4,291.3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(3,710.6)</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592.9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Description of Business and Basis of Presentation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Description and Organization</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Peloton Interactive, Inc. (“Peloton” or the “Company”) is the largest interactive fitness platform in the world with a loyal community of Members, which we define as any individual who has a Peloton account through a paid Connected Fitness Subscription (“All-Access Membership”)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and Consolidation</w:t>
      </w:r>
    </w:p>
    <w:p>
      <w:pPr>
        <w:spacing w:after="0" w:line="4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accompanying consolidated financial statements have been prepared in accordance with accounting principles generally accepted in the United States (“GAAP”) and applicable rules and regulations of the U.S. Securities and Exchange Commission (“SEC”). The consolidated financial statements include the accounts of Peloton Interactive, Inc. and its subsidiaries in which the Company has a controlling financial interest. All significant intercompany balances and transactions have been eliminated.</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Certain immaterial amounts presented in the consolidated statement of operations and comprehensive loss for the fiscal years ended June 30, 2021 and 2020 have been reclassified to conform to the current year presentation.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41"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Company considers all cash and short-term investments purchased with maturities of three months or less when acquired to be cash equivalents. As of June 30, 2022 and 2021, the Company’s cash and cash equivalents were primarily held in money market and operating accounts. At various times during the fiscal years ended June 30, 2022 and 2021, the balances of cash at financial institutions exceeded the federally insured limit. The Company has not experienced any losses in such accounts and believes its cash and cash equivalents are not subject to any significant credit risk.</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Restricted Cash</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 primarily consists of cash held in reserve accounts related to operating lease obligations.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Receivable, Net of Allowances</w:t>
      </w:r>
    </w:p>
    <w:p>
      <w:pPr>
        <w:spacing w:after="0" w:line="41" w:lineRule="exact"/>
        <w:rPr>
          <w:sz w:val="20"/>
          <w:szCs w:val="20"/>
          <w:color w:val="auto"/>
        </w:rPr>
      </w:pPr>
    </w:p>
    <w:p>
      <w:pPr>
        <w:ind w:right="140"/>
        <w:spacing w:after="0" w:line="252" w:lineRule="auto"/>
        <w:rPr>
          <w:sz w:val="20"/>
          <w:szCs w:val="20"/>
          <w:color w:val="auto"/>
        </w:rPr>
      </w:pPr>
      <w:r>
        <w:rPr>
          <w:rFonts w:ascii="Arial" w:cs="Arial" w:eastAsia="Arial" w:hAnsi="Arial"/>
          <w:sz w:val="13"/>
          <w:szCs w:val="13"/>
          <w:color w:val="auto"/>
        </w:rPr>
        <w:t>The Company's accounts receivable primarily represent amounts due from third-party sales payment processors. The allowance is based upon a number of factors, including the length of time accounts receivable are past due, the Company's previous loss history, the specific customer's ability to pay its obligation and any other forward-looking data regarding customers' ability to pay which may be available.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 is recognized when control of the promised goods or services is transferred to the Company’s customers, in an amount that reflects the consideration the Company expects to be entitled to in exchange for those goods or services. Refer to Note 3, Revenue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Inventories consist of finished goods, work-in-process and raw materials. Finished goods are manufactured by us and purchased from contract manufacturers. Connected Fitness Product, accessories, apparel, and raw material inventories are stated at the lower of cost or net realizable value on a weighted-average cost basis. The Company assesses the valuation of inventory and periodically adjusts the value for estimated excess and obsolete inventory based upon estimates of future demand and market conditions, as well as damaged or otherwise impaired goods. Spare parts are recorded as inventory and recognized in cost of revenue as consumed.</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classifies its marketable debt securities as available-for-sale and, accordingly, records them at fair value. Marketable securities with original maturities of greater than three months and remaining maturities of less than one year are classified as current investments. Unrealized holding gains and losses are excluded from earnings and are reported net of tax in other comprehensive income until realized. Dividend and interest income is recognized when earned. Realized gains and losses are included in earnings and are derived using the specific identification method for determining the cost of securities sold.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Property and equipment purchased by the Company are stated at cost less accumulated depreciation. Depreciation of property and equipment is calculated using the straight-line method over the estimated useful lives of the assets. For leasehold improvements, the useful life is the lesser of the applicable lease term or the expected asset life. Charges for repairs and maintenance that do not improve or extend the lives of the respective assets are expensed as incurred. The Company capitalizes the cost of pre-production tooling which it owns during a supply arrangement. Pre-production tooling, including the related engineering costs the Company will not own or will not be used in producing products under long-term supply arrangements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Internal-Use Software</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 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determine whether transactions should be accounted for as acquisitions of assets or business combinations, the Company makes certain judgments, which include assessment of the inputs, processes, and outputs associated with the acquired set of activities. If the Company determines that substantially all of the fair value of gross assets included in a transaction is concentrated in a single asset (or a group of similar assets), the assets would not represent a business. To be considered a business, the assets in a transaction need to include an input and a substantive process that together significantly contribute to the ability to create outputs.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allocates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 values, the Company typically obtains assistance from third-party valuation specialists for significant items. Any excess of the purchase price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77" w:name="page78"/>
    <w:bookmarkEnd w:id="77"/>
    <w:p>
      <w:pPr>
        <w:jc w:val="both"/>
        <w:spacing w:after="0" w:line="261" w:lineRule="auto"/>
        <w:rPr>
          <w:sz w:val="20"/>
          <w:szCs w:val="20"/>
          <w:color w:val="auto"/>
        </w:rPr>
      </w:pPr>
      <w:r>
        <w:rPr>
          <w:rFonts w:ascii="Arial" w:cs="Arial" w:eastAsia="Arial" w:hAnsi="Arial"/>
          <w:sz w:val="13"/>
          <w:szCs w:val="13"/>
          <w:color w:val="auto"/>
        </w:rPr>
        <w:t>(consideration transferred)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at the acquisition date becomes available.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Intangible assets other than goodwill are comprised of acquired developed technology, brand name, customer relationships, distributor relationships,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reviews goodwill for impairment annually on April 1 of each fiscal year or whenever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continues to exceed its fair value, the fair value of the reporting unit’s goodwill is calculated and an impairment loss equal to the excess is recorded.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The Company assesses the impairment of intangible assets whenever events or changes in circumstances indicate that the carrying amount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Senior Notes</w:t>
      </w:r>
    </w:p>
    <w:p>
      <w:pPr>
        <w:spacing w:after="0" w:line="4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February 2021, the Company issued in a private offering $1.0 billion aggregate principal amount of 0% Convertible Senior Notes due 2026 (the "Notes"), including the initial purchasers’ exercise in full of their option to purchase additional notes. See Note 12 for additional details.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Notes are accounted for in accordance with Financial Accounting Standards Board (“FASB”) Accounting Standards Codification (“ASC”) Subtopic 470-20, </w:t>
      </w:r>
      <w:r>
        <w:rPr>
          <w:rFonts w:ascii="Arial" w:cs="Arial" w:eastAsia="Arial" w:hAnsi="Arial"/>
          <w:sz w:val="13"/>
          <w:szCs w:val="13"/>
          <w:i w:val="1"/>
          <w:iCs w:val="1"/>
          <w:color w:val="auto"/>
        </w:rPr>
        <w:t>Debt with Conversion and Other Options</w:t>
      </w:r>
      <w:r>
        <w:rPr>
          <w:rFonts w:ascii="Arial" w:cs="Arial" w:eastAsia="Arial" w:hAnsi="Arial"/>
          <w:sz w:val="13"/>
          <w:szCs w:val="13"/>
          <w:color w:val="auto"/>
        </w:rPr>
        <w:t>. Pursuant to ASC Subtopic 470-20, issuers of certain convertible debt instruments, such as the Notes, that have a net settlement feature and may be settled wholly or partially in cash upon conversion are required to separately account for the liability (debt) and equity (conversion option) components of the instrument.</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carrying amount of the liability component of the instrument is computed by estimating the fair value of a similar liability without the conversion option using a market-based approach. The amount of the equity component is then calculated by deducting the fair value of the liability component from the initial proceeds of the instrument. The difference between the principal amount and the liability component represents a debt discount that is amortized to interest expense over the respective term of the Notes using the effective interest rate method. The equity component is not remeasured as long as it continues to meet the conditions for equity classification. In accounting for the issuance costs related to the Notes, the allocation of issuance costs incurred between the liability and equity components was based on their relative values.</w:t>
      </w:r>
    </w:p>
    <w:p>
      <w:pPr>
        <w:spacing w:after="0" w:line="16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Simultaneously, the Company entered into privately negotiated capped call transactions with certain counterparties to minimize the impact of potential dilution upon conversion. See Note 12 for additional details.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Derivative Instruments and Hedging Activities</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Company, when deemed appropriate, uses derivatives as a risk management tool to mitigate the potential impact of foreign currency exchange risk. As required by ASC 815, the Company records all derivatives on the balance sheet at fair value in the following line items: Prepaid expenses and other current assets; and Other current liabilities. For hedging derivatives that the Company has determined qualify as effective cash flow hedges, the Company records the cumulative changes in the fair value in Other comprehensive (loss) income in the Consolidated Statements of Operations and Comprehensive Loss. Hedge ineffectiveness is recorded in Other expense, net in the Consolidated Statements of Operations and Comprehensive Loss. Fair value changes for derivatives that are not in qualifying hedge relationships are recorded in Other expense, net in the Consolidated Statements of Operations and Comprehensive Loss.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The Company does not currently have fair value or net investment hedges. Hedge accounting generally provides for the matching of the timing of gain or loss recognition on the hedging instrument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78" w:name="page79"/>
    <w:bookmarkEnd w:id="78"/>
    <w:p>
      <w:pPr>
        <w:jc w:val="both"/>
        <w:spacing w:after="0" w:line="266" w:lineRule="auto"/>
        <w:rPr>
          <w:sz w:val="20"/>
          <w:szCs w:val="20"/>
          <w:color w:val="auto"/>
        </w:rPr>
      </w:pPr>
      <w:r>
        <w:rPr>
          <w:rFonts w:ascii="Arial" w:cs="Arial" w:eastAsia="Arial" w:hAnsi="Arial"/>
          <w:sz w:val="13"/>
          <w:szCs w:val="13"/>
          <w:color w:val="auto"/>
        </w:rPr>
        <w:t>with the recognition of the changes in the fair value of the hedged asset or liability that are attributable to the hedged risk in a fair value hedge or the earnings effect of the hedged forecasted transactions in a cash flow hedge.</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our derivatives where the Company applies hedge accounting,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evaluates its convertible instruments and other contracts to determine if those contracts or embedded components of those contracts qualify as derivatives requiring separate recognition in the Company’s financial statements in accordance with the criteria under ASC 815-15. As of June 30, 2022, the Company did not have any material derivative contracts or contracts with material embedded derivative features requiring bifurcation.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Connected Fitness Products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Connected Fitness Products cost of revenue consists of product costs, including manufacturing costs, duties and other applicable importing costs, shipping and handling costs, packaging, warranty replacement costs, fulfillment costs, warehousing costs, depreciation of property and equipment, and certain allocated costs related to management, facilities, and personnel-related expenses associated with supply chain logistics.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Subscription</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Subscription cost of revenue includes costs associated with content creation and cost to stream content to Members across the Company’s platform. These costs consist of both fixed costs, including studio rent and overhead costs and instructor and production personnel costs, depreciation of property and equipment, as well as variable costs, including music royalty fees, content costs for past use, third-party platform streaming costs, and payment processing fees for monthly subscription billings.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Music Royalty Fees</w:t>
      </w:r>
    </w:p>
    <w:p>
      <w:pPr>
        <w:spacing w:after="0" w:line="4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recognizes music royalty fees on all music it streams to Members as these fees are incurred in accordance with the terms of the relevant license agreement with the music rights holder. The incurrence of the royalties is primarily driven by content usage by the Company’s Members through the use of a paid subscription or as part of a free-trial offer and it is classified as subscription cost of revenue or sales and marketing expense, respectively, within the Company’s statement of operations and comprehensive loss. The Company’s license agreements with music rights holders may include provisions for advance royalty payments as well as minimum guarantees. When a minimum guarantee is paid in advance, the guarantee is recorded as a cost to fulfill or prepaid asset and amortized over the shorter of the period consumed or the term of the agreement.</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the Company executes music license agreements with various music rights holders for go-forward usage, the Company may also simultaneously enter into a settlement agreement whereby the Company is released from all potential licensor claims regarding the Company’s alleged past use of copyrighted material in exchange for a negotiated payment. These are referred to as “content costs for past use” and are recorded within subscription cost of revenue. The Company has entered into agreements with music rights holders who represent all the music catalogs that the Company needs to operate its service, however, given the at times uncertain and opaque nature of music rights ownership, the Company’s archived library may continue to include music for which certain rights or fractional interests have not been accurately determined or fully licensed. Prior to the execution of a music license agreement, the Company estimates and records a charge based upon license agreements previously entered into and the respective music rights holdings.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4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utilizes the asset and liability method for computing its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is not likely, establishes a valuation allowance.</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income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4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Advertising and other promotional costs to market the Company's products are expensed as incurred. Advertising expenses were $637.3 million, $417.6 million, and $302.8 million for the fiscal years ended June 30, 2022, 2021 and 2020, respectively, and are included within Sales and marketing expenses in the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Research and development expenses consist primarily of personnel- and facilities-related expenses, consulting and contractor expenses, tooling and prototype materials software platform expenses, and depreciation of property and equipment. Substantially all of the Company’s research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79" w:name="page80"/>
    <w:bookmarkEnd w:id="79"/>
    <w:p>
      <w:pPr>
        <w:spacing w:after="0"/>
        <w:rPr>
          <w:sz w:val="20"/>
          <w:szCs w:val="20"/>
          <w:color w:val="auto"/>
        </w:rPr>
      </w:pPr>
      <w:r>
        <w:rPr>
          <w:rFonts w:ascii="Arial" w:cs="Arial" w:eastAsia="Arial" w:hAnsi="Arial"/>
          <w:sz w:val="13"/>
          <w:szCs w:val="13"/>
          <w:color w:val="auto"/>
        </w:rPr>
        <w:t>and development expenses are related to developing new products and services and improving existing products and services. Research and development expenses are expensed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August 2019, the Company's Board of Directors ("Board of Directors") adopted the 2019 Employee Stock Purchase Plan ("ESPP"), which was subsequently approved by the Company’s stockholders in September 2019. The Company recognizes stock-based compensation expense related to shares issued pursuant to its ESPP on a straight-line basis over the offering period, which is twenty-four months. The ESPP allows employees to purchase shares of the Company's Class A common stock at a 15 percent discount. The ESPP also includes a look-back provision for the purchase price if the stock price on the purchase date is less than the stock price on the offering date.</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In August 2019, the Board of Directors adopted the 2019 Equity Incentive Plan ("the 2019 Plan"), which was subsequently approved by the Company’s stockholders in September 2019. Stock-based awards are measured at the grant date based on the fair value of the award and are recognized as expense, net of actual forfeitures, on a straight-line basis over the requisite service period, which is generally the vesting period of the respective award. For performance-based awards issued, the value of the instrument is measured at the grant date as the fair value of the award and expensed over the vesting term under an accelerated attribution method when the performance targets are considered probable of being achieved. 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awards, the expected term of the stock option, risk-free interest rates, and the expected dividend yield of the Company’s common stock. Prior to the fourth quarter of fiscal year ended June 30, 2021, the Company derived its volatility from the average historical stock volatilities of several peer public companies over a period equivalent to the expected term of the awards. Beginning in the fourth quarter of fiscal year ended June 30, 2021, the 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currently anticipate paying dividends on its common stock.</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Generally, the 2015 Stock Plan permitted the early exercise of stock options granted prior to the IPO. The unvested portion of shares exercised is recorded within Other current liabilities on the Company’s balance sheet and reclassified to equity as vesting occurs.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Restructuring</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Costs and liabilities associated with restructuring activities are recognized when the actions are probable and estimable, which is when management approves the associated actions. Employee-related severance charges are recognized at the time of communication to employees. Contract termination and other charges primarily reflect costs to terminate a contract before the end of its term (measured at fair value at the time the Company provided notice to the counterparty).</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Defined Contribution Plan</w:t>
      </w:r>
    </w:p>
    <w:p>
      <w:pPr>
        <w:spacing w:after="0" w:line="4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maintains a defined contribution retirement plan offered to all of its U.S. employees, as well as plans at certain foreign and domestic subsidiaries. For the fiscal years ended June 30, 2022, 2021, and 2020, the Company's matching contributions totaled $26.3 million, $19.6 million, and $8.4 million, respectively, and were expensed as contributed.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Commitments and Contingencies</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or states that such an estimate cannot be made.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7" w:lineRule="exact"/>
        <w:rPr>
          <w:sz w:val="20"/>
          <w:szCs w:val="20"/>
          <w:color w:val="auto"/>
        </w:rPr>
      </w:pP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Level 1 inputs are based on quoted prices in active markets for identical assets or liabilities.</w:t>
      </w:r>
    </w:p>
    <w:p>
      <w:pPr>
        <w:spacing w:after="0" w:line="11" w:lineRule="exact"/>
        <w:rPr>
          <w:rFonts w:ascii="Arial" w:cs="Arial" w:eastAsia="Arial" w:hAnsi="Arial"/>
          <w:sz w:val="13"/>
          <w:szCs w:val="13"/>
          <w:color w:val="auto"/>
        </w:rPr>
      </w:pPr>
    </w:p>
    <w:p>
      <w:pPr>
        <w:jc w:val="both"/>
        <w:ind w:left="520" w:right="200" w:hanging="260"/>
        <w:spacing w:after="0" w:line="251" w:lineRule="auto"/>
        <w:tabs>
          <w:tab w:leader="none" w:pos="511"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80" w:name="page81"/>
    <w:bookmarkEnd w:id="80"/>
    <w:p>
      <w:pPr>
        <w:ind w:left="520" w:right="220" w:hanging="260"/>
        <w:spacing w:after="0" w:line="266" w:lineRule="auto"/>
        <w:tabs>
          <w:tab w:leader="none" w:pos="511" w:val="left"/>
        </w:tabs>
        <w:numPr>
          <w:ilvl w:val="0"/>
          <w:numId w:val="40"/>
        </w:numPr>
        <w:rPr>
          <w:rFonts w:ascii="Arial" w:cs="Arial" w:eastAsia="Arial" w:hAnsi="Arial"/>
          <w:sz w:val="13"/>
          <w:szCs w:val="13"/>
          <w:color w:val="auto"/>
        </w:rPr>
      </w:pPr>
      <w:r>
        <w:rPr>
          <w:rFonts w:ascii="Arial" w:cs="Arial" w:eastAsia="Arial" w:hAnsi="Arial"/>
          <w:sz w:val="13"/>
          <w:szCs w:val="13"/>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material financial instruments consist primarily of cash and cash equivalents, marketable securities, accounts receivable, accounts payable, accrued expenses, and the convertible senior notes. The carrying values of the Company’s accounts receivable, accounts payable and accrued expenses approximated their fair values at June 30, 2022 and 2021, due to the short period of time to maturity or repayment.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Earnings (Loss) Per Share</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computes earnings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The Company’s restricted stock awards and common stock issued upon early exercise of stock options are participating securities. The Company considers any shares issued upon early exercise of stock options, subject to repurchase, to be participating securities because holders of such shares have non-forfeitable dividend rights in the event a cash dividend is declared on common stock. These participating securities do not contractually require the holders of such shares to participate in the Company’s losses. As such, net losses for the periods presented were not allocated to the Company’s participating securities.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Basic earnings (loss) per share is computed using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ESPP shares to be issued, and vesting of restricted stock awards.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impairment of long-lived and intangible assets, useful lives of long lived assets, including property and equipment and finite lived intangible assets, product warranty, goodwill, accounting for income taxes, stock-based compensation expense, transaction price estimates, the fair values of assets acquired and liabilities assumed in business combinations and asset acquisitions, valuation of the debt component of convertible senior notes, contingent consideration, and commitments and contingencies. Actual results may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Pronouncements Recently Adopted</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2020-01</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January 2020, the FASB issued ASU 2020-01, </w:t>
      </w:r>
      <w:r>
        <w:rPr>
          <w:rFonts w:ascii="Arial" w:cs="Arial" w:eastAsia="Arial" w:hAnsi="Arial"/>
          <w:sz w:val="13"/>
          <w:szCs w:val="13"/>
          <w:i w:val="1"/>
          <w:iCs w:val="1"/>
          <w:color w:val="auto"/>
        </w:rPr>
        <w:t>Investments-Equity Securities (Topic 321), Investments-Equity Method and Joint Ventures (Topic 323), and Derivatives and Hedging (Topic 815):</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i w:val="1"/>
          <w:iCs w:val="1"/>
          <w:color w:val="auto"/>
        </w:rPr>
        <w:t xml:space="preserve">Clarifying the Interactions between Topic 321, Topic 323, and Topic 815. </w:t>
      </w:r>
      <w:r>
        <w:rPr>
          <w:rFonts w:ascii="Arial" w:cs="Arial" w:eastAsia="Arial" w:hAnsi="Arial"/>
          <w:sz w:val="13"/>
          <w:szCs w:val="13"/>
          <w:color w:val="auto"/>
        </w:rPr>
        <w:t>This guidance clarifies the interaction of the accounting for equity investments under Topic 321 and investments accounted for</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equity method of accounting in Topic 323 and the accounting for certain forward contracts and purchased options accounted for under Topic 815. This standard is effective for public companies for fiscal years, and interim periods within those fiscal years, beginning after December 15, 2020. The Company has completed its assessment and adopted this standard on July 1, 2021. The adoption of this standard did not materially impact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2020-04 and ASU 2021-01</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Reference Rate Reform (Topic 848): Facilitation of the Effects of Reference Rate Reform on Financial Reporting</w:t>
      </w:r>
      <w:r>
        <w:rPr>
          <w:rFonts w:ascii="Arial" w:cs="Arial" w:eastAsia="Arial" w:hAnsi="Arial"/>
          <w:sz w:val="13"/>
          <w:szCs w:val="13"/>
          <w:color w:val="auto"/>
        </w:rPr>
        <w:t xml:space="preserve">. This guidance provides temporary optional expedients and exceptions to accounting guidance on contract modifications and hedge accounting to ease entities’ financial reporting burdens as the market transitions from the London Interbank Offered Rate (LIBOR) and other interbank offered rates to alternative reference rates. In January 2021, the FASB issued ASU No. 2021-01, </w:t>
      </w:r>
      <w:r>
        <w:rPr>
          <w:rFonts w:ascii="Arial" w:cs="Arial" w:eastAsia="Arial" w:hAnsi="Arial"/>
          <w:sz w:val="13"/>
          <w:szCs w:val="13"/>
          <w:i w:val="1"/>
          <w:iCs w:val="1"/>
          <w:color w:val="auto"/>
        </w:rPr>
        <w:t>Reference Rate Reform (Topic 848)</w:t>
      </w:r>
      <w:r>
        <w:rPr>
          <w:rFonts w:ascii="Arial" w:cs="Arial" w:eastAsia="Arial" w:hAnsi="Arial"/>
          <w:sz w:val="13"/>
          <w:szCs w:val="13"/>
          <w:color w:val="auto"/>
        </w:rPr>
        <w:t>, which refines the scope of Topic ASC 848 and clarifies some of its guidance. The amendments in ASU 2021-01 are elective and apply to all entities that have derivative instruments that use an interest rate for margining, discounting, or contract price alignment that is modified as a result of reference rate reform. The guidance in both updates was effective upon issuance and generally can be applied through December 31, 2022. The Company adopted this standard after LIBOR was discontinued on December 31, 2021. The adoption of this standard did not materially impact the Company's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Pronouncements Not Yet Adopted</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2020-06</w:t>
      </w:r>
    </w:p>
    <w:p>
      <w:pPr>
        <w:spacing w:after="0" w:line="3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In August 2020, the FASB issued ASU 2020-06, </w:t>
      </w:r>
      <w:r>
        <w:rPr>
          <w:rFonts w:ascii="Arial" w:cs="Arial" w:eastAsia="Arial" w:hAnsi="Arial"/>
          <w:sz w:val="13"/>
          <w:szCs w:val="13"/>
          <w:i w:val="1"/>
          <w:iCs w:val="1"/>
          <w:color w:val="auto"/>
        </w:rPr>
        <w:t>Debt - Debt with Conversion and Other Options (Subtopic 470-20) and Derivatives and Hedging- Contracts in Entity’s Own Equity (Subtopic 815-40):</w:t>
      </w:r>
      <w:r>
        <w:rPr>
          <w:rFonts w:ascii="Arial" w:cs="Arial" w:eastAsia="Arial" w:hAnsi="Arial"/>
          <w:sz w:val="13"/>
          <w:szCs w:val="13"/>
          <w:color w:val="auto"/>
        </w:rPr>
        <w:t xml:space="preserve"> </w:t>
      </w:r>
      <w:r>
        <w:rPr>
          <w:rFonts w:ascii="Arial" w:cs="Arial" w:eastAsia="Arial" w:hAnsi="Arial"/>
          <w:sz w:val="13"/>
          <w:szCs w:val="13"/>
          <w:i w:val="1"/>
          <w:iCs w:val="1"/>
          <w:color w:val="auto"/>
        </w:rPr>
        <w:t>Accounting for Convertible Instruments and Contracts in an Entity’s Own Equity</w:t>
      </w:r>
      <w:r>
        <w:rPr>
          <w:rFonts w:ascii="Arial" w:cs="Arial" w:eastAsia="Arial" w:hAnsi="Arial"/>
          <w:sz w:val="13"/>
          <w:szCs w:val="13"/>
          <w:color w:val="auto"/>
        </w:rPr>
        <w:t>. The guidance will simplify the accounting for convertible instruments by reducing the number of accounting models for</w:t>
      </w:r>
      <w:r>
        <w:rPr>
          <w:rFonts w:ascii="Arial" w:cs="Arial" w:eastAsia="Arial" w:hAnsi="Arial"/>
          <w:sz w:val="13"/>
          <w:szCs w:val="13"/>
          <w:i w:val="1"/>
          <w:iCs w:val="1"/>
          <w:color w:val="auto"/>
        </w:rPr>
        <w:t xml:space="preserve"> </w:t>
      </w:r>
      <w:r>
        <w:rPr>
          <w:rFonts w:ascii="Arial" w:cs="Arial" w:eastAsia="Arial" w:hAnsi="Arial"/>
          <w:sz w:val="13"/>
          <w:szCs w:val="13"/>
          <w:color w:val="auto"/>
        </w:rPr>
        <w:t>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81" w:name="page82"/>
    <w:bookmarkEnd w:id="81"/>
    <w:p>
      <w:pPr>
        <w:jc w:val="both"/>
        <w:spacing w:after="0" w:line="249" w:lineRule="auto"/>
        <w:rPr>
          <w:sz w:val="20"/>
          <w:szCs w:val="20"/>
          <w:color w:val="auto"/>
        </w:rPr>
      </w:pPr>
      <w:r>
        <w:rPr>
          <w:rFonts w:ascii="Arial" w:cs="Arial" w:eastAsia="Arial" w:hAnsi="Arial"/>
          <w:sz w:val="13"/>
          <w:szCs w:val="13"/>
          <w:color w:val="auto"/>
        </w:rPr>
        <w:t xml:space="preserve">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eliminates the treasury stock method to calculate diluted earnings per share for convertible instruments and requires the use of the if-converted method. ASU 2020-06 will be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The Company plans to adopt the standard effective July 1, 2022 using the modified retrospective transition method. Adoption of the new standard is expected to result in a reduction to Additional paid-in capital of $160.1 million to remove the equity component separately recorded for the conversion features associated with the Notes (as defined in </w:t>
      </w:r>
      <w:r>
        <w:rPr>
          <w:rFonts w:ascii="Arial" w:cs="Arial" w:eastAsia="Arial" w:hAnsi="Arial"/>
          <w:sz w:val="13"/>
          <w:szCs w:val="13"/>
          <w:i w:val="1"/>
          <w:iCs w:val="1"/>
          <w:color w:val="auto"/>
        </w:rPr>
        <w:t xml:space="preserve">Note 12 - Debt </w:t>
      </w:r>
      <w:r>
        <w:rPr>
          <w:rFonts w:ascii="Arial" w:cs="Arial" w:eastAsia="Arial" w:hAnsi="Arial"/>
          <w:sz w:val="13"/>
          <w:szCs w:val="13"/>
          <w:color w:val="auto"/>
        </w:rPr>
        <w:t>of the Notes to Consolidated Financial Statements in Part II, Item 8 of this Annual Report on Form 10-K), an increase of $119.6 million in the carrying value of its Notes to reflect the full</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 amount of the Notes outstanding net of issuance costs, and a decrease to Accumulated deficit of $40.5 million.</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2021-08</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In October 2021, the Financial Accounting Standards Board issued ASU 2021-08, </w:t>
      </w:r>
      <w:r>
        <w:rPr>
          <w:rFonts w:ascii="Arial" w:cs="Arial" w:eastAsia="Arial" w:hAnsi="Arial"/>
          <w:sz w:val="13"/>
          <w:szCs w:val="13"/>
          <w:i w:val="1"/>
          <w:iCs w:val="1"/>
          <w:color w:val="auto"/>
        </w:rPr>
        <w:t>Business Combinations (Topic 805): Accounting for Contract Assets and Contract Liabilities from Contracts with</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Customers. </w:t>
      </w:r>
      <w:r>
        <w:rPr>
          <w:rFonts w:ascii="Arial" w:cs="Arial" w:eastAsia="Arial" w:hAnsi="Arial"/>
          <w:sz w:val="13"/>
          <w:szCs w:val="13"/>
          <w:color w:val="auto"/>
        </w:rPr>
        <w:t>The guidance requires that an acquirer recognize and measure contract assets and liabilities acquired in a business combination in accordance with ASC 606,</w:t>
      </w:r>
      <w:r>
        <w:rPr>
          <w:rFonts w:ascii="Arial" w:cs="Arial" w:eastAsia="Arial" w:hAnsi="Arial"/>
          <w:sz w:val="13"/>
          <w:szCs w:val="13"/>
          <w:i w:val="1"/>
          <w:iCs w:val="1"/>
          <w:color w:val="auto"/>
        </w:rPr>
        <w:t xml:space="preserve"> Revenue from Contracts with Customers</w:t>
      </w:r>
      <w:r>
        <w:rPr>
          <w:rFonts w:ascii="Arial" w:cs="Arial" w:eastAsia="Arial" w:hAnsi="Arial"/>
          <w:sz w:val="13"/>
          <w:szCs w:val="13"/>
          <w:color w:val="auto"/>
        </w:rPr>
        <w:t>. This standard is effective for annual periods beginning after December 15, 2022, including interim periods therein, with early adoption permitted, and should be applied prospectively to</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occurring on or after the effective date. The Company will continue to evaluate the impact of this guidance, which will depend on the contract assets and liabilities acquired in future business combinations.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Revenue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primary source of revenue is from sales of its Connected Fitness Products and associated recurring Subscription revenues.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Company determines revenue recognition through the following steps:</w:t>
      </w:r>
    </w:p>
    <w:p>
      <w:pPr>
        <w:spacing w:after="0" w:line="190" w:lineRule="exact"/>
        <w:rPr>
          <w:sz w:val="20"/>
          <w:szCs w:val="20"/>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Recognition of revenue when, or as, the Company satisfies a performance obligation.</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applies the practical expedient as per ASC 606-10-50-14 and does not disclose information related to remaining performance obligations due to their original expected terms being one year or less.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expenses sales commissions on its Connected Fitness Products when incurred because the amortization period would have been less than one year. These costs are recorded in Sales and marketing in the Company’s Consolidated Statements of Operations and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Connected Fitness Products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 revenue net of sales returns and discounts when the product has been delivered to the customer, except for extended warranty revenue which is recognized over the warranty period and service revenue which is recognized over the term of the service contract. The Company allows customers to return Peloton branded Connected Fitness Products within thirty days of purchase, as stated in its return policy.</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Consolidated Statements of Operations and Comprehensive Loss.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i w:val="1"/>
          <w:iCs w:val="1"/>
          <w:color w:val="auto"/>
        </w:rPr>
        <w:t>Subscription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The Company’s subscriptions provide unlimited access to content in its library of live and on-demand fitness classes. The Company’s subscriptions are offered on a month-to-month basis.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Amounts paid for subscription fees, net of refunds are included within Customer deposits and deferred revenue on the Company’s Consolidated Balance Sheets and recognized ratably over the subscription term. The Company records payment processing fees for its monthly subscription charges within cost of Subscription revenue in the Company’s Consolidated Statements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Sales tax collected from customers and remitted to governmental authorities is not included in revenue and is reflected as a liability on the Company’s Consolidated Balance Sheets.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Standard Product Warranty</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offers a standard product warranty that its Connected Fitness Products will operate under normal, non-commercial use for a period of one year covering the touchscreen and most original Bike, Bike+, Tread, Tread+, and Guide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20"/>
                <w:szCs w:val="20"/>
                <w:color w:val="auto"/>
              </w:rPr>
            </w:pPr>
            <w:r>
              <w:rPr>
                <w:rFonts w:ascii="Arial" w:cs="Arial" w:eastAsia="Arial" w:hAnsi="Arial"/>
                <w:sz w:val="13"/>
                <w:szCs w:val="13"/>
                <w:color w:val="auto"/>
              </w:rPr>
              <w:t>Activity related to the Company’s accrual for our estimated future product warranty obligation was as follows:</w:t>
            </w: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3"/>
        </w:trPr>
        <w:tc>
          <w:tcPr>
            <w:tcW w:w="768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3"/>
                <w:szCs w:val="13"/>
                <w:b w:val="1"/>
                <w:bCs w:val="1"/>
                <w:color w:val="auto"/>
              </w:rPr>
              <w:t>Fiscal Year Ended June 30,</w:t>
            </w:r>
          </w:p>
        </w:tc>
        <w:tc>
          <w:tcPr>
            <w:tcW w:w="540" w:type="dxa"/>
            <w:vAlign w:val="bottom"/>
            <w:tcBorders>
              <w:bottom w:val="single" w:sz="8" w:color="auto"/>
            </w:tcBorders>
          </w:tcPr>
          <w:p>
            <w:pPr>
              <w:spacing w:after="0"/>
              <w:rPr>
                <w:sz w:val="24"/>
                <w:szCs w:val="24"/>
                <w:color w:val="auto"/>
              </w:rPr>
            </w:pPr>
          </w:p>
        </w:tc>
      </w:tr>
      <w:tr>
        <w:trPr>
          <w:trHeight w:val="160"/>
        </w:trPr>
        <w:tc>
          <w:tcPr>
            <w:tcW w:w="7680" w:type="dxa"/>
            <w:vAlign w:val="bottom"/>
          </w:tcPr>
          <w:p>
            <w:pPr>
              <w:spacing w:after="0"/>
              <w:rPr>
                <w:sz w:val="13"/>
                <w:szCs w:val="13"/>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3"/>
                <w:szCs w:val="13"/>
                <w:color w:val="auto"/>
              </w:rPr>
            </w:pPr>
          </w:p>
        </w:tc>
      </w:tr>
      <w:tr>
        <w:trPr>
          <w:trHeight w:val="160"/>
        </w:trPr>
        <w:tc>
          <w:tcPr>
            <w:tcW w:w="7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40" w:type="dxa"/>
            <w:vAlign w:val="bottom"/>
            <w:gridSpan w:val="3"/>
          </w:tcPr>
          <w:p>
            <w:pPr>
              <w:ind w:left="220"/>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122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51.5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4"/>
              </w:rPr>
              <w:t>34.2</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Provision for warranty accrual</w:t>
            </w:r>
          </w:p>
        </w:tc>
        <w:tc>
          <w:tcPr>
            <w:tcW w:w="122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3"/>
                <w:szCs w:val="13"/>
                <w:color w:val="auto"/>
              </w:rPr>
              <w:t>59.7</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jc w:val="center"/>
              <w:ind w:left="116"/>
              <w:spacing w:after="0"/>
              <w:rPr>
                <w:sz w:val="20"/>
                <w:szCs w:val="20"/>
                <w:color w:val="auto"/>
              </w:rPr>
            </w:pPr>
            <w:r>
              <w:rPr>
                <w:rFonts w:ascii="Arial" w:cs="Arial" w:eastAsia="Arial" w:hAnsi="Arial"/>
                <w:sz w:val="13"/>
                <w:szCs w:val="13"/>
                <w:color w:val="auto"/>
                <w:w w:val="94"/>
              </w:rPr>
              <w:t>71.1</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claims</w:t>
            </w:r>
          </w:p>
        </w:tc>
        <w:tc>
          <w:tcPr>
            <w:tcW w:w="12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w w:val="99"/>
              </w:rPr>
              <w:t>(60.0)</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center"/>
              <w:ind w:left="96"/>
              <w:spacing w:after="0"/>
              <w:rPr>
                <w:sz w:val="20"/>
                <w:szCs w:val="20"/>
                <w:color w:val="auto"/>
              </w:rPr>
            </w:pPr>
            <w:r>
              <w:rPr>
                <w:rFonts w:ascii="Arial" w:cs="Arial" w:eastAsia="Arial" w:hAnsi="Arial"/>
                <w:sz w:val="13"/>
                <w:szCs w:val="13"/>
                <w:color w:val="auto"/>
                <w:w w:val="99"/>
              </w:rPr>
              <w:t>(53.9)</w:t>
            </w: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122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14"/>
                <w:szCs w:val="14"/>
                <w:color w:val="auto"/>
              </w:rPr>
            </w:pPr>
          </w:p>
        </w:tc>
        <w:tc>
          <w:tcPr>
            <w:tcW w:w="122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94"/>
              </w:rPr>
              <w:t>51.5</w:t>
            </w:r>
          </w:p>
        </w:tc>
      </w:tr>
      <w:tr>
        <w:trPr>
          <w:trHeight w:val="20"/>
        </w:trPr>
        <w:tc>
          <w:tcPr>
            <w:tcW w:w="7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ranging from 12 to 36 months.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Consolidated Statements of Operations and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Disaggregation of Revenue</w:t>
      </w:r>
    </w:p>
    <w:p>
      <w:pPr>
        <w:spacing w:after="0" w:line="4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 Company’s revenue from contracts with customers disaggregated by major product lines, excluding sales-based taxes, are included in </w:t>
      </w:r>
      <w:r>
        <w:rPr>
          <w:rFonts w:ascii="Arial" w:cs="Arial" w:eastAsia="Arial" w:hAnsi="Arial"/>
          <w:sz w:val="13"/>
          <w:szCs w:val="13"/>
          <w:i w:val="1"/>
          <w:iCs w:val="1"/>
          <w:color w:val="auto"/>
        </w:rPr>
        <w:t>Note 19- Segment Information</w:t>
      </w:r>
      <w:r>
        <w:rPr>
          <w:rFonts w:ascii="Arial" w:cs="Arial" w:eastAsia="Arial" w:hAnsi="Arial"/>
          <w:sz w:val="13"/>
          <w:szCs w:val="13"/>
          <w:color w:val="auto"/>
        </w:rPr>
        <w:t xml:space="preserve"> of the Notes to Consolidated Financial Statements in Part II, Item 8 of this Annual Report on Form 10-K.</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20"/>
                <w:szCs w:val="20"/>
                <w:color w:val="auto"/>
              </w:rPr>
            </w:pPr>
            <w:r>
              <w:rPr>
                <w:rFonts w:ascii="Arial" w:cs="Arial" w:eastAsia="Arial" w:hAnsi="Arial"/>
                <w:sz w:val="13"/>
                <w:szCs w:val="13"/>
                <w:color w:val="auto"/>
              </w:rPr>
              <w:t>The Company’s revenue disaggregated by geographic region, were as follows:</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53"/>
        </w:trPr>
        <w:tc>
          <w:tcPr>
            <w:tcW w:w="58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Fiscal Year Ended June 30,</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60"/>
        </w:trPr>
        <w:tc>
          <w:tcPr>
            <w:tcW w:w="5820" w:type="dxa"/>
            <w:vAlign w:val="bottom"/>
          </w:tcPr>
          <w:p>
            <w:pPr>
              <w:spacing w:after="0"/>
              <w:rPr>
                <w:sz w:val="13"/>
                <w:szCs w:val="13"/>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r>
      <w:tr>
        <w:trPr>
          <w:trHeight w:val="160"/>
        </w:trPr>
        <w:tc>
          <w:tcPr>
            <w:tcW w:w="5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0"/>
        </w:trPr>
        <w:tc>
          <w:tcPr>
            <w:tcW w:w="5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North America</w:t>
            </w: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3,259.6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1,743.6</w:t>
            </w:r>
          </w:p>
        </w:tc>
      </w:tr>
      <w:tr>
        <w:trPr>
          <w:trHeight w:val="169"/>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International</w:t>
            </w:r>
          </w:p>
        </w:tc>
        <w:tc>
          <w:tcPr>
            <w:tcW w:w="1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w:t>
            </w:r>
          </w:p>
        </w:tc>
      </w:tr>
      <w:tr>
        <w:trPr>
          <w:trHeight w:val="187"/>
        </w:trPr>
        <w:tc>
          <w:tcPr>
            <w:tcW w:w="5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revenue</w:t>
            </w: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3,582.1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4,021.8</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1,825.9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revenue attributable to the United States was $3,100.0 million, $3,577.1 million and $1,699.5 million, representing 87%, 89% and 93% of Total revenue for the fiscal years ended June 30, 2022, 2021 and 2020,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Customer Deposits and Deferred Revenue</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June 30, 2022 and June 30, 2021, customer deposits of $109.2 million and $92.2 million, respectively, and deferred revenue of $91.9 million and $72.6 million, respectively, were included in Customer deposits and deferred revenue on the Company’s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83" w:name="page84"/>
    <w:bookmarkEnd w:id="83"/>
    <w:p>
      <w:pPr>
        <w:jc w:val="both"/>
        <w:spacing w:after="0" w:line="266" w:lineRule="auto"/>
        <w:rPr>
          <w:sz w:val="20"/>
          <w:szCs w:val="20"/>
          <w:color w:val="auto"/>
        </w:rPr>
      </w:pPr>
      <w:r>
        <w:rPr>
          <w:rFonts w:ascii="Arial" w:cs="Arial" w:eastAsia="Arial" w:hAnsi="Arial"/>
          <w:sz w:val="13"/>
          <w:szCs w:val="13"/>
          <w:color w:val="auto"/>
        </w:rPr>
        <w:t>In the fiscal years ended June 30, 2022 and 2021, the Company recognized revenue of $70.4 million and $22.1 million, respectively, that was included in the deferred revenue balance as of June 30, 2021 and 2020, respectively.</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Restructuring</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February 2022, we announced and began implementing a restructuring plan to realign the Company’s operational focus to support its multi-year growth, scale the business, and improve costs (the “Restructuring Plan”). The Restructuring Plan includes: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 The Company expects the Restructuring Plan to be substantially implemented by the end of fiscal 2024.</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As a result of the Restructuring Plan, the Company incurred the following charges, of which Asset write-downs and write-offs are included within Impairment expense in the Consolidated Statements of Operations and Comprehensive Loss. The remaining charges incurred due to the restructuring plan are included within Restructuring expense in the Consolidated Statements of Operations and Comprehensive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20" w:type="dxa"/>
            <w:vAlign w:val="bottom"/>
          </w:tcPr>
          <w:p>
            <w:pPr>
              <w:spacing w:after="0"/>
              <w:rPr>
                <w:sz w:val="13"/>
                <w:szCs w:val="13"/>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Fiscal Year Ended June 30,</w:t>
            </w:r>
          </w:p>
        </w:tc>
      </w:tr>
      <w:tr>
        <w:trPr>
          <w:trHeight w:val="170"/>
        </w:trPr>
        <w:tc>
          <w:tcPr>
            <w:tcW w:w="9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2022</w:t>
            </w:r>
          </w:p>
        </w:tc>
      </w:tr>
      <w:tr>
        <w:trPr>
          <w:trHeight w:val="160"/>
        </w:trPr>
        <w:tc>
          <w:tcPr>
            <w:tcW w:w="9520" w:type="dxa"/>
            <w:vAlign w:val="bottom"/>
          </w:tcPr>
          <w:p>
            <w:pPr>
              <w:ind w:left="20"/>
              <w:spacing w:after="0"/>
              <w:rPr>
                <w:sz w:val="20"/>
                <w:szCs w:val="20"/>
                <w:color w:val="auto"/>
              </w:rPr>
            </w:pPr>
            <w:r>
              <w:rPr>
                <w:rFonts w:ascii="Arial" w:cs="Arial" w:eastAsia="Arial" w:hAnsi="Arial"/>
                <w:sz w:val="13"/>
                <w:szCs w:val="13"/>
                <w:b w:val="1"/>
                <w:bCs w:val="1"/>
                <w:color w:val="auto"/>
              </w:rPr>
              <w:t>Cash restructuring charges:</w:t>
            </w:r>
          </w:p>
        </w:tc>
        <w:tc>
          <w:tcPr>
            <w:tcW w:w="300" w:type="dxa"/>
            <w:vAlign w:val="bottom"/>
          </w:tcPr>
          <w:p>
            <w:pPr>
              <w:spacing w:after="0"/>
              <w:rPr>
                <w:sz w:val="13"/>
                <w:szCs w:val="13"/>
                <w:color w:val="auto"/>
              </w:rPr>
            </w:pPr>
          </w:p>
        </w:tc>
        <w:tc>
          <w:tcPr>
            <w:tcW w:w="1460" w:type="dxa"/>
            <w:vAlign w:val="bottom"/>
          </w:tcPr>
          <w:p>
            <w:pPr>
              <w:jc w:val="center"/>
              <w:ind w:right="236"/>
              <w:spacing w:after="0"/>
              <w:rPr>
                <w:sz w:val="20"/>
                <w:szCs w:val="20"/>
                <w:color w:val="auto"/>
              </w:rPr>
            </w:pPr>
            <w:r>
              <w:rPr>
                <w:rFonts w:ascii="Arial" w:cs="Arial" w:eastAsia="Arial" w:hAnsi="Arial"/>
                <w:sz w:val="13"/>
                <w:szCs w:val="13"/>
                <w:b w:val="1"/>
                <w:bCs w:val="1"/>
                <w:color w:val="auto"/>
                <w:w w:val="98"/>
              </w:rPr>
              <w:t>(in millions)</w:t>
            </w:r>
          </w:p>
        </w:tc>
      </w:tr>
      <w:tr>
        <w:trPr>
          <w:trHeight w:val="170"/>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Severance and other personnel costs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r>
      <w:tr>
        <w:trPr>
          <w:trHeight w:val="16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Professional fees and other related charges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r>
      <w:tr>
        <w:trPr>
          <w:trHeight w:val="160"/>
        </w:trPr>
        <w:tc>
          <w:tcPr>
            <w:tcW w:w="9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cash charges</w:t>
            </w:r>
          </w:p>
        </w:tc>
        <w:tc>
          <w:tcPr>
            <w:tcW w:w="3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124.5</w:t>
            </w:r>
          </w:p>
        </w:tc>
      </w:tr>
      <w:tr>
        <w:trPr>
          <w:trHeight w:val="193"/>
        </w:trPr>
        <w:tc>
          <w:tcPr>
            <w:tcW w:w="9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70"/>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charges: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9520" w:type="dxa"/>
            <w:vAlign w:val="bottom"/>
          </w:tcPr>
          <w:p>
            <w:pPr>
              <w:ind w:left="20"/>
              <w:spacing w:after="0"/>
              <w:rPr>
                <w:sz w:val="20"/>
                <w:szCs w:val="20"/>
                <w:color w:val="auto"/>
              </w:rPr>
            </w:pPr>
            <w:r>
              <w:rPr>
                <w:rFonts w:ascii="Arial" w:cs="Arial" w:eastAsia="Arial" w:hAnsi="Arial"/>
                <w:sz w:val="13"/>
                <w:szCs w:val="13"/>
                <w:color w:val="auto"/>
              </w:rPr>
              <w:t>Asset write-downs and write-offs</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373.8</w:t>
            </w:r>
          </w:p>
        </w:tc>
      </w:tr>
      <w:tr>
        <w:trPr>
          <w:trHeight w:val="171"/>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r>
      <w:tr>
        <w:trPr>
          <w:trHeight w:val="16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Write-offs of inventory related to restructuring activities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w:t>
            </w:r>
          </w:p>
        </w:tc>
      </w:tr>
      <w:tr>
        <w:trPr>
          <w:trHeight w:val="160"/>
        </w:trPr>
        <w:tc>
          <w:tcPr>
            <w:tcW w:w="9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non-cash charges</w:t>
            </w:r>
          </w:p>
        </w:tc>
        <w:tc>
          <w:tcPr>
            <w:tcW w:w="3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486.8</w:t>
            </w:r>
          </w:p>
        </w:tc>
      </w:tr>
      <w:tr>
        <w:trPr>
          <w:trHeight w:val="193"/>
        </w:trPr>
        <w:tc>
          <w:tcPr>
            <w:tcW w:w="9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5"/>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connection with the Restructuring Plan, the Company committed to the closures of certain warehouse and retail locations, the discontinuation of manufacturing in North America, and the wind down of certain software implementation and development projects. Due to the actions taken the Company tested certain fixed assets for recoverability by comparing the carrying value of the asset group to an estimate of the future undiscounted cash flows which was generally the liquidation value. Based on the results of the recoverability test, the Company determined that during the year ended June 30, 2022</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the undiscounted cash flows of the asset groups were below the carrying values, indicating impairment. The assets were written down to their estimated fair value, which was determined based on their estimated liquidation or sales value.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roll-forward of cash restructuring-related liabilities, which is included within Accounts payable and accrued expenses in the Consolidated Balance Sheets,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other</w:t>
            </w:r>
          </w:p>
        </w:tc>
        <w:tc>
          <w:tcPr>
            <w:tcW w:w="1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Professional fees and other</w:t>
            </w:r>
          </w:p>
        </w:tc>
        <w:tc>
          <w:tcPr>
            <w:tcW w:w="420" w:type="dxa"/>
            <w:vAlign w:val="bottom"/>
          </w:tcPr>
          <w:p>
            <w:pPr>
              <w:spacing w:after="0"/>
              <w:rPr>
                <w:sz w:val="12"/>
                <w:szCs w:val="12"/>
                <w:color w:val="auto"/>
              </w:rPr>
            </w:pPr>
          </w:p>
        </w:tc>
        <w:tc>
          <w:tcPr>
            <w:tcW w:w="1340" w:type="dxa"/>
            <w:vAlign w:val="bottom"/>
            <w:vMerge w:val="restart"/>
          </w:tcPr>
          <w:p>
            <w:pPr>
              <w:jc w:val="right"/>
              <w:ind w:right="6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6"/>
              </w:rPr>
              <w:t>personnel costs</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7"/>
              </w:rPr>
              <w:t>related charges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June 30, 2021</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840" w:type="dxa"/>
            <w:vAlign w:val="bottom"/>
          </w:tcPr>
          <w:p>
            <w:pPr>
              <w:ind w:left="100"/>
              <w:spacing w:after="0"/>
              <w:rPr>
                <w:sz w:val="20"/>
                <w:szCs w:val="20"/>
                <w:color w:val="auto"/>
              </w:rPr>
            </w:pPr>
            <w:r>
              <w:rPr>
                <w:rFonts w:ascii="Arial" w:cs="Arial" w:eastAsia="Arial" w:hAnsi="Arial"/>
                <w:sz w:val="13"/>
                <w:szCs w:val="13"/>
                <w:color w:val="auto"/>
              </w:rPr>
              <w:t>Charges</w:t>
            </w: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124.5</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payments</w:t>
            </w: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0" w:type="dxa"/>
            <w:vAlign w:val="bottom"/>
          </w:tcPr>
          <w:p>
            <w:pPr>
              <w:spacing w:after="0"/>
              <w:rPr>
                <w:sz w:val="1"/>
                <w:szCs w:val="1"/>
                <w:color w:val="auto"/>
              </w:rPr>
            </w:pPr>
          </w:p>
        </w:tc>
      </w:tr>
      <w:tr>
        <w:trPr>
          <w:trHeight w:val="162"/>
        </w:trPr>
        <w:tc>
          <w:tcPr>
            <w:tcW w:w="5840" w:type="dxa"/>
            <w:vAlign w:val="bottom"/>
          </w:tcPr>
          <w:p>
            <w:pPr>
              <w:ind w:left="20"/>
              <w:spacing w:after="0"/>
              <w:rPr>
                <w:sz w:val="20"/>
                <w:szCs w:val="20"/>
                <w:color w:val="auto"/>
              </w:rPr>
            </w:pPr>
            <w:r>
              <w:rPr>
                <w:rFonts w:ascii="Arial" w:cs="Arial" w:eastAsia="Arial" w:hAnsi="Arial"/>
                <w:sz w:val="13"/>
                <w:szCs w:val="13"/>
                <w:color w:val="auto"/>
              </w:rPr>
              <w:t>Balance as of June 30, 2022</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above charges, the Company incurred approximately $86.6 million of capital expenditures related to Peloton Output Park since project inception.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July 12, 2022, the Company announced it is exiting all owned-manufacturing operations and expanding its current relationship with Taiwanese manufacturer Rexon Industrial Corp. Additionally, on August 12, 2022, the Company announced the decision to perform the following restructuring activities: (i) eliminate its North American Field Ops warehouses, including the significant reduction of its delivery workforce teams; (ii) eliminate a significant number of roles on the North America Member Support team and exit its real-estate footprints in our Plano and Tempe locations; and (iii) reduce its North America retail showroom presence. In connection with the Restructuring Plan, the Company estimates that 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84" w:name="page85"/>
    <w:bookmarkEnd w:id="84"/>
    <w:p>
      <w:pPr>
        <w:jc w:val="both"/>
        <w:spacing w:after="0" w:line="266" w:lineRule="auto"/>
        <w:rPr>
          <w:sz w:val="20"/>
          <w:szCs w:val="20"/>
          <w:color w:val="auto"/>
        </w:rPr>
      </w:pPr>
      <w:r>
        <w:rPr>
          <w:rFonts w:ascii="Arial" w:cs="Arial" w:eastAsia="Arial" w:hAnsi="Arial"/>
          <w:sz w:val="13"/>
          <w:szCs w:val="13"/>
          <w:color w:val="auto"/>
        </w:rPr>
        <w:t>will incur additional cash charges of approximately $95.0 million primarily composed of severance and other exit costs in fiscal year 2023 and beyond. Additionally, the Company expects to recognize approximately $75.0 million of asset impairment charges in fiscal year 2023 in connection with the Restructuring Plan.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Measurements</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Measurements of Other Financial Instruments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the estimated fair values of the Company’s financial instruments that are not recorded at fair value on the 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center"/>
              <w:ind w:right="236"/>
              <w:spacing w:after="0"/>
              <w:rPr>
                <w:sz w:val="20"/>
                <w:szCs w:val="20"/>
                <w:color w:val="auto"/>
              </w:rPr>
            </w:pPr>
            <w:r>
              <w:rPr>
                <w:rFonts w:ascii="Arial" w:cs="Arial" w:eastAsia="Arial" w:hAnsi="Arial"/>
                <w:sz w:val="13"/>
                <w:szCs w:val="13"/>
                <w:b w:val="1"/>
                <w:bCs w:val="1"/>
                <w:color w:val="auto"/>
                <w:w w:val="97"/>
              </w:rPr>
              <w:t>As of June 30, 2022</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0"/>
        </w:trPr>
        <w:tc>
          <w:tcPr>
            <w:tcW w:w="5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Level 2</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Total</w:t>
            </w:r>
          </w:p>
        </w:tc>
      </w:tr>
      <w:tr>
        <w:trPr>
          <w:trHeight w:val="160"/>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w w:val="98"/>
              </w:rPr>
              <w:t>(in millions)</w:t>
            </w: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Senior Notes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632.2</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632.2</w:t>
            </w:r>
          </w:p>
        </w:tc>
      </w:tr>
      <w:tr>
        <w:trPr>
          <w:trHeight w:val="435"/>
        </w:trPr>
        <w:tc>
          <w:tcPr>
            <w:tcW w:w="5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236"/>
              <w:spacing w:after="0"/>
              <w:rPr>
                <w:sz w:val="20"/>
                <w:szCs w:val="20"/>
                <w:color w:val="auto"/>
              </w:rPr>
            </w:pPr>
            <w:r>
              <w:rPr>
                <w:rFonts w:ascii="Arial" w:cs="Arial" w:eastAsia="Arial" w:hAnsi="Arial"/>
                <w:sz w:val="13"/>
                <w:szCs w:val="13"/>
                <w:b w:val="1"/>
                <w:bCs w:val="1"/>
                <w:color w:val="auto"/>
                <w:w w:val="97"/>
              </w:rPr>
              <w:t>As of June 30, 2021</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0"/>
        </w:trPr>
        <w:tc>
          <w:tcPr>
            <w:tcW w:w="5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Level 2</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Total</w:t>
            </w:r>
          </w:p>
        </w:tc>
      </w:tr>
      <w:tr>
        <w:trPr>
          <w:trHeight w:val="160"/>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w w:val="98"/>
              </w:rPr>
              <w:t>(in millions)</w:t>
            </w: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Senior Notes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972.8</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972.8</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the 0% Convertible Senior Notes due February 15, 2026 (the “Notes”) is determined based on the closing price on the last trading day of the reporting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20"/>
                <w:szCs w:val="20"/>
                <w:color w:val="auto"/>
              </w:rPr>
            </w:pPr>
            <w:r>
              <w:rPr>
                <w:rFonts w:ascii="Arial" w:cs="Arial" w:eastAsia="Arial" w:hAnsi="Arial"/>
                <w:sz w:val="13"/>
                <w:szCs w:val="13"/>
                <w:color w:val="auto"/>
              </w:rPr>
              <w:t>The carrying value of the Term Loan approximates the fair value as the Term Loan June 30, 2022.</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5"/>
        </w:trPr>
        <w:tc>
          <w:tcPr>
            <w:tcW w:w="7680" w:type="dxa"/>
            <w:vAlign w:val="bottom"/>
          </w:tcPr>
          <w:p>
            <w:pPr>
              <w:spacing w:after="0"/>
              <w:rPr>
                <w:sz w:val="20"/>
                <w:szCs w:val="20"/>
                <w:color w:val="auto"/>
              </w:rPr>
            </w:pPr>
            <w:r>
              <w:rPr>
                <w:rFonts w:ascii="Arial" w:cs="Arial" w:eastAsia="Arial" w:hAnsi="Arial"/>
                <w:sz w:val="13"/>
                <w:szCs w:val="13"/>
                <w:b w:val="1"/>
                <w:bCs w:val="1"/>
                <w:color w:val="auto"/>
              </w:rPr>
              <w:t>6. Inventories</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2"/>
        </w:trPr>
        <w:tc>
          <w:tcPr>
            <w:tcW w:w="7680" w:type="dxa"/>
            <w:vAlign w:val="bottom"/>
          </w:tcPr>
          <w:p>
            <w:pPr>
              <w:spacing w:after="0"/>
              <w:rPr>
                <w:sz w:val="20"/>
                <w:szCs w:val="20"/>
                <w:color w:val="auto"/>
              </w:rPr>
            </w:pPr>
            <w:r>
              <w:rPr>
                <w:rFonts w:ascii="Arial" w:cs="Arial" w:eastAsia="Arial" w:hAnsi="Arial"/>
                <w:sz w:val="13"/>
                <w:szCs w:val="13"/>
                <w:color w:val="auto"/>
              </w:rPr>
              <w:t>Inventories were as follows:</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6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3"/>
                <w:szCs w:val="13"/>
                <w:b w:val="1"/>
                <w:bCs w:val="1"/>
                <w:color w:val="auto"/>
              </w:rPr>
              <w:t>June 30,</w:t>
            </w:r>
          </w:p>
        </w:tc>
        <w:tc>
          <w:tcPr>
            <w:tcW w:w="1240" w:type="dxa"/>
            <w:vAlign w:val="bottom"/>
            <w:tcBorders>
              <w:bottom w:val="single" w:sz="8" w:color="auto"/>
            </w:tcBorders>
          </w:tcPr>
          <w:p>
            <w:pPr>
              <w:spacing w:after="0"/>
              <w:rPr>
                <w:sz w:val="15"/>
                <w:szCs w:val="15"/>
                <w:color w:val="auto"/>
              </w:rPr>
            </w:pPr>
          </w:p>
        </w:tc>
      </w:tr>
      <w:tr>
        <w:trPr>
          <w:trHeight w:val="160"/>
        </w:trPr>
        <w:tc>
          <w:tcPr>
            <w:tcW w:w="7680" w:type="dxa"/>
            <w:vAlign w:val="bottom"/>
          </w:tcPr>
          <w:p>
            <w:pPr>
              <w:spacing w:after="0"/>
              <w:rPr>
                <w:sz w:val="13"/>
                <w:szCs w:val="13"/>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60"/>
        </w:trPr>
        <w:tc>
          <w:tcPr>
            <w:tcW w:w="7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(in millions)</w:t>
            </w:r>
          </w:p>
        </w:tc>
        <w:tc>
          <w:tcPr>
            <w:tcW w:w="124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71"/>
        </w:trPr>
        <w:tc>
          <w:tcPr>
            <w:tcW w:w="76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Finished products</w:t>
            </w:r>
            <w:r>
              <w:rPr>
                <w:rFonts w:ascii="Arial" w:cs="Arial" w:eastAsia="Arial" w:hAnsi="Arial"/>
                <w:sz w:val="16"/>
                <w:szCs w:val="16"/>
                <w:color w:val="auto"/>
                <w:vertAlign w:val="superscript"/>
              </w:rPr>
              <w:t>(1)</w:t>
            </w: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1,306.3</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879.5</w:t>
            </w:r>
          </w:p>
        </w:tc>
      </w:tr>
      <w:tr>
        <w:trPr>
          <w:trHeight w:val="159"/>
        </w:trPr>
        <w:tc>
          <w:tcPr>
            <w:tcW w:w="7680" w:type="dxa"/>
            <w:vAlign w:val="bottom"/>
          </w:tcPr>
          <w:p>
            <w:pPr>
              <w:ind w:left="20"/>
              <w:spacing w:after="0"/>
              <w:rPr>
                <w:sz w:val="20"/>
                <w:szCs w:val="20"/>
                <w:color w:val="auto"/>
              </w:rPr>
            </w:pPr>
            <w:r>
              <w:rPr>
                <w:rFonts w:ascii="Arial" w:cs="Arial" w:eastAsia="Arial" w:hAnsi="Arial"/>
                <w:sz w:val="13"/>
                <w:szCs w:val="13"/>
                <w:color w:val="auto"/>
              </w:rPr>
              <w:t>Total inventories</w:t>
            </w:r>
          </w:p>
        </w:tc>
        <w:tc>
          <w:tcPr>
            <w:tcW w:w="1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1,386.7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997.2</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Reserves</w:t>
            </w: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(282.2)</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w:t>
            </w:r>
          </w:p>
        </w:tc>
      </w:tr>
      <w:tr>
        <w:trPr>
          <w:trHeight w:val="162"/>
        </w:trPr>
        <w:tc>
          <w:tcPr>
            <w:tcW w:w="7680" w:type="dxa"/>
            <w:vAlign w:val="bottom"/>
          </w:tcPr>
          <w:p>
            <w:pPr>
              <w:ind w:left="180"/>
              <w:spacing w:after="0"/>
              <w:rPr>
                <w:sz w:val="20"/>
                <w:szCs w:val="20"/>
                <w:color w:val="auto"/>
              </w:rPr>
            </w:pPr>
            <w:r>
              <w:rPr>
                <w:rFonts w:ascii="Arial" w:cs="Arial" w:eastAsia="Arial" w:hAnsi="Arial"/>
                <w:sz w:val="13"/>
                <w:szCs w:val="13"/>
                <w:color w:val="auto"/>
              </w:rPr>
              <w:t>Total inventories, net</w:t>
            </w:r>
          </w:p>
        </w:tc>
        <w:tc>
          <w:tcPr>
            <w:tcW w:w="1140" w:type="dxa"/>
            <w:vAlign w:val="bottom"/>
            <w:tcBorders>
              <w:bottom w:val="single" w:sz="8" w:color="auto"/>
            </w:tcBorders>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1,104.5</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937.1</w:t>
            </w:r>
          </w:p>
        </w:tc>
      </w:tr>
      <w:tr>
        <w:trPr>
          <w:trHeight w:val="20"/>
        </w:trPr>
        <w:tc>
          <w:tcPr>
            <w:tcW w:w="7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(1) Includes $36.4 million and $249.9 million of finished goods inventory in transit, products owned by the Company that have not yet been received at a Company distribution center, as of June 30, 2022 and June 30, 2021, respectively.</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periodically adjusts the value of inventory for estimated excess and obsolete inventory based upon estimates of future demand and market conditions, as well as damaged or otherwise impaired goods. The Company recorded inventory reserves as of June 30, 2022 primarily in the amounts of $123.9 million related to excess accessories and apparel inventory that the Company does not expect to sell above its current carrying value, $85.9 million related primarily to returned Connected Fitness Products that the Company does not expect to sell, and $51.2 million in reserves for component parts that the Company estimated would have no future use.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Acquisitions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Precor Incorporated</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April 1, 2021, the Company acquired the Precor business, which consisted of 15 legal entities (“Precor”) from Amer Sports Corporation (“Amer”) for a purchase price of approximately $412.0 million, net of cash acquired, which was paid in cash. During the fiscal year ended June 30, 2022, the purchase consideration was reduced by $2.9 million associated with working capital adjustments, resulting in a revised purchase price of $409.2 million. Upon completion of the transaction, Precor became wholly owned subsidiaries of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13"/>
          <w:szCs w:val="13"/>
          <w:color w:val="auto"/>
        </w:rPr>
        <w:t>During the fourth quarter of fiscal 2021, the Company completed a preliminary analysis to determine the fair values of the assets acquired and liabilities assumed and the amounts recorded reflected management’s initial assessment of fair value as of the closing date. Based on additional information obtained to date, the Company refined its initial assessment of fair value and, as a result, recognized the following adjustments to the Company’s preliminary purchase price allocation during the first quarter of fiscal 2022: Inventory decreased $4.0 million, Intangible assets, net increased $1.0 million, and deferred tax liability increased $3.4 million. The adjustments resulted in a corresponding increase to Goodwill of $3.5 million, of which $3.4 million relates to the deferred tax liability and $0.1 million relates to the updated fair value assessment. The adjustments did not result in a material impact on the financial results of prior periods. The purchase price allocation was finalized as of June 30, 2022.</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Acquisitions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fiscal year ended June 30, 2022, the Company completed two transactions to acquire certain developed software and assembled workforce for use in the development of the Company’s data platform and content supply chain. The transactions were completed on November 1, 2021 and November 8, 2021, and were accounted for as a business combination and asset acquisition, respectively.</w:t>
      </w:r>
    </w:p>
    <w:p>
      <w:pPr>
        <w:spacing w:after="0" w:line="138"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The acquisitions resulted in the recognition of $12.0 million of Goodwill, and $17.7 million of assets primarily consisting of developed software. The developed software was assigned a useful life of 3 years and is recorded in Property and equipment, net on the Company’s 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13"/>
                <w:szCs w:val="13"/>
                <w:b w:val="1"/>
                <w:bCs w:val="1"/>
                <w:color w:val="auto"/>
              </w:rPr>
              <w:t>Property and Equipment</w:t>
            </w: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23"/>
        </w:trPr>
        <w:tc>
          <w:tcPr>
            <w:tcW w:w="7680" w:type="dxa"/>
            <w:vAlign w:val="bottom"/>
          </w:tcPr>
          <w:p>
            <w:pPr>
              <w:spacing w:after="0"/>
              <w:rPr>
                <w:sz w:val="20"/>
                <w:szCs w:val="20"/>
                <w:color w:val="auto"/>
              </w:rPr>
            </w:pPr>
            <w:r>
              <w:rPr>
                <w:rFonts w:ascii="Arial" w:cs="Arial" w:eastAsia="Arial" w:hAnsi="Arial"/>
                <w:sz w:val="13"/>
                <w:szCs w:val="13"/>
                <w:color w:val="auto"/>
              </w:rPr>
              <w:t>Property and equipment consisted of the following:</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3"/>
        </w:trPr>
        <w:tc>
          <w:tcPr>
            <w:tcW w:w="76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3"/>
                <w:szCs w:val="13"/>
                <w:b w:val="1"/>
                <w:bCs w:val="1"/>
                <w:color w:val="auto"/>
              </w:rPr>
              <w:t>June 30,</w:t>
            </w:r>
          </w:p>
        </w:tc>
        <w:tc>
          <w:tcPr>
            <w:tcW w:w="1220" w:type="dxa"/>
            <w:vAlign w:val="bottom"/>
            <w:tcBorders>
              <w:bottom w:val="single" w:sz="8" w:color="auto"/>
            </w:tcBorders>
          </w:tcPr>
          <w:p>
            <w:pPr>
              <w:spacing w:after="0"/>
              <w:rPr>
                <w:sz w:val="24"/>
                <w:szCs w:val="24"/>
                <w:color w:val="auto"/>
              </w:rPr>
            </w:pPr>
          </w:p>
        </w:tc>
      </w:tr>
      <w:tr>
        <w:trPr>
          <w:trHeight w:val="160"/>
        </w:trPr>
        <w:tc>
          <w:tcPr>
            <w:tcW w:w="7680" w:type="dxa"/>
            <w:vAlign w:val="bottom"/>
          </w:tcPr>
          <w:p>
            <w:pPr>
              <w:spacing w:after="0"/>
              <w:rPr>
                <w:sz w:val="13"/>
                <w:szCs w:val="13"/>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60"/>
        </w:trPr>
        <w:tc>
          <w:tcPr>
            <w:tcW w:w="7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gridSpan w:val="3"/>
          </w:tcPr>
          <w:p>
            <w:pPr>
              <w:jc w:val="right"/>
              <w:ind w:right="156"/>
              <w:spacing w:after="0"/>
              <w:rPr>
                <w:sz w:val="20"/>
                <w:szCs w:val="20"/>
                <w:color w:val="auto"/>
              </w:rPr>
            </w:pPr>
            <w:r>
              <w:rPr>
                <w:rFonts w:ascii="Arial" w:cs="Arial" w:eastAsia="Arial" w:hAnsi="Arial"/>
                <w:sz w:val="13"/>
                <w:szCs w:val="13"/>
                <w:b w:val="1"/>
                <w:bCs w:val="1"/>
                <w:color w:val="auto"/>
              </w:rPr>
              <w:t>(in millions)</w:t>
            </w:r>
          </w:p>
        </w:tc>
        <w:tc>
          <w:tcPr>
            <w:tcW w:w="122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Buildings</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22.2</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253.7</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Machinery</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31.1</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Construction in Progress</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Software</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145.5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108.3</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 under development</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w:t>
            </w:r>
          </w:p>
        </w:tc>
      </w:tr>
      <w:tr>
        <w:trPr>
          <w:trHeight w:val="159"/>
        </w:trPr>
        <w:tc>
          <w:tcPr>
            <w:tcW w:w="7680" w:type="dxa"/>
            <w:vAlign w:val="bottom"/>
          </w:tcPr>
          <w:p>
            <w:pPr>
              <w:ind w:left="180"/>
              <w:spacing w:after="0"/>
              <w:rPr>
                <w:sz w:val="20"/>
                <w:szCs w:val="20"/>
                <w:color w:val="auto"/>
              </w:rPr>
            </w:pPr>
            <w:r>
              <w:rPr>
                <w:rFonts w:ascii="Arial" w:cs="Arial" w:eastAsia="Arial" w:hAnsi="Arial"/>
                <w:sz w:val="13"/>
                <w:szCs w:val="13"/>
                <w:color w:val="auto"/>
              </w:rPr>
              <w:t>Total property and equipment</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783.9</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684.9</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depreciation and amortization</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w:t>
            </w:r>
          </w:p>
        </w:tc>
      </w:tr>
      <w:tr>
        <w:trPr>
          <w:trHeight w:val="162"/>
        </w:trPr>
        <w:tc>
          <w:tcPr>
            <w:tcW w:w="7680" w:type="dxa"/>
            <w:vAlign w:val="bottom"/>
          </w:tcPr>
          <w:p>
            <w:pPr>
              <w:ind w:left="180"/>
              <w:spacing w:after="0"/>
              <w:rPr>
                <w:sz w:val="20"/>
                <w:szCs w:val="20"/>
                <w:color w:val="auto"/>
              </w:rPr>
            </w:pPr>
            <w:r>
              <w:rPr>
                <w:rFonts w:ascii="Arial" w:cs="Arial" w:eastAsia="Arial" w:hAnsi="Arial"/>
                <w:sz w:val="13"/>
                <w:szCs w:val="13"/>
                <w:color w:val="auto"/>
              </w:rPr>
              <w:t>Total property and equipment, net</w:t>
            </w:r>
          </w:p>
        </w:tc>
        <w:tc>
          <w:tcPr>
            <w:tcW w:w="118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610.9</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591.9</w:t>
            </w:r>
          </w:p>
        </w:tc>
      </w:tr>
      <w:tr>
        <w:trPr>
          <w:trHeight w:val="20"/>
        </w:trPr>
        <w:tc>
          <w:tcPr>
            <w:tcW w:w="7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During fiscal 2022, management identified various qualitative factors that collectively indicated that the Company had triggering events, including (i) realignment of cost structure in connection with the Restructuring Plan, (ii) softening demand and (iii) a sustained decrease in stock price. The Company determined that the estimated undiscounted future cash flows were less than the carrying values for certain asset groups. The Company recognized impairment charges for the fiscal year ended June 30, 2022, primarily consisting of impairment loss of $57.6 million related to Connected Fitness assets, $21.3 million related to manufacturing equipment, $19.0 million related to Peloton Output Park and $15.9 million related to acquired technology. These impairment charges reduced the carrying value of these asset groups from $222.9 million to $109.1 million. Additionally, management identified changes to the product and enterprise technology roadmaps that indicated that certain programs no longer had expected future use. Accordingly, the Company recognized an impairment loss of $54.1 million related to software under development that reduced the carrying value of those assets from $61.0 million to $6.9 million. Impairment charges are included within Impairment expense in the Consolidated Statements of Operations and Comprehensive Loss. There were no material impairments in the fiscal years ended June 30, 2021 and 2020.</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June 30, 2022, 82% and 11% of the Company's total Property and equipment, net was attributable to the United States and the United Kingdom, respectively. As of June 30, 2021, 78% and 13% of the Company's total Property and equipment, net was attributable to the United States and the United Kingdom,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20"/>
                <w:szCs w:val="20"/>
                <w:color w:val="auto"/>
              </w:rPr>
            </w:pPr>
            <w:r>
              <w:rPr>
                <w:rFonts w:ascii="Arial" w:cs="Arial" w:eastAsia="Arial" w:hAnsi="Arial"/>
                <w:sz w:val="13"/>
                <w:szCs w:val="13"/>
                <w:color w:val="auto"/>
              </w:rPr>
              <w:t>The estimated useful lives of property and equipment are as follows:</w:t>
            </w:r>
          </w:p>
        </w:tc>
        <w:tc>
          <w:tcPr>
            <w:tcW w:w="6520" w:type="dxa"/>
            <w:vAlign w:val="bottom"/>
          </w:tcPr>
          <w:p>
            <w:pPr>
              <w:spacing w:after="0"/>
              <w:rPr>
                <w:sz w:val="15"/>
                <w:szCs w:val="15"/>
                <w:color w:val="auto"/>
              </w:rPr>
            </w:pPr>
          </w:p>
        </w:tc>
      </w:tr>
      <w:tr>
        <w:trPr>
          <w:trHeight w:val="176"/>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Buildings</w:t>
            </w:r>
          </w:p>
        </w:tc>
        <w:tc>
          <w:tcPr>
            <w:tcW w:w="6520" w:type="dxa"/>
            <w:vAlign w:val="bottom"/>
            <w:shd w:val="clear" w:color="auto" w:fill="CCEEFF"/>
          </w:tcPr>
          <w:p>
            <w:pPr>
              <w:ind w:left="900"/>
              <w:spacing w:after="0"/>
              <w:rPr>
                <w:sz w:val="20"/>
                <w:szCs w:val="20"/>
                <w:color w:val="auto"/>
              </w:rPr>
            </w:pPr>
            <w:r>
              <w:rPr>
                <w:rFonts w:ascii="Arial" w:cs="Arial" w:eastAsia="Arial" w:hAnsi="Arial"/>
                <w:sz w:val="13"/>
                <w:szCs w:val="13"/>
                <w:color w:val="auto"/>
              </w:rPr>
              <w:t>40 years</w:t>
            </w:r>
          </w:p>
        </w:tc>
      </w:tr>
      <w:tr>
        <w:trPr>
          <w:trHeight w:val="169"/>
        </w:trPr>
        <w:tc>
          <w:tcPr>
            <w:tcW w:w="4760" w:type="dxa"/>
            <w:vAlign w:val="bottom"/>
          </w:tcPr>
          <w:p>
            <w:pPr>
              <w:ind w:left="20"/>
              <w:spacing w:after="0"/>
              <w:rPr>
                <w:sz w:val="20"/>
                <w:szCs w:val="20"/>
                <w:color w:val="auto"/>
              </w:rPr>
            </w:pPr>
            <w:r>
              <w:rPr>
                <w:rFonts w:ascii="Arial" w:cs="Arial" w:eastAsia="Arial" w:hAnsi="Arial"/>
                <w:sz w:val="13"/>
                <w:szCs w:val="13"/>
                <w:color w:val="auto"/>
              </w:rPr>
              <w:t>Leasehold Improvements</w:t>
            </w:r>
          </w:p>
        </w:tc>
        <w:tc>
          <w:tcPr>
            <w:tcW w:w="6520" w:type="dxa"/>
            <w:vAlign w:val="bottom"/>
          </w:tcPr>
          <w:p>
            <w:pPr>
              <w:ind w:left="900"/>
              <w:spacing w:after="0"/>
              <w:rPr>
                <w:sz w:val="20"/>
                <w:szCs w:val="20"/>
                <w:color w:val="auto"/>
              </w:rPr>
            </w:pPr>
            <w:r>
              <w:rPr>
                <w:rFonts w:ascii="Arial" w:cs="Arial" w:eastAsia="Arial" w:hAnsi="Arial"/>
                <w:sz w:val="13"/>
                <w:szCs w:val="13"/>
                <w:color w:val="auto"/>
              </w:rPr>
              <w:t>Shorter of remaining lease term or useful life</w:t>
            </w:r>
          </w:p>
        </w:tc>
      </w:tr>
      <w:tr>
        <w:trPr>
          <w:trHeight w:val="171"/>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Machinery</w:t>
            </w:r>
          </w:p>
        </w:tc>
        <w:tc>
          <w:tcPr>
            <w:tcW w:w="6520" w:type="dxa"/>
            <w:vAlign w:val="bottom"/>
            <w:shd w:val="clear" w:color="auto" w:fill="CCEEFF"/>
          </w:tcPr>
          <w:p>
            <w:pPr>
              <w:ind w:left="900"/>
              <w:spacing w:after="0"/>
              <w:rPr>
                <w:sz w:val="20"/>
                <w:szCs w:val="20"/>
                <w:color w:val="auto"/>
              </w:rPr>
            </w:pPr>
            <w:r>
              <w:rPr>
                <w:rFonts w:ascii="Arial" w:cs="Arial" w:eastAsia="Arial" w:hAnsi="Arial"/>
                <w:sz w:val="13"/>
                <w:szCs w:val="13"/>
                <w:color w:val="auto"/>
              </w:rPr>
              <w:t>Three to ten years</w:t>
            </w:r>
          </w:p>
        </w:tc>
      </w:tr>
      <w:tr>
        <w:trPr>
          <w:trHeight w:val="169"/>
        </w:trPr>
        <w:tc>
          <w:tcPr>
            <w:tcW w:w="4760" w:type="dxa"/>
            <w:vAlign w:val="bottom"/>
          </w:tcPr>
          <w:p>
            <w:pPr>
              <w:ind w:left="20"/>
              <w:spacing w:after="0"/>
              <w:rPr>
                <w:sz w:val="20"/>
                <w:szCs w:val="20"/>
                <w:color w:val="auto"/>
              </w:rPr>
            </w:pPr>
            <w:r>
              <w:rPr>
                <w:rFonts w:ascii="Arial" w:cs="Arial" w:eastAsia="Arial" w:hAnsi="Arial"/>
                <w:sz w:val="13"/>
                <w:szCs w:val="13"/>
                <w:color w:val="auto"/>
              </w:rPr>
              <w:t>Equipment</w:t>
            </w:r>
          </w:p>
        </w:tc>
        <w:tc>
          <w:tcPr>
            <w:tcW w:w="6520" w:type="dxa"/>
            <w:vAlign w:val="bottom"/>
          </w:tcPr>
          <w:p>
            <w:pPr>
              <w:ind w:left="900"/>
              <w:spacing w:after="0"/>
              <w:rPr>
                <w:sz w:val="20"/>
                <w:szCs w:val="20"/>
                <w:color w:val="auto"/>
              </w:rPr>
            </w:pPr>
            <w:r>
              <w:rPr>
                <w:rFonts w:ascii="Arial" w:cs="Arial" w:eastAsia="Arial" w:hAnsi="Arial"/>
                <w:sz w:val="13"/>
                <w:szCs w:val="13"/>
                <w:color w:val="auto"/>
              </w:rPr>
              <w:t>Two to five years</w:t>
            </w:r>
          </w:p>
        </w:tc>
      </w:tr>
      <w:tr>
        <w:trPr>
          <w:trHeight w:val="171"/>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6520" w:type="dxa"/>
            <w:vAlign w:val="bottom"/>
            <w:shd w:val="clear" w:color="auto" w:fill="CCEEFF"/>
          </w:tcPr>
          <w:p>
            <w:pPr>
              <w:ind w:left="900"/>
              <w:spacing w:after="0"/>
              <w:rPr>
                <w:sz w:val="20"/>
                <w:szCs w:val="20"/>
                <w:color w:val="auto"/>
              </w:rPr>
            </w:pPr>
            <w:r>
              <w:rPr>
                <w:rFonts w:ascii="Arial" w:cs="Arial" w:eastAsia="Arial" w:hAnsi="Arial"/>
                <w:sz w:val="13"/>
                <w:szCs w:val="13"/>
                <w:color w:val="auto"/>
              </w:rPr>
              <w:t>Four to ten years</w:t>
            </w:r>
          </w:p>
        </w:tc>
      </w:tr>
      <w:tr>
        <w:trPr>
          <w:trHeight w:val="167"/>
        </w:trPr>
        <w:tc>
          <w:tcPr>
            <w:tcW w:w="4760" w:type="dxa"/>
            <w:vAlign w:val="bottom"/>
          </w:tcPr>
          <w:p>
            <w:pPr>
              <w:ind w:left="20"/>
              <w:spacing w:after="0"/>
              <w:rPr>
                <w:sz w:val="20"/>
                <w:szCs w:val="20"/>
                <w:color w:val="auto"/>
              </w:rPr>
            </w:pPr>
            <w:r>
              <w:rPr>
                <w:rFonts w:ascii="Arial" w:cs="Arial" w:eastAsia="Arial" w:hAnsi="Arial"/>
                <w:sz w:val="13"/>
                <w:szCs w:val="13"/>
                <w:color w:val="auto"/>
              </w:rPr>
              <w:t>Software</w:t>
            </w:r>
          </w:p>
        </w:tc>
        <w:tc>
          <w:tcPr>
            <w:tcW w:w="6520" w:type="dxa"/>
            <w:vAlign w:val="bottom"/>
          </w:tcPr>
          <w:p>
            <w:pPr>
              <w:ind w:left="900"/>
              <w:spacing w:after="0"/>
              <w:rPr>
                <w:sz w:val="20"/>
                <w:szCs w:val="20"/>
                <w:color w:val="auto"/>
              </w:rPr>
            </w:pPr>
            <w:r>
              <w:rPr>
                <w:rFonts w:ascii="Arial" w:cs="Arial" w:eastAsia="Arial" w:hAnsi="Arial"/>
                <w:sz w:val="13"/>
                <w:szCs w:val="13"/>
                <w:color w:val="auto"/>
              </w:rPr>
              <w:t>Two to three years</w:t>
            </w:r>
          </w:p>
        </w:tc>
      </w:tr>
    </w:tbl>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Depreciation and amortization expense amounted to $99.5 million, $44.6 million, and $35.1 million for the fiscal years ended June 30, 2022, 2021 and 2020, respectively, of which $23.5 million, $8.7 million, and $6.8 million related to amortization of capitalized software costs for the fiscal years ended June 30, 2022,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Goodwill and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changes in the carrying value of goodwill are as follows:</w:t>
      </w:r>
    </w:p>
    <w:p>
      <w:pPr>
        <w:sectPr>
          <w:pgSz w:w="11900" w:h="16838" w:orient="portrait"/>
          <w:cols w:equalWidth="0" w:num="1">
            <w:col w:w="11280"/>
          </w:cols>
          <w:pgMar w:left="300" w:top="511" w:right="319" w:bottom="1440" w:gutter="0" w:footer="0" w:header="0"/>
        </w:sect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June 30, 2020</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Acquisition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Foreign currency translation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June 30, 2021</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Acquisitions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Foreign currency translation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Impairment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June 30, 2022</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111823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-6054090</wp:posOffset>
            </wp:positionH>
            <wp:positionV relativeFrom="paragraph">
              <wp:posOffset>12700</wp:posOffset>
            </wp:positionV>
            <wp:extent cx="7161530" cy="107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39.1</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168.1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-6054090</wp:posOffset>
            </wp:positionH>
            <wp:positionV relativeFrom="paragraph">
              <wp:posOffset>12700</wp:posOffset>
            </wp:positionV>
            <wp:extent cx="7161530"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111823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-6054090</wp:posOffset>
            </wp:positionH>
            <wp:positionV relativeFrom="paragraph">
              <wp:posOffset>12700</wp:posOffset>
            </wp:positionV>
            <wp:extent cx="7161530" cy="107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-6054090</wp:posOffset>
            </wp:positionH>
            <wp:positionV relativeFrom="paragraph">
              <wp:posOffset>12700</wp:posOffset>
            </wp:positionV>
            <wp:extent cx="7161530" cy="107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3"/>
          <w:szCs w:val="13"/>
          <w:color w:val="auto"/>
        </w:rPr>
        <w:t>(181.9)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111823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111823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8235" cy="69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33020</wp:posOffset>
            </wp:positionV>
            <wp:extent cx="111823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820" w:space="720"/>
            <w:col w:w="1740"/>
          </w:cols>
          <w:pgMar w:left="300" w:top="511" w:right="319" w:bottom="1440" w:gutter="0" w:footer="0" w:header="0"/>
          <w:type w:val="continuous"/>
        </w:sectPr>
      </w:pPr>
    </w:p>
    <w:p>
      <w:pPr>
        <w:spacing w:after="0" w:line="6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reviews goodwill for impairment annually on April 1 and more frequently if events or changes in circumstances indicate that an impairment may exist (“a triggering event”). During the fiscal year ended June 30, 2022, management identified various qualitative factors that collectively, indicated that the Company had triggering events, including (i) softening demand; (ii) increased costs of inventory and logistics; and (iii) sustained decrease in stock price. The Company performed a valuation of the Connected Fitness Products reporting unit using liquidation value and discounted cash flow methodologies. Given the results of the quantitative assessment, the Company determined that the Connected Fitness Products reporting unit’s goodwill was impaired. During the fiscal year ended June 30, 2022, the Company recognized a Goodwill impairment charge of $181.9 million representing the entire amount of goodwill related to the Connected Fitness Products reporting unit in the Connected Fitness Products Segment.</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gross carrying amount, accumulated amortization and impairment of the Company's Intangible assets, net, as of June 30, 2022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7"/>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97"/>
              </w:rPr>
              <w:t>Gross Carrying Value</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Impairment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Net Carrying Value</w:t>
            </w:r>
          </w:p>
        </w:tc>
        <w:tc>
          <w:tcPr>
            <w:tcW w:w="80" w:type="dxa"/>
            <w:vAlign w:val="bottom"/>
          </w:tcPr>
          <w:p>
            <w:pPr>
              <w:spacing w:after="0"/>
              <w:rPr>
                <w:sz w:val="11"/>
                <w:szCs w:val="11"/>
                <w:color w:val="auto"/>
              </w:rPr>
            </w:pPr>
          </w:p>
        </w:tc>
        <w:tc>
          <w:tcPr>
            <w:tcW w:w="1640" w:type="dxa"/>
            <w:vAlign w:val="bottom"/>
            <w:gridSpan w:val="2"/>
          </w:tcPr>
          <w:p>
            <w:pPr>
              <w:jc w:val="center"/>
              <w:ind w:right="20"/>
              <w:spacing w:after="0" w:line="128" w:lineRule="exact"/>
              <w:rPr>
                <w:sz w:val="20"/>
                <w:szCs w:val="20"/>
                <w:color w:val="auto"/>
              </w:rPr>
            </w:pPr>
            <w:r>
              <w:rPr>
                <w:rFonts w:ascii="Arial" w:cs="Arial" w:eastAsia="Arial" w:hAnsi="Arial"/>
                <w:sz w:val="13"/>
                <w:szCs w:val="13"/>
                <w:b w:val="1"/>
                <w:bCs w:val="1"/>
                <w:color w:val="auto"/>
                <w:w w:val="98"/>
              </w:rPr>
              <w:t>Remaining Useful Life</w:t>
            </w:r>
          </w:p>
        </w:tc>
        <w:tc>
          <w:tcPr>
            <w:tcW w:w="0" w:type="dxa"/>
            <w:vAlign w:val="bottom"/>
          </w:tcPr>
          <w:p>
            <w:pPr>
              <w:spacing w:after="0"/>
              <w:rPr>
                <w:sz w:val="1"/>
                <w:szCs w:val="1"/>
                <w:color w:val="auto"/>
              </w:rPr>
            </w:pPr>
          </w:p>
        </w:tc>
      </w:tr>
      <w:tr>
        <w:trPr>
          <w:trHeight w:val="170"/>
        </w:trPr>
        <w:tc>
          <w:tcPr>
            <w:tcW w:w="2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Acquired developed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700" w:type="dxa"/>
            <w:vAlign w:val="bottom"/>
            <w:gridSpan w:val="2"/>
            <w:shd w:val="clear" w:color="auto" w:fill="CCEEFF"/>
          </w:tcPr>
          <w:p>
            <w:pPr>
              <w:ind w:left="1500"/>
              <w:spacing w:after="0"/>
              <w:rPr>
                <w:sz w:val="20"/>
                <w:szCs w:val="20"/>
                <w:color w:val="auto"/>
              </w:rPr>
            </w:pPr>
            <w:r>
              <w:rPr>
                <w:rFonts w:ascii="Arial" w:cs="Arial" w:eastAsia="Arial" w:hAnsi="Arial"/>
                <w:sz w:val="13"/>
                <w:szCs w:val="13"/>
                <w:color w:val="auto"/>
                <w:w w:val="99"/>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Brand</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40" w:type="dxa"/>
            <w:vAlign w:val="bottom"/>
            <w:gridSpan w:val="2"/>
          </w:tcPr>
          <w:p>
            <w:pPr>
              <w:ind w:left="1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Distributor relationships</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ind w:left="1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640" w:type="dxa"/>
            <w:vAlign w:val="bottom"/>
            <w:gridSpan w:val="2"/>
          </w:tcPr>
          <w:p>
            <w:pPr>
              <w:ind w:left="1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definite-lived intangibles</w:t>
            </w:r>
          </w:p>
        </w:tc>
        <w:tc>
          <w:tcPr>
            <w:tcW w:w="1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700" w:type="dxa"/>
            <w:vAlign w:val="bottom"/>
            <w:gridSpan w:val="2"/>
            <w:shd w:val="clear" w:color="auto" w:fill="CCEEFF"/>
          </w:tcPr>
          <w:p>
            <w:pPr>
              <w:ind w:left="1500"/>
              <w:spacing w:after="0"/>
              <w:rPr>
                <w:sz w:val="20"/>
                <w:szCs w:val="20"/>
                <w:color w:val="auto"/>
              </w:rPr>
            </w:pPr>
            <w:r>
              <w:rPr>
                <w:rFonts w:ascii="Arial" w:cs="Arial" w:eastAsia="Arial" w:hAnsi="Arial"/>
                <w:sz w:val="13"/>
                <w:szCs w:val="13"/>
                <w:color w:val="auto"/>
                <w:w w:val="99"/>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rPr>
                <w:sz w:val="20"/>
                <w:szCs w:val="20"/>
                <w:color w:val="auto"/>
              </w:rPr>
            </w:pPr>
            <w:r>
              <w:rPr>
                <w:rFonts w:ascii="Arial" w:cs="Arial" w:eastAsia="Arial" w:hAnsi="Arial"/>
                <w:sz w:val="13"/>
                <w:szCs w:val="13"/>
                <w:color w:val="auto"/>
              </w:rPr>
              <w:t>Total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w:t>
            </w: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416"/>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3"/>
          <w:szCs w:val="13"/>
          <w:color w:val="auto"/>
        </w:rPr>
        <w:t>The gross carrying amount and accumulated amortization of the Company's Intangible assets, net, as of June 30, 2021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Accumulated</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7"/>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97"/>
              </w:rPr>
              <w:t>Gross Carrying Value</w:t>
            </w:r>
          </w:p>
        </w:tc>
        <w:tc>
          <w:tcPr>
            <w:tcW w:w="60" w:type="dxa"/>
            <w:vAlign w:val="bottom"/>
            <w:vMerge w:val="restart"/>
          </w:tcPr>
          <w:p>
            <w:pPr>
              <w:spacing w:after="0"/>
              <w:rPr>
                <w:sz w:val="11"/>
                <w:szCs w:val="11"/>
                <w:color w:val="auto"/>
              </w:rPr>
            </w:pPr>
          </w:p>
        </w:tc>
        <w:tc>
          <w:tcPr>
            <w:tcW w:w="12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Net Carrying Value</w:t>
            </w:r>
          </w:p>
        </w:tc>
        <w:tc>
          <w:tcPr>
            <w:tcW w:w="80" w:type="dxa"/>
            <w:vAlign w:val="bottom"/>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8"/>
              </w:rPr>
              <w:t>Remaining Useful Life</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Amortization</w:t>
            </w: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(Years)</w:t>
            </w:r>
          </w:p>
        </w:tc>
        <w:tc>
          <w:tcPr>
            <w:tcW w:w="0" w:type="dxa"/>
            <w:vAlign w:val="bottom"/>
          </w:tcPr>
          <w:p>
            <w:pPr>
              <w:spacing w:after="0"/>
              <w:rPr>
                <w:sz w:val="1"/>
                <w:szCs w:val="1"/>
                <w:color w:val="auto"/>
              </w:rPr>
            </w:pPr>
          </w:p>
        </w:tc>
      </w:tr>
      <w:tr>
        <w:trPr>
          <w:trHeight w:val="16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Acquired developed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(24.8)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3"/>
                <w:szCs w:val="13"/>
                <w:color w:val="auto"/>
              </w:rPr>
              <w:t>Brand</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94.0</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91.4</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71"/>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Distributor relationships</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18.0</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(0.5)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17.5</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definite-lived intangibles</w:t>
            </w:r>
          </w:p>
        </w:tc>
        <w:tc>
          <w:tcPr>
            <w:tcW w:w="1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6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rPr>
                <w:sz w:val="20"/>
                <w:szCs w:val="20"/>
                <w:color w:val="auto"/>
              </w:rPr>
            </w:pPr>
            <w:r>
              <w:rPr>
                <w:rFonts w:ascii="Arial" w:cs="Arial" w:eastAsia="Arial" w:hAnsi="Arial"/>
                <w:sz w:val="13"/>
                <w:szCs w:val="13"/>
                <w:color w:val="auto"/>
              </w:rPr>
              <w:t>Total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277.5</w:t>
            </w:r>
          </w:p>
        </w:tc>
        <w:tc>
          <w:tcPr>
            <w:tcW w:w="60" w:type="dxa"/>
            <w:vAlign w:val="bottom"/>
          </w:tcPr>
          <w:p>
            <w:pPr>
              <w:spacing w:after="0"/>
              <w:rPr>
                <w:sz w:val="14"/>
                <w:szCs w:val="14"/>
                <w:color w:val="auto"/>
              </w:rPr>
            </w:pPr>
          </w:p>
        </w:tc>
        <w:tc>
          <w:tcPr>
            <w:tcW w:w="124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(29.6)</w:t>
            </w: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247.9</w:t>
            </w: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fiscal year ended June 30, 2022, the Company recognized an impairment loss of $165.6 million primarily due to the write-off of certain acquired developed technology, brand, distributor and customer relationships, and assembled workforce, which resulted from strategic actions taken by the Company under the Restructuring Plan. The Company determined that the estimated future cash flows were less than the carrying values for certain intangibles. The impairment loss is included in Impairment expense in the consolidated statements of operations.</w:t>
      </w:r>
    </w:p>
    <w:p>
      <w:pPr>
        <w:spacing w:after="0" w:line="159" w:lineRule="exact"/>
        <w:rPr>
          <w:sz w:val="20"/>
          <w:szCs w:val="20"/>
          <w:color w:val="auto"/>
        </w:rPr>
      </w:pPr>
    </w:p>
    <w:p>
      <w:pPr>
        <w:ind w:right="220"/>
        <w:spacing w:after="0" w:line="283" w:lineRule="auto"/>
        <w:rPr>
          <w:sz w:val="20"/>
          <w:szCs w:val="20"/>
          <w:color w:val="auto"/>
        </w:rPr>
      </w:pPr>
      <w:r>
        <w:rPr>
          <w:rFonts w:ascii="Arial" w:cs="Arial" w:eastAsia="Arial" w:hAnsi="Arial"/>
          <w:sz w:val="13"/>
          <w:szCs w:val="13"/>
          <w:color w:val="auto"/>
        </w:rPr>
        <w:t>The Company recognized intangible asset amortization in the consolidated statements of operations in the amount of $43.3 million, $19.2 million, and $5.1 million for the fiscal years ended June 30, 2022,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2022, estimated amortization related to the Company's identifiable acquisition-related intangible assets in future periods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5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6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9"/>
        </w:trPr>
        <w:tc>
          <w:tcPr>
            <w:tcW w:w="3640" w:type="dxa"/>
            <w:vAlign w:val="bottom"/>
          </w:tcPr>
          <w:p>
            <w:pPr>
              <w:ind w:left="20"/>
              <w:spacing w:after="0"/>
              <w:rPr>
                <w:sz w:val="20"/>
                <w:szCs w:val="20"/>
                <w:color w:val="auto"/>
              </w:rPr>
            </w:pPr>
            <w:r>
              <w:rPr>
                <w:rFonts w:ascii="Arial" w:cs="Arial" w:eastAsia="Arial" w:hAnsi="Arial"/>
                <w:sz w:val="13"/>
                <w:szCs w:val="13"/>
                <w:color w:val="auto"/>
              </w:rPr>
              <w:t>2024</w:t>
            </w:r>
          </w:p>
        </w:tc>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5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69"/>
        </w:trPr>
        <w:tc>
          <w:tcPr>
            <w:tcW w:w="3640" w:type="dxa"/>
            <w:vAlign w:val="bottom"/>
          </w:tcPr>
          <w:p>
            <w:pPr>
              <w:ind w:left="20"/>
              <w:spacing w:after="0"/>
              <w:rPr>
                <w:sz w:val="20"/>
                <w:szCs w:val="20"/>
                <w:color w:val="auto"/>
              </w:rPr>
            </w:pPr>
            <w:r>
              <w:rPr>
                <w:rFonts w:ascii="Arial" w:cs="Arial" w:eastAsia="Arial" w:hAnsi="Arial"/>
                <w:sz w:val="13"/>
                <w:szCs w:val="13"/>
                <w:color w:val="auto"/>
              </w:rPr>
              <w:t>2026</w:t>
            </w:r>
          </w:p>
        </w:tc>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5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58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2"/>
        </w:trPr>
        <w:tc>
          <w:tcPr>
            <w:tcW w:w="3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6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736"/>
              <w:spacing w:after="0"/>
              <w:rPr>
                <w:sz w:val="20"/>
                <w:szCs w:val="20"/>
                <w:color w:val="auto"/>
              </w:rPr>
            </w:pPr>
            <w:r>
              <w:rPr>
                <w:rFonts w:ascii="Arial" w:cs="Arial" w:eastAsia="Arial" w:hAnsi="Arial"/>
                <w:sz w:val="13"/>
                <w:szCs w:val="13"/>
                <w:color w:val="auto"/>
              </w:rPr>
              <w:t>87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36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640" w:type="dxa"/>
            <w:vAlign w:val="bottom"/>
            <w:tcBorders>
              <w:bottom w:val="single" w:sz="8" w:color="9A9A9A"/>
            </w:tcBorders>
          </w:tcPr>
          <w:p>
            <w:pPr>
              <w:spacing w:after="0"/>
              <w:rPr>
                <w:sz w:val="6"/>
                <w:szCs w:val="6"/>
                <w:color w:val="auto"/>
              </w:rPr>
            </w:pPr>
          </w:p>
        </w:tc>
        <w:tc>
          <w:tcPr>
            <w:tcW w:w="58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81"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20"/>
                <w:szCs w:val="20"/>
                <w:color w:val="auto"/>
              </w:rPr>
            </w:pPr>
            <w:r>
              <w:rPr>
                <w:rFonts w:ascii="Arial" w:cs="Arial" w:eastAsia="Arial" w:hAnsi="Arial"/>
                <w:sz w:val="13"/>
                <w:szCs w:val="13"/>
                <w:b w:val="1"/>
                <w:bCs w:val="1"/>
                <w:color w:val="auto"/>
              </w:rPr>
              <w:t>10. Accounts Payable and Accrued Expenses</w:t>
            </w: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23"/>
        </w:trPr>
        <w:tc>
          <w:tcPr>
            <w:tcW w:w="7680" w:type="dxa"/>
            <w:vAlign w:val="bottom"/>
          </w:tcPr>
          <w:p>
            <w:pPr>
              <w:spacing w:after="0"/>
              <w:rPr>
                <w:sz w:val="20"/>
                <w:szCs w:val="20"/>
                <w:color w:val="auto"/>
              </w:rPr>
            </w:pPr>
            <w:r>
              <w:rPr>
                <w:rFonts w:ascii="Arial" w:cs="Arial" w:eastAsia="Arial" w:hAnsi="Arial"/>
                <w:sz w:val="13"/>
                <w:szCs w:val="13"/>
                <w:color w:val="auto"/>
              </w:rPr>
              <w:t>Accounts payable and accrued expenses consisted of the following:</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0"/>
        </w:trPr>
        <w:tc>
          <w:tcPr>
            <w:tcW w:w="76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3"/>
                <w:szCs w:val="13"/>
                <w:b w:val="1"/>
                <w:bCs w:val="1"/>
                <w:color w:val="auto"/>
              </w:rPr>
              <w:t>June 30,</w:t>
            </w:r>
          </w:p>
        </w:tc>
        <w:tc>
          <w:tcPr>
            <w:tcW w:w="1240" w:type="dxa"/>
            <w:vAlign w:val="bottom"/>
            <w:tcBorders>
              <w:bottom w:val="single" w:sz="8" w:color="auto"/>
            </w:tcBorders>
          </w:tcPr>
          <w:p>
            <w:pPr>
              <w:spacing w:after="0"/>
              <w:rPr>
                <w:sz w:val="24"/>
                <w:szCs w:val="24"/>
                <w:color w:val="auto"/>
              </w:rPr>
            </w:pPr>
          </w:p>
        </w:tc>
      </w:tr>
      <w:tr>
        <w:trPr>
          <w:trHeight w:val="160"/>
        </w:trPr>
        <w:tc>
          <w:tcPr>
            <w:tcW w:w="7680" w:type="dxa"/>
            <w:vAlign w:val="bottom"/>
          </w:tcPr>
          <w:p>
            <w:pPr>
              <w:spacing w:after="0"/>
              <w:rPr>
                <w:sz w:val="13"/>
                <w:szCs w:val="13"/>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60"/>
        </w:trPr>
        <w:tc>
          <w:tcPr>
            <w:tcW w:w="76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(in millions)</w:t>
            </w:r>
          </w:p>
        </w:tc>
        <w:tc>
          <w:tcPr>
            <w:tcW w:w="1240" w:type="dxa"/>
            <w:vAlign w:val="bottom"/>
            <w:tcBorders>
              <w:bottom w:val="single" w:sz="8" w:color="auto"/>
            </w:tcBorders>
          </w:tcPr>
          <w:p>
            <w:pPr>
              <w:spacing w:after="0"/>
              <w:rPr>
                <w:sz w:val="13"/>
                <w:szCs w:val="13"/>
                <w:color w:val="auto"/>
              </w:rPr>
            </w:pP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364.4</w:t>
            </w:r>
          </w:p>
        </w:tc>
      </w:tr>
      <w:tr>
        <w:trPr>
          <w:trHeight w:val="170"/>
        </w:trPr>
        <w:tc>
          <w:tcPr>
            <w:tcW w:w="7680" w:type="dxa"/>
            <w:vAlign w:val="bottom"/>
          </w:tcPr>
          <w:p>
            <w:pPr>
              <w:ind w:left="20"/>
              <w:spacing w:after="0" w:line="170" w:lineRule="exact"/>
              <w:rPr>
                <w:sz w:val="20"/>
                <w:szCs w:val="20"/>
                <w:color w:val="auto"/>
              </w:rPr>
            </w:pPr>
            <w:r>
              <w:rPr>
                <w:rFonts w:ascii="Arial" w:cs="Arial" w:eastAsia="Arial" w:hAnsi="Arial"/>
                <w:sz w:val="13"/>
                <w:szCs w:val="13"/>
                <w:color w:val="auto"/>
              </w:rPr>
              <w:t>Accrued settlement costs</w:t>
            </w:r>
            <w:r>
              <w:rPr>
                <w:rFonts w:ascii="Arial" w:cs="Arial" w:eastAsia="Arial" w:hAnsi="Arial"/>
                <w:sz w:val="16"/>
                <w:szCs w:val="16"/>
                <w:color w:val="auto"/>
                <w:vertAlign w:val="superscript"/>
              </w:rPr>
              <w:t>(1)</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222.3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 received but not billed</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Accrued music licensing royalties</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70.9</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Employee-related liabilities</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Return reserve liability</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50.2</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professional services</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Accrued marketing</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59.9</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 warranty</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Accrued capital expenditures</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40.9</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119.8</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w:t>
            </w: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Total accounts payable and accrued expenses</w:t>
            </w:r>
          </w:p>
        </w:tc>
        <w:tc>
          <w:tcPr>
            <w:tcW w:w="120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797.4</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989.1</w:t>
            </w:r>
          </w:p>
        </w:tc>
      </w:tr>
      <w:tr>
        <w:trPr>
          <w:trHeight w:val="20"/>
        </w:trPr>
        <w:tc>
          <w:tcPr>
            <w:tcW w:w="7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(1) Accrued settlement costs consist primarily of payments made to third-party suppliers to terminate certain future inventory purchase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Leases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leases facilities under operating leases with various expiration dates through 2039. The Company leases space for its corporate headquarters and the operation of its production studio facilities, showrooms, distribution facilities, warehouses, factories, and other office spaces.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Right-of-use assets and lease liabilities are established on the Consolidated Balance Sheets for leases with an expected term greater than one year. As the rate implicit in the lease is not determinable, the Company uses its secured incremental borrowing rate to determine the present value of the lease payments.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Leases with an initial term of 12 months or less are not recorded on the Consolidated Balance Sheets. The Company recognizes lease expense for these leases on a straight-line basis over the term of the lease. The Company has elected to not separate lease and non-lease components.</w:t>
      </w:r>
    </w:p>
    <w:p>
      <w:pPr>
        <w:jc w:val="both"/>
        <w:spacing w:after="0" w:line="264" w:lineRule="auto"/>
        <w:rPr>
          <w:sz w:val="20"/>
          <w:szCs w:val="20"/>
          <w:color w:val="auto"/>
        </w:rPr>
      </w:pPr>
      <w:r>
        <w:rPr>
          <w:rFonts w:ascii="Arial" w:cs="Arial" w:eastAsia="Arial" w:hAnsi="Arial"/>
          <w:sz w:val="13"/>
          <w:szCs w:val="13"/>
          <w:color w:val="auto"/>
        </w:rPr>
        <w:t>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2022, the total remaining lease payments included in the measurement of lease liabilities for operating leases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520" w:type="dxa"/>
            <w:vAlign w:val="bottom"/>
          </w:tcPr>
          <w:p>
            <w:pPr>
              <w:ind w:left="20"/>
              <w:spacing w:after="0"/>
              <w:rPr>
                <w:sz w:val="20"/>
                <w:szCs w:val="20"/>
                <w:color w:val="auto"/>
              </w:rPr>
            </w:pPr>
            <w:r>
              <w:rPr>
                <w:rFonts w:ascii="Arial" w:cs="Arial" w:eastAsia="Arial" w:hAnsi="Arial"/>
                <w:sz w:val="13"/>
                <w:szCs w:val="13"/>
                <w:b w:val="1"/>
                <w:bCs w:val="1"/>
                <w:color w:val="auto"/>
              </w:rPr>
              <w:t>Fiscal Year Ended June 30,</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Future Minimum Payments</w:t>
            </w:r>
          </w:p>
        </w:tc>
      </w:tr>
      <w:tr>
        <w:trPr>
          <w:trHeight w:val="160"/>
        </w:trPr>
        <w:tc>
          <w:tcPr>
            <w:tcW w:w="9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(in millions)</w:t>
            </w:r>
          </w:p>
        </w:tc>
      </w:tr>
      <w:tr>
        <w:trPr>
          <w:trHeight w:val="170"/>
        </w:trPr>
        <w:tc>
          <w:tcPr>
            <w:tcW w:w="95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2023</w:t>
            </w:r>
            <w:r>
              <w:rPr>
                <w:rFonts w:ascii="Arial" w:cs="Arial" w:eastAsia="Arial" w:hAnsi="Arial"/>
                <w:sz w:val="16"/>
                <w:szCs w:val="16"/>
                <w:color w:val="auto"/>
                <w:vertAlign w:val="superscript"/>
              </w:rPr>
              <w:t>(1)</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w:t>
            </w:r>
          </w:p>
        </w:tc>
      </w:tr>
      <w:tr>
        <w:trPr>
          <w:trHeight w:val="169"/>
        </w:trPr>
        <w:tc>
          <w:tcPr>
            <w:tcW w:w="9520" w:type="dxa"/>
            <w:vAlign w:val="bottom"/>
          </w:tcPr>
          <w:p>
            <w:pPr>
              <w:ind w:left="20"/>
              <w:spacing w:after="0"/>
              <w:rPr>
                <w:sz w:val="20"/>
                <w:szCs w:val="20"/>
                <w:color w:val="auto"/>
              </w:rPr>
            </w:pPr>
            <w:r>
              <w:rPr>
                <w:rFonts w:ascii="Arial" w:cs="Arial" w:eastAsia="Arial" w:hAnsi="Arial"/>
                <w:sz w:val="13"/>
                <w:szCs w:val="13"/>
                <w:color w:val="auto"/>
              </w:rPr>
              <w:t>2024</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129.6</w:t>
            </w:r>
          </w:p>
        </w:tc>
      </w:tr>
      <w:tr>
        <w:trPr>
          <w:trHeight w:val="171"/>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r>
      <w:tr>
        <w:trPr>
          <w:trHeight w:val="169"/>
        </w:trPr>
        <w:tc>
          <w:tcPr>
            <w:tcW w:w="9520" w:type="dxa"/>
            <w:vAlign w:val="bottom"/>
          </w:tcPr>
          <w:p>
            <w:pPr>
              <w:ind w:left="20"/>
              <w:spacing w:after="0"/>
              <w:rPr>
                <w:sz w:val="20"/>
                <w:szCs w:val="20"/>
                <w:color w:val="auto"/>
              </w:rPr>
            </w:pPr>
            <w:r>
              <w:rPr>
                <w:rFonts w:ascii="Arial" w:cs="Arial" w:eastAsia="Arial" w:hAnsi="Arial"/>
                <w:sz w:val="13"/>
                <w:szCs w:val="13"/>
                <w:color w:val="auto"/>
              </w:rPr>
              <w:t>2026</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106.2</w:t>
            </w:r>
          </w:p>
        </w:tc>
      </w:tr>
      <w:tr>
        <w:trPr>
          <w:trHeight w:val="171"/>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w:t>
            </w:r>
          </w:p>
        </w:tc>
      </w:tr>
      <w:tr>
        <w:trPr>
          <w:trHeight w:val="16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487.2</w:t>
            </w:r>
          </w:p>
        </w:tc>
      </w:tr>
      <w:tr>
        <w:trPr>
          <w:trHeight w:val="162"/>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1,071.0</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(1) Includes $13.0 million in tenant improvement receivable.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1"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20"/>
                <w:szCs w:val="20"/>
                <w:color w:val="auto"/>
              </w:rPr>
            </w:pPr>
            <w:r>
              <w:rPr>
                <w:rFonts w:ascii="Arial" w:cs="Arial" w:eastAsia="Arial" w:hAnsi="Arial"/>
                <w:sz w:val="13"/>
                <w:szCs w:val="13"/>
                <w:color w:val="auto"/>
              </w:rPr>
              <w:t>Supplemental information related to operating leases was as follows:</w:t>
            </w: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Reconciliation of Lease Liabilities</w:t>
            </w:r>
          </w:p>
        </w:tc>
        <w:tc>
          <w:tcPr>
            <w:tcW w:w="1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3"/>
                <w:szCs w:val="13"/>
                <w:b w:val="1"/>
                <w:bCs w:val="1"/>
                <w:color w:val="auto"/>
              </w:rPr>
              <w:t>As of June 30,</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520" w:type="dxa"/>
            <w:vAlign w:val="bottom"/>
          </w:tcPr>
          <w:p>
            <w:pPr>
              <w:spacing w:after="0"/>
              <w:rPr>
                <w:sz w:val="13"/>
                <w:szCs w:val="13"/>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7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(dollars in millions)</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remaining lease term (years)</w:t>
            </w:r>
          </w:p>
        </w:tc>
        <w:tc>
          <w:tcPr>
            <w:tcW w:w="1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Weighted-average discount rate</w:t>
            </w:r>
          </w:p>
        </w:tc>
        <w:tc>
          <w:tcPr>
            <w:tcW w:w="1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4.98 %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5.35 %</w:t>
            </w:r>
          </w:p>
        </w:tc>
        <w:tc>
          <w:tcPr>
            <w:tcW w:w="0" w:type="dxa"/>
            <w:vAlign w:val="bottom"/>
          </w:tcPr>
          <w:p>
            <w:pPr>
              <w:spacing w:after="0"/>
              <w:rPr>
                <w:sz w:val="1"/>
                <w:szCs w:val="1"/>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Undiscounted Lease Liability</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1,071.0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944.0</w:t>
            </w:r>
          </w:p>
        </w:tc>
        <w:tc>
          <w:tcPr>
            <w:tcW w:w="0" w:type="dxa"/>
            <w:vAlign w:val="bottom"/>
          </w:tcPr>
          <w:p>
            <w:pPr>
              <w:spacing w:after="0"/>
              <w:rPr>
                <w:sz w:val="1"/>
                <w:szCs w:val="1"/>
                <w:color w:val="auto"/>
              </w:rPr>
            </w:pP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1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(259.1)</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(261.6)</w:t>
            </w:r>
          </w:p>
        </w:tc>
        <w:tc>
          <w:tcPr>
            <w:tcW w:w="0" w:type="dxa"/>
            <w:vAlign w:val="bottom"/>
          </w:tcPr>
          <w:p>
            <w:pPr>
              <w:spacing w:after="0"/>
              <w:rPr>
                <w:sz w:val="1"/>
                <w:szCs w:val="1"/>
                <w:color w:val="auto"/>
              </w:rPr>
            </w:pPr>
          </w:p>
        </w:tc>
      </w:tr>
      <w:tr>
        <w:trPr>
          <w:trHeight w:val="18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Discounted Lease Liability</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811.8</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682.3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Current portion of lease liability</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520" w:type="dxa"/>
            <w:vAlign w:val="bottom"/>
            <w:vMerge w:val="continue"/>
          </w:tcPr>
          <w:p>
            <w:pPr>
              <w:spacing w:after="0"/>
              <w:rPr>
                <w:sz w:val="11"/>
                <w:szCs w:val="11"/>
                <w:color w:val="auto"/>
              </w:rPr>
            </w:pPr>
          </w:p>
        </w:tc>
        <w:tc>
          <w:tcPr>
            <w:tcW w:w="1160" w:type="dxa"/>
            <w:vAlign w:val="bottom"/>
          </w:tcPr>
          <w:p>
            <w:pPr>
              <w:jc w:val="right"/>
              <w:ind w:right="1016"/>
              <w:spacing w:after="0" w:line="133"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ind w:right="96"/>
              <w:spacing w:after="0" w:line="133" w:lineRule="exact"/>
              <w:rPr>
                <w:sz w:val="20"/>
                <w:szCs w:val="20"/>
                <w:color w:val="auto"/>
              </w:rPr>
            </w:pPr>
            <w:r>
              <w:rPr>
                <w:rFonts w:ascii="Arial" w:cs="Arial" w:eastAsia="Arial" w:hAnsi="Arial"/>
                <w:sz w:val="13"/>
                <w:szCs w:val="13"/>
                <w:color w:val="auto"/>
              </w:rPr>
              <w:t>86.4</w:t>
            </w:r>
          </w:p>
        </w:tc>
        <w:tc>
          <w:tcPr>
            <w:tcW w:w="80" w:type="dxa"/>
            <w:vAlign w:val="bottom"/>
          </w:tcPr>
          <w:p>
            <w:pPr>
              <w:spacing w:after="0"/>
              <w:rPr>
                <w:sz w:val="11"/>
                <w:szCs w:val="11"/>
                <w:color w:val="auto"/>
              </w:rPr>
            </w:pPr>
          </w:p>
        </w:tc>
        <w:tc>
          <w:tcPr>
            <w:tcW w:w="660" w:type="dxa"/>
            <w:vAlign w:val="bottom"/>
          </w:tcPr>
          <w:p>
            <w:pPr>
              <w:jc w:val="right"/>
              <w:ind w:right="516"/>
              <w:spacing w:after="0" w:line="133" w:lineRule="exact"/>
              <w:rPr>
                <w:sz w:val="20"/>
                <w:szCs w:val="20"/>
                <w:color w:val="auto"/>
              </w:rPr>
            </w:pPr>
            <w:r>
              <w:rPr>
                <w:rFonts w:ascii="Arial" w:cs="Arial" w:eastAsia="Arial" w:hAnsi="Arial"/>
                <w:sz w:val="13"/>
                <w:szCs w:val="13"/>
                <w:color w:val="auto"/>
                <w:w w:val="82"/>
              </w:rPr>
              <w:t>$</w:t>
            </w:r>
          </w:p>
        </w:tc>
        <w:tc>
          <w:tcPr>
            <w:tcW w:w="1180" w:type="dxa"/>
            <w:vAlign w:val="bottom"/>
          </w:tcPr>
          <w:p>
            <w:pPr>
              <w:jc w:val="right"/>
              <w:ind w:right="96"/>
              <w:spacing w:after="0" w:line="133" w:lineRule="exact"/>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lease liability</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725.4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20"/>
                <w:szCs w:val="20"/>
                <w:color w:val="auto"/>
              </w:rPr>
            </w:pPr>
            <w:r>
              <w:rPr>
                <w:rFonts w:ascii="Arial" w:cs="Arial" w:eastAsia="Arial" w:hAnsi="Arial"/>
                <w:sz w:val="13"/>
                <w:szCs w:val="13"/>
                <w:color w:val="auto"/>
              </w:rPr>
              <w:t>Supplemental cash flow and other information related to leases was as follows: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68"/>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Cash Paid For Amounts Included In Measurement of Liabilities</w:t>
            </w:r>
          </w:p>
        </w:tc>
        <w:tc>
          <w:tcPr>
            <w:tcW w:w="42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3"/>
          </w:tcPr>
          <w:p>
            <w:pPr>
              <w:jc w:val="right"/>
              <w:ind w:right="916"/>
              <w:spacing w:after="0"/>
              <w:rPr>
                <w:sz w:val="20"/>
                <w:szCs w:val="20"/>
                <w:color w:val="auto"/>
              </w:rPr>
            </w:pPr>
            <w:r>
              <w:rPr>
                <w:rFonts w:ascii="Arial" w:cs="Arial" w:eastAsia="Arial" w:hAnsi="Arial"/>
                <w:sz w:val="13"/>
                <w:szCs w:val="13"/>
                <w:b w:val="1"/>
                <w:bCs w:val="1"/>
                <w:color w:val="auto"/>
              </w:rPr>
              <w:t>Fiscal Year Ended June 30,</w:t>
            </w:r>
          </w:p>
        </w:tc>
      </w:tr>
      <w:tr>
        <w:trPr>
          <w:trHeight w:val="160"/>
        </w:trPr>
        <w:tc>
          <w:tcPr>
            <w:tcW w:w="76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60"/>
        </w:trPr>
        <w:tc>
          <w:tcPr>
            <w:tcW w:w="7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gridSpan w:val="2"/>
          </w:tcPr>
          <w:p>
            <w:pPr>
              <w:jc w:val="right"/>
              <w:ind w:right="156"/>
              <w:spacing w:after="0"/>
              <w:rPr>
                <w:sz w:val="20"/>
                <w:szCs w:val="20"/>
                <w:color w:val="auto"/>
              </w:rPr>
            </w:pPr>
            <w:r>
              <w:rPr>
                <w:rFonts w:ascii="Arial" w:cs="Arial" w:eastAsia="Arial" w:hAnsi="Arial"/>
                <w:sz w:val="13"/>
                <w:szCs w:val="13"/>
                <w:b w:val="1"/>
                <w:bCs w:val="1"/>
                <w:color w:val="auto"/>
              </w:rPr>
              <w:t>(in millions)</w:t>
            </w:r>
          </w:p>
        </w:tc>
        <w:tc>
          <w:tcPr>
            <w:tcW w:w="122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cash flows from operating leases</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r>
      <w:tr>
        <w:trPr>
          <w:trHeight w:val="202"/>
        </w:trPr>
        <w:tc>
          <w:tcPr>
            <w:tcW w:w="7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 obtained in exchange for operating lease liabilities (non-cash)</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213.7</w:t>
            </w: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fiscal years ended June 30, 2022 and 2021, total operating lease expense was $167.4 million and $122.4 million, respectively, of which $29.5 million and $17.2 million was attributable to variable lease expense, and $1.5 million and $4.2 million was attributable to short-term lease expense, respectively.</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discussed in Note 4 - Property and Equipment, management identified various qualitative factors that collectively indicated that the Company had triggering events for our long-lived assets, including the Company’s right-of-use assets. The Company recognized impairment charges for the fiscal year ended June 30, 2022, primarily consisting of impairment loss of $28.5 million related to Connected Fitness right-of-use assets. These impairment charges reduced the carrying value of these right-of-use assets from $161.2 million to $132.7 million. Impairment charges are included within Impairment expense in the Consolidated Statements of Operations and Comprehensive Loss.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There were no material impairments in the fiscal years ended June 30, 2021 and 2020.</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Debt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Notes and the Indenture</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Notes will mature on February 15, 2026, unless earlier converted, redeemed, or repurchased. The Notes will be convertible at the option of the holders at certain times and upon the occurrence of certain events in the future.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7" w:right="319" w:bottom="1440" w:gutter="0" w:footer="0" w:header="0"/>
        </w:sectPr>
      </w:pPr>
    </w:p>
    <w:bookmarkStart w:id="90" w:name="page91"/>
    <w:bookmarkEnd w:id="90"/>
    <w:p>
      <w:pPr>
        <w:jc w:val="both"/>
        <w:spacing w:after="0" w:line="254" w:lineRule="auto"/>
        <w:rPr>
          <w:sz w:val="20"/>
          <w:szCs w:val="20"/>
          <w:color w:val="auto"/>
        </w:rPr>
      </w:pPr>
      <w:r>
        <w:rPr>
          <w:rFonts w:ascii="Arial" w:cs="Arial" w:eastAsia="Arial" w:hAnsi="Arial"/>
          <w:sz w:val="13"/>
          <w:szCs w:val="13"/>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accounting for the issuance of the Notes, the Company separated the Notes into liability and equity components, using an effective interest rate of 3.69% to determine the fair value of the liability component. The carrying amount of the equity component representing the conversion option was $163.8 million and was determined by deducting the fair value of the liability component from the initial proceeds ascribed to the Notes as a whole. The equity component is not remeasured as long as it continues to meet the conditions for equity classification. The excess of the principal amount of the liability component over its carrying amount (“debt discount”) is amortized to interest expense using the effective interest method over the contractual term of the Notes.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accounting for the transaction costs related to the Notes, the Company allocated the total amount incurred to the liability and equity components of the Notes based on the proportion of the proceeds allocated to the debt and equity components. Issuance costs attributable to the liability component recorded as additional debt discount were $19.0 million and will be amortized to interest expense using the effective interest method over the contractual terms of the Notes. Issuance costs attributable to the equity component of $3.7 million were netted with the equity component in stockholders’ equity.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20"/>
                <w:szCs w:val="20"/>
                <w:color w:val="auto"/>
              </w:rPr>
            </w:pPr>
            <w:r>
              <w:rPr>
                <w:rFonts w:ascii="Arial" w:cs="Arial" w:eastAsia="Arial" w:hAnsi="Arial"/>
                <w:sz w:val="13"/>
                <w:szCs w:val="13"/>
                <w:color w:val="auto"/>
              </w:rPr>
              <w:t>The net carrying amount of the liability component of the Notes was as follows:</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6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476"/>
              <w:spacing w:after="0"/>
              <w:rPr>
                <w:sz w:val="20"/>
                <w:szCs w:val="20"/>
                <w:color w:val="auto"/>
              </w:rPr>
            </w:pPr>
            <w:r>
              <w:rPr>
                <w:rFonts w:ascii="Arial" w:cs="Arial" w:eastAsia="Arial" w:hAnsi="Arial"/>
                <w:sz w:val="13"/>
                <w:szCs w:val="13"/>
                <w:b w:val="1"/>
                <w:bCs w:val="1"/>
                <w:color w:val="auto"/>
                <w:w w:val="99"/>
              </w:rPr>
              <w:t>June 30,</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60" w:type="dxa"/>
            <w:vAlign w:val="bottom"/>
            <w:gridSpan w:val="3"/>
          </w:tcPr>
          <w:p>
            <w:pPr>
              <w:jc w:val="center"/>
              <w:ind w:right="476"/>
              <w:spacing w:after="0"/>
              <w:rPr>
                <w:sz w:val="20"/>
                <w:szCs w:val="20"/>
                <w:color w:val="auto"/>
              </w:rPr>
            </w:pPr>
            <w:r>
              <w:rPr>
                <w:rFonts w:ascii="Arial" w:cs="Arial" w:eastAsia="Arial" w:hAnsi="Arial"/>
                <w:sz w:val="13"/>
                <w:szCs w:val="13"/>
                <w:b w:val="1"/>
                <w:bCs w:val="1"/>
                <w:color w:val="auto"/>
                <w:w w:val="98"/>
              </w:rPr>
              <w:t>(in millions)</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Unamortized debt discount</w:t>
            </w: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(121.5)</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Unamortized debt issuance costs</w:t>
            </w: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Net carrying amount</w:t>
            </w:r>
          </w:p>
        </w:tc>
        <w:tc>
          <w:tcPr>
            <w:tcW w:w="1140" w:type="dxa"/>
            <w:vAlign w:val="bottom"/>
            <w:tcBorders>
              <w:bottom w:val="single" w:sz="8" w:color="auto"/>
            </w:tcBorders>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864.0</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829.8</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3"/>
                <w:szCs w:val="13"/>
                <w:color w:val="auto"/>
              </w:rPr>
              <w:t>The following table sets forth the interest expense recognized related to the Notes:</w:t>
            </w: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76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680" w:type="dxa"/>
            <w:vAlign w:val="bottom"/>
          </w:tcPr>
          <w:p>
            <w:pPr>
              <w:spacing w:after="0"/>
              <w:rPr>
                <w:sz w:val="19"/>
                <w:szCs w:val="19"/>
                <w:color w:val="auto"/>
              </w:rPr>
            </w:pPr>
          </w:p>
        </w:tc>
        <w:tc>
          <w:tcPr>
            <w:tcW w:w="300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3"/>
                <w:szCs w:val="13"/>
                <w:b w:val="1"/>
                <w:bCs w:val="1"/>
                <w:color w:val="auto"/>
                <w:w w:val="97"/>
              </w:rPr>
              <w:t>Fiscal Year Ended June 30,</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60" w:type="dxa"/>
            <w:vAlign w:val="bottom"/>
            <w:gridSpan w:val="3"/>
          </w:tcPr>
          <w:p>
            <w:pPr>
              <w:jc w:val="center"/>
              <w:ind w:right="476"/>
              <w:spacing w:after="0"/>
              <w:rPr>
                <w:sz w:val="20"/>
                <w:szCs w:val="20"/>
                <w:color w:val="auto"/>
              </w:rPr>
            </w:pPr>
            <w:r>
              <w:rPr>
                <w:rFonts w:ascii="Arial" w:cs="Arial" w:eastAsia="Arial" w:hAnsi="Arial"/>
                <w:sz w:val="13"/>
                <w:szCs w:val="13"/>
                <w:b w:val="1"/>
                <w:bCs w:val="1"/>
                <w:color w:val="auto"/>
                <w:w w:val="98"/>
              </w:rPr>
              <w:t>(in millions)</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discount</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Amortization of debt issuance costs</w:t>
            </w: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capitalized</w:t>
            </w: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Total interest expense related to the Notes</w:t>
            </w:r>
          </w:p>
        </w:tc>
        <w:tc>
          <w:tcPr>
            <w:tcW w:w="1140" w:type="dxa"/>
            <w:vAlign w:val="bottom"/>
            <w:tcBorders>
              <w:bottom w:val="single" w:sz="8" w:color="auto"/>
            </w:tcBorders>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Capped Call Transactions</w:t>
      </w:r>
    </w:p>
    <w:p>
      <w:pPr>
        <w:spacing w:after="0" w:line="3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91" w:name="page92"/>
    <w:bookmarkEnd w:id="91"/>
    <w:p>
      <w:pPr>
        <w:jc w:val="both"/>
        <w:spacing w:after="0" w:line="266" w:lineRule="auto"/>
        <w:rPr>
          <w:sz w:val="20"/>
          <w:szCs w:val="20"/>
          <w:color w:val="auto"/>
        </w:rPr>
      </w:pPr>
      <w:r>
        <w:rPr>
          <w:rFonts w:ascii="Arial" w:cs="Arial" w:eastAsia="Arial" w:hAnsi="Arial"/>
          <w:sz w:val="13"/>
          <w:szCs w:val="13"/>
          <w:color w:val="auto"/>
        </w:rPr>
        <w:t>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Second Amended and Restated Credit Agreement</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2019, the Company entered into an amended and restated revolving credit agreement (as amended, modified or supplemented prior to entrance into the Second Amended and Restated Credit Agreement (as defined below). The Amended and Restated Credit Agreement provided for a $500.0 million secured revolving credit facility, including up to the lesser of $250.0 million and the aggregate unused amount of the facility for the issuance of letters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Amended and Restated Credit Agreement also permitted the incurrence of indebtedness to permit the Capped Call Transactions and issuance of the Notes.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On May 25, 2022, the Company entered into an Amendment and Restatement Agreement to which the Second Amended and Restated Credit Agreement is attached (and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Second Amended and Restated Credit Agreement provides for a $750.0 million term loan facility (the “Term Loan”), which will be due and payable on May 25, 2027 or, if greater than $200.0 million of our 0% convertible senior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Second Amended and Restated Credit Agreement also provides for a $500.0 million revolving credit facility (the “Revolving Facility”), $35.0 million of which will mature on June 20, 2024 (the “Non-Consenting Commitments”), with the rest ($465.0 million) maturing on December 10, 2026 (the “Consenting Commitments”) or if the Springing Maturity Condition is met and the Term Loan is outstanding on such date, the Springing Maturity Date. The key terms of the Revolving Facility remain substantially unchanged from those set forth in the Amended and Restated Credit Agreement, including requiring compliance with a total level of liquidity of not less than $250.0 million and maintaining a minimum total four-quarter revenue level of $3.0 billion (which are replaced with a covenant to maintain a minimum debt to adjusted EBITDA ratio upon our meeting a specified adjusted EBITDA threshold).</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Term Loan bears interest at a rate equal to, at our option, either at the Alternate Base Rate plus 5.50% per annum or the Adjusted Term SOFR Rate plus 6.5% per annum. Each such margin will increase one time by 0.50% per annum if the Company chooses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fiscal years ended June 30, 2022 and 2021, the Company incurred total commitment fees of $1.4 million and $1.0 million, respectively, which are included in Interest expense in the Consolidated Statements of Operations and Comprehensive Loss.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June 30, 2022, the Company had drawn the full amount of the Term Loan and we had not drawn on the Revolving Facility, and we had $750.0 million total outstanding borrowings under the Second Amended and Restated Credit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92" w:name="page93"/>
    <w:bookmarkEnd w:id="92"/>
    <w:p>
      <w:pPr>
        <w:ind w:right="160"/>
        <w:spacing w:after="0" w:line="261" w:lineRule="auto"/>
        <w:rPr>
          <w:sz w:val="20"/>
          <w:szCs w:val="20"/>
          <w:color w:val="auto"/>
        </w:rPr>
      </w:pPr>
      <w:r>
        <w:rPr>
          <w:rFonts w:ascii="Arial" w:cs="Arial" w:eastAsia="Arial" w:hAnsi="Arial"/>
          <w:sz w:val="13"/>
          <w:szCs w:val="13"/>
          <w:color w:val="auto"/>
        </w:rPr>
        <w:t>In connection with the execution of the Second Amended and Restated Credit Agreement, the Company incurred debt issuance costs of $1.1 million which are capitalized and presented as Other assets on the Company’s Consolidated Balance Sheets. These costs are being amortized to interest expense using the effective interest method over the term of the Second Amended and Restated Credit Agreement.</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As of June 30, 2022, the Company was in compliance with the covenants under the Second Amended and Restated Credit Agreement. The Company is required to pledge or otherwise restrict a portion of cash and cash equivalents as collateral for standby letters of credit. As of June 30, 2022, we had outstanding letters of credit totaling $77.6 million, of which $69.9 million was secured against the Revolver.</w:t>
      </w:r>
    </w:p>
    <w:p>
      <w:pPr>
        <w:spacing w:after="0" w:line="159" w:lineRule="exact"/>
        <w:rPr>
          <w:sz w:val="20"/>
          <w:szCs w:val="20"/>
          <w:color w:val="auto"/>
        </w:rPr>
      </w:pPr>
    </w:p>
    <w:p>
      <w:pPr>
        <w:ind w:right="200"/>
        <w:spacing w:after="0" w:line="283" w:lineRule="auto"/>
        <w:rPr>
          <w:sz w:val="20"/>
          <w:szCs w:val="20"/>
          <w:color w:val="auto"/>
        </w:rPr>
      </w:pPr>
      <w:r>
        <w:rPr>
          <w:rFonts w:ascii="Arial" w:cs="Arial" w:eastAsia="Arial" w:hAnsi="Arial"/>
          <w:sz w:val="13"/>
          <w:szCs w:val="13"/>
          <w:color w:val="auto"/>
        </w:rPr>
        <w:t>Our proceeds in connection with the Term Loan were $696.4 million, net of discount of $33.8 million and issuance costs of $19.8 million. Both the discount and issuance costs are being amortized to interest expense over the term of the Term Loan using the effective interest rate method. The effective interest rate was 10.2%.</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net carrying amount of the Term Loan was as follows:</w:t>
      </w:r>
    </w:p>
    <w:p>
      <w:pPr>
        <w:sectPr>
          <w:pgSz w:w="11900" w:h="16838" w:orient="portrait"/>
          <w:cols w:equalWidth="0" w:num="1">
            <w:col w:w="11280"/>
          </w:cols>
          <w:pgMar w:left="300" w:top="511"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1079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Unamortized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Unamortized debt issuance costs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carrying amount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111823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(in millions)</w:t>
      </w:r>
    </w:p>
    <w:p>
      <w:pPr>
        <w:spacing w:after="0" w:line="24" w:lineRule="exact"/>
        <w:rPr>
          <w:sz w:val="20"/>
          <w:szCs w:val="20"/>
          <w:color w:val="auto"/>
        </w:rPr>
      </w:pPr>
    </w:p>
    <w:p>
      <w:pPr>
        <w:ind w:left="1364" w:hanging="1364"/>
        <w:spacing w:after="0"/>
        <w:tabs>
          <w:tab w:leader="none" w:pos="1364" w:val="left"/>
        </w:tabs>
        <w:numPr>
          <w:ilvl w:val="0"/>
          <w:numId w:val="42"/>
        </w:numPr>
        <w:rPr>
          <w:rFonts w:ascii="Arial" w:cs="Arial" w:eastAsia="Arial" w:hAnsi="Arial"/>
          <w:sz w:val="13"/>
          <w:szCs w:val="13"/>
          <w:color w:val="auto"/>
        </w:rPr>
      </w:pPr>
      <w:r>
        <w:rPr>
          <w:rFonts w:ascii="Arial" w:cs="Arial" w:eastAsia="Arial" w:hAnsi="Arial"/>
          <w:sz w:val="13"/>
          <w:szCs w:val="13"/>
          <w:color w:val="auto"/>
        </w:rPr>
        <w:t>750.0</w:t>
      </w:r>
    </w:p>
    <w:p>
      <w:pPr>
        <w:spacing w:after="0" w:line="16" w:lineRule="exact"/>
        <w:rPr>
          <w:rFonts w:ascii="Arial" w:cs="Arial" w:eastAsia="Arial" w:hAnsi="Arial"/>
          <w:sz w:val="13"/>
          <w:szCs w:val="13"/>
          <w:color w:val="auto"/>
        </w:rPr>
      </w:pPr>
    </w:p>
    <w:p>
      <w:pPr>
        <w:ind w:left="1384"/>
        <w:spacing w:after="0"/>
        <w:rPr>
          <w:rFonts w:ascii="Arial" w:cs="Arial" w:eastAsia="Arial" w:hAnsi="Arial"/>
          <w:sz w:val="13"/>
          <w:szCs w:val="13"/>
          <w:color w:val="auto"/>
        </w:rPr>
      </w:pPr>
      <w:r>
        <w:rPr>
          <w:rFonts w:ascii="Arial" w:cs="Arial" w:eastAsia="Arial" w:hAnsi="Arial"/>
          <w:sz w:val="13"/>
          <w:szCs w:val="13"/>
          <w:color w:val="auto"/>
        </w:rPr>
        <w:t>(33.1)</w:t>
      </w:r>
    </w:p>
    <w:p>
      <w:pPr>
        <w:spacing w:after="0" w:line="20" w:lineRule="exact"/>
        <w:rPr>
          <w:rFonts w:ascii="Arial" w:cs="Arial" w:eastAsia="Arial" w:hAnsi="Arial"/>
          <w:sz w:val="13"/>
          <w:szCs w:val="13"/>
          <w:color w:val="auto"/>
        </w:rPr>
      </w:pPr>
    </w:p>
    <w:p>
      <w:pPr>
        <w:ind w:left="1384"/>
        <w:spacing w:after="0"/>
        <w:rPr>
          <w:rFonts w:ascii="Arial" w:cs="Arial" w:eastAsia="Arial" w:hAnsi="Arial"/>
          <w:sz w:val="13"/>
          <w:szCs w:val="13"/>
          <w:color w:val="auto"/>
        </w:rPr>
      </w:pPr>
      <w:r>
        <w:rPr>
          <w:rFonts w:ascii="Arial" w:cs="Arial" w:eastAsia="Arial" w:hAnsi="Arial"/>
          <w:sz w:val="13"/>
          <w:szCs w:val="13"/>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111823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 w:lineRule="exact"/>
        <w:rPr>
          <w:sz w:val="20"/>
          <w:szCs w:val="20"/>
          <w:color w:val="auto"/>
        </w:rPr>
      </w:pPr>
    </w:p>
    <w:p>
      <w:pPr>
        <w:ind w:left="1364" w:hanging="1364"/>
        <w:spacing w:after="0"/>
        <w:tabs>
          <w:tab w:leader="none" w:pos="1364" w:val="left"/>
        </w:tabs>
        <w:numPr>
          <w:ilvl w:val="0"/>
          <w:numId w:val="43"/>
        </w:numPr>
        <w:rPr>
          <w:rFonts w:ascii="Arial" w:cs="Arial" w:eastAsia="Arial" w:hAnsi="Arial"/>
          <w:sz w:val="13"/>
          <w:szCs w:val="13"/>
          <w:color w:val="auto"/>
        </w:rPr>
      </w:pPr>
      <w:r>
        <w:rPr>
          <w:rFonts w:ascii="Arial" w:cs="Arial" w:eastAsia="Arial" w:hAnsi="Arial"/>
          <w:sz w:val="13"/>
          <w:szCs w:val="13"/>
          <w:color w:val="auto"/>
        </w:rPr>
        <w:t>697.5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111823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823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33020</wp:posOffset>
            </wp:positionV>
            <wp:extent cx="111823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816" w:space="720"/>
            <w:col w:w="1744"/>
          </w:cols>
          <w:pgMar w:left="300" w:top="511" w:right="31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520" w:type="dxa"/>
            <w:vAlign w:val="bottom"/>
          </w:tcPr>
          <w:p>
            <w:pPr>
              <w:spacing w:after="0"/>
              <w:rPr>
                <w:sz w:val="20"/>
                <w:szCs w:val="20"/>
                <w:color w:val="auto"/>
              </w:rPr>
            </w:pPr>
            <w:r>
              <w:rPr>
                <w:rFonts w:ascii="Arial" w:cs="Arial" w:eastAsia="Arial" w:hAnsi="Arial"/>
                <w:sz w:val="13"/>
                <w:szCs w:val="13"/>
                <w:color w:val="auto"/>
              </w:rPr>
              <w:t>The following table sets forth the interest expense recognized related to the Term Loan:</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52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Fiscal Year Ended June 30,</w:t>
            </w:r>
          </w:p>
        </w:tc>
        <w:tc>
          <w:tcPr>
            <w:tcW w:w="0" w:type="dxa"/>
            <w:vAlign w:val="bottom"/>
          </w:tcPr>
          <w:p>
            <w:pPr>
              <w:spacing w:after="0"/>
              <w:rPr>
                <w:sz w:val="1"/>
                <w:szCs w:val="1"/>
                <w:color w:val="auto"/>
              </w:rPr>
            </w:pPr>
          </w:p>
        </w:tc>
      </w:tr>
      <w:tr>
        <w:trPr>
          <w:trHeight w:val="170"/>
        </w:trPr>
        <w:tc>
          <w:tcPr>
            <w:tcW w:w="9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2022</w:t>
            </w:r>
          </w:p>
        </w:tc>
        <w:tc>
          <w:tcPr>
            <w:tcW w:w="0" w:type="dxa"/>
            <w:vAlign w:val="bottom"/>
          </w:tcPr>
          <w:p>
            <w:pPr>
              <w:spacing w:after="0"/>
              <w:rPr>
                <w:sz w:val="1"/>
                <w:szCs w:val="1"/>
                <w:color w:val="auto"/>
              </w:rPr>
            </w:pPr>
          </w:p>
        </w:tc>
      </w:tr>
      <w:tr>
        <w:trPr>
          <w:trHeight w:val="160"/>
        </w:trPr>
        <w:tc>
          <w:tcPr>
            <w:tcW w:w="9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center"/>
              <w:ind w:right="236"/>
              <w:spacing w:after="0"/>
              <w:rPr>
                <w:sz w:val="20"/>
                <w:szCs w:val="20"/>
                <w:color w:val="auto"/>
              </w:rPr>
            </w:pPr>
            <w:r>
              <w:rPr>
                <w:rFonts w:ascii="Arial" w:cs="Arial" w:eastAsia="Arial" w:hAnsi="Arial"/>
                <w:sz w:val="13"/>
                <w:szCs w:val="13"/>
                <w:b w:val="1"/>
                <w:bCs w:val="1"/>
                <w:color w:val="auto"/>
                <w:w w:val="98"/>
              </w:rPr>
              <w:t>(in millions)</w:t>
            </w:r>
          </w:p>
        </w:tc>
        <w:tc>
          <w:tcPr>
            <w:tcW w:w="0" w:type="dxa"/>
            <w:vAlign w:val="bottom"/>
          </w:tcPr>
          <w:p>
            <w:pPr>
              <w:spacing w:after="0"/>
              <w:rPr>
                <w:sz w:val="1"/>
                <w:szCs w:val="1"/>
                <w:color w:val="auto"/>
              </w:rPr>
            </w:pPr>
          </w:p>
        </w:tc>
      </w:tr>
      <w:tr>
        <w:trPr>
          <w:trHeight w:val="170"/>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discount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issuance costs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7"/>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interest expense related to the Notes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13. Commitments and Contingencies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9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520" w:type="dxa"/>
            <w:vAlign w:val="bottom"/>
          </w:tcPr>
          <w:p>
            <w:pPr>
              <w:spacing w:after="0"/>
              <w:rPr>
                <w:sz w:val="20"/>
                <w:szCs w:val="20"/>
                <w:color w:val="auto"/>
              </w:rPr>
            </w:pPr>
            <w:r>
              <w:rPr>
                <w:rFonts w:ascii="Arial" w:cs="Arial" w:eastAsia="Arial" w:hAnsi="Arial"/>
                <w:sz w:val="13"/>
                <w:szCs w:val="13"/>
                <w:color w:val="auto"/>
              </w:rPr>
              <w:t>The Company is subject to minimum guarantee royalty payments associated under certain music license agreements.</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520" w:type="dxa"/>
            <w:vAlign w:val="bottom"/>
          </w:tcPr>
          <w:p>
            <w:pPr>
              <w:spacing w:after="0"/>
              <w:rPr>
                <w:sz w:val="20"/>
                <w:szCs w:val="20"/>
                <w:color w:val="auto"/>
              </w:rPr>
            </w:pPr>
            <w:r>
              <w:rPr>
                <w:rFonts w:ascii="Arial" w:cs="Arial" w:eastAsia="Arial" w:hAnsi="Arial"/>
                <w:sz w:val="13"/>
                <w:szCs w:val="13"/>
                <w:color w:val="auto"/>
              </w:rPr>
              <w:t>The following represents the Company's minimum annual guarantee payments under music license agreements for the next three years as of June 30, 2022:</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9520" w:type="dxa"/>
            <w:vAlign w:val="bottom"/>
          </w:tcPr>
          <w:p>
            <w:pPr>
              <w:spacing w:after="0"/>
              <w:rPr>
                <w:sz w:val="24"/>
                <w:szCs w:val="2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Future Minimum Payments</w:t>
            </w:r>
          </w:p>
        </w:tc>
        <w:tc>
          <w:tcPr>
            <w:tcW w:w="0" w:type="dxa"/>
            <w:vAlign w:val="bottom"/>
          </w:tcPr>
          <w:p>
            <w:pPr>
              <w:spacing w:after="0"/>
              <w:rPr>
                <w:sz w:val="1"/>
                <w:szCs w:val="1"/>
                <w:color w:val="auto"/>
              </w:rPr>
            </w:pPr>
          </w:p>
        </w:tc>
      </w:tr>
      <w:tr>
        <w:trPr>
          <w:trHeight w:val="160"/>
        </w:trPr>
        <w:tc>
          <w:tcPr>
            <w:tcW w:w="952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300" w:type="dxa"/>
            <w:vAlign w:val="bottom"/>
          </w:tcPr>
          <w:p>
            <w:pPr>
              <w:spacing w:after="0"/>
              <w:rPr>
                <w:sz w:val="13"/>
                <w:szCs w:val="13"/>
                <w:color w:val="auto"/>
              </w:rPr>
            </w:pPr>
          </w:p>
        </w:tc>
        <w:tc>
          <w:tcPr>
            <w:tcW w:w="1460" w:type="dxa"/>
            <w:vAlign w:val="bottom"/>
          </w:tcPr>
          <w:p>
            <w:pPr>
              <w:jc w:val="center"/>
              <w:ind w:right="236"/>
              <w:spacing w:after="0"/>
              <w:rPr>
                <w:sz w:val="20"/>
                <w:szCs w:val="20"/>
                <w:color w:val="auto"/>
              </w:rPr>
            </w:pPr>
            <w:r>
              <w:rPr>
                <w:rFonts w:ascii="Arial" w:cs="Arial" w:eastAsia="Arial" w:hAnsi="Arial"/>
                <w:sz w:val="13"/>
                <w:szCs w:val="13"/>
                <w:b w:val="1"/>
                <w:bCs w:val="1"/>
                <w:color w:val="auto"/>
                <w:w w:val="98"/>
              </w:rPr>
              <w:t>(in millions)</w:t>
            </w:r>
          </w:p>
        </w:tc>
        <w:tc>
          <w:tcPr>
            <w:tcW w:w="0" w:type="dxa"/>
            <w:vAlign w:val="bottom"/>
          </w:tcPr>
          <w:p>
            <w:pPr>
              <w:spacing w:after="0"/>
              <w:rPr>
                <w:sz w:val="1"/>
                <w:szCs w:val="1"/>
                <w:color w:val="auto"/>
              </w:rPr>
            </w:pPr>
          </w:p>
        </w:tc>
      </w:tr>
      <w:tr>
        <w:trPr>
          <w:trHeight w:val="170"/>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69"/>
        </w:trPr>
        <w:tc>
          <w:tcPr>
            <w:tcW w:w="9520" w:type="dxa"/>
            <w:vAlign w:val="bottom"/>
          </w:tcPr>
          <w:p>
            <w:pPr>
              <w:ind w:left="20"/>
              <w:spacing w:after="0"/>
              <w:rPr>
                <w:sz w:val="20"/>
                <w:szCs w:val="20"/>
                <w:color w:val="auto"/>
              </w:rPr>
            </w:pPr>
            <w:r>
              <w:rPr>
                <w:rFonts w:ascii="Arial" w:cs="Arial" w:eastAsia="Arial" w:hAnsi="Arial"/>
                <w:sz w:val="13"/>
                <w:szCs w:val="13"/>
                <w:color w:val="auto"/>
              </w:rPr>
              <w:t>2024</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170"/>
        </w:trPr>
        <w:tc>
          <w:tcPr>
            <w:tcW w:w="9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62"/>
        </w:trPr>
        <w:tc>
          <w:tcPr>
            <w:tcW w:w="9520" w:type="dxa"/>
            <w:vAlign w:val="bottom"/>
          </w:tcPr>
          <w:p>
            <w:pPr>
              <w:ind w:left="180"/>
              <w:spacing w:after="0"/>
              <w:rPr>
                <w:sz w:val="20"/>
                <w:szCs w:val="20"/>
                <w:color w:val="auto"/>
              </w:rPr>
            </w:pPr>
            <w:r>
              <w:rPr>
                <w:rFonts w:ascii="Arial" w:cs="Arial" w:eastAsia="Arial" w:hAnsi="Arial"/>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298.7</w:t>
            </w: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Content Costs for Past Use Reserve</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secure the rights to stream music on the Peloton platform, the Company must obtain licenses from, and pay royalties to, copyright owners of both sound recordings and musical compositions. The licensors have the right to audit our royalty calculations and routinely exercise those rights.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Prior to the execution of go-forward music license agreements, the Company estimates and records expenses inclusive of estimated content costs for past use as well as normal and recurring music royalty expenses. The Company includes both of these components in its reserve. As of June 30, 2022 and 2021, the Company recorded reserves of $9.7 million and $11.5 million, respectively, included in Accounts payable and accrued expenses in the accompanying Consolidated Balance Sheets.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3"/>
          <w:szCs w:val="13"/>
          <w:b w:val="1"/>
          <w:bCs w:val="1"/>
          <w:i w:val="1"/>
          <w:iCs w:val="1"/>
          <w:color w:val="auto"/>
        </w:rPr>
        <w:t>Product Recall Return Reserves</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 xml:space="preserve">On May 5, 2021, the Company announced separate, voluntary recalls of its Tread+ and Tread products in collaboration with the </w:t>
      </w:r>
      <w:r>
        <w:rPr>
          <w:rFonts w:ascii="Arial" w:cs="Arial" w:eastAsia="Arial" w:hAnsi="Arial"/>
          <w:sz w:val="13"/>
          <w:szCs w:val="13"/>
          <w:color w:val="000000"/>
        </w:rPr>
        <w:t>U.S. Consumer Product Safety Commission ("</w:t>
      </w:r>
      <w:r>
        <w:rPr>
          <w:rFonts w:ascii="Arial" w:cs="Arial" w:eastAsia="Arial" w:hAnsi="Arial"/>
          <w:sz w:val="13"/>
          <w:szCs w:val="13"/>
          <w:color w:val="050505"/>
        </w:rPr>
        <w:t xml:space="preserve">CPSC") and halted sales of these products to work on product enhancements. As a result of these recalls, the Company accrued for a reduction to Connected Fitness Products revenue for actual and estimated future returns of $48.9 million and $81.1 million for the fiscal years ended June 30, 2022 and 2021, and as of </w:t>
      </w:r>
      <w:r>
        <w:rPr>
          <w:rFonts w:ascii="Arial" w:cs="Arial" w:eastAsia="Arial" w:hAnsi="Arial"/>
          <w:sz w:val="13"/>
          <w:szCs w:val="13"/>
          <w:color w:val="000000"/>
        </w:rPr>
        <w:t>June 30, 2022 and 2021,</w:t>
      </w:r>
      <w:r>
        <w:rPr>
          <w:rFonts w:ascii="Arial" w:cs="Arial" w:eastAsia="Arial" w:hAnsi="Arial"/>
          <w:sz w:val="13"/>
          <w:szCs w:val="13"/>
          <w:color w:val="050505"/>
        </w:rPr>
        <w:t xml:space="preserve"> a return reserve of $39.9 million and $40.8 million, respectively, is included within Accounts payable and accrued expenses in the accompanying Consolidated Balance Sheets related to the impacts of the recall. The estimated returns reserve is primarily based on historical and expected product returns. The Company recorded costs associated with inventory write-downs and logistic costs of $8.1 million and $15.7 million for the years ended June 30, 2022 and 2021 in Connected Fitness Products cost of revenue.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Commitments to Suppliers</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our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our provided forecasts.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Through the date of this filing, the Company’s commitments to contract with third-party manufacturers for their inventory on-hand and component purchase commitments related to the manufacture of Peloton products were estimated to be approximately $334.7 million.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050505"/>
        </w:rPr>
        <w:t>Supplier Settlements</w:t>
      </w:r>
    </w:p>
    <w:p>
      <w:pPr>
        <w:spacing w:after="0" w:line="2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During the </w:t>
      </w:r>
      <w:r>
        <w:rPr>
          <w:rFonts w:ascii="Arial" w:cs="Arial" w:eastAsia="Arial" w:hAnsi="Arial"/>
          <w:sz w:val="13"/>
          <w:szCs w:val="13"/>
          <w:color w:val="050505"/>
        </w:rPr>
        <w:t>fiscal year ended June 30, 2022, the Company accrued for $337.6 million in settlement agreements with various third-party suppliers to terminate certain future inventory</w:t>
      </w:r>
      <w:r>
        <w:rPr>
          <w:rFonts w:ascii="Arial" w:cs="Arial" w:eastAsia="Arial" w:hAnsi="Arial"/>
          <w:sz w:val="13"/>
          <w:szCs w:val="13"/>
          <w:color w:val="auto"/>
        </w:rPr>
        <w:t xml:space="preserve"> purchase commitments. The Company paid </w:t>
      </w:r>
      <w:r>
        <w:rPr>
          <w:rFonts w:ascii="Arial" w:cs="Arial" w:eastAsia="Arial" w:hAnsi="Arial"/>
          <w:sz w:val="13"/>
          <w:szCs w:val="13"/>
          <w:color w:val="050505"/>
        </w:rPr>
        <w:t>$99.5 million</w:t>
      </w:r>
      <w:r>
        <w:rPr>
          <w:rFonts w:ascii="Arial" w:cs="Arial" w:eastAsia="Arial" w:hAnsi="Arial"/>
          <w:sz w:val="13"/>
          <w:szCs w:val="13"/>
          <w:color w:val="auto"/>
        </w:rPr>
        <w:t xml:space="preserve"> during the </w:t>
      </w:r>
      <w:r>
        <w:rPr>
          <w:rFonts w:ascii="Arial" w:cs="Arial" w:eastAsia="Arial" w:hAnsi="Arial"/>
          <w:sz w:val="13"/>
          <w:szCs w:val="13"/>
          <w:color w:val="050505"/>
        </w:rPr>
        <w:t>fiscal year ended June 30, 2022, with the remainder to</w:t>
      </w:r>
      <w:r>
        <w:rPr>
          <w:rFonts w:ascii="Arial" w:cs="Arial" w:eastAsia="Arial" w:hAnsi="Arial"/>
          <w:sz w:val="13"/>
          <w:szCs w:val="13"/>
          <w:color w:val="auto"/>
        </w:rPr>
        <w:t xml:space="preserve"> be paid through fiscal 2023.</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and Regulatory Proceedings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or may become, a party to legal and regulatory proceedings with respect to a variety of matters in the ordinary course of business.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For example, we received reports of a number of injuries associated with our Tread+ product, one of which led to the death of a child. As a result of those reported Tread+ incidents, in April 2021, the CPSC unilaterally issued a warning to consumers about the safety hazards associated with the Tread+. While we do not agree with all of the assertions in the CPSC’s warning, in May 2021 we initiated a voluntary recall of our Tread+ product in collaboration with the CPSC. The CPSC is currently investigating the matter, and in August 2022 the CPSC notified us that the agency staff believes we failed to meet our statutory obligations under the Consumer Product Safety Act and intends to recommend that the CPSC impose civil monetary penalties. While we disagree with the agency staff, we are engaged in ongoing confidential discussions with the CPSC. In addition, shortly after the May 2021 recalls, the DOJ and DHS subpoenaed us for documents and other information related to our statutory obligations under the Consumer Product Safety Act and is continuing to investigate the matter. The SEC is also investigating our public disclosures concerning the recall, as well as other matters. In addition to the regulatory investigations, we are presently subject to class action litigation and private personal injury claims related to these perceived defects in the Tread+ and incidents reported to result from its use.</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Additionally on April 29, 2021, Ashley Wilson filed a putative securities class action lawsuit against the Company and certain of its officers, captioned Wilson v. Peloton Interactive, Inc., et al., Case No. 1:21-cv-02369-CBA-PK, in the United States District Court for the Eastern District of New York (the "Wilson Action"), and on May 24, 2021, Leigh Drori filed a related putative securities class action lawsuit, captioned Drori v. Peloton Interactive, Inc., et al., Case No. 1:21-cv-02925-CBA-PK, also in the United States District Court for the Eastern District of New York (the “Drori Action”). On November 16, 2021, the district judge consolidated the Wilson and Drori Actions under the caption </w:t>
      </w:r>
      <w:r>
        <w:rPr>
          <w:rFonts w:ascii="Arial" w:cs="Arial" w:eastAsia="Arial" w:hAnsi="Arial"/>
          <w:sz w:val="13"/>
          <w:szCs w:val="13"/>
          <w:i w:val="1"/>
          <w:iCs w:val="1"/>
          <w:color w:val="auto"/>
        </w:rPr>
        <w:t>In re Peloton Interactive, Inc. Securities Litigation</w:t>
      </w:r>
      <w:r>
        <w:rPr>
          <w:rFonts w:ascii="Arial" w:cs="Arial" w:eastAsia="Arial" w:hAnsi="Arial"/>
          <w:sz w:val="13"/>
          <w:szCs w:val="13"/>
          <w:color w:val="auto"/>
        </w:rPr>
        <w:t>, Master File No. 21-cv-02369-CBA-PK, and appointed Richard Neswick as lead plaintiff. On January 21, 2022, lead plaintiff filed an amended consolidated complaint in the action purportedly on behalf of a class consisting of those individuals who purchased or otherwise acquired our common stock between September 11, 2020 and May 5, 2021. Lead plaintiff alleges that the Company and certain of its officers made false or misleading statements in violation of Sections 10(b) and 20(a) of the Exchange Act of 1934 (“Exchange Act”) regarding the Company’s Tread and Tread+ products and the safety of those products. Defendants served their motion to dismiss the amended consolidated complaint on March 7, 2022, and briefing was complete on April 26, 2022.</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 xml:space="preserve">On May 20, 2021, Alan Chu filed a verified shareholder derivative action lawsuit purportedly on behalf of the Company against certain of the Company’s executive officers and the members of the Board of Directors, captioned Chu v. Foley, et al., Case No. 1:21-cv-02862, in the United States District Court for the Eastern District of New York (the “Chu Action”). Plaintiff Chu alleges breaches of fiduciary duties, unjust enrichment, abuse of control, gross mismanagement, waste, and violations of Section 14(a) of the Securities and Exchange Act of 1934, as well as a claim for contribution under Sections 10(b) and 21D of the Securities Exchange Act of 1934 against the Company’s Chief Executive Officer and Chief Financial Officer. On August 13, 2021 and August 19, 2021, two related verified shareholder derivative complaints were filed, captioned Genack v. Foley, et al., Case No. 1:21-cv-04583 and Liu v. Foley, et al., Case No. 1:21-cv-04687, also purportedly on behalf of the Company, in the United States District Court for the Eastern District of New York. On October 13, 2021, the parties in the three putative derivative actions filed a stipulation seeking to consolidate the actions, and agreeing to a schedule for plaintiffs to file motions to be appointed lead plaintiff. On October 26, 2021, the court entered the stipulation consolidating the three actions under the caption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re Peloton Interactive, Inc. Derivative Litigation</w:t>
      </w:r>
      <w:r>
        <w:rPr>
          <w:rFonts w:ascii="Arial" w:cs="Arial" w:eastAsia="Arial" w:hAnsi="Arial"/>
          <w:sz w:val="12"/>
          <w:szCs w:val="12"/>
          <w:color w:val="auto"/>
        </w:rPr>
        <w:t>, Master File No. 21-cv-02862-CBA-PK. On November 23, 2021, Anthony Franchi filed a shareholder derivative action in the United States District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94" w:name="page95"/>
    <w:bookmarkEnd w:id="94"/>
    <w:p>
      <w:pPr>
        <w:jc w:val="both"/>
        <w:spacing w:after="0" w:line="253" w:lineRule="auto"/>
        <w:rPr>
          <w:sz w:val="20"/>
          <w:szCs w:val="20"/>
          <w:color w:val="auto"/>
        </w:rPr>
      </w:pPr>
      <w:r>
        <w:rPr>
          <w:rFonts w:ascii="Arial" w:cs="Arial" w:eastAsia="Arial" w:hAnsi="Arial"/>
          <w:sz w:val="13"/>
          <w:szCs w:val="13"/>
          <w:color w:val="auto"/>
        </w:rPr>
        <w:t xml:space="preserve">Court for the Eastern District of New York against certain of the Company’s executive officers and members of the board of directors captioned </w:t>
      </w:r>
      <w:r>
        <w:rPr>
          <w:rFonts w:ascii="Arial" w:cs="Arial" w:eastAsia="Arial" w:hAnsi="Arial"/>
          <w:sz w:val="13"/>
          <w:szCs w:val="13"/>
          <w:i w:val="1"/>
          <w:iCs w:val="1"/>
          <w:color w:val="auto"/>
        </w:rPr>
        <w:t>Franchi v. Blachford, et al.</w:t>
      </w:r>
      <w:r>
        <w:rPr>
          <w:rFonts w:ascii="Arial" w:cs="Arial" w:eastAsia="Arial" w:hAnsi="Arial"/>
          <w:sz w:val="13"/>
          <w:szCs w:val="13"/>
          <w:color w:val="auto"/>
        </w:rPr>
        <w:t xml:space="preserve">, Case No. CV 21-06544 (the “Franchi Action”), which alleges breaches of fiduciary duty, unjust enrichment, and violations of Sections 14(a) and 20(a) of the Exchange Act. On January 24, 2022, the court entered a stipulation consolidating the Franchi Action into </w:t>
      </w:r>
      <w:r>
        <w:rPr>
          <w:rFonts w:ascii="Arial" w:cs="Arial" w:eastAsia="Arial" w:hAnsi="Arial"/>
          <w:sz w:val="13"/>
          <w:szCs w:val="13"/>
          <w:i w:val="1"/>
          <w:iCs w:val="1"/>
          <w:color w:val="auto"/>
        </w:rPr>
        <w:t>In re Peloton Interactive, Inc. Derivative Litigation</w:t>
      </w:r>
      <w:r>
        <w:rPr>
          <w:rFonts w:ascii="Arial" w:cs="Arial" w:eastAsia="Arial" w:hAnsi="Arial"/>
          <w:sz w:val="13"/>
          <w:szCs w:val="13"/>
          <w:color w:val="auto"/>
        </w:rPr>
        <w:t xml:space="preserve"> and appointed each plaintiff a co-lead plaintiff. On February 3, 2022, the parties filed a stipulation to stay the consolidated derivative action, which the Court entered on February 11, 2022.</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 xml:space="preserve">On November 18, 2021, the City of Hialeah Employees’ Retirement System filed a putative securities class action lawsuit against the Company and certain of its officers in the United States District Court for the Southern District of New York, captioned </w:t>
      </w:r>
      <w:r>
        <w:rPr>
          <w:rFonts w:ascii="Arial" w:cs="Arial" w:eastAsia="Arial" w:hAnsi="Arial"/>
          <w:sz w:val="12"/>
          <w:szCs w:val="12"/>
          <w:i w:val="1"/>
          <w:iCs w:val="1"/>
          <w:color w:val="auto"/>
        </w:rPr>
        <w:t>City of Hialeah Employees’ Retirement System v. Peloton Interactive, Inc.</w:t>
      </w:r>
      <w:r>
        <w:rPr>
          <w:rFonts w:ascii="Arial" w:cs="Arial" w:eastAsia="Arial" w:hAnsi="Arial"/>
          <w:sz w:val="12"/>
          <w:szCs w:val="12"/>
          <w:color w:val="auto"/>
        </w:rPr>
        <w:t xml:space="preserve">, Case No. 21-cv-09582-ALC (the “Hialeah Action”), and on December 2, 2021, Anastasia Deulina filed a related putative securities class action against the same defendants also in the United States District Court for the Southern District of New York captioned </w:t>
      </w:r>
      <w:r>
        <w:rPr>
          <w:rFonts w:ascii="Arial" w:cs="Arial" w:eastAsia="Arial" w:hAnsi="Arial"/>
          <w:sz w:val="12"/>
          <w:szCs w:val="12"/>
          <w:i w:val="1"/>
          <w:iCs w:val="1"/>
          <w:color w:val="auto"/>
        </w:rPr>
        <w:t>Deulina v.</w:t>
      </w:r>
      <w:r>
        <w:rPr>
          <w:rFonts w:ascii="Arial" w:cs="Arial" w:eastAsia="Arial" w:hAnsi="Arial"/>
          <w:sz w:val="12"/>
          <w:szCs w:val="12"/>
          <w:color w:val="auto"/>
        </w:rPr>
        <w:t xml:space="preserve"> </w:t>
      </w:r>
      <w:r>
        <w:rPr>
          <w:rFonts w:ascii="Arial" w:cs="Arial" w:eastAsia="Arial" w:hAnsi="Arial"/>
          <w:sz w:val="12"/>
          <w:szCs w:val="12"/>
          <w:i w:val="1"/>
          <w:iCs w:val="1"/>
          <w:color w:val="auto"/>
        </w:rPr>
        <w:t>Peloton Interactive, Inc.</w:t>
      </w:r>
      <w:r>
        <w:rPr>
          <w:rFonts w:ascii="Arial" w:cs="Arial" w:eastAsia="Arial" w:hAnsi="Arial"/>
          <w:sz w:val="12"/>
          <w:szCs w:val="12"/>
          <w:color w:val="auto"/>
        </w:rPr>
        <w:t>, Case No. 21-cv-10266-ALC (the “Deulina Action”). On May 5, 2022, the Court consolidated the Hialeah and Deulina Actions and appointed Robeco Capital Growth Funds</w:t>
      </w:r>
      <w:r>
        <w:rPr>
          <w:rFonts w:ascii="Arial" w:cs="Arial" w:eastAsia="Arial" w:hAnsi="Arial"/>
          <w:sz w:val="12"/>
          <w:szCs w:val="12"/>
          <w:i w:val="1"/>
          <w:iCs w:val="1"/>
          <w:color w:val="auto"/>
        </w:rPr>
        <w:t xml:space="preserve"> </w:t>
      </w:r>
      <w:r>
        <w:rPr>
          <w:rFonts w:ascii="Arial" w:cs="Arial" w:eastAsia="Arial" w:hAnsi="Arial"/>
          <w:sz w:val="12"/>
          <w:szCs w:val="12"/>
          <w:color w:val="auto"/>
        </w:rPr>
        <w:t>SICAV – Robeco Global Consumer Trends as lead plaintiff. Lead plaintiff filed its amended complaint on June 25, 2022, purportedly on behalf of a class of individuals who purchased or otherwise acquired the Company’s common stock between February 5, 2021 and November 4, 2021, alleging that the Company and certain of its officers made false or misleading statements about demand for the Company’s products and engaged in improper trading in violation of Sections 10(b), 20(a), and 20A of the Exchange Act. Defendants’ filed their motion to dismiss on August 22, 2022.</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April 2021, DISH Technologies L.L.C., and Sling TV L.L.C. (DISH) filed a complaint in the United States District Court for the Eastern District of Texas. DISH, along with DISH DBS Corporation, also filed a complaint in the United States International Trade Commission (ITC) under Section 337 of the Tariff Act of 1930 against the Company, along with ICON Health &amp; Fitness, Inc. (now iFIT Inc. f/k/a Icon Health &amp; Fitness, Inc.), FreeMotion Fitness, Inc., NordicTrack, Inc., lululemon athletica, inc., and Curiouser Products Inc. d/b/a MIRROR. The complaints allege infringement of various patents related to fitness devices containing internet-streaming enabled video displays. In the ITC complaint, DISH seeks an exclusion order barring the importation of Peloton Connected Fitness devices, and streaming components and systems containing components thereof that infringe one or more of the asserted patents, as well as a cease and desist order preventing the Company from carrying out commercial activities within the United States related to those products. In the Eastern District of Texas complaint, DISH is seeking an order permanently enjoining the Company from infringing the asserted patents, an award of damages for the infringement of the asserted patents, and an award of damages for lost sales. The ITC investigation is ongoing and the Texas litigation remains stayed pending resolution to the ITC investigation.</w:t>
      </w:r>
    </w:p>
    <w:p>
      <w:pPr>
        <w:spacing w:after="0" w:line="170"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except where otherwise indicated,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Stockholders' Equity</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November 16, 2021, the Company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par value $0.000025 per share, which includes 3,260,869 shares of Class A common stock issued and sold pursuant to the exercise in full by the underwriters of their option to purchase additional shares of Class A common stock pursuant to the Underwriting Agreement. The Company sold the Shares to the underwriters at the public offering price of $46.00 per share less underwriting discounts</w:t>
      </w:r>
      <w:r>
        <w:rPr>
          <w:rFonts w:ascii="Arial" w:cs="Arial" w:eastAsia="Arial" w:hAnsi="Arial"/>
          <w:sz w:val="13"/>
          <w:szCs w:val="13"/>
          <w:b w:val="1"/>
          <w:b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net proceeds to the Company from the Offering were approximately $1.2 billion after deducting the underwriters’ discounts and commissions.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Equity-Based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2019 Equity Incentive Plan</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August 2019, the Board of Directors adopted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2021, the number of shares of Class A common stock available for issuance under the 2019 Plan was automatically increased according to its terms by 15,007,356 shares. As of June 30, 2022, 43,189,572 shares of Class A common stock are available for future award under the 2019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i w:val="1"/>
          <w:iCs w:val="1"/>
          <w:color w:val="auto"/>
        </w:rPr>
        <w:t>Stock Options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summary sets forth the stock option activity under the 2019 Plan: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w w:val="97"/>
              </w:rPr>
              <w:t>Options Outstanding</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tcPr>
          <w:p>
            <w:pPr>
              <w:jc w:val="center"/>
              <w:ind w:right="100"/>
              <w:spacing w:after="0" w:line="118" w:lineRule="exact"/>
              <w:rPr>
                <w:sz w:val="20"/>
                <w:szCs w:val="20"/>
                <w:color w:val="auto"/>
              </w:rPr>
            </w:pPr>
            <w:r>
              <w:rPr>
                <w:rFonts w:ascii="Arial" w:cs="Arial" w:eastAsia="Arial" w:hAnsi="Arial"/>
                <w:sz w:val="13"/>
                <w:szCs w:val="13"/>
                <w:b w:val="1"/>
                <w:bCs w:val="1"/>
                <w:color w:val="auto"/>
                <w:w w:val="98"/>
              </w:rPr>
              <w:t>Weighted-Average</w:t>
            </w:r>
          </w:p>
        </w:tc>
        <w:tc>
          <w:tcPr>
            <w:tcW w:w="120" w:type="dxa"/>
            <w:vAlign w:val="bottom"/>
          </w:tcPr>
          <w:p>
            <w:pPr>
              <w:spacing w:after="0"/>
              <w:rPr>
                <w:sz w:val="10"/>
                <w:szCs w:val="10"/>
                <w:color w:val="auto"/>
              </w:rPr>
            </w:pPr>
          </w:p>
        </w:tc>
        <w:tc>
          <w:tcPr>
            <w:tcW w:w="128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42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Number of 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1"/>
                <w:szCs w:val="11"/>
                <w:color w:val="auto"/>
              </w:rPr>
            </w:pPr>
          </w:p>
        </w:tc>
        <w:tc>
          <w:tcPr>
            <w:tcW w:w="1060" w:type="dxa"/>
            <w:vAlign w:val="bottom"/>
          </w:tcPr>
          <w:p>
            <w:pPr>
              <w:jc w:val="center"/>
              <w:ind w:left="276"/>
              <w:spacing w:after="0" w:line="128" w:lineRule="exact"/>
              <w:rPr>
                <w:sz w:val="20"/>
                <w:szCs w:val="20"/>
                <w:color w:val="auto"/>
              </w:rPr>
            </w:pPr>
            <w:r>
              <w:rPr>
                <w:rFonts w:ascii="Arial" w:cs="Arial" w:eastAsia="Arial" w:hAnsi="Arial"/>
                <w:sz w:val="13"/>
                <w:szCs w:val="13"/>
                <w:b w:val="1"/>
                <w:bCs w:val="1"/>
                <w:color w:val="auto"/>
                <w:w w:val="96"/>
              </w:rPr>
              <w:t>Remaining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4"/>
          </w:tcPr>
          <w:p>
            <w:pPr>
              <w:jc w:val="right"/>
              <w:ind w:right="280"/>
              <w:spacing w:after="0" w:line="128" w:lineRule="exact"/>
              <w:rPr>
                <w:sz w:val="20"/>
                <w:szCs w:val="20"/>
                <w:color w:val="auto"/>
              </w:rPr>
            </w:pPr>
            <w:r>
              <w:rPr>
                <w:rFonts w:ascii="Arial" w:cs="Arial" w:eastAsia="Arial" w:hAnsi="Arial"/>
                <w:sz w:val="13"/>
                <w:szCs w:val="13"/>
                <w:b w:val="1"/>
                <w:bCs w:val="1"/>
                <w:color w:val="auto"/>
              </w:rPr>
              <w:t>Contractual Term</w:t>
            </w:r>
          </w:p>
        </w:tc>
        <w:tc>
          <w:tcPr>
            <w:tcW w:w="120" w:type="dxa"/>
            <w:vAlign w:val="bottom"/>
          </w:tcPr>
          <w:p>
            <w:pPr>
              <w:spacing w:after="0"/>
              <w:rPr>
                <w:sz w:val="11"/>
                <w:szCs w:val="11"/>
                <w:color w:val="auto"/>
              </w:rPr>
            </w:pPr>
          </w:p>
        </w:tc>
        <w:tc>
          <w:tcPr>
            <w:tcW w:w="1280" w:type="dxa"/>
            <w:vAlign w:val="bottom"/>
          </w:tcPr>
          <w:p>
            <w:pPr>
              <w:jc w:val="center"/>
              <w:ind w:right="76"/>
              <w:spacing w:after="0" w:line="128"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Options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b w:val="1"/>
                <w:bCs w:val="1"/>
                <w:color w:val="auto"/>
              </w:rPr>
              <w:t>Exercise Price</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b w:val="1"/>
                <w:bCs w:val="1"/>
                <w:color w:val="auto"/>
                <w:w w:val="98"/>
              </w:rPr>
              <w:t>(years)</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Value (in millions)</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57,946,608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18.47</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6,119.2</w:t>
            </w:r>
          </w:p>
        </w:tc>
        <w:tc>
          <w:tcPr>
            <w:tcW w:w="0" w:type="dxa"/>
            <w:vAlign w:val="bottom"/>
          </w:tcPr>
          <w:p>
            <w:pPr>
              <w:spacing w:after="0"/>
              <w:rPr>
                <w:sz w:val="1"/>
                <w:szCs w:val="1"/>
                <w:color w:val="auto"/>
              </w:rPr>
            </w:pPr>
          </w:p>
        </w:tc>
      </w:tr>
      <w:tr>
        <w:trPr>
          <w:trHeight w:val="169"/>
        </w:trPr>
        <w:tc>
          <w:tcPr>
            <w:tcW w:w="53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19,382,327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44.00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(8,698,931)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376.3</w:t>
            </w:r>
          </w:p>
        </w:tc>
        <w:tc>
          <w:tcPr>
            <w:tcW w:w="0" w:type="dxa"/>
            <w:vAlign w:val="bottom"/>
          </w:tcPr>
          <w:p>
            <w:pPr>
              <w:spacing w:after="0"/>
              <w:rPr>
                <w:sz w:val="1"/>
                <w:szCs w:val="1"/>
                <w:color w:val="auto"/>
              </w:rPr>
            </w:pPr>
          </w:p>
        </w:tc>
      </w:tr>
      <w:tr>
        <w:trPr>
          <w:trHeight w:val="169"/>
        </w:trPr>
        <w:tc>
          <w:tcPr>
            <w:tcW w:w="53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 or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(6,814,078)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45.82</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61,815,926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25.28</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62"/>
        </w:trPr>
        <w:tc>
          <w:tcPr>
            <w:tcW w:w="5380" w:type="dxa"/>
            <w:vAlign w:val="bottom"/>
          </w:tcPr>
          <w:p>
            <w:pPr>
              <w:ind w:left="20"/>
              <w:spacing w:after="0"/>
              <w:rPr>
                <w:sz w:val="20"/>
                <w:szCs w:val="20"/>
                <w:color w:val="auto"/>
              </w:rPr>
            </w:pPr>
            <w:r>
              <w:rPr>
                <w:rFonts w:ascii="Arial" w:cs="Arial" w:eastAsia="Arial" w:hAnsi="Arial"/>
                <w:sz w:val="13"/>
                <w:szCs w:val="13"/>
                <w:color w:val="auto"/>
              </w:rPr>
              <w:t>Vested and Exercisable— June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36,468,691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15.63</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3"/>
                <w:szCs w:val="13"/>
                <w:color w:val="auto"/>
              </w:rPr>
              <w:t>Unvested option activity is as follows:</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vMerge w:val="restart"/>
          </w:tcPr>
          <w:p>
            <w:pPr>
              <w:jc w:val="right"/>
              <w:ind w:right="576"/>
              <w:spacing w:after="0"/>
              <w:rPr>
                <w:sz w:val="20"/>
                <w:szCs w:val="20"/>
                <w:color w:val="auto"/>
              </w:rPr>
            </w:pPr>
            <w:r>
              <w:rPr>
                <w:rFonts w:ascii="Arial" w:cs="Arial" w:eastAsia="Arial" w:hAnsi="Arial"/>
                <w:sz w:val="13"/>
                <w:szCs w:val="13"/>
                <w:b w:val="1"/>
                <w:bCs w:val="1"/>
                <w:color w:val="auto"/>
                <w:w w:val="97"/>
              </w:rPr>
              <w:t>Options</w:t>
            </w:r>
          </w:p>
        </w:tc>
        <w:tc>
          <w:tcPr>
            <w:tcW w:w="80" w:type="dxa"/>
            <w:vAlign w:val="bottom"/>
          </w:tcPr>
          <w:p>
            <w:pPr>
              <w:spacing w:after="0"/>
              <w:rPr>
                <w:sz w:val="12"/>
                <w:szCs w:val="12"/>
                <w:color w:val="auto"/>
              </w:rPr>
            </w:pPr>
          </w:p>
        </w:tc>
        <w:tc>
          <w:tcPr>
            <w:tcW w:w="1760" w:type="dxa"/>
            <w:vAlign w:val="bottom"/>
            <w:gridSpan w:val="4"/>
          </w:tcPr>
          <w:p>
            <w:pPr>
              <w:jc w:val="right"/>
              <w:ind w:right="76"/>
              <w:spacing w:after="0" w:line="141" w:lineRule="exact"/>
              <w:rPr>
                <w:sz w:val="20"/>
                <w:szCs w:val="20"/>
                <w:color w:val="auto"/>
              </w:rPr>
            </w:pPr>
            <w:r>
              <w:rPr>
                <w:rFonts w:ascii="Arial" w:cs="Arial" w:eastAsia="Arial" w:hAnsi="Arial"/>
                <w:sz w:val="13"/>
                <w:szCs w:val="13"/>
                <w:b w:val="1"/>
                <w:bCs w:val="1"/>
                <w:color w:val="auto"/>
              </w:rPr>
              <w:t>Weighted-Average Grant</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Unvested - June 30, 2021</w:t>
            </w: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28,160,034</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0" w:type="dxa"/>
            <w:vAlign w:val="bottom"/>
          </w:tcPr>
          <w:p>
            <w:pPr>
              <w:spacing w:after="0"/>
              <w:rPr>
                <w:sz w:val="1"/>
                <w:szCs w:val="1"/>
                <w:color w:val="auto"/>
              </w:rPr>
            </w:pPr>
          </w:p>
        </w:tc>
      </w:tr>
      <w:tr>
        <w:trPr>
          <w:trHeight w:val="169"/>
        </w:trPr>
        <w:tc>
          <w:tcPr>
            <w:tcW w:w="53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19,382,327</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22.27</w:t>
            </w:r>
          </w:p>
        </w:tc>
        <w:tc>
          <w:tcPr>
            <w:tcW w:w="0" w:type="dxa"/>
            <w:vAlign w:val="bottom"/>
          </w:tcPr>
          <w:p>
            <w:pPr>
              <w:spacing w:after="0"/>
              <w:rPr>
                <w:sz w:val="1"/>
                <w:szCs w:val="1"/>
                <w:color w:val="auto"/>
              </w:rPr>
            </w:pPr>
          </w:p>
        </w:tc>
      </w:tr>
      <w:tr>
        <w:trPr>
          <w:trHeight w:val="171"/>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Early exercised unvested</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(13,501)</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69"/>
        </w:trPr>
        <w:tc>
          <w:tcPr>
            <w:tcW w:w="5380" w:type="dxa"/>
            <w:vAlign w:val="bottom"/>
          </w:tcPr>
          <w:p>
            <w:pPr>
              <w:ind w:left="100"/>
              <w:spacing w:after="0"/>
              <w:rPr>
                <w:sz w:val="20"/>
                <w:szCs w:val="20"/>
                <w:color w:val="auto"/>
              </w:rPr>
            </w:pPr>
            <w:r>
              <w:rPr>
                <w:rFonts w:ascii="Arial" w:cs="Arial" w:eastAsia="Arial" w:hAnsi="Arial"/>
                <w:sz w:val="13"/>
                <w:szCs w:val="13"/>
                <w:color w:val="auto"/>
              </w:rPr>
              <w:t>Vested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(16,125,139)</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12.09</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 or expired</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(6,056,486)</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w:t>
            </w:r>
          </w:p>
        </w:tc>
        <w:tc>
          <w:tcPr>
            <w:tcW w:w="0" w:type="dxa"/>
            <w:vAlign w:val="bottom"/>
          </w:tcPr>
          <w:p>
            <w:pPr>
              <w:spacing w:after="0"/>
              <w:rPr>
                <w:sz w:val="1"/>
                <w:szCs w:val="1"/>
                <w:color w:val="auto"/>
              </w:rPr>
            </w:pPr>
          </w:p>
        </w:tc>
      </w:tr>
      <w:tr>
        <w:trPr>
          <w:trHeight w:val="162"/>
        </w:trPr>
        <w:tc>
          <w:tcPr>
            <w:tcW w:w="5380" w:type="dxa"/>
            <w:vAlign w:val="bottom"/>
          </w:tcPr>
          <w:p>
            <w:pPr>
              <w:ind w:left="20"/>
              <w:spacing w:after="0"/>
              <w:rPr>
                <w:sz w:val="20"/>
                <w:szCs w:val="20"/>
                <w:color w:val="auto"/>
              </w:rPr>
            </w:pPr>
            <w:r>
              <w:rPr>
                <w:rFonts w:ascii="Arial" w:cs="Arial" w:eastAsia="Arial" w:hAnsi="Arial"/>
                <w:sz w:val="13"/>
                <w:szCs w:val="13"/>
                <w:color w:val="auto"/>
              </w:rPr>
              <w:t>Unvested - June 30, 2022</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25,347,235</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19.35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aggregate intrinsic value of options outstanding and vested and exercisable, were calculated as the difference between the exercise price of the options and the fair value of the Company’s common stock as of June 30, 2022. The fair value of the common stock is the closing stock price of the Company's Class A common stock as reported on The Nasdaq Global Select Market. The aggregate intrinsic value of exercised options was $376.3 million, $1,216.6 million, and $274.0 million for the fiscal years ended June 30, 2022, 2021, and 2020, respectively.</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fiscal years ended June 30, 2022, 2021, and 2020 the weighted-average grant date fair value per option was $22.27, $43.76, and $12.17, respectively. The fair value of each option was estimated at the grant date using the Black-Scholes method with the following assumptions:</w:t>
      </w:r>
    </w:p>
    <w:p>
      <w:pPr>
        <w:spacing w:after="0" w:line="157"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Fiscal Year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2020</w:t>
            </w:r>
          </w:p>
        </w:tc>
      </w:tr>
      <w:tr>
        <w:trPr>
          <w:trHeight w:val="160"/>
        </w:trPr>
        <w:tc>
          <w:tcPr>
            <w:tcW w:w="688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Weighted average risk-free interest rate </w:t>
            </w:r>
            <w:r>
              <w:rPr>
                <w:rFonts w:ascii="Arial" w:cs="Arial" w:eastAsia="Arial" w:hAnsi="Arial"/>
                <w:sz w:val="16"/>
                <w:szCs w:val="16"/>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r>
      <w:tr>
        <w:trPr>
          <w:trHeight w:val="169"/>
        </w:trPr>
        <w:tc>
          <w:tcPr>
            <w:tcW w:w="6880" w:type="dxa"/>
            <w:vAlign w:val="bottom"/>
            <w:gridSpan w:val="2"/>
          </w:tcPr>
          <w:p>
            <w:pPr>
              <w:ind w:left="20"/>
              <w:spacing w:after="0"/>
              <w:rPr>
                <w:sz w:val="20"/>
                <w:szCs w:val="20"/>
                <w:color w:val="auto"/>
              </w:rPr>
            </w:pPr>
            <w:r>
              <w:rPr>
                <w:rFonts w:ascii="Arial" w:cs="Arial" w:eastAsia="Arial" w:hAnsi="Arial"/>
                <w:sz w:val="13"/>
                <w:szCs w:val="13"/>
                <w:color w:val="auto"/>
              </w:rPr>
              <w:t>Weighted average expected term (in years)</w:t>
            </w:r>
          </w:p>
        </w:tc>
        <w:tc>
          <w:tcPr>
            <w:tcW w:w="58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71"/>
        </w:trPr>
        <w:tc>
          <w:tcPr>
            <w:tcW w:w="688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Weighted average expected volatility </w:t>
            </w:r>
            <w:r>
              <w:rPr>
                <w:rFonts w:ascii="Arial" w:cs="Arial" w:eastAsia="Arial" w:hAnsi="Arial"/>
                <w:sz w:val="16"/>
                <w:szCs w:val="16"/>
                <w:color w:val="auto"/>
                <w:vertAlign w:val="superscript"/>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56.2 %</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43.5 %</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44.9 %</w:t>
            </w:r>
          </w:p>
        </w:tc>
      </w:tr>
      <w:tr>
        <w:trPr>
          <w:trHeight w:val="167"/>
        </w:trPr>
        <w:tc>
          <w:tcPr>
            <w:tcW w:w="6880" w:type="dxa"/>
            <w:vAlign w:val="bottom"/>
            <w:gridSpan w:val="2"/>
          </w:tcPr>
          <w:p>
            <w:pPr>
              <w:ind w:left="20"/>
              <w:spacing w:after="0"/>
              <w:rPr>
                <w:sz w:val="20"/>
                <w:szCs w:val="20"/>
                <w:color w:val="auto"/>
              </w:rPr>
            </w:pPr>
            <w:r>
              <w:rPr>
                <w:rFonts w:ascii="Arial" w:cs="Arial" w:eastAsia="Arial" w:hAnsi="Arial"/>
                <w:sz w:val="13"/>
                <w:szCs w:val="13"/>
                <w:color w:val="auto"/>
              </w:rPr>
              <w:t>Expected dividend yield</w:t>
            </w:r>
          </w:p>
        </w:tc>
        <w:tc>
          <w:tcPr>
            <w:tcW w:w="1900" w:type="dxa"/>
            <w:vAlign w:val="bottom"/>
            <w:gridSpan w:val="3"/>
          </w:tcPr>
          <w:p>
            <w:pPr>
              <w:jc w:val="right"/>
              <w:ind w:right="1416"/>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20" w:type="dxa"/>
            <w:vAlign w:val="bottom"/>
          </w:tcPr>
          <w:p>
            <w:pPr>
              <w:jc w:val="right"/>
              <w:ind w:right="96"/>
              <w:spacing w:after="0"/>
              <w:rPr>
                <w:sz w:val="20"/>
                <w:szCs w:val="20"/>
                <w:color w:val="auto"/>
              </w:rPr>
            </w:pPr>
            <w:r>
              <w:rPr>
                <w:rFonts w:ascii="Arial" w:cs="Arial" w:eastAsia="Arial" w:hAnsi="Arial"/>
                <w:sz w:val="13"/>
                <w:szCs w:val="13"/>
                <w:color w:val="auto"/>
              </w:rPr>
              <w:t>—</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w:t>
      </w:r>
    </w:p>
    <w:p>
      <w:pPr>
        <w:spacing w:after="0" w:line="39" w:lineRule="exact"/>
        <w:rPr>
          <w:sz w:val="20"/>
          <w:szCs w:val="20"/>
          <w:color w:val="auto"/>
        </w:rPr>
      </w:pPr>
    </w:p>
    <w:p>
      <w:pPr>
        <w:ind w:left="160" w:hanging="155"/>
        <w:spacing w:after="0"/>
        <w:tabs>
          <w:tab w:leader="none" w:pos="160" w:val="left"/>
        </w:tabs>
        <w:numPr>
          <w:ilvl w:val="0"/>
          <w:numId w:val="44"/>
        </w:numPr>
        <w:rPr>
          <w:rFonts w:ascii="Arial" w:cs="Arial" w:eastAsia="Arial" w:hAnsi="Arial"/>
          <w:sz w:val="10"/>
          <w:szCs w:val="10"/>
          <w:color w:val="auto"/>
        </w:rPr>
      </w:pPr>
      <w:r>
        <w:rPr>
          <w:rFonts w:ascii="Arial" w:cs="Arial" w:eastAsia="Arial" w:hAnsi="Arial"/>
          <w:sz w:val="10"/>
          <w:szCs w:val="10"/>
          <w:color w:val="auto"/>
        </w:rPr>
        <w:t>Based on U.S. Treasury yield curve in effect at the time of grant.</w:t>
      </w:r>
    </w:p>
    <w:p>
      <w:pPr>
        <w:spacing w:after="0" w:line="44" w:lineRule="exact"/>
        <w:rPr>
          <w:rFonts w:ascii="Arial" w:cs="Arial" w:eastAsia="Arial" w:hAnsi="Arial"/>
          <w:sz w:val="10"/>
          <w:szCs w:val="10"/>
          <w:color w:val="auto"/>
        </w:rPr>
      </w:pPr>
    </w:p>
    <w:p>
      <w:pPr>
        <w:ind w:right="80" w:firstLine="5"/>
        <w:spacing w:after="0" w:line="274" w:lineRule="auto"/>
        <w:tabs>
          <w:tab w:leader="none" w:pos="149" w:val="left"/>
        </w:tabs>
        <w:numPr>
          <w:ilvl w:val="0"/>
          <w:numId w:val="44"/>
        </w:numPr>
        <w:rPr>
          <w:rFonts w:ascii="Arial" w:cs="Arial" w:eastAsia="Arial" w:hAnsi="Arial"/>
          <w:sz w:val="10"/>
          <w:szCs w:val="10"/>
          <w:color w:val="auto"/>
        </w:rPr>
      </w:pPr>
      <w:r>
        <w:rPr>
          <w:rFonts w:ascii="Arial" w:cs="Arial" w:eastAsia="Arial" w:hAnsi="Arial"/>
          <w:sz w:val="10"/>
          <w:szCs w:val="10"/>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i w:val="1"/>
          <w:iCs w:val="1"/>
          <w:color w:val="auto"/>
        </w:rPr>
        <w:t>Restricted Stock and Restricted Stock Units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activity related to the Company's restricted stock and restricted stock units: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36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3"/>
                <w:szCs w:val="13"/>
                <w:b w:val="1"/>
                <w:bCs w:val="1"/>
                <w:color w:val="auto"/>
              </w:rPr>
              <w:t>Restricted Stock Units Outstanding</w:t>
            </w:r>
          </w:p>
        </w:tc>
        <w:tc>
          <w:tcPr>
            <w:tcW w:w="0" w:type="dxa"/>
            <w:vAlign w:val="bottom"/>
          </w:tcPr>
          <w:p>
            <w:pPr>
              <w:spacing w:after="0"/>
              <w:rPr>
                <w:sz w:val="1"/>
                <w:szCs w:val="1"/>
                <w:color w:val="auto"/>
              </w:rPr>
            </w:pPr>
          </w:p>
        </w:tc>
      </w:tr>
      <w:tr>
        <w:trPr>
          <w:trHeight w:val="118"/>
        </w:trPr>
        <w:tc>
          <w:tcPr>
            <w:tcW w:w="7680" w:type="dxa"/>
            <w:vAlign w:val="bottom"/>
          </w:tcPr>
          <w:p>
            <w:pPr>
              <w:spacing w:after="0"/>
              <w:rPr>
                <w:sz w:val="10"/>
                <w:szCs w:val="10"/>
                <w:color w:val="auto"/>
              </w:rPr>
            </w:pPr>
          </w:p>
        </w:tc>
        <w:tc>
          <w:tcPr>
            <w:tcW w:w="176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Number of Awards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jc w:val="right"/>
              <w:ind w:right="76"/>
              <w:spacing w:after="0" w:line="118" w:lineRule="exact"/>
              <w:rPr>
                <w:sz w:val="20"/>
                <w:szCs w:val="20"/>
                <w:color w:val="auto"/>
              </w:rPr>
            </w:pPr>
            <w:r>
              <w:rPr>
                <w:rFonts w:ascii="Arial" w:cs="Arial" w:eastAsia="Arial" w:hAnsi="Arial"/>
                <w:sz w:val="13"/>
                <w:szCs w:val="13"/>
                <w:b w:val="1"/>
                <w:bCs w:val="1"/>
                <w:color w:val="auto"/>
                <w:w w:val="97"/>
              </w:rPr>
              <w:t>Weighted-Average Grant</w:t>
            </w:r>
          </w:p>
        </w:tc>
        <w:tc>
          <w:tcPr>
            <w:tcW w:w="0" w:type="dxa"/>
            <w:vAlign w:val="bottom"/>
          </w:tcPr>
          <w:p>
            <w:pPr>
              <w:spacing w:after="0"/>
              <w:rPr>
                <w:sz w:val="1"/>
                <w:szCs w:val="1"/>
                <w:color w:val="auto"/>
              </w:rPr>
            </w:pPr>
          </w:p>
        </w:tc>
      </w:tr>
      <w:tr>
        <w:trPr>
          <w:trHeight w:val="170"/>
        </w:trPr>
        <w:tc>
          <w:tcPr>
            <w:tcW w:w="76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1,785,946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99.43</w:t>
            </w:r>
          </w:p>
        </w:tc>
        <w:tc>
          <w:tcPr>
            <w:tcW w:w="0" w:type="dxa"/>
            <w:vAlign w:val="bottom"/>
          </w:tcPr>
          <w:p>
            <w:pPr>
              <w:spacing w:after="0"/>
              <w:rPr>
                <w:sz w:val="1"/>
                <w:szCs w:val="1"/>
                <w:color w:val="auto"/>
              </w:rPr>
            </w:pPr>
          </w:p>
        </w:tc>
      </w:tr>
      <w:tr>
        <w:trPr>
          <w:trHeight w:val="169"/>
        </w:trPr>
        <w:tc>
          <w:tcPr>
            <w:tcW w:w="76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760" w:type="dxa"/>
            <w:vAlign w:val="bottom"/>
          </w:tcPr>
          <w:p>
            <w:pPr>
              <w:jc w:val="right"/>
              <w:spacing w:after="0"/>
              <w:rPr>
                <w:sz w:val="20"/>
                <w:szCs w:val="20"/>
                <w:color w:val="auto"/>
              </w:rPr>
            </w:pPr>
            <w:r>
              <w:rPr>
                <w:rFonts w:ascii="Arial" w:cs="Arial" w:eastAsia="Arial" w:hAnsi="Arial"/>
                <w:sz w:val="13"/>
                <w:szCs w:val="13"/>
                <w:color w:val="auto"/>
              </w:rPr>
              <w:t>10,810,980</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43.92</w:t>
            </w: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(1,601,686)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81.19</w:t>
            </w:r>
          </w:p>
        </w:tc>
        <w:tc>
          <w:tcPr>
            <w:tcW w:w="0" w:type="dxa"/>
            <w:vAlign w:val="bottom"/>
          </w:tcPr>
          <w:p>
            <w:pPr>
              <w:spacing w:after="0"/>
              <w:rPr>
                <w:sz w:val="1"/>
                <w:szCs w:val="1"/>
                <w:color w:val="auto"/>
              </w:rPr>
            </w:pPr>
          </w:p>
        </w:tc>
      </w:tr>
      <w:tr>
        <w:trPr>
          <w:trHeight w:val="169"/>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(2,017,535)</w:t>
            </w:r>
          </w:p>
        </w:tc>
        <w:tc>
          <w:tcPr>
            <w:tcW w:w="2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69.83</w:t>
            </w:r>
          </w:p>
        </w:tc>
        <w:tc>
          <w:tcPr>
            <w:tcW w:w="0" w:type="dxa"/>
            <w:vAlign w:val="bottom"/>
          </w:tcPr>
          <w:p>
            <w:pPr>
              <w:spacing w:after="0"/>
              <w:rPr>
                <w:sz w:val="1"/>
                <w:szCs w:val="1"/>
                <w:color w:val="auto"/>
              </w:rPr>
            </w:pPr>
          </w:p>
        </w:tc>
      </w:tr>
      <w:tr>
        <w:trPr>
          <w:trHeight w:val="18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 June 30,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8,977,705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42.49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2021, the number of shares of Class A common stock available for issuance under the ESPP was automatically increased according to its terms by 3,001,471 shares. As of June 30, 2022, a total of 10,148,459 shares of Class A common stock were available for sale to employees under the ESPP.</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During the year ended June 30, 2022, there were ESPP resets that resulted in total modification charges of $0.5 million, which is recognized over the new two-year offering period ending February 28, 2024.</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Black-Scholes option pricing model assumptions used to calculate the fair value of shares estimated to be purchased at the commencement of the ESPP offering periods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Borders>
              <w:bottom w:val="single" w:sz="8" w:color="CCEEFF"/>
            </w:tcBorders>
          </w:tcPr>
          <w:p>
            <w:pPr>
              <w:spacing w:after="0"/>
              <w:rPr>
                <w:sz w:val="14"/>
                <w:szCs w:val="14"/>
                <w:color w:val="auto"/>
              </w:rPr>
            </w:pPr>
          </w:p>
        </w:tc>
        <w:tc>
          <w:tcPr>
            <w:tcW w:w="360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Fiscal Year Ended June 30, 2022</w:t>
            </w: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risk-free interest rate</w:t>
            </w:r>
          </w:p>
        </w:tc>
        <w:tc>
          <w:tcPr>
            <w:tcW w:w="3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0.6%</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3"/>
                <w:szCs w:val="13"/>
                <w:color w:val="auto"/>
                <w:w w:val="99"/>
              </w:rPr>
              <w:t>1.2</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expected volatility</w:t>
            </w:r>
          </w:p>
        </w:tc>
        <w:tc>
          <w:tcPr>
            <w:tcW w:w="3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70.7%</w:t>
            </w:r>
          </w:p>
        </w:tc>
      </w:tr>
      <w:tr>
        <w:trPr>
          <w:trHeight w:val="167"/>
        </w:trPr>
        <w:tc>
          <w:tcPr>
            <w:tcW w:w="768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3"/>
                <w:szCs w:val="13"/>
                <w:color w:val="auto"/>
                <w:w w:val="91"/>
              </w:rPr>
              <w:t>—</w:t>
            </w:r>
          </w:p>
        </w:tc>
      </w:tr>
    </w:tbl>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fiscal years ended June 30, 2022, 2021, and 2020 the Company recorded Stock-based compensation expense associated with the ESPP of $13.0 million, $9.5 million, and $3.3 million respectively.</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offering period which ended on August 31, 2021, employees purchased 293,337 shares of Class A common stock at a weighted-average price of $39.95 under the ESPP. In connection with the offering period ended on February 28, 2022, employees purchased under the ESPP 420,359 shares of Class A common stock at a weighted-average price of $24.30. As of June 30, 2022, total unrecognized compensation cost related to the ESPP was $21.2 million, which will be amortized over a weighted-average remaining period of 1.7 years.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i w:val="1"/>
          <w:iCs w:val="1"/>
          <w:color w:val="auto"/>
        </w:rPr>
        <w:t>Stock-Based Compensation Expense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The Company's total stock-based compensation expense was as follows:</w:t>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3"/>
                <w:szCs w:val="13"/>
                <w:b w:val="1"/>
                <w:bCs w:val="1"/>
                <w:color w:val="auto"/>
                <w:w w:val="96"/>
              </w:rPr>
              <w:t>Fiscal Year Ended June 30,</w:t>
            </w:r>
          </w:p>
        </w:tc>
        <w:tc>
          <w:tcPr>
            <w:tcW w:w="1060" w:type="dxa"/>
            <w:vAlign w:val="bottom"/>
            <w:tcBorders>
              <w:bottom w:val="single" w:sz="8" w:color="auto"/>
            </w:tcBorders>
          </w:tcPr>
          <w:p>
            <w:pPr>
              <w:spacing w:after="0"/>
              <w:rPr>
                <w:sz w:val="14"/>
                <w:szCs w:val="14"/>
                <w:color w:val="auto"/>
              </w:rPr>
            </w:pPr>
          </w:p>
        </w:tc>
      </w:tr>
      <w:tr>
        <w:trPr>
          <w:trHeight w:val="160"/>
        </w:trPr>
        <w:tc>
          <w:tcPr>
            <w:tcW w:w="6760" w:type="dxa"/>
            <w:vAlign w:val="bottom"/>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2020</w:t>
            </w:r>
          </w:p>
        </w:tc>
      </w:tr>
      <w:tr>
        <w:trPr>
          <w:trHeight w:val="150"/>
        </w:trPr>
        <w:tc>
          <w:tcPr>
            <w:tcW w:w="6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Arial" w:cs="Arial" w:eastAsia="Arial" w:hAnsi="Arial"/>
                <w:sz w:val="13"/>
                <w:szCs w:val="13"/>
                <w:b w:val="1"/>
                <w:bCs w:val="1"/>
                <w:color w:val="auto"/>
              </w:rPr>
              <w:t>(in millions)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20.2</w:t>
            </w:r>
          </w:p>
        </w:tc>
        <w:tc>
          <w:tcPr>
            <w:tcW w:w="3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12.6</w:t>
            </w:r>
          </w:p>
        </w:tc>
        <w:tc>
          <w:tcPr>
            <w:tcW w:w="60" w:type="dxa"/>
            <w:vAlign w:val="bottom"/>
          </w:tcPr>
          <w:p>
            <w:pPr>
              <w:spacing w:after="0"/>
              <w:rPr>
                <w:sz w:val="14"/>
                <w:szCs w:val="14"/>
                <w:color w:val="auto"/>
              </w:rPr>
            </w:pP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59"/>
        </w:trPr>
        <w:tc>
          <w:tcPr>
            <w:tcW w:w="676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38.5</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10.7</w:t>
            </w:r>
          </w:p>
        </w:tc>
      </w:tr>
      <w:tr>
        <w:trPr>
          <w:trHeight w:val="171"/>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169"/>
        </w:trPr>
        <w:tc>
          <w:tcPr>
            <w:tcW w:w="676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102.1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52.4</w:t>
            </w:r>
          </w:p>
        </w:tc>
      </w:tr>
      <w:tr>
        <w:trPr>
          <w:trHeight w:val="171"/>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69"/>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Restructuring expense</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6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stock-based compensation expense</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June 30, 2022, the Company had $806.7 million of unrecognized stock-based compensation expense related to unvested stock-based awards that is expected to be recognized over a weighted-average period of 3.1 years.</w:t>
      </w:r>
    </w:p>
    <w:p>
      <w:pPr>
        <w:spacing w:after="0" w:line="14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the fiscal year ended June 30, 2022, six employees of the Company who were eligible to participate in the Company’s Severance and Change in Control Plan (the “Severance Plan”) terminated employment, and two board members terminated service to the Company.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As a result of these modifications, the Company recognized incremental Stock-based compensation expense of $18.7 million within Restructuring expense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Concentration of Credit Risk and Major Customers and Vendors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For the fiscal years ended June 30, 2022, 2021, and 2020, there were no customers representing greater than 10% of the Company’s Total revenue.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Company's top two vendors accounted for approximately 60% and 46% of inventory purchased for the fiscal years ended June 30, 2022 and June 30, 2021,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Company’s top four vendors accounted for approximately 61% of inventory purchased for the fiscal year ended June 30, 2020.</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procures components from a broad group of suppliers. Some of the products manufactured by the Company require one or more components that are available from only a single source.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20"/>
                <w:szCs w:val="20"/>
                <w:color w:val="auto"/>
              </w:rPr>
            </w:pPr>
            <w:r>
              <w:rPr>
                <w:rFonts w:ascii="Arial" w:cs="Arial" w:eastAsia="Arial" w:hAnsi="Arial"/>
                <w:sz w:val="13"/>
                <w:szCs w:val="13"/>
                <w:b w:val="1"/>
                <w:bCs w:val="1"/>
                <w:color w:val="auto"/>
              </w:rPr>
              <w:t>17. Income Taxes</w:t>
            </w: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4480" w:type="dxa"/>
            <w:vAlign w:val="bottom"/>
          </w:tcPr>
          <w:p>
            <w:pPr>
              <w:spacing w:after="0"/>
              <w:rPr>
                <w:sz w:val="20"/>
                <w:szCs w:val="20"/>
                <w:color w:val="auto"/>
              </w:rPr>
            </w:pPr>
            <w:r>
              <w:rPr>
                <w:rFonts w:ascii="Arial" w:cs="Arial" w:eastAsia="Arial" w:hAnsi="Arial"/>
                <w:sz w:val="13"/>
                <w:szCs w:val="13"/>
                <w:color w:val="auto"/>
              </w:rPr>
              <w:t>The components of loss before income taxes are as follows:</w:t>
            </w: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Fiscal Year Ended June 30,</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center"/>
              <w:ind w:right="236"/>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7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80" w:type="dxa"/>
            <w:vAlign w:val="bottom"/>
            <w:gridSpan w:val="2"/>
            <w:shd w:val="clear" w:color="auto" w:fill="CCEEFF"/>
          </w:tcPr>
          <w:p>
            <w:pPr>
              <w:jc w:val="right"/>
              <w:ind w:right="10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6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13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82"/>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 before income taxes</w:t>
            </w:r>
          </w:p>
        </w:tc>
        <w:tc>
          <w:tcPr>
            <w:tcW w:w="2480" w:type="dxa"/>
            <w:vAlign w:val="bottom"/>
            <w:gridSpan w:val="2"/>
            <w:shd w:val="clear" w:color="auto" w:fill="CCEEFF"/>
          </w:tcPr>
          <w:p>
            <w:pPr>
              <w:jc w:val="right"/>
              <w:ind w:right="10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36"/>
              <w:spacing w:after="0"/>
              <w:rPr>
                <w:sz w:val="20"/>
                <w:szCs w:val="20"/>
                <w:color w:val="auto"/>
              </w:rPr>
            </w:pPr>
            <w:r>
              <w:rPr>
                <w:rFonts w:ascii="Arial" w:cs="Arial" w:eastAsia="Arial" w:hAnsi="Arial"/>
                <w:sz w:val="13"/>
                <w:szCs w:val="13"/>
                <w:color w:val="auto"/>
              </w:rPr>
              <w:t>97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44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4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20"/>
                <w:szCs w:val="20"/>
                <w:color w:val="auto"/>
              </w:rPr>
            </w:pPr>
            <w:r>
              <w:rPr>
                <w:rFonts w:ascii="Arial" w:cs="Arial" w:eastAsia="Arial" w:hAnsi="Arial"/>
                <w:sz w:val="13"/>
                <w:szCs w:val="13"/>
                <w:color w:val="auto"/>
              </w:rPr>
              <w:t>The components of income tax (benefit) expense are as follows:</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53"/>
        </w:trPr>
        <w:tc>
          <w:tcPr>
            <w:tcW w:w="58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Fiscal Year Ended June 30,</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60"/>
        </w:trPr>
        <w:tc>
          <w:tcPr>
            <w:tcW w:w="58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2022</w:t>
            </w: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276"/>
              <w:spacing w:after="0"/>
              <w:rPr>
                <w:sz w:val="20"/>
                <w:szCs w:val="20"/>
                <w:color w:val="auto"/>
              </w:rPr>
            </w:pPr>
            <w:r>
              <w:rPr>
                <w:rFonts w:ascii="Arial" w:cs="Arial" w:eastAsia="Arial" w:hAnsi="Arial"/>
                <w:sz w:val="13"/>
                <w:szCs w:val="13"/>
                <w:b w:val="1"/>
                <w:bCs w:val="1"/>
                <w:color w:val="auto"/>
                <w:w w:val="96"/>
              </w:rPr>
              <w:t>2021</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r>
      <w:tr>
        <w:trPr>
          <w:trHeight w:val="160"/>
        </w:trPr>
        <w:tc>
          <w:tcPr>
            <w:tcW w:w="5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jc w:val="center"/>
              <w:ind w:right="276"/>
              <w:spacing w:after="0"/>
              <w:rPr>
                <w:sz w:val="20"/>
                <w:szCs w:val="20"/>
                <w:color w:val="auto"/>
              </w:rPr>
            </w:pPr>
            <w:r>
              <w:rPr>
                <w:rFonts w:ascii="Arial" w:cs="Arial" w:eastAsia="Arial" w:hAnsi="Arial"/>
                <w:sz w:val="13"/>
                <w:szCs w:val="13"/>
                <w:b w:val="1"/>
                <w:bCs w:val="1"/>
                <w:color w:val="auto"/>
                <w:w w:val="98"/>
              </w:rPr>
              <w:t>(in millions)</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69"/>
        </w:trPr>
        <w:tc>
          <w:tcPr>
            <w:tcW w:w="5820" w:type="dxa"/>
            <w:vAlign w:val="bottom"/>
          </w:tcPr>
          <w:p>
            <w:pPr>
              <w:ind w:left="100"/>
              <w:spacing w:after="0"/>
              <w:rPr>
                <w:sz w:val="20"/>
                <w:szCs w:val="20"/>
                <w:color w:val="auto"/>
              </w:rPr>
            </w:pPr>
            <w:r>
              <w:rPr>
                <w:rFonts w:ascii="Arial" w:cs="Arial" w:eastAsia="Arial" w:hAnsi="Arial"/>
                <w:sz w:val="13"/>
                <w:szCs w:val="13"/>
                <w:color w:val="auto"/>
              </w:rPr>
              <w:t>Federal</w:t>
            </w: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0.4</w:t>
            </w: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58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Foreign</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13.6</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11.5</w:t>
            </w:r>
          </w:p>
        </w:tc>
        <w:tc>
          <w:tcPr>
            <w:tcW w:w="4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58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14.9</w:t>
            </w: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11.9</w:t>
            </w:r>
          </w:p>
        </w:tc>
        <w:tc>
          <w:tcPr>
            <w:tcW w:w="4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49"/>
        </w:trPr>
        <w:tc>
          <w:tcPr>
            <w:tcW w:w="5820" w:type="dxa"/>
            <w:vAlign w:val="bottom"/>
          </w:tcPr>
          <w:p>
            <w:pPr>
              <w:ind w:left="20"/>
              <w:spacing w:after="0" w:line="148" w:lineRule="exact"/>
              <w:rPr>
                <w:sz w:val="20"/>
                <w:szCs w:val="20"/>
                <w:color w:val="auto"/>
              </w:rPr>
            </w:pPr>
            <w:r>
              <w:rPr>
                <w:rFonts w:ascii="Arial" w:cs="Arial" w:eastAsia="Arial" w:hAnsi="Arial"/>
                <w:sz w:val="13"/>
                <w:szCs w:val="13"/>
                <w:color w:val="auto"/>
              </w:rPr>
              <w:t>Deferred:</w:t>
            </w: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71"/>
        </w:trPr>
        <w:tc>
          <w:tcPr>
            <w:tcW w:w="5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Federal</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820" w:type="dxa"/>
            <w:vAlign w:val="bottom"/>
          </w:tcPr>
          <w:p>
            <w:pPr>
              <w:ind w:left="100"/>
              <w:spacing w:after="0"/>
              <w:rPr>
                <w:sz w:val="20"/>
                <w:szCs w:val="20"/>
                <w:color w:val="auto"/>
              </w:rPr>
            </w:pPr>
            <w:r>
              <w:rPr>
                <w:rFonts w:ascii="Arial" w:cs="Arial" w:eastAsia="Arial" w:hAnsi="Arial"/>
                <w:sz w:val="13"/>
                <w:szCs w:val="13"/>
                <w:color w:val="auto"/>
              </w:rPr>
              <w:t>State</w:t>
            </w:r>
          </w:p>
        </w:tc>
        <w:tc>
          <w:tcPr>
            <w:tcW w:w="420" w:type="dxa"/>
            <w:vAlign w:val="bottom"/>
          </w:tcPr>
          <w:p>
            <w:pPr>
              <w:spacing w:after="0"/>
              <w:rPr>
                <w:sz w:val="14"/>
                <w:szCs w:val="14"/>
                <w:color w:val="auto"/>
              </w:rPr>
            </w:pP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(3.2)</w:t>
            </w:r>
          </w:p>
        </w:tc>
        <w:tc>
          <w:tcPr>
            <w:tcW w:w="4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Foreign</w:t>
            </w:r>
          </w:p>
        </w:tc>
        <w:tc>
          <w:tcPr>
            <w:tcW w:w="4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4.7</w:t>
            </w: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60"/>
        </w:trPr>
        <w:tc>
          <w:tcPr>
            <w:tcW w:w="58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4.7</w:t>
            </w: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16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19.6</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from the U.S. statutory federal income tax rate to the effective income tax rate is as follows:</w:t>
      </w:r>
    </w:p>
    <w:p>
      <w:pPr>
        <w:spacing w:after="0" w:line="201"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Fiscal Year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2020</w:t>
            </w:r>
          </w:p>
        </w:tc>
      </w:tr>
      <w:tr>
        <w:trPr>
          <w:trHeight w:val="16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Federal income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Permanent differences</w:t>
            </w: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(1.8)</w:t>
            </w:r>
          </w:p>
        </w:tc>
      </w:tr>
      <w:tr>
        <w:trPr>
          <w:trHeight w:val="171"/>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 based compensation</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99.6</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34.2</w:t>
            </w:r>
          </w:p>
        </w:tc>
      </w:tr>
      <w:tr>
        <w:trPr>
          <w:trHeight w:val="169"/>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Return to provision</w:t>
            </w:r>
          </w:p>
        </w:tc>
        <w:tc>
          <w:tcPr>
            <w:tcW w:w="1880" w:type="dxa"/>
            <w:vAlign w:val="bottom"/>
            <w:gridSpan w:val="3"/>
          </w:tcPr>
          <w:p>
            <w:pPr>
              <w:jc w:val="right"/>
              <w:ind w:right="135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(3.8)</w:t>
            </w:r>
          </w:p>
        </w:tc>
      </w:tr>
      <w:tr>
        <w:trPr>
          <w:trHeight w:val="171"/>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Effects of rates different than statutory</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9"/>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State and local income taxes, net of federal benefit</w:t>
            </w: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4"/>
                <w:szCs w:val="14"/>
                <w:color w:val="auto"/>
              </w:rPr>
            </w:pPr>
          </w:p>
        </w:tc>
        <w:tc>
          <w:tcPr>
            <w:tcW w:w="1820" w:type="dxa"/>
            <w:vAlign w:val="bottom"/>
          </w:tcPr>
          <w:p>
            <w:pPr>
              <w:jc w:val="right"/>
              <w:ind w:right="96"/>
              <w:spacing w:after="0"/>
              <w:rPr>
                <w:sz w:val="20"/>
                <w:szCs w:val="20"/>
                <w:color w:val="auto"/>
              </w:rPr>
            </w:pPr>
            <w:r>
              <w:rPr>
                <w:rFonts w:ascii="Arial" w:cs="Arial" w:eastAsia="Arial" w:hAnsi="Arial"/>
                <w:sz w:val="13"/>
                <w:szCs w:val="13"/>
                <w:color w:val="auto"/>
              </w:rPr>
              <w:t>8.6</w:t>
            </w:r>
          </w:p>
        </w:tc>
      </w:tr>
      <w:tr>
        <w:trPr>
          <w:trHeight w:val="171"/>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Franchise tax</w:t>
            </w:r>
          </w:p>
        </w:tc>
        <w:tc>
          <w:tcPr>
            <w:tcW w:w="1880" w:type="dxa"/>
            <w:vAlign w:val="bottom"/>
            <w:gridSpan w:val="3"/>
            <w:shd w:val="clear" w:color="auto" w:fill="CCEEFF"/>
          </w:tcPr>
          <w:p>
            <w:pPr>
              <w:jc w:val="right"/>
              <w:ind w:right="135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r>
      <w:tr>
        <w:trPr>
          <w:trHeight w:val="169"/>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Change in valuation allowance</w:t>
            </w: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(150.2)</w:t>
            </w:r>
          </w:p>
        </w:tc>
        <w:tc>
          <w:tcPr>
            <w:tcW w:w="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(65.6)</w:t>
            </w:r>
          </w:p>
        </w:tc>
      </w:tr>
      <w:tr>
        <w:trPr>
          <w:trHeight w:val="171"/>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Rate change</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(0.5)</w:t>
            </w:r>
          </w:p>
        </w:tc>
      </w:tr>
      <w:tr>
        <w:trPr>
          <w:trHeight w:val="169"/>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Federal credits</w:t>
            </w: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820" w:type="dxa"/>
            <w:vAlign w:val="bottom"/>
          </w:tcPr>
          <w:p>
            <w:pPr>
              <w:jc w:val="right"/>
              <w:ind w:right="96"/>
              <w:spacing w:after="0"/>
              <w:rPr>
                <w:sz w:val="20"/>
                <w:szCs w:val="20"/>
                <w:color w:val="auto"/>
              </w:rPr>
            </w:pPr>
            <w:r>
              <w:rPr>
                <w:rFonts w:ascii="Arial" w:cs="Arial" w:eastAsia="Arial" w:hAnsi="Arial"/>
                <w:sz w:val="13"/>
                <w:szCs w:val="13"/>
                <w:color w:val="auto"/>
              </w:rPr>
              <w:t>4.4</w:t>
            </w:r>
          </w:p>
        </w:tc>
      </w:tr>
      <w:tr>
        <w:trPr>
          <w:trHeight w:val="17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r>
      <w:tr>
        <w:trPr>
          <w:trHeight w:val="162"/>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Effective income tax rate</w:t>
            </w:r>
          </w:p>
        </w:tc>
        <w:tc>
          <w:tcPr>
            <w:tcW w:w="620" w:type="dxa"/>
            <w:vAlign w:val="bottom"/>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4.6 %</w:t>
            </w:r>
          </w:p>
        </w:tc>
        <w:tc>
          <w:tcPr>
            <w:tcW w:w="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0"/>
        </w:trPr>
        <w:tc>
          <w:tcPr>
            <w:tcW w:w="5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180"/>
        <w:spacing w:after="0" w:line="281" w:lineRule="auto"/>
        <w:rPr>
          <w:sz w:val="20"/>
          <w:szCs w:val="20"/>
          <w:color w:val="auto"/>
        </w:rPr>
      </w:pPr>
      <w:r>
        <w:rPr>
          <w:rFonts w:ascii="Arial" w:cs="Arial" w:eastAsia="Arial" w:hAnsi="Arial"/>
          <w:sz w:val="12"/>
          <w:szCs w:val="12"/>
          <w:color w:val="auto"/>
        </w:rPr>
        <w:t>The primary differences from the U.S. statutory rate and the Company’s effective tax rate for the fiscal year ended June 30, 2022 are due to the change in valuation allowance, share based compensation including excess tax benefits, state and international taxes. The primary differences from the U.S. statutory rate and the Company’s effective tax rate for the fiscal year ended June 30, 2021 were due to the change in valuation allowance, share based compensation including excess tax benefits, state and international taxes. The primary differences from the U.S. statutory rate and the Company’s effective tax rate for the fiscal year ended June 30, 2020 were due to the change in valuation allowance and permanent differences related to stock compensation.</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August 16, 2022, the Inflation Reduction Act was signed into law in the United States. Among other provisions, the Inflation Reduction Act includes a 15% minimum tax rate applied to corporations with profits in excess of $1 billion and also includes an excise tax on the repurchase of corporate stock. The Company has reviewed the provisions of the law and does not believe that any of the provisions will have a material impact on the business.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March 11, 2021, the American Rescue Plan was enacted, which extends the period companies can claim an Employee Retention Credit, expands the IRC Section 162(m) limit on deductions for publicly traded companies, and repeals the election that allows US affiliate groups to allocate interest expense on a worldwide basis, among other provisions. The Company reviewed the provisions of the law and determined it had no material impact for the fiscal year ended June 30, 2021.</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December 21, 2020, Congress passed the Consolidated Appropriations Act, 2021. The act includes the Taxpayer Certainty and Disaster Tax Relief Act of 2020 and the COVID-related Tax Relief Act of 2020, both of which extend many credits and other COVID-19 relief, among other extensions. The Company evaluated the provisions of the Consolidated Appropriations Act, including but not limited to the Employee Retention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99" w:name="page100"/>
    <w:bookmarkEnd w:id="99"/>
    <w:p>
      <w:pPr>
        <w:spacing w:after="0" w:line="266" w:lineRule="auto"/>
        <w:rPr>
          <w:sz w:val="20"/>
          <w:szCs w:val="20"/>
          <w:color w:val="auto"/>
        </w:rPr>
      </w:pPr>
      <w:r>
        <w:rPr>
          <w:rFonts w:ascii="Arial" w:cs="Arial" w:eastAsia="Arial" w:hAnsi="Arial"/>
          <w:sz w:val="13"/>
          <w:szCs w:val="13"/>
          <w:color w:val="auto"/>
        </w:rPr>
        <w:t>Credit extension, the extension for the IRC Section 45S credit for paid family and medical leave, and the provision allowing a full deduction for certain business meals, and determined that there was no material impact for the fiscal year ended June 30, 2021.</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On March 27, 2020, The Coronavirus Aid, Relief, and Economic Security Act (the "CARES Act") was signed into law in the United States. The CARES Act and related notices include several significant provisions. The Company has utilized the Qualified Improvement Property provision and has correctly filed an accounting method change to capture this, but has determined the CARES Act does not have a material impact on its financial results for the fiscal year ended June 30, 2021.</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of June 30, 2022 and June 30, 2021, the Company’s deferred tax assets were primarily the result of U.S. federal and state net operating losses (“NOLs”), accruals and reserves, non-qualified stock options, lease liability, §263A UNICAP, and research and development tax credits. A valuation allowance was maintained and/or established in substantially all jurisdictions on the Company’s gross deferred tax asset balances as of June 30, 2022 and 2021. As of each reporting date, the Company’s management considers new evidence, both positive and negative, that could impact management’s view with regard to future realization of deferred tax assets. The realization of deferred tax assets was based on the evaluation of current and estimated future profitability of the operations, reversal of deferred tax liabilities and the likelihood of utilizing tax credit and/or loss carryforwards. As of June 30, 2022 and June 30, 2021, the Company continued to maintain that it is not at the more likely than not standard, wherein deferred taxes will be realized due to the recent history of losses and management’s expectation of continued tax losses.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Fiscal Year Ended June 30,</w:t>
            </w:r>
          </w:p>
        </w:tc>
        <w:tc>
          <w:tcPr>
            <w:tcW w:w="580" w:type="dxa"/>
            <w:vAlign w:val="bottom"/>
            <w:tcBorders>
              <w:bottom w:val="single" w:sz="8" w:color="auto"/>
            </w:tcBorders>
          </w:tcPr>
          <w:p>
            <w:pPr>
              <w:spacing w:after="0"/>
              <w:rPr>
                <w:sz w:val="14"/>
                <w:szCs w:val="14"/>
                <w:color w:val="auto"/>
              </w:rPr>
            </w:pPr>
          </w:p>
        </w:tc>
      </w:tr>
      <w:tr>
        <w:trPr>
          <w:trHeight w:val="160"/>
        </w:trPr>
        <w:tc>
          <w:tcPr>
            <w:tcW w:w="7680" w:type="dxa"/>
            <w:vAlign w:val="bottom"/>
          </w:tcPr>
          <w:p>
            <w:pPr>
              <w:spacing w:after="0"/>
              <w:rPr>
                <w:sz w:val="13"/>
                <w:szCs w:val="13"/>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3"/>
                <w:szCs w:val="13"/>
                <w:color w:val="auto"/>
              </w:rPr>
            </w:pPr>
          </w:p>
        </w:tc>
      </w:tr>
      <w:tr>
        <w:trPr>
          <w:trHeight w:val="160"/>
        </w:trPr>
        <w:tc>
          <w:tcPr>
            <w:tcW w:w="7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00" w:type="dxa"/>
            <w:vAlign w:val="bottom"/>
            <w:gridSpan w:val="3"/>
          </w:tcPr>
          <w:p>
            <w:pPr>
              <w:jc w:val="right"/>
              <w:ind w:right="796"/>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Net operating loss</w:t>
            </w:r>
          </w:p>
        </w:tc>
        <w:tc>
          <w:tcPr>
            <w:tcW w:w="1120" w:type="dxa"/>
            <w:vAlign w:val="bottom"/>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850.8</w:t>
            </w:r>
          </w:p>
        </w:tc>
        <w:tc>
          <w:tcPr>
            <w:tcW w:w="80" w:type="dxa"/>
            <w:vAlign w:val="bottom"/>
          </w:tcPr>
          <w:p>
            <w:pPr>
              <w:spacing w:after="0"/>
              <w:rPr>
                <w:sz w:val="14"/>
                <w:szCs w:val="14"/>
                <w:color w:val="auto"/>
              </w:rPr>
            </w:pPr>
          </w:p>
        </w:tc>
        <w:tc>
          <w:tcPr>
            <w:tcW w:w="1180" w:type="dxa"/>
            <w:vAlign w:val="bottom"/>
          </w:tcPr>
          <w:p>
            <w:pPr>
              <w:jc w:val="right"/>
              <w:ind w:right="10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337.9</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Accruals and reserves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R&amp;D credit</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41.9</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16.1</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legal and professional fees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Non-qualified stock options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88.9</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39.6</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options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Disallowed Interest Carryover</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Intangible Amortization</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Inventory capitalization</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38.8</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23.1</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Lease liability</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w:t>
            </w: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Deferred revenue</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Construction in Progress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6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6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 assets: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635.0</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color w:val="auto"/>
              </w:rPr>
              <w:t>Valuation allowance</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(1,191.2)</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(413.8)</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Prepaid Expenses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Property and equipment</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Intangibles</w:t>
            </w:r>
          </w:p>
        </w:tc>
        <w:tc>
          <w:tcPr>
            <w:tcW w:w="1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Right-of-use assets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w:t>
            </w:r>
          </w:p>
        </w:tc>
      </w:tr>
      <w:tr>
        <w:trPr>
          <w:trHeight w:val="169"/>
        </w:trPr>
        <w:tc>
          <w:tcPr>
            <w:tcW w:w="7680" w:type="dxa"/>
            <w:vAlign w:val="bottom"/>
          </w:tcPr>
          <w:p>
            <w:pPr>
              <w:ind w:left="180"/>
              <w:spacing w:after="0"/>
              <w:rPr>
                <w:sz w:val="20"/>
                <w:szCs w:val="20"/>
                <w:color w:val="auto"/>
              </w:rPr>
            </w:pPr>
            <w:r>
              <w:rPr>
                <w:rFonts w:ascii="Arial" w:cs="Arial" w:eastAsia="Arial" w:hAnsi="Arial"/>
                <w:sz w:val="13"/>
                <w:szCs w:val="13"/>
                <w:color w:val="auto"/>
              </w:rPr>
              <w:t>Convertible securities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(18.7)</w:t>
            </w:r>
          </w:p>
        </w:tc>
      </w:tr>
      <w:tr>
        <w:trPr>
          <w:trHeight w:val="171"/>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deferred tax liabilities:</w:t>
            </w:r>
          </w:p>
        </w:tc>
        <w:tc>
          <w:tcPr>
            <w:tcW w:w="1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(233.3)</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(214.9)</w:t>
            </w:r>
          </w:p>
        </w:tc>
      </w:tr>
      <w:tr>
        <w:trPr>
          <w:trHeight w:val="18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tax assets, net</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June 30, 2022 and 2021, the Company had federal NOLs of approximately $2,896.7 million and $1,086.5 million, respectively, of which $64.8 million will begin to expire in 2034 and the remainder will be carried forward indefinitely. The Company has undergone three ownership changes on November 30, 2015, April 18, 2017, and February 24, 2020 and its NOLs are subject to a Section 382 limitation. The total NOLs subject to a 382 limitation are $193.8 million as of June 30, 2022. The resulting Section 382 limitations are large enough to avail the Section 382</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100" w:name="page101"/>
    <w:bookmarkEnd w:id="100"/>
    <w:p>
      <w:pPr>
        <w:jc w:val="both"/>
        <w:spacing w:after="0" w:line="253" w:lineRule="auto"/>
        <w:rPr>
          <w:sz w:val="20"/>
          <w:szCs w:val="20"/>
          <w:color w:val="auto"/>
        </w:rPr>
      </w:pPr>
      <w:r>
        <w:rPr>
          <w:rFonts w:ascii="Arial" w:cs="Arial" w:eastAsia="Arial" w:hAnsi="Arial"/>
          <w:sz w:val="13"/>
          <w:szCs w:val="13"/>
          <w:color w:val="auto"/>
        </w:rPr>
        <w:t>limited NOLs by June 30, 2022. As of June 30, 2022 and 2021, the Company had state NOLs of approximately $2,130.0 million and $706.2 million, respectively, which will begin to expire at various dates beginning in 2022 if not utilized. As of June 30, 2022 and 2021, the Company had foreign NOLs of approximately $458.3 million and $274.6 million, respectively, generated primarily from its operations in the United Kingdom, which will be carried forward indefinitely. As of June 30, 2022 and 2021, the Company had $41.9 million and $16.1 million, respectively, of U.S. research and development credit carryovers that will begin to expire in 2036.</w:t>
      </w:r>
    </w:p>
    <w:p>
      <w:pPr>
        <w:spacing w:after="0" w:line="3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June 30, 2022,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utilizes a two-step approach to recognize and measure unrecognized tax benefits.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to be realized upon ultimate settlement.</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policy is to include interest and penalties related to unrecognized tax benefits, if any, within Income tax expense (benefit) in the consolidated statements of operations and comprehensive income (loss).</w:t>
      </w:r>
    </w:p>
    <w:p>
      <w:pPr>
        <w:spacing w:after="0" w:line="157" w:lineRule="exact"/>
        <w:rPr>
          <w:sz w:val="20"/>
          <w:szCs w:val="20"/>
          <w:color w:val="auto"/>
        </w:rPr>
      </w:pPr>
    </w:p>
    <w:p>
      <w:pPr>
        <w:jc w:val="both"/>
        <w:ind w:right="80"/>
        <w:spacing w:after="0" w:line="261" w:lineRule="auto"/>
        <w:rPr>
          <w:sz w:val="20"/>
          <w:szCs w:val="20"/>
          <w:color w:val="auto"/>
        </w:rPr>
      </w:pPr>
      <w:r>
        <w:rPr>
          <w:rFonts w:ascii="Arial" w:cs="Arial" w:eastAsia="Arial" w:hAnsi="Arial"/>
          <w:sz w:val="13"/>
          <w:szCs w:val="13"/>
          <w:color w:val="auto"/>
        </w:rPr>
        <w:t>At June 30, 2022 and 2021, the Company had zero and $0.7 million of unrecognized tax benefits, included as a component of income taxes payable within accrued expenses within the accompanying Consolidated Balance Sheets, respectively. During the fiscal year ended June 30, 2022, the Company settled positions with the taxing authorities resulting in a recognition of the benefit and reduction in the payable The Company has the following activity relating to unrecognized tax benefits: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3"/>
                <w:szCs w:val="13"/>
                <w:b w:val="1"/>
                <w:bCs w:val="1"/>
                <w:color w:val="auto"/>
              </w:rPr>
              <w:t>Fiscal Year Ended June 30,</w:t>
            </w:r>
          </w:p>
        </w:tc>
      </w:tr>
      <w:tr>
        <w:trPr>
          <w:trHeight w:val="160"/>
        </w:trPr>
        <w:tc>
          <w:tcPr>
            <w:tcW w:w="76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60"/>
        </w:trPr>
        <w:tc>
          <w:tcPr>
            <w:tcW w:w="7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6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(in millions)</w:t>
            </w:r>
          </w:p>
        </w:tc>
        <w:tc>
          <w:tcPr>
            <w:tcW w:w="124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Gross (decrease) increase in unrecognized tax positions</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balance</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r>
    </w:tbl>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Although it is possible that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we do not anticipate any significant changes to unrecognized tax benefits over the next 12 months.</w:t>
      </w:r>
    </w:p>
    <w:p>
      <w:pPr>
        <w:spacing w:after="0" w:line="159" w:lineRule="exact"/>
        <w:rPr>
          <w:sz w:val="20"/>
          <w:szCs w:val="20"/>
          <w:color w:val="auto"/>
        </w:rPr>
      </w:pPr>
    </w:p>
    <w:p>
      <w:pPr>
        <w:jc w:val="both"/>
        <w:ind w:right="60"/>
        <w:spacing w:after="0" w:line="261" w:lineRule="auto"/>
        <w:rPr>
          <w:sz w:val="20"/>
          <w:szCs w:val="20"/>
          <w:color w:val="auto"/>
        </w:rPr>
      </w:pPr>
      <w:r>
        <w:rPr>
          <w:rFonts w:ascii="Arial" w:cs="Arial" w:eastAsia="Arial" w:hAnsi="Arial"/>
          <w:sz w:val="13"/>
          <w:szCs w:val="13"/>
          <w:color w:val="auto"/>
        </w:rPr>
        <w:t>The Company is subject to taxation in the United States, various state and local jurisdictions, as well as foreign jurisdictions where the Company conducts business. Accordingly, on a continuing basis, the Company cooperates with taxing authorities for the various jurisdictions in which it conducts business to comply with audits and inquiries for tax periods that are open to examination. The tax years ended June 30, 2019 and later remain open to examination by tax authorities in the United States and United Kingdom.</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20"/>
                <w:szCs w:val="20"/>
                <w:color w:val="auto"/>
              </w:rPr>
            </w:pPr>
            <w:r>
              <w:rPr>
                <w:rFonts w:ascii="Arial" w:cs="Arial" w:eastAsia="Arial" w:hAnsi="Arial"/>
                <w:sz w:val="13"/>
                <w:szCs w:val="13"/>
                <w:b w:val="1"/>
                <w:bCs w:val="1"/>
                <w:color w:val="auto"/>
              </w:rPr>
              <w:t>18. Net Loss Per Share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23"/>
        </w:trPr>
        <w:tc>
          <w:tcPr>
            <w:tcW w:w="6880" w:type="dxa"/>
            <w:vAlign w:val="bottom"/>
          </w:tcPr>
          <w:p>
            <w:pPr>
              <w:spacing w:after="0"/>
              <w:rPr>
                <w:sz w:val="20"/>
                <w:szCs w:val="20"/>
                <w:color w:val="auto"/>
              </w:rPr>
            </w:pPr>
            <w:r>
              <w:rPr>
                <w:rFonts w:ascii="Arial" w:cs="Arial" w:eastAsia="Arial" w:hAnsi="Arial"/>
                <w:sz w:val="13"/>
                <w:szCs w:val="13"/>
                <w:color w:val="auto"/>
              </w:rPr>
              <w:t>The computation of loss per share is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3"/>
        </w:trPr>
        <w:tc>
          <w:tcPr>
            <w:tcW w:w="6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69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24"/>
                <w:szCs w:val="24"/>
                <w:color w:val="auto"/>
              </w:rPr>
            </w:pPr>
          </w:p>
        </w:tc>
      </w:tr>
      <w:tr>
        <w:trPr>
          <w:trHeight w:val="160"/>
        </w:trPr>
        <w:tc>
          <w:tcPr>
            <w:tcW w:w="68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6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9"/>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loss per share:</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162"/>
        </w:trPr>
        <w:tc>
          <w:tcPr>
            <w:tcW w:w="6880" w:type="dxa"/>
            <w:vAlign w:val="bottom"/>
          </w:tcPr>
          <w:p>
            <w:pPr>
              <w:ind w:left="180"/>
              <w:spacing w:after="0"/>
              <w:rPr>
                <w:sz w:val="20"/>
                <w:szCs w:val="20"/>
                <w:color w:val="auto"/>
              </w:rPr>
            </w:pPr>
            <w:r>
              <w:rPr>
                <w:rFonts w:ascii="Arial" w:cs="Arial" w:eastAsia="Arial" w:hAnsi="Arial"/>
                <w:sz w:val="13"/>
                <w:szCs w:val="13"/>
                <w:color w:val="auto"/>
              </w:rPr>
              <w:t>Net loss attributable to common stockholders</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(2,827.7)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68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Shares used in computation:</w:t>
            </w: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9"/>
        </w:trPr>
        <w:tc>
          <w:tcPr>
            <w:tcW w:w="6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Weighted-average common shares outstanding</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322,368,818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293,892,643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220,952,237</w:t>
            </w:r>
          </w:p>
        </w:tc>
      </w:tr>
      <w:tr>
        <w:trPr>
          <w:trHeight w:val="187"/>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 loss per share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Basic and diluted loss per share are the same for each class of common stock because they are entitled to the same liquidation and dividend rights.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81" w:right="3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color w:val="auto"/>
        </w:rPr>
        <w:t>The following potentially dilutive shares were not included in the calculation of diluted shares outstanding as the effect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Fiscal Year Ended June 30,</w:t>
            </w:r>
          </w:p>
        </w:tc>
        <w:tc>
          <w:tcPr>
            <w:tcW w:w="1120" w:type="dxa"/>
            <w:vAlign w:val="bottom"/>
            <w:tcBorders>
              <w:bottom w:val="single" w:sz="8" w:color="auto"/>
            </w:tcBorders>
          </w:tcPr>
          <w:p>
            <w:pPr>
              <w:spacing w:after="0"/>
              <w:rPr>
                <w:sz w:val="14"/>
                <w:szCs w:val="14"/>
                <w:color w:val="auto"/>
              </w:rPr>
            </w:pPr>
          </w:p>
        </w:tc>
      </w:tr>
      <w:tr>
        <w:trPr>
          <w:trHeight w:val="160"/>
        </w:trPr>
        <w:tc>
          <w:tcPr>
            <w:tcW w:w="68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36,846,242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54,076,445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41,476,591</w:t>
            </w:r>
          </w:p>
        </w:tc>
      </w:tr>
      <w:tr>
        <w:trPr>
          <w:trHeight w:val="169"/>
        </w:trPr>
        <w:tc>
          <w:tcPr>
            <w:tcW w:w="6880" w:type="dxa"/>
            <w:vAlign w:val="bottom"/>
          </w:tcPr>
          <w:p>
            <w:pPr>
              <w:ind w:left="20"/>
              <w:spacing w:after="0"/>
              <w:rPr>
                <w:sz w:val="20"/>
                <w:szCs w:val="20"/>
                <w:color w:val="auto"/>
              </w:rPr>
            </w:pPr>
            <w:r>
              <w:rPr>
                <w:rFonts w:ascii="Arial" w:cs="Arial" w:eastAsia="Arial" w:hAnsi="Arial"/>
                <w:sz w:val="13"/>
                <w:szCs w:val="13"/>
                <w:color w:val="auto"/>
              </w:rPr>
              <w:t>Restricted stock units and awards</w:t>
            </w:r>
          </w:p>
        </w:tc>
        <w:tc>
          <w:tcPr>
            <w:tcW w:w="1360" w:type="dxa"/>
            <w:vAlign w:val="bottom"/>
          </w:tcPr>
          <w:p>
            <w:pPr>
              <w:jc w:val="right"/>
              <w:spacing w:after="0"/>
              <w:rPr>
                <w:sz w:val="20"/>
                <w:szCs w:val="20"/>
                <w:color w:val="auto"/>
              </w:rPr>
            </w:pPr>
            <w:r>
              <w:rPr>
                <w:rFonts w:ascii="Arial" w:cs="Arial" w:eastAsia="Arial" w:hAnsi="Arial"/>
                <w:sz w:val="13"/>
                <w:szCs w:val="13"/>
                <w:color w:val="auto"/>
              </w:rPr>
              <w:t>174,580</w:t>
            </w:r>
          </w:p>
        </w:tc>
        <w:tc>
          <w:tcPr>
            <w:tcW w:w="1540" w:type="dxa"/>
            <w:vAlign w:val="bottom"/>
            <w:gridSpan w:val="3"/>
          </w:tcPr>
          <w:p>
            <w:pPr>
              <w:jc w:val="right"/>
              <w:spacing w:after="0"/>
              <w:rPr>
                <w:sz w:val="20"/>
                <w:szCs w:val="20"/>
                <w:color w:val="auto"/>
              </w:rPr>
            </w:pPr>
            <w:r>
              <w:rPr>
                <w:rFonts w:ascii="Arial" w:cs="Arial" w:eastAsia="Arial" w:hAnsi="Arial"/>
                <w:sz w:val="13"/>
                <w:szCs w:val="13"/>
                <w:color w:val="auto"/>
              </w:rPr>
              <w:t>546,687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41,855</w:t>
            </w:r>
          </w:p>
        </w:tc>
      </w:tr>
      <w:tr>
        <w:trPr>
          <w:trHeight w:val="171"/>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estimated to be purchased under ESPP</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363,741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66,019</w:t>
            </w:r>
          </w:p>
        </w:tc>
      </w:tr>
    </w:tbl>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Impact of 2021 Notes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expects to settle the principal amount of the Notes in cash upon conversion, and therefore, the Company uses the treasury stock method for calculating any potential dilutive effect of the conversion option on diluted net income per share, if applicable. The conversion option will have a dilutive impact on net income per share of common stock when the average market price per share of the Company's Class A common stock for a given period exceeds the conversion price of the Notes of $239.23 per share. During the fiscal year ended June 30, 2022, the weighted average price per share of the Company's Class A common stock was below the conversion price of the Notes.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denominator for basic and diluted loss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Segment Information</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Company applies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4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Key financial performance measures of the segments including Revenue, Cost of revenue, and Gross profit are as follows:</w:t>
      </w:r>
    </w:p>
    <w:p>
      <w:pPr>
        <w:spacing w:after="0" w:line="201"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Fiscal Year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Connected Fitness Products:</w:t>
            </w:r>
          </w:p>
        </w:tc>
        <w:tc>
          <w:tcPr>
            <w:tcW w:w="3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520"/>
              <w:spacing w:after="0"/>
              <w:rPr>
                <w:sz w:val="20"/>
                <w:szCs w:val="20"/>
                <w:color w:val="auto"/>
              </w:rPr>
            </w:pPr>
            <w:r>
              <w:rPr>
                <w:rFonts w:ascii="Arial" w:cs="Arial" w:eastAsia="Arial" w:hAnsi="Arial"/>
                <w:sz w:val="13"/>
                <w:szCs w:val="13"/>
                <w:color w:val="auto"/>
              </w:rPr>
              <w:t>Revenue</w:t>
            </w:r>
          </w:p>
        </w:tc>
        <w:tc>
          <w:tcPr>
            <w:tcW w:w="416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2,187.5</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3,149.6</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1,462.2</w:t>
            </w: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32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2,433.8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2,236.9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832.5</w:t>
            </w:r>
          </w:p>
        </w:tc>
        <w:tc>
          <w:tcPr>
            <w:tcW w:w="0" w:type="dxa"/>
            <w:vAlign w:val="bottom"/>
          </w:tcPr>
          <w:p>
            <w:pPr>
              <w:spacing w:after="0"/>
              <w:rPr>
                <w:sz w:val="1"/>
                <w:szCs w:val="1"/>
                <w:color w:val="auto"/>
              </w:rPr>
            </w:pPr>
          </w:p>
        </w:tc>
      </w:tr>
      <w:tr>
        <w:trPr>
          <w:trHeight w:val="162"/>
        </w:trPr>
        <w:tc>
          <w:tcPr>
            <w:tcW w:w="360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416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(246.3)</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912.7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629.7</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6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Subscription:</w:t>
            </w:r>
          </w:p>
        </w:tc>
        <w:tc>
          <w:tcPr>
            <w:tcW w:w="3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520"/>
              <w:spacing w:after="0"/>
              <w:rPr>
                <w:sz w:val="20"/>
                <w:szCs w:val="20"/>
                <w:color w:val="auto"/>
              </w:rPr>
            </w:pPr>
            <w:r>
              <w:rPr>
                <w:rFonts w:ascii="Arial" w:cs="Arial" w:eastAsia="Arial" w:hAnsi="Arial"/>
                <w:sz w:val="13"/>
                <w:szCs w:val="13"/>
                <w:color w:val="auto"/>
              </w:rPr>
              <w:t>Revenue</w:t>
            </w:r>
          </w:p>
        </w:tc>
        <w:tc>
          <w:tcPr>
            <w:tcW w:w="416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1,394.7</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872.2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363.7</w:t>
            </w: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32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155.7</w:t>
            </w:r>
          </w:p>
        </w:tc>
        <w:tc>
          <w:tcPr>
            <w:tcW w:w="0" w:type="dxa"/>
            <w:vAlign w:val="bottom"/>
          </w:tcPr>
          <w:p>
            <w:pPr>
              <w:spacing w:after="0"/>
              <w:rPr>
                <w:sz w:val="1"/>
                <w:szCs w:val="1"/>
                <w:color w:val="auto"/>
              </w:rPr>
            </w:pPr>
          </w:p>
        </w:tc>
      </w:tr>
      <w:tr>
        <w:trPr>
          <w:trHeight w:val="162"/>
        </w:trPr>
        <w:tc>
          <w:tcPr>
            <w:tcW w:w="360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416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944.7</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541.7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6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Consolidated:</w:t>
            </w:r>
          </w:p>
        </w:tc>
        <w:tc>
          <w:tcPr>
            <w:tcW w:w="3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520"/>
              <w:spacing w:after="0"/>
              <w:rPr>
                <w:sz w:val="20"/>
                <w:szCs w:val="20"/>
                <w:color w:val="auto"/>
              </w:rPr>
            </w:pPr>
            <w:r>
              <w:rPr>
                <w:rFonts w:ascii="Arial" w:cs="Arial" w:eastAsia="Arial" w:hAnsi="Arial"/>
                <w:sz w:val="13"/>
                <w:szCs w:val="13"/>
                <w:color w:val="auto"/>
              </w:rPr>
              <w:t>Revenue</w:t>
            </w:r>
          </w:p>
        </w:tc>
        <w:tc>
          <w:tcPr>
            <w:tcW w:w="416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3,582.1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4,021.8</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1,825.9</w:t>
            </w: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32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2,883.8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2,567.4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988.2</w:t>
            </w:r>
          </w:p>
        </w:tc>
        <w:tc>
          <w:tcPr>
            <w:tcW w:w="0" w:type="dxa"/>
            <w:vAlign w:val="bottom"/>
          </w:tcPr>
          <w:p>
            <w:pPr>
              <w:spacing w:after="0"/>
              <w:rPr>
                <w:sz w:val="1"/>
                <w:szCs w:val="1"/>
                <w:color w:val="auto"/>
              </w:rPr>
            </w:pPr>
          </w:p>
        </w:tc>
      </w:tr>
      <w:tr>
        <w:trPr>
          <w:trHeight w:val="162"/>
        </w:trPr>
        <w:tc>
          <w:tcPr>
            <w:tcW w:w="360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416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698.4</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1,454.4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837.7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280" w:type="dxa"/>
            <w:vAlign w:val="bottom"/>
            <w:vMerge w:val="restart"/>
          </w:tcPr>
          <w:p>
            <w:pPr>
              <w:jc w:val="right"/>
              <w:ind w:right="1056"/>
              <w:spacing w:after="0"/>
              <w:rPr>
                <w:sz w:val="20"/>
                <w:szCs w:val="20"/>
                <w:color w:val="auto"/>
              </w:rPr>
            </w:pPr>
            <w:r>
              <w:rPr>
                <w:rFonts w:ascii="Arial" w:cs="Arial" w:eastAsia="Arial" w:hAnsi="Arial"/>
                <w:sz w:val="13"/>
                <w:szCs w:val="13"/>
                <w:color w:val="auto"/>
              </w:rPr>
              <w:t>101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6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60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i w:val="1"/>
          <w:iCs w:val="1"/>
          <w:color w:val="auto"/>
        </w:rPr>
        <w:t>Reconciliation of Gross Profit</w:t>
      </w:r>
    </w:p>
    <w:p>
      <w:pPr>
        <w:spacing w:after="0" w:line="41" w:lineRule="exact"/>
        <w:rPr>
          <w:sz w:val="20"/>
          <w:szCs w:val="20"/>
          <w:color w:val="auto"/>
        </w:rPr>
      </w:pPr>
    </w:p>
    <w:p>
      <w:pPr>
        <w:ind w:right="460"/>
        <w:spacing w:after="0" w:line="266" w:lineRule="auto"/>
        <w:rPr>
          <w:sz w:val="20"/>
          <w:szCs w:val="20"/>
          <w:color w:val="auto"/>
        </w:rPr>
      </w:pPr>
      <w:r>
        <w:rPr>
          <w:rFonts w:ascii="Arial" w:cs="Arial" w:eastAsia="Arial" w:hAnsi="Arial"/>
          <w:sz w:val="13"/>
          <w:szCs w:val="13"/>
          <w:color w:val="auto"/>
        </w:rPr>
        <w:t>Operating expenditures, interest income and other expense, and taxes are not allocated to individual segments as these are managed on an entity wide group basis. The reconciliation between reportable Segment Gross Profit to consolidated (loss) income before tax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15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14"/>
                <w:szCs w:val="14"/>
                <w:color w:val="auto"/>
              </w:rPr>
            </w:pPr>
          </w:p>
        </w:tc>
      </w:tr>
      <w:tr>
        <w:trPr>
          <w:trHeight w:val="160"/>
        </w:trPr>
        <w:tc>
          <w:tcPr>
            <w:tcW w:w="68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6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Gross Profit</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837.7</w:t>
            </w:r>
          </w:p>
        </w:tc>
      </w:tr>
      <w:tr>
        <w:trPr>
          <w:trHeight w:val="169"/>
        </w:trPr>
        <w:tc>
          <w:tcPr>
            <w:tcW w:w="688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(1,018.9)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(728.3)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(476.7)</w:t>
            </w:r>
          </w:p>
        </w:tc>
      </w:tr>
      <w:tr>
        <w:trPr>
          <w:trHeight w:val="171"/>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(351.4)</w:t>
            </w:r>
          </w:p>
        </w:tc>
      </w:tr>
      <w:tr>
        <w:trPr>
          <w:trHeight w:val="169"/>
        </w:trPr>
        <w:tc>
          <w:tcPr>
            <w:tcW w:w="688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(359.5)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(89.1)</w:t>
            </w:r>
          </w:p>
        </w:tc>
      </w:tr>
      <w:tr>
        <w:trPr>
          <w:trHeight w:val="171"/>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80" w:type="dxa"/>
            <w:vAlign w:val="bottom"/>
          </w:tcPr>
          <w:p>
            <w:pPr>
              <w:ind w:left="20"/>
              <w:spacing w:after="0"/>
              <w:rPr>
                <w:sz w:val="20"/>
                <w:szCs w:val="20"/>
                <w:color w:val="auto"/>
              </w:rPr>
            </w:pPr>
            <w:r>
              <w:rPr>
                <w:rFonts w:ascii="Arial" w:cs="Arial" w:eastAsia="Arial" w:hAnsi="Arial"/>
                <w:sz w:val="13"/>
                <w:szCs w:val="13"/>
                <w:color w:val="auto"/>
              </w:rPr>
              <w:t>Impairment expense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(390.5)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expense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80" w:type="dxa"/>
            <w:vAlign w:val="bottom"/>
          </w:tcPr>
          <w:p>
            <w:pPr>
              <w:ind w:left="20"/>
              <w:spacing w:after="0"/>
              <w:rPr>
                <w:sz w:val="20"/>
                <w:szCs w:val="20"/>
                <w:color w:val="auto"/>
              </w:rPr>
            </w:pPr>
            <w:r>
              <w:rPr>
                <w:rFonts w:ascii="Arial" w:cs="Arial" w:eastAsia="Arial" w:hAnsi="Arial"/>
                <w:sz w:val="13"/>
                <w:szCs w:val="13"/>
                <w:color w:val="auto"/>
              </w:rPr>
              <w:t>Supplier settlements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other (expense) income, net</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2"/>
        </w:trPr>
        <w:tc>
          <w:tcPr>
            <w:tcW w:w="6880" w:type="dxa"/>
            <w:vAlign w:val="bottom"/>
          </w:tcPr>
          <w:p>
            <w:pPr>
              <w:ind w:left="20"/>
              <w:spacing w:after="0"/>
              <w:rPr>
                <w:sz w:val="20"/>
                <w:szCs w:val="20"/>
                <w:color w:val="auto"/>
              </w:rPr>
            </w:pPr>
            <w:r>
              <w:rPr>
                <w:rFonts w:ascii="Arial" w:cs="Arial" w:eastAsia="Arial" w:hAnsi="Arial"/>
                <w:sz w:val="13"/>
                <w:szCs w:val="13"/>
                <w:color w:val="auto"/>
              </w:rPr>
              <w:t>Loss before provision for income taxes</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(2,808.1)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w:t>
            </w: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hanging="215"/>
        <w:spacing w:after="0"/>
        <w:tabs>
          <w:tab w:leader="none" w:pos="220" w:val="left"/>
        </w:tabs>
        <w:numPr>
          <w:ilvl w:val="0"/>
          <w:numId w:val="45"/>
        </w:numPr>
        <w:rPr>
          <w:rFonts w:ascii="Arial" w:cs="Arial" w:eastAsia="Arial" w:hAnsi="Arial"/>
          <w:sz w:val="13"/>
          <w:szCs w:val="13"/>
          <w:b w:val="1"/>
          <w:bCs w:val="1"/>
          <w:color w:val="auto"/>
        </w:rPr>
      </w:pPr>
      <w:r>
        <w:rPr>
          <w:rFonts w:ascii="Arial" w:cs="Arial" w:eastAsia="Arial" w:hAnsi="Arial"/>
          <w:sz w:val="14"/>
          <w:szCs w:val="14"/>
          <w:b w:val="1"/>
          <w:bCs w:val="1"/>
          <w:color w:val="auto"/>
        </w:rPr>
        <w:t xml:space="preserve">Quarterly Financial Data </w:t>
      </w: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Selected summarized quarterly financial information for the fiscal years ended June 30, 2022 and 2021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Year ended</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796"/>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8"/>
              </w:rPr>
              <w:t>Jun. 30, 2022</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Jun. 30, 2022</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Mar. 31, 2022</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Dec. 31, 2021</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Sept. 30, 2021</w:t>
            </w: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316"/>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3,582.1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678.7</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964.3</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1,133.9</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805.2</w:t>
            </w:r>
          </w:p>
        </w:tc>
        <w:tc>
          <w:tcPr>
            <w:tcW w:w="0" w:type="dxa"/>
            <w:vAlign w:val="bottom"/>
          </w:tcPr>
          <w:p>
            <w:pPr>
              <w:spacing w:after="0"/>
              <w:rPr>
                <w:sz w:val="1"/>
                <w:szCs w:val="1"/>
                <w:color w:val="auto"/>
              </w:rPr>
            </w:pPr>
          </w:p>
        </w:tc>
      </w:tr>
      <w:tr>
        <w:trPr>
          <w:trHeight w:val="169"/>
        </w:trPr>
        <w:tc>
          <w:tcPr>
            <w:tcW w:w="39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698.4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(29.8)</w:t>
            </w:r>
          </w:p>
        </w:tc>
        <w:tc>
          <w:tcPr>
            <w:tcW w:w="240" w:type="dxa"/>
            <w:vAlign w:val="bottom"/>
          </w:tcPr>
          <w:p>
            <w:pPr>
              <w:spacing w:after="0"/>
              <w:rPr>
                <w:sz w:val="14"/>
                <w:szCs w:val="14"/>
                <w:color w:val="auto"/>
              </w:rPr>
            </w:pP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184.2</w:t>
            </w:r>
          </w:p>
        </w:tc>
        <w:tc>
          <w:tcPr>
            <w:tcW w:w="240" w:type="dxa"/>
            <w:vAlign w:val="bottom"/>
          </w:tcPr>
          <w:p>
            <w:pPr>
              <w:spacing w:after="0"/>
              <w:rPr>
                <w:sz w:val="14"/>
                <w:szCs w:val="14"/>
                <w:color w:val="auto"/>
              </w:rPr>
            </w:pPr>
          </w:p>
        </w:tc>
        <w:tc>
          <w:tcPr>
            <w:tcW w:w="1260" w:type="dxa"/>
            <w:vAlign w:val="bottom"/>
          </w:tcPr>
          <w:p>
            <w:pPr>
              <w:jc w:val="right"/>
              <w:ind w:right="36"/>
              <w:spacing w:after="0"/>
              <w:rPr>
                <w:sz w:val="20"/>
                <w:szCs w:val="20"/>
                <w:color w:val="auto"/>
              </w:rPr>
            </w:pPr>
            <w:r>
              <w:rPr>
                <w:rFonts w:ascii="Arial" w:cs="Arial" w:eastAsia="Arial" w:hAnsi="Arial"/>
                <w:sz w:val="13"/>
                <w:szCs w:val="13"/>
                <w:color w:val="auto"/>
              </w:rPr>
              <w:t>281.0</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263.0</w:t>
            </w: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(1,212.8)</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(735.8)</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(425.7)</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(359.7)</w:t>
            </w:r>
          </w:p>
        </w:tc>
        <w:tc>
          <w:tcPr>
            <w:tcW w:w="0" w:type="dxa"/>
            <w:vAlign w:val="bottom"/>
          </w:tcPr>
          <w:p>
            <w:pPr>
              <w:spacing w:after="0"/>
              <w:rPr>
                <w:sz w:val="1"/>
                <w:szCs w:val="1"/>
                <w:color w:val="auto"/>
              </w:rPr>
            </w:pPr>
          </w:p>
        </w:tc>
      </w:tr>
      <w:tr>
        <w:trPr>
          <w:trHeight w:val="169"/>
        </w:trPr>
        <w:tc>
          <w:tcPr>
            <w:tcW w:w="3940" w:type="dxa"/>
            <w:vAlign w:val="bottom"/>
          </w:tcPr>
          <w:p>
            <w:pPr>
              <w:ind w:left="20"/>
              <w:spacing w:after="0"/>
              <w:rPr>
                <w:sz w:val="20"/>
                <w:szCs w:val="20"/>
                <w:color w:val="auto"/>
              </w:rPr>
            </w:pPr>
            <w:r>
              <w:rPr>
                <w:rFonts w:ascii="Arial" w:cs="Arial" w:eastAsia="Arial" w:hAnsi="Arial"/>
                <w:sz w:val="13"/>
                <w:szCs w:val="13"/>
                <w:color w:val="auto"/>
              </w:rPr>
              <w:t>Net loss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(2,827.7)</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(1,255.3)</w:t>
            </w: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(757.1)</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(439.4)</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(376.0)</w:t>
            </w:r>
          </w:p>
        </w:tc>
        <w:tc>
          <w:tcPr>
            <w:tcW w:w="0" w:type="dxa"/>
            <w:vAlign w:val="bottom"/>
          </w:tcPr>
          <w:p>
            <w:pPr>
              <w:spacing w:after="0"/>
              <w:rPr>
                <w:sz w:val="1"/>
                <w:szCs w:val="1"/>
                <w:color w:val="auto"/>
              </w:rPr>
            </w:pPr>
          </w:p>
        </w:tc>
      </w:tr>
      <w:tr>
        <w:trPr>
          <w:trHeight w:val="129"/>
        </w:trPr>
        <w:tc>
          <w:tcPr>
            <w:tcW w:w="39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per share attributable to common stockholders, basic and</w:t>
            </w:r>
          </w:p>
        </w:tc>
        <w:tc>
          <w:tcPr>
            <w:tcW w:w="2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(8.77)</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24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diluted </w:t>
            </w:r>
            <w:r>
              <w:rPr>
                <w:rFonts w:ascii="Arial" w:cs="Arial" w:eastAsia="Arial" w:hAnsi="Arial"/>
                <w:sz w:val="16"/>
                <w:szCs w:val="16"/>
                <w:color w:val="auto"/>
                <w:vertAlign w:val="superscript"/>
              </w:rPr>
              <w:t>(2)</w:t>
            </w:r>
          </w:p>
        </w:tc>
        <w:tc>
          <w:tcPr>
            <w:tcW w:w="20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3" w:lineRule="exact"/>
        <w:rPr>
          <w:sz w:val="20"/>
          <w:szCs w:val="20"/>
          <w:color w:val="auto"/>
        </w:rPr>
      </w:pPr>
    </w:p>
    <w:p>
      <w:pPr>
        <w:spacing w:after="0"/>
        <w:rPr>
          <w:sz w:val="20"/>
          <w:szCs w:val="20"/>
          <w:color w:val="auto"/>
        </w:rPr>
      </w:pPr>
      <w:r>
        <w:rPr>
          <w:rFonts w:ascii="Arial" w:cs="Arial" w:eastAsia="Arial" w:hAnsi="Arial"/>
          <w:sz w:val="10"/>
          <w:szCs w:val="10"/>
          <w:color w:val="auto"/>
        </w:rPr>
        <w:t>(1) The sum of the (loss) income per share for the four quarters may differ from annual (loss) income per share due to the required method of computing the weighted average shares in interim periods.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6"/>
              </w:rPr>
              <w:t>Year ended</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Jun. 30, 2021</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Jun. 30, 2021</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Mar. 31, 2021</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Dec. 31, 2020</w:t>
            </w: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Sept. 30, 2020</w:t>
            </w: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296"/>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4,021.8</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936.9</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1,262.2</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1,064.8</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757.9</w:t>
            </w:r>
          </w:p>
        </w:tc>
        <w:tc>
          <w:tcPr>
            <w:tcW w:w="0" w:type="dxa"/>
            <w:vAlign w:val="bottom"/>
          </w:tcPr>
          <w:p>
            <w:pPr>
              <w:spacing w:after="0"/>
              <w:rPr>
                <w:sz w:val="1"/>
                <w:szCs w:val="1"/>
                <w:color w:val="auto"/>
              </w:rPr>
            </w:pPr>
          </w:p>
        </w:tc>
      </w:tr>
      <w:tr>
        <w:trPr>
          <w:trHeight w:val="169"/>
        </w:trPr>
        <w:tc>
          <w:tcPr>
            <w:tcW w:w="396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1,454.4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254.7</w:t>
            </w:r>
          </w:p>
        </w:tc>
        <w:tc>
          <w:tcPr>
            <w:tcW w:w="240" w:type="dxa"/>
            <w:vAlign w:val="bottom"/>
          </w:tcPr>
          <w:p>
            <w:pPr>
              <w:spacing w:after="0"/>
              <w:rPr>
                <w:sz w:val="14"/>
                <w:szCs w:val="14"/>
                <w:color w:val="auto"/>
              </w:rPr>
            </w:pP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445.1</w:t>
            </w:r>
          </w:p>
        </w:tc>
        <w:tc>
          <w:tcPr>
            <w:tcW w:w="240" w:type="dxa"/>
            <w:vAlign w:val="bottom"/>
          </w:tcPr>
          <w:p>
            <w:pPr>
              <w:spacing w:after="0"/>
              <w:rPr>
                <w:sz w:val="14"/>
                <w:szCs w:val="14"/>
                <w:color w:val="auto"/>
              </w:rPr>
            </w:pP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425.1</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329.5</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(Loss) income from operations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(301.5)</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58.8</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69"/>
        </w:trPr>
        <w:tc>
          <w:tcPr>
            <w:tcW w:w="396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(189.0)</w:t>
            </w:r>
          </w:p>
        </w:tc>
        <w:tc>
          <w:tcPr>
            <w:tcW w:w="6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(313.2)</w:t>
            </w: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(8.6)</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63.6</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29"/>
        </w:trPr>
        <w:tc>
          <w:tcPr>
            <w:tcW w:w="3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income per share attributable to common stockholders,</w:t>
            </w:r>
          </w:p>
        </w:tc>
        <w:tc>
          <w:tcPr>
            <w:tcW w:w="1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(0.64)</w:t>
            </w:r>
          </w:p>
        </w:tc>
        <w:tc>
          <w:tcPr>
            <w:tcW w:w="6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4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0.22</w:t>
            </w: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basic </w:t>
            </w:r>
            <w:r>
              <w:rPr>
                <w:rFonts w:ascii="Arial" w:cs="Arial" w:eastAsia="Arial" w:hAnsi="Arial"/>
                <w:sz w:val="16"/>
                <w:szCs w:val="16"/>
                <w:color w:val="auto"/>
                <w:vertAlign w:val="superscript"/>
              </w:rPr>
              <w:t>(2)</w:t>
            </w: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960" w:type="dxa"/>
            <w:vAlign w:val="bottom"/>
          </w:tcPr>
          <w:p>
            <w:pPr>
              <w:ind w:left="20"/>
              <w:spacing w:after="0" w:line="128" w:lineRule="exact"/>
              <w:rPr>
                <w:sz w:val="20"/>
                <w:szCs w:val="20"/>
                <w:color w:val="auto"/>
              </w:rPr>
            </w:pPr>
            <w:r>
              <w:rPr>
                <w:rFonts w:ascii="Arial" w:cs="Arial" w:eastAsia="Arial" w:hAnsi="Arial"/>
                <w:sz w:val="13"/>
                <w:szCs w:val="13"/>
                <w:color w:val="auto"/>
              </w:rPr>
              <w:t>Net (loss) income per share attributable to common stockholders,</w:t>
            </w: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(0.64)</w:t>
            </w:r>
          </w:p>
        </w:tc>
        <w:tc>
          <w:tcPr>
            <w:tcW w:w="60" w:type="dxa"/>
            <w:vAlign w:val="bottom"/>
          </w:tcPr>
          <w:p>
            <w:pPr>
              <w:spacing w:after="0"/>
              <w:rPr>
                <w:sz w:val="11"/>
                <w:szCs w:val="11"/>
                <w:color w:val="auto"/>
              </w:rPr>
            </w:pP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(1.05)</w:t>
            </w:r>
          </w:p>
        </w:tc>
        <w:tc>
          <w:tcPr>
            <w:tcW w:w="24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(0.03)</w:t>
            </w:r>
          </w:p>
        </w:tc>
        <w:tc>
          <w:tcPr>
            <w:tcW w:w="24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16"/>
              <w:spacing w:after="0"/>
              <w:rPr>
                <w:sz w:val="20"/>
                <w:szCs w:val="20"/>
                <w:color w:val="auto"/>
              </w:rPr>
            </w:pPr>
            <w:r>
              <w:rPr>
                <w:rFonts w:ascii="Arial" w:cs="Arial" w:eastAsia="Arial" w:hAnsi="Arial"/>
                <w:sz w:val="13"/>
                <w:szCs w:val="13"/>
                <w:color w:val="auto"/>
              </w:rPr>
              <w:t>0.18</w:t>
            </w:r>
          </w:p>
        </w:tc>
        <w:tc>
          <w:tcPr>
            <w:tcW w:w="24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3"/>
                <w:szCs w:val="13"/>
                <w:color w:val="auto"/>
              </w:rPr>
              <w:t xml:space="preserve">diluted </w:t>
            </w:r>
            <w:r>
              <w:rPr>
                <w:rFonts w:ascii="Arial" w:cs="Arial" w:eastAsia="Arial" w:hAnsi="Arial"/>
                <w:sz w:val="16"/>
                <w:szCs w:val="16"/>
                <w:color w:val="auto"/>
                <w:vertAlign w:val="superscript"/>
              </w:rPr>
              <w:t>(2)</w:t>
            </w:r>
          </w:p>
        </w:tc>
        <w:tc>
          <w:tcPr>
            <w:tcW w:w="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53" w:lineRule="exact"/>
        <w:rPr>
          <w:sz w:val="20"/>
          <w:szCs w:val="20"/>
          <w:color w:val="auto"/>
        </w:rPr>
      </w:pPr>
    </w:p>
    <w:p>
      <w:pPr>
        <w:ind w:left="160" w:hanging="155"/>
        <w:spacing w:after="0"/>
        <w:tabs>
          <w:tab w:leader="none" w:pos="160" w:val="left"/>
        </w:tabs>
        <w:numPr>
          <w:ilvl w:val="0"/>
          <w:numId w:val="46"/>
        </w:numPr>
        <w:rPr>
          <w:rFonts w:ascii="Arial" w:cs="Arial" w:eastAsia="Arial" w:hAnsi="Arial"/>
          <w:sz w:val="10"/>
          <w:szCs w:val="10"/>
          <w:color w:val="auto"/>
        </w:rPr>
      </w:pPr>
      <w:r>
        <w:rPr>
          <w:rFonts w:ascii="Arial" w:cs="Arial" w:eastAsia="Arial" w:hAnsi="Arial"/>
          <w:sz w:val="10"/>
          <w:szCs w:val="10"/>
          <w:color w:val="auto"/>
        </w:rPr>
        <w:t>Net income from operations for the three months ended September 30, 2020 and December 31, 2020, reflects strong demand due to the COVID-19 pandemic coupled with the pause on the majority of marketing spend.</w:t>
      </w:r>
    </w:p>
    <w:p>
      <w:pPr>
        <w:spacing w:after="0" w:line="9" w:lineRule="exact"/>
        <w:rPr>
          <w:rFonts w:ascii="Arial" w:cs="Arial" w:eastAsia="Arial" w:hAnsi="Arial"/>
          <w:sz w:val="10"/>
          <w:szCs w:val="10"/>
          <w:color w:val="auto"/>
        </w:rPr>
      </w:pPr>
    </w:p>
    <w:p>
      <w:pPr>
        <w:ind w:left="160" w:hanging="155"/>
        <w:spacing w:after="0"/>
        <w:tabs>
          <w:tab w:leader="none" w:pos="16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The sum of the (loss) income per share for the four quarters may differ from annual (loss) income per share due to the required method of computing the weighted average shares in interim periods.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color w:val="auto"/>
        </w:rPr>
        <w:t>21. Subsequent Events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July 1, 2022, the Compensation Committee approved a one-time repricing of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original exercise prices of the repriced stock options ranged from $12.94 to $146.79 per share for the 2,138 total grantees. Each stock option was repriced to have a per share exercise price of $9.13. There were no changes to the number of shares, the vesting schedule or the expiration date of the repriced stock options.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81" w:right="319" w:bottom="1440" w:gutter="0" w:footer="0" w:header="0"/>
        </w:sectPr>
      </w:pPr>
    </w:p>
    <w:bookmarkStart w:id="104" w:name="page105"/>
    <w:bookmarkEnd w:id="104"/>
    <w:p>
      <w:pPr>
        <w:ind w:right="4199"/>
        <w:spacing w:after="0" w:line="266" w:lineRule="auto"/>
        <w:rPr>
          <w:sz w:val="20"/>
          <w:szCs w:val="20"/>
          <w:color w:val="auto"/>
        </w:rPr>
      </w:pPr>
      <w:r>
        <w:rPr>
          <w:rFonts w:ascii="Arial" w:cs="Arial" w:eastAsia="Arial" w:hAnsi="Arial"/>
          <w:sz w:val="13"/>
          <w:szCs w:val="13"/>
          <w:b w:val="1"/>
          <w:bCs w:val="1"/>
          <w:color w:val="auto"/>
        </w:rPr>
        <w:t xml:space="preserve">Item 9. Changes in and Disagreements with Accountants on Accounting and Financial Disclosures </w:t>
      </w:r>
      <w:r>
        <w:rPr>
          <w:rFonts w:ascii="Arial" w:cs="Arial" w:eastAsia="Arial" w:hAnsi="Arial"/>
          <w:sz w:val="13"/>
          <w:szCs w:val="13"/>
          <w:color w:val="auto"/>
        </w:rPr>
        <w:t>None.</w:t>
      </w: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638" w:right="1440"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4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Under the supervision of our Chief Executive Officer and Chief Financial Officer, we evaluated the effectiveness of our disclosure controls and procedures (as defined in Rules 13a-15(e) and 15d-15(e) under the Exchange Act) as of June 30, 2022.</w:t>
      </w:r>
    </w:p>
    <w:p>
      <w:pPr>
        <w:spacing w:after="0" w:line="146"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a material weakness in our internal control over financial reporting. Solely as a result of this material weakness, our Chief Executive Officer and Chief Financial Officer concluded that our disclosure controls and procedures were not effective as of June 30, 2022 due to the material weaknesses in our internal control over financial reporting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41"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for the Company. With the participation of the Chief Executive Officer and the Chief Financial Officer, management conducted an evaluation of the effectiveness of our internal control over financial reporting as of June 30, 2022 based on the guidelines established in the Internal Control—Integrated Framework (2013 framework) issued by the Committee of Sponsoring Organizations of the Treadway Commission (COSO). Based on that evaluation, our management concluded that our internal control over financial reporting was not effective as of June 30, 2022 because of the material weaknesses described below.</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Material Weaknesses</w:t>
      </w:r>
    </w:p>
    <w:p>
      <w:pPr>
        <w:spacing w:after="0" w:line="31"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57"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As first reported in Item 9A. “Controls and Procedures” of our Annual Report on Form 10-K for the fiscal year ended June 30, 2021, we previously identified a material weakness in our internal control over financial reporting related to controls around the existence, completeness, and valuation of inventory.</w:t>
      </w:r>
    </w:p>
    <w:p>
      <w:pPr>
        <w:spacing w:after="0" w:line="146"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color w:val="auto"/>
        </w:rPr>
        <w:t>While management has made enhancements to its physical inventory compilation process throughout fiscal year 2022, we identified ongoing deficiencies in the operation of controls to validate the completeness and accuracy of key reports used in compiling and reviewing the results of our physical inventory counts.</w:t>
      </w:r>
    </w:p>
    <w:p>
      <w:pPr>
        <w:spacing w:after="0" w:line="167"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These same reports are also used in other controls over the valuation of ending inventory balances which results in those controls also being deficient. We continue to implement remediation efforts, which include:</w:t>
      </w:r>
    </w:p>
    <w:p>
      <w:pPr>
        <w:spacing w:after="0" w:line="167"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Increasing our communication with third-party logistics providers and our oversight over third-party logistics providers’ inventory management policies and procedures.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Implementing additional monitoring controls to ensure consistency of inventory data across Peloton internal systems, our warehouses, and third-party logistic providers.</w:t>
      </w:r>
    </w:p>
    <w:p>
      <w:pPr>
        <w:ind w:left="500" w:hanging="240"/>
        <w:spacing w:after="0"/>
        <w:tabs>
          <w:tab w:leader="none" w:pos="5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Evaluating the effectiveness of our current cycle count program and controls, including IT general controls over systems facilitating cycle counts, to automate inventory count and reporting.</w:t>
      </w:r>
    </w:p>
    <w:p>
      <w:pPr>
        <w:spacing w:after="0" w:line="17" w:lineRule="exact"/>
        <w:rPr>
          <w:rFonts w:ascii="Arial" w:cs="Arial" w:eastAsia="Arial" w:hAnsi="Arial"/>
          <w:sz w:val="12"/>
          <w:szCs w:val="12"/>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Providing training of standard operating procedures and internal controls to key stakeholders within the supply chain, logistics, and inventory processes.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in connection with our assessment of the effectiveness of internal control over financial reporting as of June 30, 2022, control deficiencies were identified that, in the aggregate, represent a material weakness in our internal control over financial reporting. These control deficiencies relate to (i) the design of our controls associated with the application of fair value measurements pertaining to goodwill and long-lived asset impairment analyses, as well as (ii) evidence of the review supporting the validation of the inputs and assumptions used in our goodwill and long-lived asset impairment testing and restructuring assessment. In order to remediate this material weakness, we are implementing the following measures:</w:t>
      </w:r>
    </w:p>
    <w:p>
      <w:pPr>
        <w:spacing w:after="0" w:line="176" w:lineRule="exact"/>
        <w:rPr>
          <w:sz w:val="20"/>
          <w:szCs w:val="20"/>
          <w:color w:val="auto"/>
        </w:rPr>
      </w:pPr>
    </w:p>
    <w:p>
      <w:pPr>
        <w:ind w:left="520" w:right="140" w:hanging="260"/>
        <w:spacing w:after="0" w:line="248" w:lineRule="auto"/>
        <w:tabs>
          <w:tab w:leader="none" w:pos="511" w:val="left"/>
        </w:tabs>
        <w:numPr>
          <w:ilvl w:val="0"/>
          <w:numId w:val="48"/>
        </w:numPr>
        <w:rPr>
          <w:rFonts w:ascii="Arial" w:cs="Arial" w:eastAsia="Arial" w:hAnsi="Arial"/>
          <w:sz w:val="13"/>
          <w:szCs w:val="13"/>
          <w:color w:val="auto"/>
        </w:rPr>
      </w:pPr>
      <w:r>
        <w:rPr>
          <w:rFonts w:ascii="Arial" w:cs="Arial" w:eastAsia="Arial" w:hAnsi="Arial"/>
          <w:sz w:val="13"/>
          <w:szCs w:val="13"/>
          <w:color w:val="auto"/>
        </w:rPr>
        <w:t>Enhancing the design of our controls and implementing guidelines setting forth specific requirements for documenting our procedures for validating the data used in our impairment analysis and restructuring assessment.</w:t>
      </w:r>
    </w:p>
    <w:p>
      <w:pPr>
        <w:ind w:left="520" w:right="40" w:hanging="260"/>
        <w:spacing w:after="0" w:line="229" w:lineRule="auto"/>
        <w:tabs>
          <w:tab w:leader="none" w:pos="511" w:val="left"/>
        </w:tabs>
        <w:numPr>
          <w:ilvl w:val="0"/>
          <w:numId w:val="48"/>
        </w:numPr>
        <w:rPr>
          <w:rFonts w:ascii="Arial" w:cs="Arial" w:eastAsia="Arial" w:hAnsi="Arial"/>
          <w:sz w:val="13"/>
          <w:szCs w:val="13"/>
          <w:color w:val="auto"/>
        </w:rPr>
      </w:pPr>
      <w:r>
        <w:rPr>
          <w:rFonts w:ascii="Arial" w:cs="Arial" w:eastAsia="Arial" w:hAnsi="Arial"/>
          <w:sz w:val="13"/>
          <w:szCs w:val="13"/>
          <w:color w:val="auto"/>
        </w:rPr>
        <w:t>Implementing additional review and analysis procedures to validate compliance with our guidelines and our policies outlining the application fair value in accounting processes when required, including steps to improve the operation and monitoring of control activities and procedures associated with our impairment assessments.</w:t>
      </w:r>
    </w:p>
    <w:p>
      <w:pPr>
        <w:spacing w:after="0" w:line="1" w:lineRule="exact"/>
        <w:rPr>
          <w:rFonts w:ascii="Arial" w:cs="Arial" w:eastAsia="Arial" w:hAnsi="Arial"/>
          <w:sz w:val="13"/>
          <w:szCs w:val="13"/>
          <w:color w:val="auto"/>
        </w:rPr>
      </w:pPr>
    </w:p>
    <w:p>
      <w:pPr>
        <w:ind w:left="520" w:right="140" w:hanging="260"/>
        <w:spacing w:after="0" w:line="264" w:lineRule="auto"/>
        <w:tabs>
          <w:tab w:leader="none" w:pos="511" w:val="left"/>
        </w:tabs>
        <w:numPr>
          <w:ilvl w:val="0"/>
          <w:numId w:val="48"/>
        </w:numPr>
        <w:rPr>
          <w:rFonts w:ascii="Arial" w:cs="Arial" w:eastAsia="Arial" w:hAnsi="Arial"/>
          <w:sz w:val="13"/>
          <w:szCs w:val="13"/>
          <w:color w:val="auto"/>
        </w:rPr>
      </w:pPr>
      <w:r>
        <w:rPr>
          <w:rFonts w:ascii="Arial" w:cs="Arial" w:eastAsia="Arial" w:hAnsi="Arial"/>
          <w:sz w:val="13"/>
          <w:szCs w:val="13"/>
          <w:color w:val="auto"/>
        </w:rPr>
        <w:t>Determining any additional resources that may be necessary to effectively implement additional review and analysis procedures over the assumptions, inputs, and methodologies described herein.</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The actions that we are taking are subject to ongoing senior management review, as well as oversight of the audit committee of our Board of Directors. We also may conclude that additional measures may be required to remediate the material weaknesses or determine to modify the remediation plans described above. We will not be able to conclude that we have remediated the material weaknesses until the applicable controls are fully implemented and operate for a sufficient period of time and management has concluded, through formal testing, that these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681" w:right="379" w:bottom="1440" w:gutter="0" w:footer="0" w:header="0"/>
        </w:sectPr>
      </w:pPr>
    </w:p>
    <w:bookmarkStart w:id="106" w:name="page107"/>
    <w:bookmarkEnd w:id="106"/>
    <w:p>
      <w:pPr>
        <w:ind w:right="120"/>
        <w:spacing w:after="0" w:line="266" w:lineRule="auto"/>
        <w:rPr>
          <w:sz w:val="20"/>
          <w:szCs w:val="20"/>
          <w:color w:val="auto"/>
        </w:rPr>
      </w:pPr>
      <w:r>
        <w:rPr>
          <w:rFonts w:ascii="Arial" w:cs="Arial" w:eastAsia="Arial" w:hAnsi="Arial"/>
          <w:sz w:val="13"/>
          <w:szCs w:val="13"/>
          <w:color w:val="auto"/>
        </w:rPr>
        <w:t>controls are operating effectively. We will continue to monitor the design and effectiveness of these and other processes, procedures, and controls and make any further changes management deems appropriate.</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These material weaknesses did not result in any material misstatements in our financial statements or disclosures. Based on additional procedures and post-closing review, management concluded that the consolidated financial statements included in this Annual Report on Form 10-K present fairly, in all material respects, our financial position, results of operations, and cash flows for the periods presented in conformity with accounting principles generally accepted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41"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Other than the remediation efforts described above, there were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the Effectiveness of Disclosure Controls and Procedures</w:t>
      </w:r>
    </w:p>
    <w:p>
      <w:pPr>
        <w:spacing w:after="0" w:line="31"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 of Independent Registered Public Accounting Firm</w:t>
      </w:r>
    </w:p>
    <w:p>
      <w:pPr>
        <w:spacing w:after="0" w:line="31"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Ernst &amp; Young LLP, our independent registered public accounting firm that audited the consolidated financial statements, has issued an audit report on our internal control over financial reporting as of June 30, 2022, which is included in Item 8 of this Annual Report on Form 10-K.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color w:val="auto"/>
        </w:rPr>
        <w:t>Item 9B. Other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20"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71" w:right="1440"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color w:val="auto"/>
        </w:rPr>
        <w:t>Item 9C. Disclosure Regarding Foreign Jurisdictions that Prevent Inspections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63"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PART III</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information required by this item will be included in our Proxy Statement for the 2022 Annual Meeting of Stockholders to be filed with the SEC, within 120 days of the fiscal year ended June 30, 2022, and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Executive Compensation</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information required by this item will be included in our Proxy Statement for the 2022 Annual Meeting of Stockholders to be filed with the SEC, within 120 days of the fiscal year ended June 30, 2022, and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Securities Ownership of Certain Beneficial Owners and Management and Related Stockholder Matters</w:t>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information required by this item will be included in our Proxy Statement for the 2022 Annual Meeting of Stockholders to be filed with the SEC, within 120 days of the fiscal year ended June 30, 2022, and is incorporated herein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information required by this item will be included in our Proxy Statement for the 2022 Annual Meeting of Stockholders to be filed with the SEC, within 120 days of the fiscal year ended June 30, 2022, and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information required by this item will be included in our Proxy Statement for the 2022 Annual Meeting of Stockholders to be filed with the SEC, within 120 days of the fiscal year ended June 30, 2022, and is incorporated herein by reference.</w:t>
      </w:r>
    </w:p>
    <w:p>
      <w:pPr>
        <w:spacing w:after="0" w:line="146" w:lineRule="exact"/>
        <w:rPr>
          <w:sz w:val="20"/>
          <w:szCs w:val="20"/>
          <w:color w:val="auto"/>
        </w:rPr>
      </w:pPr>
    </w:p>
    <w:p>
      <w:pPr>
        <w:jc w:val="center"/>
        <w:ind w:right="-259"/>
        <w:spacing w:after="0"/>
        <w:rPr>
          <w:sz w:val="20"/>
          <w:szCs w:val="20"/>
          <w:color w:val="auto"/>
        </w:rPr>
      </w:pPr>
      <w:r>
        <w:rPr>
          <w:rFonts w:ascii="Arial" w:cs="Arial" w:eastAsia="Arial" w:hAnsi="Arial"/>
          <w:sz w:val="13"/>
          <w:szCs w:val="13"/>
          <w:b w:val="1"/>
          <w:bCs w:val="1"/>
          <w:color w:val="auto"/>
        </w:rPr>
        <w:t>Part IV</w:t>
      </w:r>
    </w:p>
    <w:p>
      <w:pPr>
        <w:spacing w:after="0" w:line="360"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808" w:right="55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documents are filed, furnished or incorporated by reference as part of this Annual Report on Form 10-K:</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Our consolidated financial statements are listed in the “Index to Consolidated Financial Statements” under Part II, Item 8, of this Annual Report on Form 10-K.</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Financial Statement Schedules</w:t>
      </w:r>
    </w:p>
    <w:p>
      <w:pPr>
        <w:spacing w:after="0" w:line="190"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All financial statement schedules have been omitted because they are not required or are not applicable, or the required information is shown in our consolidated financial statements or the notes thereto.</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shd w:val="clear" w:color="auto" w:fill="FEFEFE"/>
          </w:tcPr>
          <w:p>
            <w:pPr>
              <w:spacing w:after="0"/>
              <w:rPr>
                <w:sz w:val="13"/>
                <w:szCs w:val="13"/>
                <w:color w:val="auto"/>
              </w:rPr>
            </w:pPr>
          </w:p>
        </w:tc>
        <w:tc>
          <w:tcPr>
            <w:tcW w:w="178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300" w:type="dxa"/>
            <w:vAlign w:val="bottom"/>
            <w:shd w:val="clear" w:color="auto" w:fill="FEFEFE"/>
          </w:tcPr>
          <w:p>
            <w:pPr>
              <w:spacing w:after="0"/>
              <w:rPr>
                <w:sz w:val="13"/>
                <w:szCs w:val="13"/>
                <w:color w:val="auto"/>
              </w:rPr>
            </w:pPr>
          </w:p>
        </w:tc>
        <w:tc>
          <w:tcPr>
            <w:tcW w:w="260" w:type="dxa"/>
            <w:vAlign w:val="bottom"/>
            <w:shd w:val="clear" w:color="auto" w:fill="FEFEFE"/>
          </w:tcPr>
          <w:p>
            <w:pPr>
              <w:spacing w:after="0"/>
              <w:rPr>
                <w:sz w:val="13"/>
                <w:szCs w:val="13"/>
                <w:color w:val="auto"/>
              </w:rPr>
            </w:pPr>
          </w:p>
        </w:tc>
        <w:tc>
          <w:tcPr>
            <w:tcW w:w="400" w:type="dxa"/>
            <w:vAlign w:val="bottom"/>
            <w:shd w:val="clear" w:color="auto" w:fill="FEFEFE"/>
          </w:tcPr>
          <w:p>
            <w:pPr>
              <w:spacing w:after="0"/>
              <w:rPr>
                <w:sz w:val="13"/>
                <w:szCs w:val="13"/>
                <w:color w:val="auto"/>
              </w:rPr>
            </w:pPr>
          </w:p>
        </w:tc>
        <w:tc>
          <w:tcPr>
            <w:tcW w:w="400" w:type="dxa"/>
            <w:vAlign w:val="bottom"/>
            <w:shd w:val="clear" w:color="auto" w:fill="FEFEFE"/>
          </w:tcPr>
          <w:p>
            <w:pPr>
              <w:spacing w:after="0"/>
              <w:rPr>
                <w:sz w:val="13"/>
                <w:szCs w:val="13"/>
                <w:color w:val="auto"/>
              </w:rPr>
            </w:pPr>
          </w:p>
        </w:tc>
        <w:tc>
          <w:tcPr>
            <w:tcW w:w="7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700" w:type="dxa"/>
            <w:vAlign w:val="bottom"/>
            <w:shd w:val="clear" w:color="auto" w:fill="FEFEFE"/>
          </w:tcPr>
          <w:p>
            <w:pPr>
              <w:spacing w:after="0"/>
              <w:rPr>
                <w:sz w:val="13"/>
                <w:szCs w:val="13"/>
                <w:color w:val="auto"/>
              </w:rPr>
            </w:pPr>
          </w:p>
        </w:tc>
        <w:tc>
          <w:tcPr>
            <w:tcW w:w="2700" w:type="dxa"/>
            <w:vAlign w:val="bottom"/>
            <w:gridSpan w:val="2"/>
            <w:shd w:val="clear" w:color="auto" w:fill="FEFEFE"/>
          </w:tcPr>
          <w:p>
            <w:pPr>
              <w:jc w:val="right"/>
              <w:ind w:right="336"/>
              <w:spacing w:after="0"/>
              <w:rPr>
                <w:sz w:val="20"/>
                <w:szCs w:val="20"/>
                <w:color w:val="auto"/>
              </w:rPr>
            </w:pPr>
            <w:r>
              <w:rPr>
                <w:rFonts w:ascii="Arial" w:cs="Arial" w:eastAsia="Arial" w:hAnsi="Arial"/>
                <w:sz w:val="13"/>
                <w:szCs w:val="13"/>
                <w:color w:val="auto"/>
              </w:rPr>
              <w:t>Incorporated by Reference</w:t>
            </w:r>
          </w:p>
        </w:tc>
        <w:tc>
          <w:tcPr>
            <w:tcW w:w="1100" w:type="dxa"/>
            <w:vAlign w:val="bottom"/>
            <w:shd w:val="clear" w:color="auto" w:fill="FEFEFE"/>
          </w:tcPr>
          <w:p>
            <w:pPr>
              <w:spacing w:after="0"/>
              <w:rPr>
                <w:sz w:val="13"/>
                <w:szCs w:val="13"/>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w w:val="97"/>
              </w:rPr>
              <w:t>Filed or Furnished</w:t>
            </w:r>
          </w:p>
        </w:tc>
      </w:tr>
      <w:tr>
        <w:trPr>
          <w:trHeight w:val="171"/>
        </w:trPr>
        <w:tc>
          <w:tcPr>
            <w:tcW w:w="1000" w:type="dxa"/>
            <w:vAlign w:val="bottom"/>
            <w:tcBorders>
              <w:bottom w:val="single" w:sz="8" w:color="FEFEFE"/>
            </w:tcBorders>
            <w:shd w:val="clear" w:color="auto" w:fill="FEFEFE"/>
          </w:tcPr>
          <w:p>
            <w:pPr>
              <w:spacing w:after="0"/>
              <w:rPr>
                <w:sz w:val="14"/>
                <w:szCs w:val="14"/>
                <w:color w:val="auto"/>
              </w:rPr>
            </w:pPr>
          </w:p>
        </w:tc>
        <w:tc>
          <w:tcPr>
            <w:tcW w:w="1780" w:type="dxa"/>
            <w:vAlign w:val="bottom"/>
            <w:tcBorders>
              <w:bottom w:val="single" w:sz="8" w:color="FEFEFE"/>
            </w:tcBorders>
            <w:shd w:val="clear" w:color="auto" w:fill="FEFEFE"/>
          </w:tcPr>
          <w:p>
            <w:pPr>
              <w:spacing w:after="0"/>
              <w:rPr>
                <w:sz w:val="14"/>
                <w:szCs w:val="14"/>
                <w:color w:val="auto"/>
              </w:rPr>
            </w:pPr>
          </w:p>
        </w:tc>
        <w:tc>
          <w:tcPr>
            <w:tcW w:w="2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300" w:type="dxa"/>
            <w:vAlign w:val="bottom"/>
            <w:tcBorders>
              <w:bottom w:val="single" w:sz="8" w:color="FEFEFE"/>
            </w:tcBorders>
            <w:shd w:val="clear" w:color="auto" w:fill="FEFEFE"/>
          </w:tcPr>
          <w:p>
            <w:pPr>
              <w:spacing w:after="0"/>
              <w:rPr>
                <w:sz w:val="14"/>
                <w:szCs w:val="14"/>
                <w:color w:val="auto"/>
              </w:rPr>
            </w:pPr>
          </w:p>
        </w:tc>
        <w:tc>
          <w:tcPr>
            <w:tcW w:w="26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FEFEFE"/>
            </w:tcBorders>
            <w:shd w:val="clear" w:color="auto" w:fill="FEFEFE"/>
          </w:tcPr>
          <w:p>
            <w:pPr>
              <w:spacing w:after="0"/>
              <w:rPr>
                <w:sz w:val="14"/>
                <w:szCs w:val="14"/>
                <w:color w:val="auto"/>
              </w:rPr>
            </w:pPr>
          </w:p>
        </w:tc>
        <w:tc>
          <w:tcPr>
            <w:tcW w:w="740" w:type="dxa"/>
            <w:vAlign w:val="bottom"/>
            <w:tcBorders>
              <w:bottom w:val="single" w:sz="8" w:color="FEFEFE"/>
            </w:tcBorders>
            <w:shd w:val="clear" w:color="auto" w:fill="FEFEFE"/>
          </w:tcPr>
          <w:p>
            <w:pPr>
              <w:spacing w:after="0"/>
              <w:rPr>
                <w:sz w:val="14"/>
                <w:szCs w:val="14"/>
                <w:color w:val="auto"/>
              </w:rPr>
            </w:pPr>
          </w:p>
        </w:tc>
        <w:tc>
          <w:tcPr>
            <w:tcW w:w="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80" w:type="dxa"/>
            <w:vAlign w:val="bottom"/>
            <w:tcBorders>
              <w:bottom w:val="single" w:sz="8" w:color="FEFEFE"/>
            </w:tcBorders>
            <w:shd w:val="clear" w:color="auto" w:fill="FEFEFE"/>
          </w:tcPr>
          <w:p>
            <w:pPr>
              <w:spacing w:after="0"/>
              <w:rPr>
                <w:sz w:val="14"/>
                <w:szCs w:val="14"/>
                <w:color w:val="auto"/>
              </w:rPr>
            </w:pPr>
          </w:p>
        </w:tc>
        <w:tc>
          <w:tcPr>
            <w:tcW w:w="2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700" w:type="dxa"/>
            <w:vAlign w:val="bottom"/>
            <w:tcBorders>
              <w:bottom w:val="single" w:sz="8" w:color="auto"/>
            </w:tcBorders>
            <w:shd w:val="clear" w:color="auto" w:fill="FEFEFE"/>
          </w:tcPr>
          <w:p>
            <w:pPr>
              <w:spacing w:after="0"/>
              <w:rPr>
                <w:sz w:val="14"/>
                <w:szCs w:val="14"/>
                <w:color w:val="auto"/>
              </w:rPr>
            </w:pPr>
          </w:p>
        </w:tc>
        <w:tc>
          <w:tcPr>
            <w:tcW w:w="1300" w:type="dxa"/>
            <w:vAlign w:val="bottom"/>
            <w:tcBorders>
              <w:bottom w:val="single" w:sz="8" w:color="auto"/>
            </w:tcBorders>
            <w:shd w:val="clear" w:color="auto" w:fill="FEFEFE"/>
          </w:tcPr>
          <w:p>
            <w:pPr>
              <w:spacing w:after="0"/>
              <w:rPr>
                <w:sz w:val="14"/>
                <w:szCs w:val="14"/>
                <w:color w:val="auto"/>
              </w:rPr>
            </w:pPr>
          </w:p>
        </w:tc>
        <w:tc>
          <w:tcPr>
            <w:tcW w:w="1400" w:type="dxa"/>
            <w:vAlign w:val="bottom"/>
            <w:tcBorders>
              <w:bottom w:val="single" w:sz="8" w:color="auto"/>
            </w:tcBorders>
            <w:shd w:val="clear" w:color="auto" w:fill="FEFEFE"/>
          </w:tcPr>
          <w:p>
            <w:pPr>
              <w:spacing w:after="0"/>
              <w:rPr>
                <w:sz w:val="14"/>
                <w:szCs w:val="14"/>
                <w:color w:val="auto"/>
              </w:rPr>
            </w:pPr>
          </w:p>
        </w:tc>
        <w:tc>
          <w:tcPr>
            <w:tcW w:w="1100" w:type="dxa"/>
            <w:vAlign w:val="bottom"/>
            <w:tcBorders>
              <w:bottom w:val="single" w:sz="8" w:color="auto"/>
            </w:tcBorders>
            <w:shd w:val="clear" w:color="auto" w:fill="FEFEFE"/>
          </w:tcPr>
          <w:p>
            <w:pPr>
              <w:spacing w:after="0"/>
              <w:rPr>
                <w:sz w:val="14"/>
                <w:szCs w:val="14"/>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w w:val="97"/>
              </w:rPr>
              <w:t>Herewith</w:t>
            </w:r>
          </w:p>
        </w:tc>
      </w:tr>
      <w:tr>
        <w:trPr>
          <w:trHeight w:val="138"/>
        </w:trPr>
        <w:tc>
          <w:tcPr>
            <w:tcW w:w="1000" w:type="dxa"/>
            <w:vAlign w:val="bottom"/>
            <w:shd w:val="clear" w:color="auto" w:fill="FEFEFE"/>
          </w:tcPr>
          <w:p>
            <w:pPr>
              <w:jc w:val="right"/>
              <w:ind w:right="316"/>
              <w:spacing w:after="0" w:line="138" w:lineRule="exact"/>
              <w:rPr>
                <w:sz w:val="20"/>
                <w:szCs w:val="20"/>
                <w:color w:val="auto"/>
              </w:rPr>
            </w:pPr>
            <w:r>
              <w:rPr>
                <w:rFonts w:ascii="Arial" w:cs="Arial" w:eastAsia="Arial" w:hAnsi="Arial"/>
                <w:sz w:val="13"/>
                <w:szCs w:val="13"/>
                <w:color w:val="auto"/>
              </w:rPr>
              <w:t>Exhibit</w:t>
            </w:r>
          </w:p>
        </w:tc>
        <w:tc>
          <w:tcPr>
            <w:tcW w:w="1780" w:type="dxa"/>
            <w:vAlign w:val="bottom"/>
            <w:shd w:val="clear" w:color="auto" w:fill="FEFEFE"/>
          </w:tcPr>
          <w:p>
            <w:pPr>
              <w:spacing w:after="0"/>
              <w:rPr>
                <w:sz w:val="12"/>
                <w:szCs w:val="12"/>
                <w:color w:val="auto"/>
              </w:rPr>
            </w:pPr>
          </w:p>
        </w:tc>
        <w:tc>
          <w:tcPr>
            <w:tcW w:w="2740" w:type="dxa"/>
            <w:vAlign w:val="bottom"/>
            <w:gridSpan w:val="11"/>
            <w:shd w:val="clear" w:color="auto" w:fill="FEFEFE"/>
          </w:tcPr>
          <w:p>
            <w:pPr>
              <w:ind w:left="160"/>
              <w:spacing w:after="0" w:line="138" w:lineRule="exact"/>
              <w:rPr>
                <w:sz w:val="20"/>
                <w:szCs w:val="20"/>
                <w:color w:val="auto"/>
              </w:rPr>
            </w:pPr>
            <w:r>
              <w:rPr>
                <w:rFonts w:ascii="Arial" w:cs="Arial" w:eastAsia="Arial" w:hAnsi="Arial"/>
                <w:sz w:val="13"/>
                <w:szCs w:val="13"/>
                <w:color w:val="auto"/>
              </w:rPr>
              <w:t>Exhibit Title</w:t>
            </w:r>
          </w:p>
        </w:tc>
        <w:tc>
          <w:tcPr>
            <w:tcW w:w="2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700" w:type="dxa"/>
            <w:vAlign w:val="bottom"/>
            <w:shd w:val="clear" w:color="auto" w:fill="FEFEFE"/>
          </w:tcPr>
          <w:p>
            <w:pPr>
              <w:ind w:left="260"/>
              <w:spacing w:after="0" w:line="138" w:lineRule="exact"/>
              <w:rPr>
                <w:sz w:val="20"/>
                <w:szCs w:val="20"/>
                <w:color w:val="auto"/>
              </w:rPr>
            </w:pPr>
            <w:r>
              <w:rPr>
                <w:rFonts w:ascii="Arial" w:cs="Arial" w:eastAsia="Arial" w:hAnsi="Arial"/>
                <w:sz w:val="13"/>
                <w:szCs w:val="13"/>
                <w:color w:val="auto"/>
              </w:rPr>
              <w:t>Form</w:t>
            </w:r>
          </w:p>
        </w:tc>
        <w:tc>
          <w:tcPr>
            <w:tcW w:w="1300" w:type="dxa"/>
            <w:vAlign w:val="bottom"/>
            <w:shd w:val="clear" w:color="auto" w:fill="FEFEFE"/>
          </w:tcPr>
          <w:p>
            <w:pPr>
              <w:ind w:left="460"/>
              <w:spacing w:after="0" w:line="138" w:lineRule="exact"/>
              <w:rPr>
                <w:sz w:val="20"/>
                <w:szCs w:val="20"/>
                <w:color w:val="auto"/>
              </w:rPr>
            </w:pPr>
            <w:r>
              <w:rPr>
                <w:rFonts w:ascii="Arial" w:cs="Arial" w:eastAsia="Arial" w:hAnsi="Arial"/>
                <w:sz w:val="13"/>
                <w:szCs w:val="13"/>
                <w:color w:val="auto"/>
              </w:rPr>
              <w:t>File No.</w:t>
            </w:r>
          </w:p>
        </w:tc>
        <w:tc>
          <w:tcPr>
            <w:tcW w:w="1400" w:type="dxa"/>
            <w:vAlign w:val="bottom"/>
            <w:shd w:val="clear" w:color="auto" w:fill="FEFEFE"/>
          </w:tcPr>
          <w:p>
            <w:pPr>
              <w:jc w:val="right"/>
              <w:ind w:right="556"/>
              <w:spacing w:after="0" w:line="138" w:lineRule="exact"/>
              <w:rPr>
                <w:sz w:val="20"/>
                <w:szCs w:val="20"/>
                <w:color w:val="auto"/>
              </w:rPr>
            </w:pPr>
            <w:r>
              <w:rPr>
                <w:rFonts w:ascii="Arial" w:cs="Arial" w:eastAsia="Arial" w:hAnsi="Arial"/>
                <w:sz w:val="13"/>
                <w:szCs w:val="13"/>
                <w:color w:val="auto"/>
              </w:rPr>
              <w:t>Exhibit</w:t>
            </w:r>
          </w:p>
        </w:tc>
        <w:tc>
          <w:tcPr>
            <w:tcW w:w="1100" w:type="dxa"/>
            <w:vAlign w:val="bottom"/>
            <w:shd w:val="clear" w:color="auto" w:fill="FEFEFE"/>
          </w:tcPr>
          <w:p>
            <w:pPr>
              <w:jc w:val="right"/>
              <w:ind w:right="256"/>
              <w:spacing w:after="0" w:line="138" w:lineRule="exact"/>
              <w:rPr>
                <w:sz w:val="20"/>
                <w:szCs w:val="20"/>
                <w:color w:val="auto"/>
              </w:rPr>
            </w:pPr>
            <w:r>
              <w:rPr>
                <w:rFonts w:ascii="Arial" w:cs="Arial" w:eastAsia="Arial" w:hAnsi="Arial"/>
                <w:sz w:val="13"/>
                <w:szCs w:val="13"/>
                <w:color w:val="auto"/>
              </w:rPr>
              <w:t>Filing Date</w:t>
            </w:r>
          </w:p>
        </w:tc>
        <w:tc>
          <w:tcPr>
            <w:tcW w:w="1220" w:type="dxa"/>
            <w:vAlign w:val="bottom"/>
            <w:shd w:val="clear" w:color="auto" w:fill="FEFEFE"/>
          </w:tcPr>
          <w:p>
            <w:pPr>
              <w:spacing w:after="0"/>
              <w:rPr>
                <w:sz w:val="12"/>
                <w:szCs w:val="12"/>
                <w:color w:val="auto"/>
              </w:rPr>
            </w:pPr>
          </w:p>
        </w:tc>
      </w:tr>
      <w:tr>
        <w:trPr>
          <w:trHeight w:val="171"/>
        </w:trPr>
        <w:tc>
          <w:tcPr>
            <w:tcW w:w="1000" w:type="dxa"/>
            <w:vAlign w:val="bottom"/>
            <w:tcBorders>
              <w:bottom w:val="single" w:sz="8" w:color="FEFEFE"/>
            </w:tcBorders>
            <w:shd w:val="clear" w:color="auto" w:fill="FEFEFE"/>
          </w:tcPr>
          <w:p>
            <w:pPr>
              <w:jc w:val="right"/>
              <w:ind w:right="276"/>
              <w:spacing w:after="0"/>
              <w:rPr>
                <w:sz w:val="20"/>
                <w:szCs w:val="20"/>
                <w:color w:val="auto"/>
              </w:rPr>
            </w:pPr>
            <w:r>
              <w:rPr>
                <w:rFonts w:ascii="Arial" w:cs="Arial" w:eastAsia="Arial" w:hAnsi="Arial"/>
                <w:sz w:val="13"/>
                <w:szCs w:val="13"/>
                <w:color w:val="auto"/>
              </w:rPr>
              <w:t>Number</w:t>
            </w:r>
          </w:p>
        </w:tc>
        <w:tc>
          <w:tcPr>
            <w:tcW w:w="1780" w:type="dxa"/>
            <w:vAlign w:val="bottom"/>
            <w:tcBorders>
              <w:bottom w:val="single" w:sz="8" w:color="FEFEFE"/>
            </w:tcBorders>
            <w:shd w:val="clear" w:color="auto" w:fill="FEFEFE"/>
          </w:tcPr>
          <w:p>
            <w:pPr>
              <w:spacing w:after="0"/>
              <w:rPr>
                <w:sz w:val="14"/>
                <w:szCs w:val="14"/>
                <w:color w:val="auto"/>
              </w:rPr>
            </w:pPr>
          </w:p>
        </w:tc>
        <w:tc>
          <w:tcPr>
            <w:tcW w:w="2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300" w:type="dxa"/>
            <w:vAlign w:val="bottom"/>
            <w:tcBorders>
              <w:bottom w:val="single" w:sz="8" w:color="FEFEFE"/>
            </w:tcBorders>
            <w:shd w:val="clear" w:color="auto" w:fill="FEFEFE"/>
          </w:tcPr>
          <w:p>
            <w:pPr>
              <w:spacing w:after="0"/>
              <w:rPr>
                <w:sz w:val="14"/>
                <w:szCs w:val="14"/>
                <w:color w:val="auto"/>
              </w:rPr>
            </w:pPr>
          </w:p>
        </w:tc>
        <w:tc>
          <w:tcPr>
            <w:tcW w:w="26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FEFEFE"/>
            </w:tcBorders>
            <w:shd w:val="clear" w:color="auto" w:fill="FEFEFE"/>
          </w:tcPr>
          <w:p>
            <w:pPr>
              <w:spacing w:after="0"/>
              <w:rPr>
                <w:sz w:val="14"/>
                <w:szCs w:val="14"/>
                <w:color w:val="auto"/>
              </w:rPr>
            </w:pPr>
          </w:p>
        </w:tc>
        <w:tc>
          <w:tcPr>
            <w:tcW w:w="740" w:type="dxa"/>
            <w:vAlign w:val="bottom"/>
            <w:tcBorders>
              <w:bottom w:val="single" w:sz="8" w:color="FEFEFE"/>
            </w:tcBorders>
            <w:shd w:val="clear" w:color="auto" w:fill="FEFEFE"/>
          </w:tcPr>
          <w:p>
            <w:pPr>
              <w:spacing w:after="0"/>
              <w:rPr>
                <w:sz w:val="14"/>
                <w:szCs w:val="14"/>
                <w:color w:val="auto"/>
              </w:rPr>
            </w:pPr>
          </w:p>
        </w:tc>
        <w:tc>
          <w:tcPr>
            <w:tcW w:w="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80" w:type="dxa"/>
            <w:vAlign w:val="bottom"/>
            <w:tcBorders>
              <w:bottom w:val="single" w:sz="8" w:color="FEFEFE"/>
            </w:tcBorders>
            <w:shd w:val="clear" w:color="auto" w:fill="FEFEFE"/>
          </w:tcPr>
          <w:p>
            <w:pPr>
              <w:spacing w:after="0"/>
              <w:rPr>
                <w:sz w:val="14"/>
                <w:szCs w:val="14"/>
                <w:color w:val="auto"/>
              </w:rPr>
            </w:pPr>
          </w:p>
        </w:tc>
        <w:tc>
          <w:tcPr>
            <w:tcW w:w="2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700" w:type="dxa"/>
            <w:vAlign w:val="bottom"/>
            <w:tcBorders>
              <w:bottom w:val="single" w:sz="8" w:color="FEFEFE"/>
            </w:tcBorders>
            <w:shd w:val="clear" w:color="auto" w:fill="FEFEFE"/>
          </w:tcPr>
          <w:p>
            <w:pPr>
              <w:spacing w:after="0"/>
              <w:rPr>
                <w:sz w:val="14"/>
                <w:szCs w:val="14"/>
                <w:color w:val="auto"/>
              </w:rPr>
            </w:pPr>
          </w:p>
        </w:tc>
        <w:tc>
          <w:tcPr>
            <w:tcW w:w="1300" w:type="dxa"/>
            <w:vAlign w:val="bottom"/>
            <w:tcBorders>
              <w:bottom w:val="single" w:sz="8" w:color="FEFEFE"/>
            </w:tcBorders>
            <w:shd w:val="clear" w:color="auto" w:fill="FEFEFE"/>
          </w:tcPr>
          <w:p>
            <w:pPr>
              <w:spacing w:after="0"/>
              <w:rPr>
                <w:sz w:val="14"/>
                <w:szCs w:val="14"/>
                <w:color w:val="auto"/>
              </w:rPr>
            </w:pPr>
          </w:p>
        </w:tc>
        <w:tc>
          <w:tcPr>
            <w:tcW w:w="1400" w:type="dxa"/>
            <w:vAlign w:val="bottom"/>
            <w:tcBorders>
              <w:bottom w:val="single" w:sz="8" w:color="FEFEFE"/>
            </w:tcBorders>
            <w:shd w:val="clear" w:color="auto" w:fill="FEFEFE"/>
          </w:tcPr>
          <w:p>
            <w:pPr>
              <w:spacing w:after="0"/>
              <w:rPr>
                <w:sz w:val="14"/>
                <w:szCs w:val="14"/>
                <w:color w:val="auto"/>
              </w:rPr>
            </w:pPr>
          </w:p>
        </w:tc>
        <w:tc>
          <w:tcPr>
            <w:tcW w:w="1100" w:type="dxa"/>
            <w:vAlign w:val="bottom"/>
            <w:tcBorders>
              <w:bottom w:val="single" w:sz="8" w:color="FEFEFE"/>
            </w:tcBorders>
            <w:shd w:val="clear" w:color="auto" w:fill="FEFEFE"/>
          </w:tcPr>
          <w:p>
            <w:pPr>
              <w:spacing w:after="0"/>
              <w:rPr>
                <w:sz w:val="14"/>
                <w:szCs w:val="14"/>
                <w:color w:val="auto"/>
              </w:rPr>
            </w:pPr>
          </w:p>
        </w:tc>
        <w:tc>
          <w:tcPr>
            <w:tcW w:w="1220" w:type="dxa"/>
            <w:vAlign w:val="bottom"/>
            <w:tcBorders>
              <w:bottom w:val="single" w:sz="8" w:color="FEFEFE"/>
            </w:tcBorders>
            <w:shd w:val="clear" w:color="auto" w:fill="FEFEFE"/>
          </w:tcPr>
          <w:p>
            <w:pPr>
              <w:spacing w:after="0"/>
              <w:rPr>
                <w:sz w:val="14"/>
                <w:szCs w:val="14"/>
                <w:color w:val="auto"/>
              </w:rPr>
            </w:pPr>
          </w:p>
        </w:tc>
      </w:tr>
      <w:tr>
        <w:trPr>
          <w:trHeight w:val="138"/>
        </w:trPr>
        <w:tc>
          <w:tcPr>
            <w:tcW w:w="1000" w:type="dxa"/>
            <w:vAlign w:val="bottom"/>
          </w:tcPr>
          <w:p>
            <w:pPr>
              <w:jc w:val="right"/>
              <w:ind w:right="76"/>
              <w:spacing w:after="0" w:line="138" w:lineRule="exact"/>
              <w:rPr>
                <w:sz w:val="20"/>
                <w:szCs w:val="20"/>
                <w:color w:val="auto"/>
              </w:rPr>
            </w:pPr>
            <w:r>
              <w:rPr>
                <w:rFonts w:ascii="Arial" w:cs="Arial" w:eastAsia="Arial" w:hAnsi="Arial"/>
                <w:sz w:val="13"/>
                <w:szCs w:val="13"/>
                <w:color w:val="auto"/>
              </w:rPr>
              <w:t>2.1</w:t>
            </w:r>
          </w:p>
        </w:tc>
        <w:tc>
          <w:tcPr>
            <w:tcW w:w="4520" w:type="dxa"/>
            <w:vAlign w:val="bottom"/>
            <w:gridSpan w:val="12"/>
          </w:tcPr>
          <w:p>
            <w:pPr>
              <w:spacing w:after="0" w:line="138" w:lineRule="exact"/>
              <w:rPr>
                <w:rFonts w:ascii="Arial" w:cs="Arial" w:eastAsia="Arial" w:hAnsi="Arial"/>
                <w:sz w:val="13"/>
                <w:szCs w:val="13"/>
                <w:color w:val="0000FF"/>
              </w:rPr>
            </w:pPr>
            <w:hyperlink r:id="rId152">
              <w:r>
                <w:rPr>
                  <w:rFonts w:ascii="Arial" w:cs="Arial" w:eastAsia="Arial" w:hAnsi="Arial"/>
                  <w:sz w:val="13"/>
                  <w:szCs w:val="13"/>
                  <w:color w:val="0000FF"/>
                </w:rPr>
                <w:t>Stock and Asset Purchase Agreement, dated December 21, 2020, by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line="138" w:lineRule="exact"/>
              <w:rPr>
                <w:sz w:val="20"/>
                <w:szCs w:val="20"/>
                <w:color w:val="auto"/>
              </w:rPr>
            </w:pPr>
            <w:r>
              <w:rPr>
                <w:rFonts w:ascii="Arial" w:cs="Arial" w:eastAsia="Arial" w:hAnsi="Arial"/>
                <w:sz w:val="13"/>
                <w:szCs w:val="13"/>
                <w:color w:val="auto"/>
              </w:rPr>
              <w:t>10-Q</w:t>
            </w:r>
          </w:p>
        </w:tc>
        <w:tc>
          <w:tcPr>
            <w:tcW w:w="1300" w:type="dxa"/>
            <w:vAlign w:val="bottom"/>
          </w:tcPr>
          <w:p>
            <w:pPr>
              <w:ind w:left="140"/>
              <w:spacing w:after="0" w:line="138" w:lineRule="exact"/>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line="138" w:lineRule="exact"/>
              <w:rPr>
                <w:sz w:val="20"/>
                <w:szCs w:val="20"/>
                <w:color w:val="auto"/>
              </w:rPr>
            </w:pPr>
            <w:r>
              <w:rPr>
                <w:rFonts w:ascii="Arial" w:cs="Arial" w:eastAsia="Arial" w:hAnsi="Arial"/>
                <w:sz w:val="13"/>
                <w:szCs w:val="13"/>
                <w:color w:val="auto"/>
              </w:rPr>
              <w:t>2.1</w:t>
            </w:r>
          </w:p>
        </w:tc>
        <w:tc>
          <w:tcPr>
            <w:tcW w:w="1100" w:type="dxa"/>
            <w:vAlign w:val="bottom"/>
          </w:tcPr>
          <w:p>
            <w:pPr>
              <w:jc w:val="right"/>
              <w:spacing w:after="0" w:line="138" w:lineRule="exact"/>
              <w:rPr>
                <w:sz w:val="20"/>
                <w:szCs w:val="20"/>
                <w:color w:val="auto"/>
              </w:rPr>
            </w:pPr>
            <w:r>
              <w:rPr>
                <w:rFonts w:ascii="Arial" w:cs="Arial" w:eastAsia="Arial" w:hAnsi="Arial"/>
                <w:sz w:val="13"/>
                <w:szCs w:val="13"/>
                <w:color w:val="auto"/>
              </w:rPr>
              <w:t>02/05/2021</w:t>
            </w:r>
          </w:p>
        </w:tc>
        <w:tc>
          <w:tcPr>
            <w:tcW w:w="1220" w:type="dxa"/>
            <w:vAlign w:val="bottom"/>
            <w:shd w:val="clear" w:color="auto" w:fill="FEFEFE"/>
          </w:tcPr>
          <w:p>
            <w:pPr>
              <w:spacing w:after="0"/>
              <w:rPr>
                <w:sz w:val="11"/>
                <w:szCs w:val="11"/>
                <w:color w:val="auto"/>
              </w:rPr>
            </w:pPr>
          </w:p>
        </w:tc>
      </w:tr>
      <w:tr>
        <w:trPr>
          <w:trHeight w:val="129"/>
        </w:trPr>
        <w:tc>
          <w:tcPr>
            <w:tcW w:w="100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6"/>
          </w:tcPr>
          <w:p>
            <w:pPr>
              <w:spacing w:after="0" w:line="129" w:lineRule="exact"/>
              <w:rPr>
                <w:rFonts w:ascii="Arial" w:cs="Arial" w:eastAsia="Arial" w:hAnsi="Arial"/>
                <w:sz w:val="13"/>
                <w:szCs w:val="13"/>
                <w:color w:val="0000FF"/>
                <w:w w:val="97"/>
              </w:rPr>
            </w:pPr>
            <w:hyperlink r:id="rId152">
              <w:r>
                <w:rPr>
                  <w:rFonts w:ascii="Arial" w:cs="Arial" w:eastAsia="Arial" w:hAnsi="Arial"/>
                  <w:sz w:val="13"/>
                  <w:szCs w:val="13"/>
                  <w:color w:val="0000FF"/>
                  <w:w w:val="97"/>
                </w:rPr>
                <w:t>between the Registrant and Amer Sports Corporation</w:t>
              </w:r>
            </w:hyperlink>
          </w:p>
        </w:tc>
        <w:tc>
          <w:tcPr>
            <w:tcW w:w="1140" w:type="dxa"/>
            <w:vAlign w:val="bottom"/>
            <w:tcBorders>
              <w:top w:val="single" w:sz="8" w:color="0000FF"/>
            </w:tcBorders>
            <w:gridSpan w:val="2"/>
          </w:tcPr>
          <w:p>
            <w:pPr>
              <w:spacing w:after="0"/>
              <w:rPr>
                <w:sz w:val="11"/>
                <w:szCs w:val="11"/>
                <w:color w:val="auto"/>
              </w:rPr>
            </w:pPr>
          </w:p>
        </w:tc>
        <w:tc>
          <w:tcPr>
            <w:tcW w:w="3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Borders>
              <w:top w:val="single" w:sz="8" w:color="FEFEFE"/>
              <w:bottom w:val="single" w:sz="8" w:color="FEFEFE"/>
            </w:tcBorders>
            <w:shd w:val="clear" w:color="auto" w:fill="FEFEFE"/>
          </w:tcPr>
          <w:p>
            <w:pPr>
              <w:spacing w:after="0"/>
              <w:rPr>
                <w:sz w:val="11"/>
                <w:szCs w:val="11"/>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3.1</w:t>
            </w:r>
          </w:p>
        </w:tc>
        <w:tc>
          <w:tcPr>
            <w:tcW w:w="4520" w:type="dxa"/>
            <w:vAlign w:val="bottom"/>
            <w:gridSpan w:val="12"/>
          </w:tcPr>
          <w:p>
            <w:pPr>
              <w:spacing w:after="0"/>
              <w:rPr>
                <w:rFonts w:ascii="Arial" w:cs="Arial" w:eastAsia="Arial" w:hAnsi="Arial"/>
                <w:sz w:val="13"/>
                <w:szCs w:val="13"/>
                <w:color w:val="0000FF"/>
              </w:rPr>
            </w:pPr>
            <w:hyperlink r:id="rId153">
              <w:r>
                <w:rPr>
                  <w:rFonts w:ascii="Arial" w:cs="Arial" w:eastAsia="Arial" w:hAnsi="Arial"/>
                  <w:sz w:val="13"/>
                  <w:szCs w:val="13"/>
                  <w:color w:val="0000FF"/>
                </w:rPr>
                <w:t>Restated Certificate of Incorporation</w:t>
              </w:r>
            </w:hyperlink>
            <w:r>
              <w:rPr>
                <w:rFonts w:ascii="Arial" w:cs="Arial" w:eastAsia="Arial" w:hAnsi="Arial"/>
                <w:sz w:val="13"/>
                <w:szCs w:val="13"/>
                <w:color w:val="000000"/>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10-Q</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3.1</w:t>
            </w:r>
          </w:p>
        </w:tc>
        <w:tc>
          <w:tcPr>
            <w:tcW w:w="1100" w:type="dxa"/>
            <w:vAlign w:val="bottom"/>
          </w:tcPr>
          <w:p>
            <w:pPr>
              <w:jc w:val="right"/>
              <w:spacing w:after="0"/>
              <w:rPr>
                <w:sz w:val="20"/>
                <w:szCs w:val="20"/>
                <w:color w:val="auto"/>
              </w:rPr>
            </w:pPr>
            <w:r>
              <w:rPr>
                <w:rFonts w:ascii="Arial" w:cs="Arial" w:eastAsia="Arial" w:hAnsi="Arial"/>
                <w:sz w:val="13"/>
                <w:szCs w:val="13"/>
                <w:color w:val="auto"/>
              </w:rPr>
              <w:t>11/06/2019</w:t>
            </w:r>
          </w:p>
        </w:tc>
        <w:tc>
          <w:tcPr>
            <w:tcW w:w="1220" w:type="dxa"/>
            <w:vAlign w:val="bottom"/>
            <w:shd w:val="clear" w:color="auto" w:fill="FEFEFE"/>
          </w:tcPr>
          <w:p>
            <w:pPr>
              <w:spacing w:after="0"/>
              <w:rPr>
                <w:sz w:val="14"/>
                <w:szCs w:val="14"/>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3.2</w:t>
            </w:r>
          </w:p>
        </w:tc>
        <w:tc>
          <w:tcPr>
            <w:tcW w:w="2040" w:type="dxa"/>
            <w:vAlign w:val="bottom"/>
            <w:tcBorders>
              <w:top w:val="single" w:sz="8" w:color="0000FF"/>
            </w:tcBorders>
            <w:gridSpan w:val="3"/>
          </w:tcPr>
          <w:p>
            <w:pPr>
              <w:spacing w:after="0"/>
              <w:rPr>
                <w:rFonts w:ascii="Arial" w:cs="Arial" w:eastAsia="Arial" w:hAnsi="Arial"/>
                <w:sz w:val="13"/>
                <w:szCs w:val="13"/>
                <w:color w:val="0000FF"/>
              </w:rPr>
            </w:pPr>
            <w:hyperlink r:id="rId154">
              <w:r>
                <w:rPr>
                  <w:rFonts w:ascii="Arial" w:cs="Arial" w:eastAsia="Arial" w:hAnsi="Arial"/>
                  <w:sz w:val="13"/>
                  <w:szCs w:val="13"/>
                  <w:color w:val="0000FF"/>
                </w:rPr>
                <w:t>Amended and Restated Bylaws</w:t>
              </w:r>
            </w:hyperlink>
            <w:r>
              <w:rPr>
                <w:rFonts w:ascii="Arial" w:cs="Arial" w:eastAsia="Arial" w:hAnsi="Arial"/>
                <w:sz w:val="13"/>
                <w:szCs w:val="13"/>
                <w:color w:val="000000"/>
              </w:rPr>
              <w:t>.</w:t>
            </w:r>
          </w:p>
        </w:tc>
        <w:tc>
          <w:tcPr>
            <w:tcW w:w="24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8-K</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3.1</w:t>
            </w:r>
          </w:p>
        </w:tc>
        <w:tc>
          <w:tcPr>
            <w:tcW w:w="1100" w:type="dxa"/>
            <w:vAlign w:val="bottom"/>
          </w:tcPr>
          <w:p>
            <w:pPr>
              <w:jc w:val="right"/>
              <w:spacing w:after="0"/>
              <w:rPr>
                <w:sz w:val="20"/>
                <w:szCs w:val="20"/>
                <w:color w:val="auto"/>
              </w:rPr>
            </w:pPr>
            <w:r>
              <w:rPr>
                <w:rFonts w:ascii="Arial" w:cs="Arial" w:eastAsia="Arial" w:hAnsi="Arial"/>
                <w:sz w:val="13"/>
                <w:szCs w:val="13"/>
                <w:color w:val="auto"/>
              </w:rPr>
              <w:t>04/27/2020</w:t>
            </w:r>
          </w:p>
        </w:tc>
        <w:tc>
          <w:tcPr>
            <w:tcW w:w="1220" w:type="dxa"/>
            <w:vAlign w:val="bottom"/>
            <w:tcBorders>
              <w:top w:val="single" w:sz="8" w:color="FEFEFE"/>
            </w:tcBorders>
            <w:shd w:val="clear" w:color="auto" w:fill="FEFEFE"/>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4.1</w:t>
            </w:r>
          </w:p>
        </w:tc>
        <w:tc>
          <w:tcPr>
            <w:tcW w:w="4520" w:type="dxa"/>
            <w:vAlign w:val="bottom"/>
            <w:gridSpan w:val="12"/>
          </w:tcPr>
          <w:p>
            <w:pPr>
              <w:spacing w:after="0"/>
              <w:rPr>
                <w:rFonts w:ascii="Arial" w:cs="Arial" w:eastAsia="Arial" w:hAnsi="Arial"/>
                <w:sz w:val="13"/>
                <w:szCs w:val="13"/>
                <w:color w:val="0000FF"/>
              </w:rPr>
            </w:pPr>
            <w:hyperlink r:id="rId155">
              <w:r>
                <w:rPr>
                  <w:rFonts w:ascii="Arial" w:cs="Arial" w:eastAsia="Arial" w:hAnsi="Arial"/>
                  <w:sz w:val="13"/>
                  <w:szCs w:val="13"/>
                  <w:color w:val="0000FF"/>
                </w:rPr>
                <w:t>Form of Class A common stock certificate</w:t>
              </w:r>
            </w:hyperlink>
            <w:r>
              <w:rPr>
                <w:rFonts w:ascii="Arial" w:cs="Arial" w:eastAsia="Arial" w:hAnsi="Arial"/>
                <w:sz w:val="13"/>
                <w:szCs w:val="13"/>
                <w:color w:val="000000"/>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S-1/A</w:t>
            </w:r>
          </w:p>
        </w:tc>
        <w:tc>
          <w:tcPr>
            <w:tcW w:w="1300" w:type="dxa"/>
            <w:vAlign w:val="bottom"/>
          </w:tcPr>
          <w:p>
            <w:pPr>
              <w:ind w:left="140"/>
              <w:spacing w:after="0"/>
              <w:rPr>
                <w:sz w:val="20"/>
                <w:szCs w:val="20"/>
                <w:color w:val="auto"/>
              </w:rPr>
            </w:pPr>
            <w:r>
              <w:rPr>
                <w:rFonts w:ascii="Arial" w:cs="Arial" w:eastAsia="Arial" w:hAnsi="Arial"/>
                <w:sz w:val="13"/>
                <w:szCs w:val="13"/>
                <w:color w:val="auto"/>
              </w:rPr>
              <w:t>333-233482</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4.1</w:t>
            </w:r>
          </w:p>
        </w:tc>
        <w:tc>
          <w:tcPr>
            <w:tcW w:w="1100" w:type="dxa"/>
            <w:vAlign w:val="bottom"/>
          </w:tcPr>
          <w:p>
            <w:pPr>
              <w:jc w:val="right"/>
              <w:spacing w:after="0"/>
              <w:rPr>
                <w:sz w:val="20"/>
                <w:szCs w:val="20"/>
                <w:color w:val="auto"/>
              </w:rPr>
            </w:pPr>
            <w:r>
              <w:rPr>
                <w:rFonts w:ascii="Arial" w:cs="Arial" w:eastAsia="Arial" w:hAnsi="Arial"/>
                <w:sz w:val="13"/>
                <w:szCs w:val="13"/>
                <w:color w:val="auto"/>
              </w:rPr>
              <w:t>09/10/2019</w:t>
            </w:r>
          </w:p>
        </w:tc>
        <w:tc>
          <w:tcPr>
            <w:tcW w:w="1220" w:type="dxa"/>
            <w:vAlign w:val="bottom"/>
            <w:shd w:val="clear" w:color="auto" w:fill="FEFEFE"/>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4.2</w:t>
            </w:r>
          </w:p>
        </w:tc>
        <w:tc>
          <w:tcPr>
            <w:tcW w:w="5260" w:type="dxa"/>
            <w:vAlign w:val="bottom"/>
            <w:gridSpan w:val="15"/>
          </w:tcPr>
          <w:p>
            <w:pPr>
              <w:spacing w:after="0"/>
              <w:rPr>
                <w:rFonts w:ascii="Arial" w:cs="Arial" w:eastAsia="Arial" w:hAnsi="Arial"/>
                <w:sz w:val="13"/>
                <w:szCs w:val="13"/>
                <w:color w:val="0000FF"/>
              </w:rPr>
            </w:pPr>
            <w:hyperlink r:id="rId156">
              <w:r>
                <w:rPr>
                  <w:rFonts w:ascii="Arial" w:cs="Arial" w:eastAsia="Arial" w:hAnsi="Arial"/>
                  <w:sz w:val="13"/>
                  <w:szCs w:val="13"/>
                  <w:color w:val="0000FF"/>
                </w:rPr>
                <w:t xml:space="preserve">Fourth Amended and Restated Investors’ Rights Agreement by and between the </w:t>
              </w:r>
            </w:hyperlink>
            <w:r>
              <w:rPr>
                <w:rFonts w:ascii="Arial" w:cs="Arial" w:eastAsia="Arial" w:hAnsi="Arial"/>
                <w:sz w:val="13"/>
                <w:szCs w:val="13"/>
                <w:color w:val="000000"/>
              </w:rPr>
              <w:t>S-1</w:t>
            </w:r>
          </w:p>
        </w:tc>
        <w:tc>
          <w:tcPr>
            <w:tcW w:w="1300" w:type="dxa"/>
            <w:vAlign w:val="bottom"/>
          </w:tcPr>
          <w:p>
            <w:pPr>
              <w:ind w:left="140"/>
              <w:spacing w:after="0"/>
              <w:rPr>
                <w:sz w:val="20"/>
                <w:szCs w:val="20"/>
                <w:color w:val="auto"/>
              </w:rPr>
            </w:pPr>
            <w:r>
              <w:rPr>
                <w:rFonts w:ascii="Arial" w:cs="Arial" w:eastAsia="Arial" w:hAnsi="Arial"/>
                <w:sz w:val="13"/>
                <w:szCs w:val="13"/>
                <w:color w:val="auto"/>
              </w:rPr>
              <w:t>333-233482</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4.2</w:t>
            </w:r>
          </w:p>
        </w:tc>
        <w:tc>
          <w:tcPr>
            <w:tcW w:w="1100" w:type="dxa"/>
            <w:vAlign w:val="bottom"/>
          </w:tcPr>
          <w:p>
            <w:pPr>
              <w:jc w:val="right"/>
              <w:spacing w:after="0"/>
              <w:rPr>
                <w:sz w:val="20"/>
                <w:szCs w:val="20"/>
                <w:color w:val="auto"/>
              </w:rPr>
            </w:pPr>
            <w:r>
              <w:rPr>
                <w:rFonts w:ascii="Arial" w:cs="Arial" w:eastAsia="Arial" w:hAnsi="Arial"/>
                <w:sz w:val="13"/>
                <w:szCs w:val="13"/>
                <w:color w:val="auto"/>
              </w:rPr>
              <w:t>08/27/2019</w:t>
            </w:r>
          </w:p>
        </w:tc>
        <w:tc>
          <w:tcPr>
            <w:tcW w:w="1220" w:type="dxa"/>
            <w:vAlign w:val="bottom"/>
            <w:shd w:val="clear" w:color="auto" w:fill="FEFEFE"/>
          </w:tcPr>
          <w:p>
            <w:pPr>
              <w:spacing w:after="0"/>
              <w:rPr>
                <w:sz w:val="14"/>
                <w:szCs w:val="14"/>
                <w:color w:val="auto"/>
              </w:rPr>
            </w:pPr>
          </w:p>
        </w:tc>
      </w:tr>
      <w:tr>
        <w:trPr>
          <w:trHeight w:val="129"/>
        </w:trPr>
        <w:tc>
          <w:tcPr>
            <w:tcW w:w="1000" w:type="dxa"/>
            <w:vAlign w:val="bottom"/>
          </w:tcPr>
          <w:p>
            <w:pPr>
              <w:spacing w:after="0"/>
              <w:rPr>
                <w:sz w:val="11"/>
                <w:szCs w:val="11"/>
                <w:color w:val="auto"/>
              </w:rPr>
            </w:pPr>
          </w:p>
        </w:tc>
        <w:tc>
          <w:tcPr>
            <w:tcW w:w="4520" w:type="dxa"/>
            <w:vAlign w:val="bottom"/>
            <w:tcBorders>
              <w:top w:val="single" w:sz="8" w:color="0000FF"/>
            </w:tcBorders>
            <w:gridSpan w:val="12"/>
          </w:tcPr>
          <w:p>
            <w:pPr>
              <w:spacing w:after="0" w:line="129" w:lineRule="exact"/>
              <w:rPr>
                <w:rFonts w:ascii="Arial" w:cs="Arial" w:eastAsia="Arial" w:hAnsi="Arial"/>
                <w:sz w:val="13"/>
                <w:szCs w:val="13"/>
                <w:color w:val="0000FF"/>
              </w:rPr>
            </w:pPr>
            <w:hyperlink r:id="rId156">
              <w:r>
                <w:rPr>
                  <w:rFonts w:ascii="Arial" w:cs="Arial" w:eastAsia="Arial" w:hAnsi="Arial"/>
                  <w:sz w:val="13"/>
                  <w:szCs w:val="13"/>
                  <w:color w:val="0000FF"/>
                </w:rPr>
                <w:t>Registrant and certain security holders of the Registrant, dated April 5, 2019</w:t>
              </w:r>
              <w:r>
                <w:rPr>
                  <w:rFonts w:ascii="Arial" w:cs="Arial" w:eastAsia="Arial" w:hAnsi="Arial"/>
                  <w:sz w:val="13"/>
                  <w:szCs w:val="13"/>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60"/>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4.3</w:t>
            </w:r>
          </w:p>
        </w:tc>
        <w:tc>
          <w:tcPr>
            <w:tcW w:w="5260" w:type="dxa"/>
            <w:vAlign w:val="bottom"/>
            <w:gridSpan w:val="15"/>
          </w:tcPr>
          <w:p>
            <w:pPr>
              <w:spacing w:after="0"/>
              <w:rPr>
                <w:rFonts w:ascii="Arial" w:cs="Arial" w:eastAsia="Arial" w:hAnsi="Arial"/>
                <w:sz w:val="13"/>
                <w:szCs w:val="13"/>
                <w:color w:val="0000FF"/>
              </w:rPr>
            </w:pPr>
            <w:hyperlink r:id="rId157">
              <w:r>
                <w:rPr>
                  <w:rFonts w:ascii="Arial" w:cs="Arial" w:eastAsia="Arial" w:hAnsi="Arial"/>
                  <w:sz w:val="13"/>
                  <w:szCs w:val="13"/>
                  <w:color w:val="0000FF"/>
                </w:rPr>
                <w:t xml:space="preserve">Indenture, dated as of February 11, 2021, between the Registrant and U.S. Bank </w:t>
              </w:r>
            </w:hyperlink>
            <w:r>
              <w:rPr>
                <w:rFonts w:ascii="Arial" w:cs="Arial" w:eastAsia="Arial" w:hAnsi="Arial"/>
                <w:sz w:val="13"/>
                <w:szCs w:val="13"/>
                <w:color w:val="000000"/>
              </w:rPr>
              <w:t>8-K</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4.1</w:t>
            </w:r>
          </w:p>
        </w:tc>
        <w:tc>
          <w:tcPr>
            <w:tcW w:w="1100" w:type="dxa"/>
            <w:vAlign w:val="bottom"/>
          </w:tcPr>
          <w:p>
            <w:pPr>
              <w:jc w:val="right"/>
              <w:spacing w:after="0"/>
              <w:rPr>
                <w:sz w:val="20"/>
                <w:szCs w:val="20"/>
                <w:color w:val="auto"/>
              </w:rPr>
            </w:pPr>
            <w:r>
              <w:rPr>
                <w:rFonts w:ascii="Arial" w:cs="Arial" w:eastAsia="Arial" w:hAnsi="Arial"/>
                <w:sz w:val="13"/>
                <w:szCs w:val="13"/>
                <w:color w:val="auto"/>
              </w:rPr>
              <w:t>02/11/2021</w:t>
            </w:r>
          </w:p>
        </w:tc>
        <w:tc>
          <w:tcPr>
            <w:tcW w:w="1220" w:type="dxa"/>
            <w:vAlign w:val="bottom"/>
            <w:shd w:val="clear" w:color="auto" w:fill="FEFEFE"/>
          </w:tcPr>
          <w:p>
            <w:pPr>
              <w:spacing w:after="0"/>
              <w:rPr>
                <w:sz w:val="13"/>
                <w:szCs w:val="13"/>
                <w:color w:val="auto"/>
              </w:rPr>
            </w:pPr>
          </w:p>
        </w:tc>
      </w:tr>
      <w:tr>
        <w:trPr>
          <w:trHeight w:val="129"/>
        </w:trPr>
        <w:tc>
          <w:tcPr>
            <w:tcW w:w="1000" w:type="dxa"/>
            <w:vAlign w:val="bottom"/>
          </w:tcPr>
          <w:p>
            <w:pPr>
              <w:spacing w:after="0"/>
              <w:rPr>
                <w:sz w:val="11"/>
                <w:szCs w:val="11"/>
                <w:color w:val="auto"/>
              </w:rPr>
            </w:pPr>
          </w:p>
        </w:tc>
        <w:tc>
          <w:tcPr>
            <w:tcW w:w="4520" w:type="dxa"/>
            <w:vAlign w:val="bottom"/>
            <w:tcBorders>
              <w:top w:val="single" w:sz="8" w:color="0000FF"/>
            </w:tcBorders>
            <w:gridSpan w:val="12"/>
          </w:tcPr>
          <w:p>
            <w:pPr>
              <w:spacing w:after="0" w:line="129" w:lineRule="exact"/>
              <w:rPr>
                <w:rFonts w:ascii="Arial" w:cs="Arial" w:eastAsia="Arial" w:hAnsi="Arial"/>
                <w:sz w:val="13"/>
                <w:szCs w:val="13"/>
                <w:color w:val="0000FF"/>
              </w:rPr>
            </w:pPr>
            <w:hyperlink r:id="rId157">
              <w:r>
                <w:rPr>
                  <w:rFonts w:ascii="Arial" w:cs="Arial" w:eastAsia="Arial" w:hAnsi="Arial"/>
                  <w:sz w:val="13"/>
                  <w:szCs w:val="13"/>
                  <w:color w:val="0000FF"/>
                </w:rPr>
                <w:t>National Association, as trustee</w:t>
              </w:r>
              <w:r>
                <w:rPr>
                  <w:rFonts w:ascii="Arial" w:cs="Arial" w:eastAsia="Arial" w:hAnsi="Arial"/>
                  <w:sz w:val="13"/>
                  <w:szCs w:val="13"/>
                  <w:color w:val="000000"/>
                </w:rPr>
                <w:t>.</w:t>
              </w:r>
            </w:hyperlink>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4.4</w:t>
            </w:r>
          </w:p>
        </w:tc>
        <w:tc>
          <w:tcPr>
            <w:tcW w:w="4520" w:type="dxa"/>
            <w:vAlign w:val="bottom"/>
            <w:gridSpan w:val="12"/>
          </w:tcPr>
          <w:p>
            <w:pPr>
              <w:spacing w:after="0"/>
              <w:rPr>
                <w:rFonts w:ascii="Arial" w:cs="Arial" w:eastAsia="Arial" w:hAnsi="Arial"/>
                <w:sz w:val="13"/>
                <w:szCs w:val="13"/>
                <w:color w:val="0000FF"/>
              </w:rPr>
            </w:pPr>
            <w:hyperlink r:id="rId157">
              <w:r>
                <w:rPr>
                  <w:rFonts w:ascii="Arial" w:cs="Arial" w:eastAsia="Arial" w:hAnsi="Arial"/>
                  <w:sz w:val="13"/>
                  <w:szCs w:val="13"/>
                  <w:color w:val="0000FF"/>
                </w:rPr>
                <w:t xml:space="preserve">Form of 0.00% Convertible Senior Notes due 2026 (included in Exhibit </w:t>
              </w:r>
            </w:hyperlink>
            <w:r>
              <w:rPr>
                <w:rFonts w:ascii="Arial" w:cs="Arial" w:eastAsia="Arial" w:hAnsi="Arial"/>
                <w:sz w:val="13"/>
                <w:szCs w:val="13"/>
                <w:color w:val="0000FF"/>
              </w:rPr>
              <w:t>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8-K</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4.2</w:t>
            </w:r>
          </w:p>
        </w:tc>
        <w:tc>
          <w:tcPr>
            <w:tcW w:w="1100" w:type="dxa"/>
            <w:vAlign w:val="bottom"/>
          </w:tcPr>
          <w:p>
            <w:pPr>
              <w:jc w:val="right"/>
              <w:spacing w:after="0"/>
              <w:rPr>
                <w:sz w:val="20"/>
                <w:szCs w:val="20"/>
                <w:color w:val="auto"/>
              </w:rPr>
            </w:pPr>
            <w:r>
              <w:rPr>
                <w:rFonts w:ascii="Arial" w:cs="Arial" w:eastAsia="Arial" w:hAnsi="Arial"/>
                <w:sz w:val="13"/>
                <w:szCs w:val="13"/>
                <w:color w:val="auto"/>
              </w:rPr>
              <w:t>02/11/2021</w:t>
            </w:r>
          </w:p>
        </w:tc>
        <w:tc>
          <w:tcPr>
            <w:tcW w:w="1220" w:type="dxa"/>
            <w:vAlign w:val="bottom"/>
            <w:shd w:val="clear" w:color="auto" w:fill="FEFEFE"/>
          </w:tcPr>
          <w:p>
            <w:pPr>
              <w:spacing w:after="0"/>
              <w:rPr>
                <w:sz w:val="14"/>
                <w:szCs w:val="14"/>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4.5</w:t>
            </w:r>
          </w:p>
        </w:tc>
        <w:tc>
          <w:tcPr>
            <w:tcW w:w="4180" w:type="dxa"/>
            <w:vAlign w:val="bottom"/>
            <w:tcBorders>
              <w:top w:val="single" w:sz="8" w:color="0000FF"/>
              <w:bottom w:val="single" w:sz="8" w:color="0000FF"/>
            </w:tcBorders>
            <w:gridSpan w:val="9"/>
          </w:tcPr>
          <w:p>
            <w:pPr>
              <w:spacing w:after="0"/>
              <w:rPr>
                <w:rFonts w:ascii="Arial" w:cs="Arial" w:eastAsia="Arial" w:hAnsi="Arial"/>
                <w:sz w:val="13"/>
                <w:szCs w:val="13"/>
                <w:color w:val="0000FF"/>
                <w:w w:val="97"/>
              </w:rPr>
            </w:pPr>
            <w:hyperlink r:id="rId158">
              <w:r>
                <w:rPr>
                  <w:rFonts w:ascii="Arial" w:cs="Arial" w:eastAsia="Arial" w:hAnsi="Arial"/>
                  <w:sz w:val="13"/>
                  <w:szCs w:val="13"/>
                  <w:color w:val="0000FF"/>
                  <w:w w:val="97"/>
                </w:rPr>
                <w:t>Description of Class A Common Stock Registered Under Section 12 of the</w:t>
              </w:r>
            </w:hyperlink>
          </w:p>
        </w:tc>
        <w:tc>
          <w:tcPr>
            <w:tcW w:w="20" w:type="dxa"/>
            <w:vAlign w:val="bottom"/>
            <w:tcBorders>
              <w:top w:val="single" w:sz="8" w:color="0000FF"/>
            </w:tcBorders>
          </w:tcPr>
          <w:p>
            <w:pPr>
              <w:spacing w:after="0"/>
              <w:rPr>
                <w:sz w:val="14"/>
                <w:szCs w:val="14"/>
                <w:color w:val="auto"/>
              </w:rPr>
            </w:pPr>
          </w:p>
        </w:tc>
        <w:tc>
          <w:tcPr>
            <w:tcW w:w="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10-K</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4.3</w:t>
            </w:r>
          </w:p>
        </w:tc>
        <w:tc>
          <w:tcPr>
            <w:tcW w:w="1100" w:type="dxa"/>
            <w:vAlign w:val="bottom"/>
          </w:tcPr>
          <w:p>
            <w:pPr>
              <w:jc w:val="right"/>
              <w:spacing w:after="0"/>
              <w:rPr>
                <w:sz w:val="20"/>
                <w:szCs w:val="20"/>
                <w:color w:val="auto"/>
              </w:rPr>
            </w:pPr>
            <w:r>
              <w:rPr>
                <w:rFonts w:ascii="Arial" w:cs="Arial" w:eastAsia="Arial" w:hAnsi="Arial"/>
                <w:sz w:val="13"/>
                <w:szCs w:val="13"/>
                <w:color w:val="auto"/>
              </w:rPr>
              <w:t>09/11/2020</w:t>
            </w: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29"/>
        </w:trPr>
        <w:tc>
          <w:tcPr>
            <w:tcW w:w="1000" w:type="dxa"/>
            <w:vAlign w:val="bottom"/>
          </w:tcPr>
          <w:p>
            <w:pPr>
              <w:spacing w:after="0"/>
              <w:rPr>
                <w:sz w:val="11"/>
                <w:szCs w:val="11"/>
                <w:color w:val="auto"/>
              </w:rPr>
            </w:pPr>
          </w:p>
        </w:tc>
        <w:tc>
          <w:tcPr>
            <w:tcW w:w="4520" w:type="dxa"/>
            <w:vAlign w:val="bottom"/>
            <w:gridSpan w:val="12"/>
          </w:tcPr>
          <w:p>
            <w:pPr>
              <w:spacing w:after="0" w:line="129" w:lineRule="exact"/>
              <w:rPr>
                <w:rFonts w:ascii="Arial" w:cs="Arial" w:eastAsia="Arial" w:hAnsi="Arial"/>
                <w:sz w:val="13"/>
                <w:szCs w:val="13"/>
                <w:color w:val="0000FF"/>
              </w:rPr>
            </w:pPr>
            <w:hyperlink r:id="rId158">
              <w:r>
                <w:rPr>
                  <w:rFonts w:ascii="Arial" w:cs="Arial" w:eastAsia="Arial" w:hAnsi="Arial"/>
                  <w:sz w:val="13"/>
                  <w:szCs w:val="13"/>
                  <w:color w:val="0000FF"/>
                </w:rPr>
                <w:t>Securities Exchange Act of 1934, as amended</w:t>
              </w:r>
              <w:r>
                <w:rPr>
                  <w:rFonts w:ascii="Arial" w:cs="Arial" w:eastAsia="Arial" w:hAnsi="Arial"/>
                  <w:sz w:val="13"/>
                  <w:szCs w:val="13"/>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shd w:val="clear" w:color="auto" w:fill="FEFEFE"/>
          </w:tcPr>
          <w:p>
            <w:pPr>
              <w:spacing w:after="0"/>
              <w:rPr>
                <w:sz w:val="11"/>
                <w:szCs w:val="11"/>
                <w:color w:val="auto"/>
              </w:rPr>
            </w:pPr>
          </w:p>
        </w:tc>
      </w:tr>
      <w:tr>
        <w:trPr>
          <w:trHeight w:val="160"/>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10.1†</w:t>
            </w:r>
          </w:p>
        </w:tc>
        <w:tc>
          <w:tcPr>
            <w:tcW w:w="2020" w:type="dxa"/>
            <w:vAlign w:val="bottom"/>
            <w:tcBorders>
              <w:top w:val="single" w:sz="8" w:color="0000FF"/>
              <w:bottom w:val="single" w:sz="8" w:color="0000FF"/>
            </w:tcBorders>
            <w:gridSpan w:val="2"/>
          </w:tcPr>
          <w:p>
            <w:pPr>
              <w:spacing w:after="0"/>
              <w:rPr>
                <w:rFonts w:ascii="Arial" w:cs="Arial" w:eastAsia="Arial" w:hAnsi="Arial"/>
                <w:sz w:val="13"/>
                <w:szCs w:val="13"/>
                <w:color w:val="0000FF"/>
                <w:w w:val="96"/>
              </w:rPr>
            </w:pPr>
            <w:hyperlink r:id="rId159">
              <w:r>
                <w:rPr>
                  <w:rFonts w:ascii="Arial" w:cs="Arial" w:eastAsia="Arial" w:hAnsi="Arial"/>
                  <w:sz w:val="13"/>
                  <w:szCs w:val="13"/>
                  <w:color w:val="0000FF"/>
                  <w:w w:val="96"/>
                </w:rPr>
                <w:t>Form of Indemnification Agreement.</w:t>
              </w:r>
            </w:hyperlink>
          </w:p>
        </w:tc>
        <w:tc>
          <w:tcPr>
            <w:tcW w:w="580" w:type="dxa"/>
            <w:vAlign w:val="bottom"/>
            <w:tcBorders>
              <w:top w:val="single" w:sz="8" w:color="0000FF"/>
            </w:tcBorders>
            <w:gridSpan w:val="3"/>
          </w:tcPr>
          <w:p>
            <w:pPr>
              <w:spacing w:after="0"/>
              <w:rPr>
                <w:sz w:val="13"/>
                <w:szCs w:val="13"/>
                <w:color w:val="auto"/>
              </w:rPr>
            </w:pPr>
          </w:p>
        </w:tc>
        <w:tc>
          <w:tcPr>
            <w:tcW w:w="19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S-1</w:t>
            </w:r>
          </w:p>
        </w:tc>
        <w:tc>
          <w:tcPr>
            <w:tcW w:w="1300" w:type="dxa"/>
            <w:vAlign w:val="bottom"/>
          </w:tcPr>
          <w:p>
            <w:pPr>
              <w:ind w:left="140"/>
              <w:spacing w:after="0"/>
              <w:rPr>
                <w:sz w:val="20"/>
                <w:szCs w:val="20"/>
                <w:color w:val="auto"/>
              </w:rPr>
            </w:pPr>
            <w:r>
              <w:rPr>
                <w:rFonts w:ascii="Arial" w:cs="Arial" w:eastAsia="Arial" w:hAnsi="Arial"/>
                <w:sz w:val="13"/>
                <w:szCs w:val="13"/>
                <w:color w:val="auto"/>
              </w:rPr>
              <w:t>333-233482</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10.1</w:t>
            </w:r>
          </w:p>
        </w:tc>
        <w:tc>
          <w:tcPr>
            <w:tcW w:w="1100" w:type="dxa"/>
            <w:vAlign w:val="bottom"/>
          </w:tcPr>
          <w:p>
            <w:pPr>
              <w:jc w:val="right"/>
              <w:spacing w:after="0"/>
              <w:rPr>
                <w:sz w:val="20"/>
                <w:szCs w:val="20"/>
                <w:color w:val="auto"/>
              </w:rPr>
            </w:pPr>
            <w:r>
              <w:rPr>
                <w:rFonts w:ascii="Arial" w:cs="Arial" w:eastAsia="Arial" w:hAnsi="Arial"/>
                <w:sz w:val="13"/>
                <w:szCs w:val="13"/>
                <w:color w:val="auto"/>
              </w:rPr>
              <w:t>08/27/2019</w:t>
            </w: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204"/>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10.2†</w:t>
            </w:r>
          </w:p>
        </w:tc>
        <w:tc>
          <w:tcPr>
            <w:tcW w:w="4520" w:type="dxa"/>
            <w:vAlign w:val="bottom"/>
            <w:gridSpan w:val="12"/>
          </w:tcPr>
          <w:p>
            <w:pPr>
              <w:spacing w:after="0"/>
              <w:rPr>
                <w:rFonts w:ascii="Arial" w:cs="Arial" w:eastAsia="Arial" w:hAnsi="Arial"/>
                <w:sz w:val="13"/>
                <w:szCs w:val="13"/>
                <w:color w:val="0000FF"/>
              </w:rPr>
            </w:pPr>
            <w:hyperlink r:id="rId160">
              <w:r>
                <w:rPr>
                  <w:rFonts w:ascii="Arial" w:cs="Arial" w:eastAsia="Arial" w:hAnsi="Arial"/>
                  <w:sz w:val="13"/>
                  <w:szCs w:val="13"/>
                  <w:color w:val="0000FF"/>
                </w:rPr>
                <w:t>2015 Stock Plan and forms of award agreements thereunder</w:t>
              </w:r>
            </w:hyperlink>
            <w:r>
              <w:rPr>
                <w:rFonts w:ascii="Arial" w:cs="Arial" w:eastAsia="Arial" w:hAnsi="Arial"/>
                <w:sz w:val="13"/>
                <w:szCs w:val="13"/>
                <w:color w:val="00000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S-1</w:t>
            </w:r>
          </w:p>
        </w:tc>
        <w:tc>
          <w:tcPr>
            <w:tcW w:w="1300" w:type="dxa"/>
            <w:vAlign w:val="bottom"/>
          </w:tcPr>
          <w:p>
            <w:pPr>
              <w:ind w:left="140"/>
              <w:spacing w:after="0"/>
              <w:rPr>
                <w:sz w:val="20"/>
                <w:szCs w:val="20"/>
                <w:color w:val="auto"/>
              </w:rPr>
            </w:pPr>
            <w:r>
              <w:rPr>
                <w:rFonts w:ascii="Arial" w:cs="Arial" w:eastAsia="Arial" w:hAnsi="Arial"/>
                <w:sz w:val="13"/>
                <w:szCs w:val="13"/>
                <w:color w:val="auto"/>
              </w:rPr>
              <w:t>333-233482</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10.2</w:t>
            </w:r>
          </w:p>
        </w:tc>
        <w:tc>
          <w:tcPr>
            <w:tcW w:w="1100" w:type="dxa"/>
            <w:vAlign w:val="bottom"/>
          </w:tcPr>
          <w:p>
            <w:pPr>
              <w:jc w:val="right"/>
              <w:spacing w:after="0"/>
              <w:rPr>
                <w:sz w:val="20"/>
                <w:szCs w:val="20"/>
                <w:color w:val="auto"/>
              </w:rPr>
            </w:pPr>
            <w:r>
              <w:rPr>
                <w:rFonts w:ascii="Arial" w:cs="Arial" w:eastAsia="Arial" w:hAnsi="Arial"/>
                <w:sz w:val="13"/>
                <w:szCs w:val="13"/>
                <w:color w:val="auto"/>
              </w:rPr>
              <w:t>08/27/2019</w:t>
            </w:r>
          </w:p>
        </w:tc>
        <w:tc>
          <w:tcPr>
            <w:tcW w:w="1220" w:type="dxa"/>
            <w:vAlign w:val="bottom"/>
            <w:shd w:val="clear" w:color="auto" w:fill="FEFEFE"/>
          </w:tcPr>
          <w:p>
            <w:pPr>
              <w:spacing w:after="0"/>
              <w:rPr>
                <w:sz w:val="17"/>
                <w:szCs w:val="17"/>
                <w:color w:val="auto"/>
              </w:rPr>
            </w:pPr>
          </w:p>
        </w:tc>
      </w:tr>
      <w:tr>
        <w:trPr>
          <w:trHeight w:val="581"/>
        </w:trPr>
        <w:tc>
          <w:tcPr>
            <w:tcW w:w="1000" w:type="dxa"/>
            <w:vAlign w:val="bottom"/>
          </w:tcPr>
          <w:p>
            <w:pPr>
              <w:spacing w:after="0"/>
              <w:rPr>
                <w:sz w:val="24"/>
                <w:szCs w:val="24"/>
                <w:color w:val="auto"/>
              </w:rPr>
            </w:pPr>
          </w:p>
        </w:tc>
        <w:tc>
          <w:tcPr>
            <w:tcW w:w="1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ind w:right="436"/>
              <w:spacing w:after="0"/>
              <w:rPr>
                <w:sz w:val="20"/>
                <w:szCs w:val="20"/>
                <w:color w:val="auto"/>
              </w:rPr>
            </w:pPr>
            <w:r>
              <w:rPr>
                <w:rFonts w:ascii="Arial" w:cs="Arial" w:eastAsia="Arial" w:hAnsi="Arial"/>
                <w:sz w:val="13"/>
                <w:szCs w:val="13"/>
                <w:color w:val="auto"/>
              </w:rPr>
              <w:t>109</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Borders>
              <w:top w:val="single" w:sz="8" w:color="FEFEFE"/>
            </w:tcBorders>
          </w:tcPr>
          <w:p>
            <w:pPr>
              <w:spacing w:after="0"/>
              <w:rPr>
                <w:sz w:val="24"/>
                <w:szCs w:val="24"/>
                <w:color w:val="auto"/>
              </w:rPr>
            </w:pPr>
          </w:p>
        </w:tc>
      </w:tr>
      <w:tr>
        <w:trPr>
          <w:trHeight w:val="89"/>
        </w:trPr>
        <w:tc>
          <w:tcPr>
            <w:tcW w:w="100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49"/>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10.3†</w:t>
            </w:r>
          </w:p>
        </w:tc>
        <w:tc>
          <w:tcPr>
            <w:tcW w:w="4520" w:type="dxa"/>
            <w:vAlign w:val="bottom"/>
            <w:gridSpan w:val="20"/>
          </w:tcPr>
          <w:p>
            <w:pPr>
              <w:spacing w:after="0"/>
              <w:rPr>
                <w:sz w:val="20"/>
                <w:szCs w:val="20"/>
                <w:color w:val="auto"/>
              </w:rPr>
            </w:pPr>
            <w:r>
              <w:rPr>
                <w:rFonts w:ascii="Arial" w:cs="Arial" w:eastAsia="Arial" w:hAnsi="Arial"/>
                <w:sz w:val="13"/>
                <w:szCs w:val="13"/>
                <w:color w:val="0000FF"/>
              </w:rPr>
              <w:t>2019 Equity Incentive Plan and forms of award agreements thereunder</w:t>
            </w:r>
            <w:r>
              <w:rPr>
                <w:rFonts w:ascii="Arial" w:cs="Arial" w:eastAsia="Arial" w:hAnsi="Arial"/>
                <w:sz w:val="13"/>
                <w:szCs w:val="13"/>
                <w:color w:val="000000"/>
              </w:rPr>
              <w:t>.</w:t>
            </w:r>
          </w:p>
        </w:tc>
        <w:tc>
          <w:tcPr>
            <w:tcW w:w="36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10.4†</w:t>
            </w:r>
          </w:p>
        </w:tc>
        <w:tc>
          <w:tcPr>
            <w:tcW w:w="4140" w:type="dxa"/>
            <w:vAlign w:val="bottom"/>
            <w:tcBorders>
              <w:bottom w:val="single" w:sz="8" w:color="0000FF"/>
            </w:tcBorders>
            <w:gridSpan w:val="14"/>
          </w:tcPr>
          <w:p>
            <w:pPr>
              <w:spacing w:after="0"/>
              <w:rPr>
                <w:rFonts w:ascii="Arial" w:cs="Arial" w:eastAsia="Arial" w:hAnsi="Arial"/>
                <w:sz w:val="13"/>
                <w:szCs w:val="13"/>
                <w:color w:val="0000FF"/>
                <w:w w:val="97"/>
              </w:rPr>
            </w:pPr>
            <w:hyperlink r:id="rId163">
              <w:r>
                <w:rPr>
                  <w:rFonts w:ascii="Arial" w:cs="Arial" w:eastAsia="Arial" w:hAnsi="Arial"/>
                  <w:sz w:val="13"/>
                  <w:szCs w:val="13"/>
                  <w:color w:val="0000FF"/>
                  <w:w w:val="97"/>
                </w:rPr>
                <w:t>2019 Employee Stock Purchase Plan and form of subscription agreement</w:t>
              </w:r>
            </w:hyperlink>
          </w:p>
        </w:tc>
        <w:tc>
          <w:tcPr>
            <w:tcW w:w="380" w:type="dxa"/>
            <w:vAlign w:val="bottom"/>
            <w:gridSpan w:val="6"/>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S-8</w:t>
            </w:r>
          </w:p>
        </w:tc>
      </w:tr>
      <w:tr>
        <w:trPr>
          <w:trHeight w:val="129"/>
        </w:trPr>
        <w:tc>
          <w:tcPr>
            <w:tcW w:w="540" w:type="dxa"/>
            <w:vAlign w:val="bottom"/>
          </w:tcPr>
          <w:p>
            <w:pPr>
              <w:spacing w:after="0"/>
              <w:rPr>
                <w:sz w:val="11"/>
                <w:szCs w:val="11"/>
                <w:color w:val="auto"/>
              </w:rPr>
            </w:pPr>
          </w:p>
        </w:tc>
        <w:tc>
          <w:tcPr>
            <w:tcW w:w="4520" w:type="dxa"/>
            <w:vAlign w:val="bottom"/>
            <w:gridSpan w:val="20"/>
          </w:tcPr>
          <w:p>
            <w:pPr>
              <w:spacing w:after="0" w:line="129" w:lineRule="exact"/>
              <w:rPr>
                <w:rFonts w:ascii="Arial" w:cs="Arial" w:eastAsia="Arial" w:hAnsi="Arial"/>
                <w:sz w:val="13"/>
                <w:szCs w:val="13"/>
                <w:color w:val="0000FF"/>
              </w:rPr>
            </w:pPr>
            <w:hyperlink r:id="rId163">
              <w:r>
                <w:rPr>
                  <w:rFonts w:ascii="Arial" w:cs="Arial" w:eastAsia="Arial" w:hAnsi="Arial"/>
                  <w:sz w:val="13"/>
                  <w:szCs w:val="13"/>
                  <w:color w:val="0000FF"/>
                </w:rPr>
                <w:t>thereunder</w:t>
              </w:r>
              <w:r>
                <w:rPr>
                  <w:rFonts w:ascii="Arial" w:cs="Arial" w:eastAsia="Arial" w:hAnsi="Arial"/>
                  <w:sz w:val="13"/>
                  <w:szCs w:val="13"/>
                  <w:color w:val="000000"/>
                </w:rPr>
                <w:t>.</w:t>
              </w:r>
            </w:hyperlink>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10.5†</w:t>
            </w:r>
          </w:p>
        </w:tc>
        <w:tc>
          <w:tcPr>
            <w:tcW w:w="4520" w:type="dxa"/>
            <w:vAlign w:val="bottom"/>
            <w:gridSpan w:val="20"/>
          </w:tcPr>
          <w:p>
            <w:pPr>
              <w:spacing w:after="0"/>
              <w:rPr>
                <w:rFonts w:ascii="Arial" w:cs="Arial" w:eastAsia="Arial" w:hAnsi="Arial"/>
                <w:sz w:val="13"/>
                <w:szCs w:val="13"/>
                <w:color w:val="0000FF"/>
                <w:w w:val="97"/>
              </w:rPr>
            </w:pPr>
            <w:hyperlink r:id="rId164">
              <w:r>
                <w:rPr>
                  <w:rFonts w:ascii="Arial" w:cs="Arial" w:eastAsia="Arial" w:hAnsi="Arial"/>
                  <w:sz w:val="13"/>
                  <w:szCs w:val="13"/>
                  <w:color w:val="0000FF"/>
                  <w:w w:val="97"/>
                </w:rPr>
                <w:t>Offer Letter by and between John Foley and the Registrant, dated September 9,</w:t>
              </w:r>
            </w:hyperlink>
          </w:p>
        </w:tc>
        <w:tc>
          <w:tcPr>
            <w:tcW w:w="360" w:type="dxa"/>
            <w:vAlign w:val="bottom"/>
          </w:tcPr>
          <w:p>
            <w:pPr>
              <w:ind w:left="40"/>
              <w:spacing w:after="0"/>
              <w:rPr>
                <w:sz w:val="20"/>
                <w:szCs w:val="20"/>
                <w:color w:val="auto"/>
              </w:rPr>
            </w:pPr>
            <w:r>
              <w:rPr>
                <w:rFonts w:ascii="Arial" w:cs="Arial" w:eastAsia="Arial" w:hAnsi="Arial"/>
                <w:sz w:val="13"/>
                <w:szCs w:val="13"/>
                <w:color w:val="auto"/>
                <w:w w:val="92"/>
              </w:rPr>
              <w:t>S-1/A</w:t>
            </w:r>
          </w:p>
        </w:tc>
      </w:tr>
      <w:tr>
        <w:trPr>
          <w:trHeight w:val="129"/>
        </w:trPr>
        <w:tc>
          <w:tcPr>
            <w:tcW w:w="540" w:type="dxa"/>
            <w:vAlign w:val="bottom"/>
          </w:tcPr>
          <w:p>
            <w:pPr>
              <w:spacing w:after="0"/>
              <w:rPr>
                <w:sz w:val="11"/>
                <w:szCs w:val="11"/>
                <w:color w:val="auto"/>
              </w:rPr>
            </w:pPr>
          </w:p>
        </w:tc>
        <w:tc>
          <w:tcPr>
            <w:tcW w:w="320" w:type="dxa"/>
            <w:vAlign w:val="bottom"/>
            <w:tcBorders>
              <w:top w:val="single" w:sz="8" w:color="0000FF"/>
            </w:tcBorders>
            <w:gridSpan w:val="2"/>
          </w:tcPr>
          <w:p>
            <w:pPr>
              <w:spacing w:after="0" w:line="129" w:lineRule="exact"/>
              <w:rPr>
                <w:rFonts w:ascii="Arial" w:cs="Arial" w:eastAsia="Arial" w:hAnsi="Arial"/>
                <w:sz w:val="13"/>
                <w:szCs w:val="13"/>
                <w:color w:val="0000FF"/>
                <w:w w:val="92"/>
              </w:rPr>
            </w:pPr>
            <w:hyperlink r:id="rId164">
              <w:r>
                <w:rPr>
                  <w:rFonts w:ascii="Arial" w:cs="Arial" w:eastAsia="Arial" w:hAnsi="Arial"/>
                  <w:sz w:val="13"/>
                  <w:szCs w:val="13"/>
                  <w:color w:val="0000FF"/>
                  <w:w w:val="92"/>
                </w:rPr>
                <w:t>2019</w:t>
              </w:r>
              <w:r>
                <w:rPr>
                  <w:rFonts w:ascii="Arial" w:cs="Arial" w:eastAsia="Arial" w:hAnsi="Arial"/>
                  <w:sz w:val="13"/>
                  <w:szCs w:val="13"/>
                  <w:color w:val="000000"/>
                  <w:w w:val="92"/>
                </w:rPr>
                <w:t>.</w:t>
              </w:r>
            </w:hyperlink>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10.6†</w:t>
            </w:r>
          </w:p>
        </w:tc>
        <w:tc>
          <w:tcPr>
            <w:tcW w:w="4520" w:type="dxa"/>
            <w:vAlign w:val="bottom"/>
            <w:gridSpan w:val="20"/>
          </w:tcPr>
          <w:p>
            <w:pPr>
              <w:spacing w:after="0"/>
              <w:rPr>
                <w:rFonts w:ascii="Arial" w:cs="Arial" w:eastAsia="Arial" w:hAnsi="Arial"/>
                <w:sz w:val="13"/>
                <w:szCs w:val="13"/>
                <w:color w:val="0000FF"/>
              </w:rPr>
            </w:pPr>
            <w:hyperlink r:id="rId165">
              <w:r>
                <w:rPr>
                  <w:rFonts w:ascii="Arial" w:cs="Arial" w:eastAsia="Arial" w:hAnsi="Arial"/>
                  <w:sz w:val="13"/>
                  <w:szCs w:val="13"/>
                  <w:color w:val="0000FF"/>
                </w:rPr>
                <w:t>Offer Letter by and between William Lynch and the Registrant, dated January</w:t>
              </w:r>
            </w:hyperlink>
          </w:p>
        </w:tc>
        <w:tc>
          <w:tcPr>
            <w:tcW w:w="360" w:type="dxa"/>
            <w:vAlign w:val="bottom"/>
          </w:tcPr>
          <w:p>
            <w:pPr>
              <w:ind w:left="40"/>
              <w:spacing w:after="0"/>
              <w:rPr>
                <w:sz w:val="20"/>
                <w:szCs w:val="20"/>
                <w:color w:val="auto"/>
              </w:rPr>
            </w:pPr>
            <w:r>
              <w:rPr>
                <w:rFonts w:ascii="Arial" w:cs="Arial" w:eastAsia="Arial" w:hAnsi="Arial"/>
                <w:sz w:val="13"/>
                <w:szCs w:val="13"/>
                <w:color w:val="auto"/>
                <w:w w:val="92"/>
              </w:rPr>
              <w:t>S-1/A</w:t>
            </w:r>
          </w:p>
        </w:tc>
      </w:tr>
      <w:tr>
        <w:trPr>
          <w:trHeight w:val="129"/>
        </w:trPr>
        <w:tc>
          <w:tcPr>
            <w:tcW w:w="540" w:type="dxa"/>
            <w:vAlign w:val="bottom"/>
          </w:tcPr>
          <w:p>
            <w:pPr>
              <w:spacing w:after="0"/>
              <w:rPr>
                <w:sz w:val="11"/>
                <w:szCs w:val="11"/>
                <w:color w:val="auto"/>
              </w:rPr>
            </w:pPr>
          </w:p>
        </w:tc>
        <w:tc>
          <w:tcPr>
            <w:tcW w:w="620" w:type="dxa"/>
            <w:vAlign w:val="bottom"/>
            <w:tcBorders>
              <w:top w:val="single" w:sz="8" w:color="0000FF"/>
            </w:tcBorders>
            <w:gridSpan w:val="5"/>
          </w:tcPr>
          <w:p>
            <w:pPr>
              <w:spacing w:after="0" w:line="129" w:lineRule="exact"/>
              <w:rPr>
                <w:rFonts w:ascii="Arial" w:cs="Arial" w:eastAsia="Arial" w:hAnsi="Arial"/>
                <w:sz w:val="13"/>
                <w:szCs w:val="13"/>
                <w:color w:val="0000FF"/>
              </w:rPr>
            </w:pPr>
            <w:hyperlink r:id="rId165">
              <w:r>
                <w:rPr>
                  <w:rFonts w:ascii="Arial" w:cs="Arial" w:eastAsia="Arial" w:hAnsi="Arial"/>
                  <w:sz w:val="13"/>
                  <w:szCs w:val="13"/>
                  <w:color w:val="0000FF"/>
                </w:rPr>
                <w:t>28, 2017</w:t>
              </w:r>
              <w:r>
                <w:rPr>
                  <w:rFonts w:ascii="Arial" w:cs="Arial" w:eastAsia="Arial" w:hAnsi="Arial"/>
                  <w:sz w:val="13"/>
                  <w:szCs w:val="13"/>
                  <w:color w:val="000000"/>
                </w:rPr>
                <w:t>.</w:t>
              </w:r>
            </w:hyperlink>
          </w:p>
        </w:tc>
        <w:tc>
          <w:tcPr>
            <w:tcW w:w="3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10.7†</w:t>
            </w:r>
          </w:p>
        </w:tc>
        <w:tc>
          <w:tcPr>
            <w:tcW w:w="4880" w:type="dxa"/>
            <w:vAlign w:val="bottom"/>
            <w:gridSpan w:val="21"/>
          </w:tcPr>
          <w:p>
            <w:pPr>
              <w:spacing w:after="0"/>
              <w:rPr>
                <w:rFonts w:ascii="Arial" w:cs="Arial" w:eastAsia="Arial" w:hAnsi="Arial"/>
                <w:sz w:val="13"/>
                <w:szCs w:val="13"/>
                <w:color w:val="0000FF"/>
                <w:w w:val="97"/>
              </w:rPr>
            </w:pPr>
            <w:hyperlink r:id="rId166">
              <w:r>
                <w:rPr>
                  <w:rFonts w:ascii="Arial" w:cs="Arial" w:eastAsia="Arial" w:hAnsi="Arial"/>
                  <w:sz w:val="13"/>
                  <w:szCs w:val="13"/>
                  <w:color w:val="0000FF"/>
                  <w:w w:val="97"/>
                </w:rPr>
                <w:t xml:space="preserve">Offer Letter by and between Jill Woodworth and the Registrant, dated December </w:t>
              </w:r>
            </w:hyperlink>
            <w:r>
              <w:rPr>
                <w:rFonts w:ascii="Arial" w:cs="Arial" w:eastAsia="Arial" w:hAnsi="Arial"/>
                <w:sz w:val="13"/>
                <w:szCs w:val="13"/>
                <w:color w:val="000000"/>
                <w:w w:val="97"/>
              </w:rPr>
              <w:t>S-1/A</w:t>
            </w:r>
          </w:p>
        </w:tc>
      </w:tr>
      <w:tr>
        <w:trPr>
          <w:trHeight w:val="129"/>
        </w:trPr>
        <w:tc>
          <w:tcPr>
            <w:tcW w:w="540" w:type="dxa"/>
            <w:vAlign w:val="bottom"/>
          </w:tcPr>
          <w:p>
            <w:pPr>
              <w:spacing w:after="0"/>
              <w:rPr>
                <w:sz w:val="11"/>
                <w:szCs w:val="11"/>
                <w:color w:val="auto"/>
              </w:rPr>
            </w:pPr>
          </w:p>
        </w:tc>
        <w:tc>
          <w:tcPr>
            <w:tcW w:w="500" w:type="dxa"/>
            <w:vAlign w:val="bottom"/>
            <w:tcBorders>
              <w:top w:val="single" w:sz="8" w:color="0000FF"/>
            </w:tcBorders>
            <w:gridSpan w:val="4"/>
          </w:tcPr>
          <w:p>
            <w:pPr>
              <w:spacing w:after="0" w:line="129" w:lineRule="exact"/>
              <w:rPr>
                <w:rFonts w:ascii="Arial" w:cs="Arial" w:eastAsia="Arial" w:hAnsi="Arial"/>
                <w:sz w:val="13"/>
                <w:szCs w:val="13"/>
                <w:color w:val="0000FF"/>
                <w:w w:val="97"/>
              </w:rPr>
            </w:pPr>
            <w:hyperlink r:id="rId166">
              <w:r>
                <w:rPr>
                  <w:rFonts w:ascii="Arial" w:cs="Arial" w:eastAsia="Arial" w:hAnsi="Arial"/>
                  <w:sz w:val="13"/>
                  <w:szCs w:val="13"/>
                  <w:color w:val="0000FF"/>
                  <w:w w:val="97"/>
                </w:rPr>
                <w:t>8, 2017</w:t>
              </w:r>
              <w:r>
                <w:rPr>
                  <w:rFonts w:ascii="Arial" w:cs="Arial" w:eastAsia="Arial" w:hAnsi="Arial"/>
                  <w:sz w:val="13"/>
                  <w:szCs w:val="13"/>
                  <w:color w:val="000000"/>
                  <w:w w:val="97"/>
                </w:rPr>
                <w:t>.</w:t>
              </w:r>
            </w:hyperlink>
          </w:p>
        </w:tc>
        <w:tc>
          <w:tcPr>
            <w:tcW w:w="1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10.8†</w:t>
            </w:r>
          </w:p>
        </w:tc>
        <w:tc>
          <w:tcPr>
            <w:tcW w:w="4020" w:type="dxa"/>
            <w:vAlign w:val="bottom"/>
            <w:tcBorders>
              <w:bottom w:val="single" w:sz="8" w:color="0000FF"/>
            </w:tcBorders>
            <w:gridSpan w:val="13"/>
          </w:tcPr>
          <w:p>
            <w:pPr>
              <w:spacing w:after="0"/>
              <w:rPr>
                <w:rFonts w:ascii="Arial" w:cs="Arial" w:eastAsia="Arial" w:hAnsi="Arial"/>
                <w:sz w:val="13"/>
                <w:szCs w:val="13"/>
                <w:color w:val="0000FF"/>
                <w:w w:val="97"/>
              </w:rPr>
            </w:pPr>
            <w:hyperlink r:id="rId167">
              <w:r>
                <w:rPr>
                  <w:rFonts w:ascii="Arial" w:cs="Arial" w:eastAsia="Arial" w:hAnsi="Arial"/>
                  <w:sz w:val="13"/>
                  <w:szCs w:val="13"/>
                  <w:color w:val="0000FF"/>
                  <w:w w:val="97"/>
                </w:rPr>
                <w:t>Offer Letter by and between Thomas Cortese and the Registrant, dated</w:t>
              </w:r>
            </w:hyperlink>
          </w:p>
        </w:tc>
        <w:tc>
          <w:tcPr>
            <w:tcW w:w="500" w:type="dxa"/>
            <w:vAlign w:val="bottom"/>
            <w:gridSpan w:val="7"/>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10-K</w:t>
            </w:r>
          </w:p>
        </w:tc>
      </w:tr>
      <w:tr>
        <w:trPr>
          <w:trHeight w:val="129"/>
        </w:trPr>
        <w:tc>
          <w:tcPr>
            <w:tcW w:w="540" w:type="dxa"/>
            <w:vAlign w:val="bottom"/>
          </w:tcPr>
          <w:p>
            <w:pPr>
              <w:spacing w:after="0"/>
              <w:rPr>
                <w:sz w:val="11"/>
                <w:szCs w:val="11"/>
                <w:color w:val="auto"/>
              </w:rPr>
            </w:pPr>
          </w:p>
        </w:tc>
        <w:tc>
          <w:tcPr>
            <w:tcW w:w="4520" w:type="dxa"/>
            <w:vAlign w:val="bottom"/>
            <w:gridSpan w:val="20"/>
          </w:tcPr>
          <w:p>
            <w:pPr>
              <w:spacing w:after="0" w:line="129" w:lineRule="exact"/>
              <w:rPr>
                <w:rFonts w:ascii="Arial" w:cs="Arial" w:eastAsia="Arial" w:hAnsi="Arial"/>
                <w:sz w:val="13"/>
                <w:szCs w:val="13"/>
                <w:color w:val="0000FF"/>
              </w:rPr>
            </w:pPr>
            <w:hyperlink r:id="rId167">
              <w:r>
                <w:rPr>
                  <w:rFonts w:ascii="Arial" w:cs="Arial" w:eastAsia="Arial" w:hAnsi="Arial"/>
                  <w:sz w:val="13"/>
                  <w:szCs w:val="13"/>
                  <w:color w:val="0000FF"/>
                </w:rPr>
                <w:t>February 6, 2017</w:t>
              </w:r>
              <w:r>
                <w:rPr>
                  <w:rFonts w:ascii="Arial" w:cs="Arial" w:eastAsia="Arial" w:hAnsi="Arial"/>
                  <w:sz w:val="13"/>
                  <w:szCs w:val="13"/>
                  <w:color w:val="000000"/>
                </w:rPr>
                <w:t>.</w:t>
              </w:r>
            </w:hyperlink>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10.9†</w:t>
            </w:r>
          </w:p>
        </w:tc>
        <w:tc>
          <w:tcPr>
            <w:tcW w:w="4520" w:type="dxa"/>
            <w:vAlign w:val="bottom"/>
            <w:gridSpan w:val="20"/>
          </w:tcPr>
          <w:p>
            <w:pPr>
              <w:spacing w:after="0"/>
              <w:rPr>
                <w:sz w:val="20"/>
                <w:szCs w:val="20"/>
                <w:color w:val="auto"/>
              </w:rPr>
            </w:pPr>
            <w:r>
              <w:rPr>
                <w:rFonts w:ascii="Arial" w:cs="Arial" w:eastAsia="Arial" w:hAnsi="Arial"/>
                <w:sz w:val="13"/>
                <w:szCs w:val="13"/>
                <w:color w:val="0000FF"/>
                <w:w w:val="98"/>
              </w:rPr>
              <w:t>Employment Contract by and between Kevin Cornils and Peloton Interactive UK</w:t>
            </w:r>
          </w:p>
        </w:tc>
        <w:tc>
          <w:tcPr>
            <w:tcW w:w="360" w:type="dxa"/>
            <w:vAlign w:val="bottom"/>
          </w:tcPr>
          <w:p>
            <w:pPr>
              <w:spacing w:after="0"/>
              <w:rPr>
                <w:sz w:val="14"/>
                <w:szCs w:val="14"/>
                <w:color w:val="auto"/>
              </w:rPr>
            </w:pPr>
          </w:p>
        </w:tc>
      </w:tr>
      <w:tr>
        <w:trPr>
          <w:trHeight w:val="129"/>
        </w:trPr>
        <w:tc>
          <w:tcPr>
            <w:tcW w:w="54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6"/>
              </w:rPr>
              <w:t>Limited, dated February 1, 2018.</w:t>
            </w:r>
          </w:p>
        </w:tc>
        <w:tc>
          <w:tcPr>
            <w:tcW w:w="2640" w:type="dxa"/>
            <w:vAlign w:val="bottom"/>
            <w:tcBorders>
              <w:top w:val="single" w:sz="8" w:color="0000FF"/>
            </w:tcBorders>
            <w:gridSpan w:val="10"/>
          </w:tcPr>
          <w:p>
            <w:pPr>
              <w:spacing w:after="0"/>
              <w:rPr>
                <w:sz w:val="11"/>
                <w:szCs w:val="11"/>
                <w:color w:val="auto"/>
              </w:rPr>
            </w:pPr>
          </w:p>
        </w:tc>
        <w:tc>
          <w:tcPr>
            <w:tcW w:w="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w w:val="95"/>
              </w:rPr>
              <w:t>10.10†</w:t>
            </w:r>
          </w:p>
        </w:tc>
        <w:tc>
          <w:tcPr>
            <w:tcW w:w="4520" w:type="dxa"/>
            <w:vAlign w:val="bottom"/>
            <w:tcBorders>
              <w:bottom w:val="single" w:sz="8" w:color="0000FF"/>
            </w:tcBorders>
            <w:gridSpan w:val="20"/>
          </w:tcPr>
          <w:p>
            <w:pPr>
              <w:spacing w:after="0"/>
              <w:rPr>
                <w:rFonts w:ascii="Arial" w:cs="Arial" w:eastAsia="Arial" w:hAnsi="Arial"/>
                <w:sz w:val="13"/>
                <w:szCs w:val="13"/>
                <w:color w:val="0000FF"/>
                <w:w w:val="97"/>
              </w:rPr>
            </w:pPr>
            <w:hyperlink r:id="rId168">
              <w:r>
                <w:rPr>
                  <w:rFonts w:ascii="Arial" w:cs="Arial" w:eastAsia="Arial" w:hAnsi="Arial"/>
                  <w:sz w:val="13"/>
                  <w:szCs w:val="13"/>
                  <w:color w:val="0000FF"/>
                  <w:w w:val="97"/>
                </w:rPr>
                <w:t>Offer Letter by and between Barry McCarthy and the Registrant, dated February</w:t>
              </w:r>
            </w:hyperlink>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129"/>
        </w:trPr>
        <w:tc>
          <w:tcPr>
            <w:tcW w:w="540" w:type="dxa"/>
            <w:vAlign w:val="bottom"/>
          </w:tcPr>
          <w:p>
            <w:pPr>
              <w:spacing w:after="0"/>
              <w:rPr>
                <w:sz w:val="11"/>
                <w:szCs w:val="11"/>
                <w:color w:val="auto"/>
              </w:rPr>
            </w:pPr>
          </w:p>
        </w:tc>
        <w:tc>
          <w:tcPr>
            <w:tcW w:w="500" w:type="dxa"/>
            <w:vAlign w:val="bottom"/>
            <w:tcBorders>
              <w:bottom w:val="single" w:sz="8" w:color="0000FF"/>
            </w:tcBorders>
            <w:gridSpan w:val="4"/>
          </w:tcPr>
          <w:p>
            <w:pPr>
              <w:spacing w:after="0" w:line="129" w:lineRule="exact"/>
              <w:rPr>
                <w:rFonts w:ascii="Arial" w:cs="Arial" w:eastAsia="Arial" w:hAnsi="Arial"/>
                <w:sz w:val="13"/>
                <w:szCs w:val="13"/>
                <w:color w:val="0000FF"/>
                <w:w w:val="97"/>
              </w:rPr>
            </w:pPr>
            <w:hyperlink r:id="rId168">
              <w:r>
                <w:rPr>
                  <w:rFonts w:ascii="Arial" w:cs="Arial" w:eastAsia="Arial" w:hAnsi="Arial"/>
                  <w:sz w:val="13"/>
                  <w:szCs w:val="13"/>
                  <w:color w:val="0000FF"/>
                  <w:w w:val="97"/>
                </w:rPr>
                <w:t>7, 2022.</w:t>
              </w:r>
            </w:hyperlink>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w w:val="95"/>
              </w:rPr>
              <w:t>10.11†</w:t>
            </w:r>
          </w:p>
        </w:tc>
        <w:tc>
          <w:tcPr>
            <w:tcW w:w="4520" w:type="dxa"/>
            <w:vAlign w:val="bottom"/>
            <w:gridSpan w:val="20"/>
          </w:tcPr>
          <w:p>
            <w:pPr>
              <w:spacing w:after="0"/>
              <w:rPr>
                <w:rFonts w:ascii="Arial" w:cs="Arial" w:eastAsia="Arial" w:hAnsi="Arial"/>
                <w:sz w:val="13"/>
                <w:szCs w:val="13"/>
                <w:color w:val="0000FF"/>
              </w:rPr>
            </w:pPr>
            <w:hyperlink r:id="rId169">
              <w:r>
                <w:rPr>
                  <w:rFonts w:ascii="Arial" w:cs="Arial" w:eastAsia="Arial" w:hAnsi="Arial"/>
                  <w:sz w:val="13"/>
                  <w:szCs w:val="13"/>
                  <w:color w:val="0000FF"/>
                </w:rPr>
                <w:t>Transition and Consulting Agreement by and between Jill Woodworth and the</w:t>
              </w:r>
            </w:hyperlink>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129"/>
        </w:trPr>
        <w:tc>
          <w:tcPr>
            <w:tcW w:w="540" w:type="dxa"/>
            <w:vAlign w:val="bottom"/>
          </w:tcPr>
          <w:p>
            <w:pPr>
              <w:spacing w:after="0"/>
              <w:rPr>
                <w:sz w:val="11"/>
                <w:szCs w:val="11"/>
                <w:color w:val="auto"/>
              </w:rPr>
            </w:pPr>
          </w:p>
        </w:tc>
        <w:tc>
          <w:tcPr>
            <w:tcW w:w="1780" w:type="dxa"/>
            <w:vAlign w:val="bottom"/>
            <w:tcBorders>
              <w:top w:val="single" w:sz="8" w:color="0000FF"/>
              <w:bottom w:val="single" w:sz="8" w:color="0000FF"/>
            </w:tcBorders>
            <w:gridSpan w:val="7"/>
          </w:tcPr>
          <w:p>
            <w:pPr>
              <w:spacing w:after="0" w:line="129" w:lineRule="exact"/>
              <w:rPr>
                <w:rFonts w:ascii="Arial" w:cs="Arial" w:eastAsia="Arial" w:hAnsi="Arial"/>
                <w:sz w:val="13"/>
                <w:szCs w:val="13"/>
                <w:color w:val="0000FF"/>
                <w:w w:val="97"/>
              </w:rPr>
            </w:pPr>
            <w:hyperlink r:id="rId169">
              <w:r>
                <w:rPr>
                  <w:rFonts w:ascii="Arial" w:cs="Arial" w:eastAsia="Arial" w:hAnsi="Arial"/>
                  <w:sz w:val="13"/>
                  <w:szCs w:val="13"/>
                  <w:color w:val="0000FF"/>
                  <w:w w:val="97"/>
                </w:rPr>
                <w:t>Registrant, dated June 6, 2022.</w:t>
              </w:r>
            </w:hyperlink>
          </w:p>
        </w:tc>
        <w:tc>
          <w:tcPr>
            <w:tcW w:w="2560" w:type="dxa"/>
            <w:vAlign w:val="bottom"/>
            <w:tcBorders>
              <w:top w:val="single" w:sz="8" w:color="0000FF"/>
            </w:tcBorders>
            <w:gridSpan w:val="9"/>
          </w:tcPr>
          <w:p>
            <w:pPr>
              <w:spacing w:after="0"/>
              <w:rPr>
                <w:sz w:val="11"/>
                <w:szCs w:val="11"/>
                <w:color w:val="auto"/>
              </w:rPr>
            </w:pPr>
          </w:p>
        </w:tc>
        <w:tc>
          <w:tcPr>
            <w:tcW w:w="180" w:type="dxa"/>
            <w:vAlign w:val="bottom"/>
            <w:gridSpan w:val="4"/>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w w:val="95"/>
              </w:rPr>
              <w:t>10.12†</w:t>
            </w:r>
          </w:p>
        </w:tc>
        <w:tc>
          <w:tcPr>
            <w:tcW w:w="4520" w:type="dxa"/>
            <w:vAlign w:val="bottom"/>
            <w:gridSpan w:val="20"/>
          </w:tcPr>
          <w:p>
            <w:pPr>
              <w:spacing w:after="0"/>
              <w:rPr>
                <w:rFonts w:ascii="Arial" w:cs="Arial" w:eastAsia="Arial" w:hAnsi="Arial"/>
                <w:sz w:val="13"/>
                <w:szCs w:val="13"/>
                <w:color w:val="0000FF"/>
                <w:w w:val="99"/>
              </w:rPr>
            </w:pPr>
            <w:hyperlink r:id="rId170">
              <w:r>
                <w:rPr>
                  <w:rFonts w:ascii="Arial" w:cs="Arial" w:eastAsia="Arial" w:hAnsi="Arial"/>
                  <w:sz w:val="13"/>
                  <w:szCs w:val="13"/>
                  <w:color w:val="0000FF"/>
                  <w:w w:val="99"/>
                </w:rPr>
                <w:t>Offer Letter by and between Ms. Coddington and the Registrant, dated June 6,</w:t>
              </w:r>
            </w:hyperlink>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129"/>
        </w:trPr>
        <w:tc>
          <w:tcPr>
            <w:tcW w:w="540" w:type="dxa"/>
            <w:vAlign w:val="bottom"/>
          </w:tcPr>
          <w:p>
            <w:pPr>
              <w:spacing w:after="0"/>
              <w:rPr>
                <w:sz w:val="11"/>
                <w:szCs w:val="11"/>
                <w:color w:val="auto"/>
              </w:rPr>
            </w:pPr>
          </w:p>
        </w:tc>
        <w:tc>
          <w:tcPr>
            <w:tcW w:w="320" w:type="dxa"/>
            <w:vAlign w:val="bottom"/>
            <w:tcBorders>
              <w:top w:val="single" w:sz="8" w:color="0000FF"/>
              <w:bottom w:val="single" w:sz="8" w:color="0000FF"/>
            </w:tcBorders>
            <w:gridSpan w:val="2"/>
          </w:tcPr>
          <w:p>
            <w:pPr>
              <w:spacing w:after="0" w:line="129" w:lineRule="exact"/>
              <w:rPr>
                <w:rFonts w:ascii="Arial" w:cs="Arial" w:eastAsia="Arial" w:hAnsi="Arial"/>
                <w:sz w:val="13"/>
                <w:szCs w:val="13"/>
                <w:color w:val="0000FF"/>
                <w:w w:val="92"/>
              </w:rPr>
            </w:pPr>
            <w:hyperlink r:id="rId170">
              <w:r>
                <w:rPr>
                  <w:rFonts w:ascii="Arial" w:cs="Arial" w:eastAsia="Arial" w:hAnsi="Arial"/>
                  <w:sz w:val="13"/>
                  <w:szCs w:val="13"/>
                  <w:color w:val="0000FF"/>
                  <w:w w:val="92"/>
                </w:rPr>
                <w:t>2022.</w:t>
              </w:r>
            </w:hyperlink>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w w:val="95"/>
              </w:rPr>
              <w:t>10.13†</w:t>
            </w:r>
          </w:p>
        </w:tc>
        <w:tc>
          <w:tcPr>
            <w:tcW w:w="4520" w:type="dxa"/>
            <w:vAlign w:val="bottom"/>
            <w:gridSpan w:val="20"/>
          </w:tcPr>
          <w:p>
            <w:pPr>
              <w:spacing w:after="0"/>
              <w:rPr>
                <w:rFonts w:ascii="Arial" w:cs="Arial" w:eastAsia="Arial" w:hAnsi="Arial"/>
                <w:sz w:val="13"/>
                <w:szCs w:val="13"/>
                <w:color w:val="0000FF"/>
              </w:rPr>
            </w:pPr>
            <w:hyperlink r:id="rId171">
              <w:r>
                <w:rPr>
                  <w:rFonts w:ascii="Arial" w:cs="Arial" w:eastAsia="Arial" w:hAnsi="Arial"/>
                  <w:sz w:val="13"/>
                  <w:szCs w:val="13"/>
                  <w:color w:val="0000FF"/>
                </w:rPr>
                <w:t>Severance and Change in Control Plan and form of participation agreement</w:t>
              </w:r>
            </w:hyperlink>
          </w:p>
        </w:tc>
        <w:tc>
          <w:tcPr>
            <w:tcW w:w="360" w:type="dxa"/>
            <w:vAlign w:val="bottom"/>
          </w:tcPr>
          <w:p>
            <w:pPr>
              <w:ind w:left="40"/>
              <w:spacing w:after="0"/>
              <w:rPr>
                <w:sz w:val="20"/>
                <w:szCs w:val="20"/>
                <w:color w:val="auto"/>
              </w:rPr>
            </w:pPr>
            <w:r>
              <w:rPr>
                <w:rFonts w:ascii="Arial" w:cs="Arial" w:eastAsia="Arial" w:hAnsi="Arial"/>
                <w:sz w:val="13"/>
                <w:szCs w:val="13"/>
                <w:color w:val="auto"/>
              </w:rPr>
              <w:t>10-K</w:t>
            </w:r>
          </w:p>
        </w:tc>
      </w:tr>
      <w:tr>
        <w:trPr>
          <w:trHeight w:val="129"/>
        </w:trPr>
        <w:tc>
          <w:tcPr>
            <w:tcW w:w="540" w:type="dxa"/>
            <w:vAlign w:val="bottom"/>
          </w:tcPr>
          <w:p>
            <w:pPr>
              <w:spacing w:after="0"/>
              <w:rPr>
                <w:sz w:val="11"/>
                <w:szCs w:val="11"/>
                <w:color w:val="auto"/>
              </w:rPr>
            </w:pPr>
          </w:p>
        </w:tc>
        <w:tc>
          <w:tcPr>
            <w:tcW w:w="4240" w:type="dxa"/>
            <w:vAlign w:val="bottom"/>
            <w:tcBorders>
              <w:top w:val="single" w:sz="8" w:color="0000FF"/>
            </w:tcBorders>
            <w:gridSpan w:val="15"/>
          </w:tcPr>
          <w:p>
            <w:pPr>
              <w:spacing w:after="0" w:line="129" w:lineRule="exact"/>
              <w:rPr>
                <w:rFonts w:ascii="Arial" w:cs="Arial" w:eastAsia="Arial" w:hAnsi="Arial"/>
                <w:sz w:val="13"/>
                <w:szCs w:val="13"/>
                <w:color w:val="0000FF"/>
              </w:rPr>
            </w:pPr>
            <w:hyperlink r:id="rId171">
              <w:r>
                <w:rPr>
                  <w:rFonts w:ascii="Arial" w:cs="Arial" w:eastAsia="Arial" w:hAnsi="Arial"/>
                  <w:sz w:val="13"/>
                  <w:szCs w:val="13"/>
                  <w:color w:val="0000FF"/>
                </w:rPr>
                <w:t>thereunder</w:t>
              </w:r>
              <w:r>
                <w:rPr>
                  <w:rFonts w:ascii="Arial" w:cs="Arial" w:eastAsia="Arial" w:hAnsi="Arial"/>
                  <w:sz w:val="13"/>
                  <w:szCs w:val="13"/>
                  <w:color w:val="000000"/>
                </w:rPr>
                <w:t>.</w:t>
              </w:r>
            </w:hyperlink>
          </w:p>
        </w:tc>
        <w:tc>
          <w:tcPr>
            <w:tcW w:w="280" w:type="dxa"/>
            <w:vAlign w:val="bottom"/>
            <w:gridSpan w:val="5"/>
          </w:tcPr>
          <w:p>
            <w:pPr>
              <w:spacing w:after="0"/>
              <w:rPr>
                <w:sz w:val="11"/>
                <w:szCs w:val="11"/>
                <w:color w:val="auto"/>
              </w:rPr>
            </w:pPr>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10.14</w:t>
            </w:r>
          </w:p>
        </w:tc>
        <w:tc>
          <w:tcPr>
            <w:tcW w:w="4520" w:type="dxa"/>
            <w:vAlign w:val="bottom"/>
            <w:gridSpan w:val="20"/>
          </w:tcPr>
          <w:p>
            <w:pPr>
              <w:spacing w:after="0"/>
              <w:rPr>
                <w:rFonts w:ascii="Arial" w:cs="Arial" w:eastAsia="Arial" w:hAnsi="Arial"/>
                <w:sz w:val="13"/>
                <w:szCs w:val="13"/>
                <w:color w:val="0000FF"/>
              </w:rPr>
            </w:pPr>
            <w:hyperlink r:id="rId172">
              <w:r>
                <w:rPr>
                  <w:rFonts w:ascii="Arial" w:cs="Arial" w:eastAsia="Arial" w:hAnsi="Arial"/>
                  <w:sz w:val="13"/>
                  <w:szCs w:val="13"/>
                  <w:color w:val="0000FF"/>
                </w:rPr>
                <w:t>Agreement of Lease by and between the Registrant and Maple West 25th</w:t>
              </w:r>
            </w:hyperlink>
          </w:p>
        </w:tc>
        <w:tc>
          <w:tcPr>
            <w:tcW w:w="360" w:type="dxa"/>
            <w:vAlign w:val="bottom"/>
          </w:tcPr>
          <w:p>
            <w:pPr>
              <w:ind w:left="40"/>
              <w:spacing w:after="0"/>
              <w:rPr>
                <w:sz w:val="20"/>
                <w:szCs w:val="20"/>
                <w:color w:val="auto"/>
              </w:rPr>
            </w:pPr>
            <w:r>
              <w:rPr>
                <w:rFonts w:ascii="Arial" w:cs="Arial" w:eastAsia="Arial" w:hAnsi="Arial"/>
                <w:sz w:val="13"/>
                <w:szCs w:val="13"/>
                <w:color w:val="auto"/>
                <w:w w:val="92"/>
              </w:rPr>
              <w:t>S-1/A</w:t>
            </w:r>
          </w:p>
        </w:tc>
      </w:tr>
      <w:tr>
        <w:trPr>
          <w:trHeight w:val="129"/>
        </w:trPr>
        <w:tc>
          <w:tcPr>
            <w:tcW w:w="540" w:type="dxa"/>
            <w:vAlign w:val="bottom"/>
          </w:tcPr>
          <w:p>
            <w:pPr>
              <w:spacing w:after="0"/>
              <w:rPr>
                <w:sz w:val="11"/>
                <w:szCs w:val="11"/>
                <w:color w:val="auto"/>
              </w:rPr>
            </w:pPr>
          </w:p>
        </w:tc>
        <w:tc>
          <w:tcPr>
            <w:tcW w:w="4140" w:type="dxa"/>
            <w:vAlign w:val="bottom"/>
            <w:tcBorders>
              <w:top w:val="single" w:sz="8" w:color="0000FF"/>
            </w:tcBorders>
            <w:gridSpan w:val="14"/>
          </w:tcPr>
          <w:p>
            <w:pPr>
              <w:spacing w:after="0" w:line="129" w:lineRule="exact"/>
              <w:rPr>
                <w:rFonts w:ascii="Arial" w:cs="Arial" w:eastAsia="Arial" w:hAnsi="Arial"/>
                <w:sz w:val="13"/>
                <w:szCs w:val="13"/>
                <w:color w:val="0000FF"/>
              </w:rPr>
            </w:pPr>
            <w:hyperlink r:id="rId172">
              <w:r>
                <w:rPr>
                  <w:rFonts w:ascii="Arial" w:cs="Arial" w:eastAsia="Arial" w:hAnsi="Arial"/>
                  <w:sz w:val="13"/>
                  <w:szCs w:val="13"/>
                  <w:color w:val="0000FF"/>
                </w:rPr>
                <w:t>Owner, LLC, dated November 11, 2015, as amended.</w:t>
              </w:r>
            </w:hyperlink>
          </w:p>
        </w:tc>
        <w:tc>
          <w:tcPr>
            <w:tcW w:w="380" w:type="dxa"/>
            <w:vAlign w:val="bottom"/>
            <w:gridSpan w:val="6"/>
          </w:tcPr>
          <w:p>
            <w:pPr>
              <w:spacing w:after="0"/>
              <w:rPr>
                <w:sz w:val="11"/>
                <w:szCs w:val="11"/>
                <w:color w:val="auto"/>
              </w:rPr>
            </w:pPr>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2220" w:type="dxa"/>
            <w:vAlign w:val="bottom"/>
            <w:gridSpan w:val="9"/>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10.15</w:t>
            </w:r>
          </w:p>
        </w:tc>
        <w:tc>
          <w:tcPr>
            <w:tcW w:w="4500" w:type="dxa"/>
            <w:vAlign w:val="bottom"/>
            <w:tcBorders>
              <w:bottom w:val="single" w:sz="8" w:color="0000FF"/>
            </w:tcBorders>
            <w:gridSpan w:val="19"/>
          </w:tcPr>
          <w:p>
            <w:pPr>
              <w:spacing w:after="0"/>
              <w:rPr>
                <w:rFonts w:ascii="Arial" w:cs="Arial" w:eastAsia="Arial" w:hAnsi="Arial"/>
                <w:sz w:val="13"/>
                <w:szCs w:val="13"/>
                <w:color w:val="0000FF"/>
                <w:w w:val="97"/>
              </w:rPr>
            </w:pPr>
            <w:hyperlink r:id="rId173">
              <w:r>
                <w:rPr>
                  <w:rFonts w:ascii="Arial" w:cs="Arial" w:eastAsia="Arial" w:hAnsi="Arial"/>
                  <w:sz w:val="13"/>
                  <w:szCs w:val="13"/>
                  <w:color w:val="0000FF"/>
                  <w:w w:val="97"/>
                </w:rPr>
                <w:t>Agreement of Lease by and between the Registrant and CBP 441 Ninth Avenue</w:t>
              </w:r>
            </w:hyperlink>
          </w:p>
        </w:tc>
        <w:tc>
          <w:tcPr>
            <w:tcW w:w="2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w w:val="92"/>
              </w:rPr>
              <w:t>S-1/A</w:t>
            </w:r>
          </w:p>
        </w:tc>
      </w:tr>
      <w:tr>
        <w:trPr>
          <w:trHeight w:val="129"/>
        </w:trPr>
        <w:tc>
          <w:tcPr>
            <w:tcW w:w="540" w:type="dxa"/>
            <w:vAlign w:val="bottom"/>
          </w:tcPr>
          <w:p>
            <w:pPr>
              <w:spacing w:after="0"/>
              <w:rPr>
                <w:sz w:val="11"/>
                <w:szCs w:val="11"/>
                <w:color w:val="auto"/>
              </w:rPr>
            </w:pPr>
          </w:p>
        </w:tc>
        <w:tc>
          <w:tcPr>
            <w:tcW w:w="2220" w:type="dxa"/>
            <w:vAlign w:val="bottom"/>
            <w:tcBorders>
              <w:bottom w:val="single" w:sz="8" w:color="0000FF"/>
            </w:tcBorders>
            <w:gridSpan w:val="9"/>
          </w:tcPr>
          <w:p>
            <w:pPr>
              <w:spacing w:after="0" w:line="129" w:lineRule="exact"/>
              <w:rPr>
                <w:rFonts w:ascii="Arial" w:cs="Arial" w:eastAsia="Arial" w:hAnsi="Arial"/>
                <w:sz w:val="13"/>
                <w:szCs w:val="13"/>
                <w:color w:val="0000FF"/>
                <w:w w:val="96"/>
              </w:rPr>
            </w:pPr>
            <w:hyperlink r:id="rId173">
              <w:r>
                <w:rPr>
                  <w:rFonts w:ascii="Arial" w:cs="Arial" w:eastAsia="Arial" w:hAnsi="Arial"/>
                  <w:sz w:val="13"/>
                  <w:szCs w:val="13"/>
                  <w:color w:val="0000FF"/>
                  <w:w w:val="96"/>
                </w:rPr>
                <w:t>Owner LLC, dated November 16, 2018.</w:t>
              </w:r>
            </w:hyperlink>
          </w:p>
        </w:tc>
        <w:tc>
          <w:tcPr>
            <w:tcW w:w="2300" w:type="dxa"/>
            <w:vAlign w:val="bottom"/>
            <w:gridSpan w:val="11"/>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10.16</w:t>
            </w:r>
          </w:p>
        </w:tc>
        <w:tc>
          <w:tcPr>
            <w:tcW w:w="4520" w:type="dxa"/>
            <w:vAlign w:val="bottom"/>
            <w:gridSpan w:val="20"/>
          </w:tcPr>
          <w:p>
            <w:pPr>
              <w:spacing w:after="0"/>
              <w:rPr>
                <w:rFonts w:ascii="Arial" w:cs="Arial" w:eastAsia="Arial" w:hAnsi="Arial"/>
                <w:sz w:val="13"/>
                <w:szCs w:val="13"/>
                <w:color w:val="0000FF"/>
              </w:rPr>
            </w:pPr>
            <w:hyperlink r:id="rId174">
              <w:r>
                <w:rPr>
                  <w:rFonts w:ascii="Arial" w:cs="Arial" w:eastAsia="Arial" w:hAnsi="Arial"/>
                  <w:sz w:val="13"/>
                  <w:szCs w:val="13"/>
                  <w:color w:val="0000FF"/>
                </w:rPr>
                <w:t>Form of Base Capped Call Transaction Confirmation</w:t>
              </w:r>
            </w:hyperlink>
            <w:r>
              <w:rPr>
                <w:rFonts w:ascii="Arial" w:cs="Arial" w:eastAsia="Arial" w:hAnsi="Arial"/>
                <w:sz w:val="13"/>
                <w:szCs w:val="13"/>
                <w:color w:val="000000"/>
              </w:rPr>
              <w:t>.</w:t>
            </w:r>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20"/>
        </w:trPr>
        <w:tc>
          <w:tcPr>
            <w:tcW w:w="540" w:type="dxa"/>
            <w:vAlign w:val="bottom"/>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10.17</w:t>
            </w:r>
          </w:p>
        </w:tc>
        <w:tc>
          <w:tcPr>
            <w:tcW w:w="4520" w:type="dxa"/>
            <w:vAlign w:val="bottom"/>
            <w:gridSpan w:val="20"/>
          </w:tcPr>
          <w:p>
            <w:pPr>
              <w:spacing w:after="0"/>
              <w:rPr>
                <w:rFonts w:ascii="Arial" w:cs="Arial" w:eastAsia="Arial" w:hAnsi="Arial"/>
                <w:sz w:val="13"/>
                <w:szCs w:val="13"/>
                <w:color w:val="0000FF"/>
              </w:rPr>
            </w:pPr>
            <w:hyperlink r:id="rId175">
              <w:r>
                <w:rPr>
                  <w:rFonts w:ascii="Arial" w:cs="Arial" w:eastAsia="Arial" w:hAnsi="Arial"/>
                  <w:sz w:val="13"/>
                  <w:szCs w:val="13"/>
                  <w:color w:val="0000FF"/>
                </w:rPr>
                <w:t>Form of Additional Capped Call Transaction Confirmation</w:t>
              </w:r>
            </w:hyperlink>
            <w:r>
              <w:rPr>
                <w:rFonts w:ascii="Arial" w:cs="Arial" w:eastAsia="Arial" w:hAnsi="Arial"/>
                <w:sz w:val="13"/>
                <w:szCs w:val="13"/>
                <w:color w:val="000000"/>
              </w:rPr>
              <w:t>.</w:t>
            </w:r>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614"/>
        </w:trPr>
        <w:tc>
          <w:tcPr>
            <w:tcW w:w="54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42545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shd w:val="clear" w:color="auto" w:fill="FEFEFE"/>
          </w:tcPr>
          <w:p>
            <w:pPr>
              <w:ind w:left="560"/>
              <w:spacing w:after="0"/>
              <w:rPr>
                <w:sz w:val="20"/>
                <w:szCs w:val="20"/>
                <w:color w:val="auto"/>
              </w:rPr>
            </w:pPr>
            <w:r>
              <w:rPr>
                <w:rFonts w:ascii="Arial" w:cs="Arial" w:eastAsia="Arial" w:hAnsi="Arial"/>
                <w:sz w:val="13"/>
                <w:szCs w:val="13"/>
                <w:color w:val="auto"/>
              </w:rPr>
              <w:t>X</w:t>
            </w:r>
          </w:p>
        </w:tc>
      </w:tr>
      <w:tr>
        <w:trPr>
          <w:trHeight w:val="171"/>
        </w:trPr>
        <w:tc>
          <w:tcPr>
            <w:tcW w:w="1380" w:type="dxa"/>
            <w:vAlign w:val="bottom"/>
          </w:tcPr>
          <w:p>
            <w:pPr>
              <w:spacing w:after="0"/>
              <w:rPr>
                <w:sz w:val="20"/>
                <w:szCs w:val="20"/>
                <w:color w:val="auto"/>
              </w:rPr>
            </w:pPr>
            <w:r>
              <w:rPr>
                <w:rFonts w:ascii="Arial" w:cs="Arial" w:eastAsia="Arial" w:hAnsi="Arial"/>
                <w:sz w:val="13"/>
                <w:szCs w:val="13"/>
                <w:color w:val="auto"/>
              </w:rPr>
              <w:t>333-233941</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4.8</w:t>
            </w:r>
          </w:p>
        </w:tc>
        <w:tc>
          <w:tcPr>
            <w:tcW w:w="960" w:type="dxa"/>
            <w:vAlign w:val="bottom"/>
          </w:tcPr>
          <w:p>
            <w:pPr>
              <w:jc w:val="right"/>
              <w:spacing w:after="0"/>
              <w:rPr>
                <w:sz w:val="20"/>
                <w:szCs w:val="20"/>
                <w:color w:val="auto"/>
              </w:rPr>
            </w:pPr>
            <w:r>
              <w:rPr>
                <w:rFonts w:ascii="Arial" w:cs="Arial" w:eastAsia="Arial" w:hAnsi="Arial"/>
                <w:sz w:val="13"/>
                <w:szCs w:val="13"/>
                <w:color w:val="auto"/>
              </w:rPr>
              <w:t>09/26/2019</w:t>
            </w:r>
          </w:p>
        </w:tc>
        <w:tc>
          <w:tcPr>
            <w:tcW w:w="1220" w:type="dxa"/>
            <w:vAlign w:val="bottom"/>
            <w:shd w:val="clear" w:color="auto" w:fill="FEFEFE"/>
          </w:tcPr>
          <w:p>
            <w:pPr>
              <w:spacing w:after="0"/>
              <w:rPr>
                <w:sz w:val="14"/>
                <w:szCs w:val="1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333-233482</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10.5</w:t>
            </w:r>
          </w:p>
        </w:tc>
        <w:tc>
          <w:tcPr>
            <w:tcW w:w="960" w:type="dxa"/>
            <w:vAlign w:val="bottom"/>
          </w:tcPr>
          <w:p>
            <w:pPr>
              <w:jc w:val="right"/>
              <w:spacing w:after="0"/>
              <w:rPr>
                <w:sz w:val="20"/>
                <w:szCs w:val="20"/>
                <w:color w:val="auto"/>
              </w:rPr>
            </w:pPr>
            <w:r>
              <w:rPr>
                <w:rFonts w:ascii="Arial" w:cs="Arial" w:eastAsia="Arial" w:hAnsi="Arial"/>
                <w:sz w:val="13"/>
                <w:szCs w:val="13"/>
                <w:color w:val="auto"/>
              </w:rPr>
              <w:t>09/10/2019</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333-233482</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10.6</w:t>
            </w:r>
          </w:p>
        </w:tc>
        <w:tc>
          <w:tcPr>
            <w:tcW w:w="960" w:type="dxa"/>
            <w:vAlign w:val="bottom"/>
          </w:tcPr>
          <w:p>
            <w:pPr>
              <w:jc w:val="right"/>
              <w:spacing w:after="0"/>
              <w:rPr>
                <w:sz w:val="20"/>
                <w:szCs w:val="20"/>
                <w:color w:val="auto"/>
              </w:rPr>
            </w:pPr>
            <w:r>
              <w:rPr>
                <w:rFonts w:ascii="Arial" w:cs="Arial" w:eastAsia="Arial" w:hAnsi="Arial"/>
                <w:sz w:val="13"/>
                <w:szCs w:val="13"/>
                <w:color w:val="auto"/>
              </w:rPr>
              <w:t>09/10/2019</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333-233482</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10.7</w:t>
            </w:r>
          </w:p>
        </w:tc>
        <w:tc>
          <w:tcPr>
            <w:tcW w:w="960" w:type="dxa"/>
            <w:vAlign w:val="bottom"/>
          </w:tcPr>
          <w:p>
            <w:pPr>
              <w:jc w:val="right"/>
              <w:spacing w:after="0"/>
              <w:rPr>
                <w:sz w:val="20"/>
                <w:szCs w:val="20"/>
                <w:color w:val="auto"/>
              </w:rPr>
            </w:pPr>
            <w:r>
              <w:rPr>
                <w:rFonts w:ascii="Arial" w:cs="Arial" w:eastAsia="Arial" w:hAnsi="Arial"/>
                <w:sz w:val="13"/>
                <w:szCs w:val="13"/>
                <w:color w:val="auto"/>
              </w:rPr>
              <w:t>09/10/2019</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10.8</w:t>
            </w:r>
          </w:p>
        </w:tc>
        <w:tc>
          <w:tcPr>
            <w:tcW w:w="960" w:type="dxa"/>
            <w:vAlign w:val="bottom"/>
          </w:tcPr>
          <w:p>
            <w:pPr>
              <w:jc w:val="right"/>
              <w:spacing w:after="0"/>
              <w:rPr>
                <w:sz w:val="20"/>
                <w:szCs w:val="20"/>
                <w:color w:val="auto"/>
              </w:rPr>
            </w:pPr>
            <w:r>
              <w:rPr>
                <w:rFonts w:ascii="Arial" w:cs="Arial" w:eastAsia="Arial" w:hAnsi="Arial"/>
                <w:sz w:val="13"/>
                <w:szCs w:val="13"/>
                <w:color w:val="auto"/>
              </w:rPr>
              <w:t>09/11/2020</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shd w:val="clear" w:color="auto" w:fill="FEFEFE"/>
          </w:tcPr>
          <w:p>
            <w:pPr>
              <w:ind w:left="560"/>
              <w:spacing w:after="0"/>
              <w:rPr>
                <w:sz w:val="20"/>
                <w:szCs w:val="20"/>
                <w:color w:val="auto"/>
              </w:rPr>
            </w:pPr>
            <w:r>
              <w:rPr>
                <w:rFonts w:ascii="Arial" w:cs="Arial" w:eastAsia="Arial" w:hAnsi="Arial"/>
                <w:sz w:val="13"/>
                <w:szCs w:val="13"/>
                <w:color w:val="auto"/>
              </w:rPr>
              <w:t>X</w:t>
            </w: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960" w:type="dxa"/>
            <w:vAlign w:val="bottom"/>
          </w:tcPr>
          <w:p>
            <w:pPr>
              <w:jc w:val="right"/>
              <w:spacing w:after="0"/>
              <w:rPr>
                <w:sz w:val="20"/>
                <w:szCs w:val="20"/>
                <w:color w:val="auto"/>
              </w:rPr>
            </w:pPr>
            <w:r>
              <w:rPr>
                <w:rFonts w:ascii="Arial" w:cs="Arial" w:eastAsia="Arial" w:hAnsi="Arial"/>
                <w:sz w:val="13"/>
                <w:szCs w:val="13"/>
                <w:color w:val="auto"/>
              </w:rPr>
              <w:t>02/08/2022</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10.2</w:t>
            </w:r>
          </w:p>
        </w:tc>
        <w:tc>
          <w:tcPr>
            <w:tcW w:w="960" w:type="dxa"/>
            <w:vAlign w:val="bottom"/>
          </w:tcPr>
          <w:p>
            <w:pPr>
              <w:jc w:val="right"/>
              <w:spacing w:after="0"/>
              <w:rPr>
                <w:sz w:val="20"/>
                <w:szCs w:val="20"/>
                <w:color w:val="auto"/>
              </w:rPr>
            </w:pPr>
            <w:r>
              <w:rPr>
                <w:rFonts w:ascii="Arial" w:cs="Arial" w:eastAsia="Arial" w:hAnsi="Arial"/>
                <w:sz w:val="13"/>
                <w:szCs w:val="13"/>
                <w:color w:val="auto"/>
              </w:rPr>
              <w:t>06/06/2022</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960" w:type="dxa"/>
            <w:vAlign w:val="bottom"/>
          </w:tcPr>
          <w:p>
            <w:pPr>
              <w:jc w:val="right"/>
              <w:spacing w:after="0"/>
              <w:rPr>
                <w:sz w:val="20"/>
                <w:szCs w:val="20"/>
                <w:color w:val="auto"/>
              </w:rPr>
            </w:pPr>
            <w:r>
              <w:rPr>
                <w:rFonts w:ascii="Arial" w:cs="Arial" w:eastAsia="Arial" w:hAnsi="Arial"/>
                <w:sz w:val="13"/>
                <w:szCs w:val="13"/>
                <w:color w:val="auto"/>
              </w:rPr>
              <w:t>06/06/2022</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10.9</w:t>
            </w:r>
          </w:p>
        </w:tc>
        <w:tc>
          <w:tcPr>
            <w:tcW w:w="960" w:type="dxa"/>
            <w:vAlign w:val="bottom"/>
          </w:tcPr>
          <w:p>
            <w:pPr>
              <w:jc w:val="right"/>
              <w:spacing w:after="0"/>
              <w:rPr>
                <w:sz w:val="20"/>
                <w:szCs w:val="20"/>
                <w:color w:val="auto"/>
              </w:rPr>
            </w:pPr>
            <w:r>
              <w:rPr>
                <w:rFonts w:ascii="Arial" w:cs="Arial" w:eastAsia="Arial" w:hAnsi="Arial"/>
                <w:sz w:val="13"/>
                <w:szCs w:val="13"/>
                <w:color w:val="auto"/>
              </w:rPr>
              <w:t>09/11/2020</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333-233482</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10.9</w:t>
            </w:r>
          </w:p>
        </w:tc>
        <w:tc>
          <w:tcPr>
            <w:tcW w:w="960" w:type="dxa"/>
            <w:vAlign w:val="bottom"/>
          </w:tcPr>
          <w:p>
            <w:pPr>
              <w:jc w:val="right"/>
              <w:spacing w:after="0"/>
              <w:rPr>
                <w:sz w:val="20"/>
                <w:szCs w:val="20"/>
                <w:color w:val="auto"/>
              </w:rPr>
            </w:pPr>
            <w:r>
              <w:rPr>
                <w:rFonts w:ascii="Arial" w:cs="Arial" w:eastAsia="Arial" w:hAnsi="Arial"/>
                <w:sz w:val="13"/>
                <w:szCs w:val="13"/>
                <w:color w:val="auto"/>
              </w:rPr>
              <w:t>09/10/2019</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333-233482</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10.10</w:t>
            </w:r>
          </w:p>
        </w:tc>
        <w:tc>
          <w:tcPr>
            <w:tcW w:w="960" w:type="dxa"/>
            <w:vAlign w:val="bottom"/>
          </w:tcPr>
          <w:p>
            <w:pPr>
              <w:jc w:val="right"/>
              <w:spacing w:after="0"/>
              <w:rPr>
                <w:sz w:val="20"/>
                <w:szCs w:val="20"/>
                <w:color w:val="auto"/>
              </w:rPr>
            </w:pPr>
            <w:r>
              <w:rPr>
                <w:rFonts w:ascii="Arial" w:cs="Arial" w:eastAsia="Arial" w:hAnsi="Arial"/>
                <w:sz w:val="13"/>
                <w:szCs w:val="13"/>
                <w:color w:val="auto"/>
              </w:rPr>
              <w:t>09/10/2019</w:t>
            </w:r>
          </w:p>
        </w:tc>
        <w:tc>
          <w:tcPr>
            <w:tcW w:w="1220" w:type="dxa"/>
            <w:vAlign w:val="bottom"/>
            <w:shd w:val="clear" w:color="auto" w:fill="FEFEFE"/>
          </w:tcPr>
          <w:p>
            <w:pPr>
              <w:spacing w:after="0"/>
              <w:rPr>
                <w:sz w:val="24"/>
                <w:szCs w:val="24"/>
                <w:color w:val="auto"/>
              </w:rPr>
            </w:pP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960" w:type="dxa"/>
            <w:vAlign w:val="bottom"/>
          </w:tcPr>
          <w:p>
            <w:pPr>
              <w:jc w:val="right"/>
              <w:spacing w:after="0"/>
              <w:rPr>
                <w:sz w:val="20"/>
                <w:szCs w:val="20"/>
                <w:color w:val="auto"/>
              </w:rPr>
            </w:pPr>
            <w:r>
              <w:rPr>
                <w:rFonts w:ascii="Arial" w:cs="Arial" w:eastAsia="Arial" w:hAnsi="Arial"/>
                <w:sz w:val="13"/>
                <w:szCs w:val="13"/>
                <w:color w:val="auto"/>
              </w:rPr>
              <w:t>02/11/2021</w:t>
            </w:r>
          </w:p>
        </w:tc>
        <w:tc>
          <w:tcPr>
            <w:tcW w:w="1220" w:type="dxa"/>
            <w:vAlign w:val="bottom"/>
            <w:shd w:val="clear" w:color="auto" w:fill="FEFEFE"/>
          </w:tcPr>
          <w:p>
            <w:pPr>
              <w:spacing w:after="0"/>
              <w:rPr>
                <w:sz w:val="24"/>
                <w:szCs w:val="24"/>
                <w:color w:val="auto"/>
              </w:rPr>
            </w:pPr>
          </w:p>
        </w:tc>
      </w:tr>
      <w:tr>
        <w:trPr>
          <w:trHeight w:val="191"/>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10.2</w:t>
            </w:r>
          </w:p>
        </w:tc>
        <w:tc>
          <w:tcPr>
            <w:tcW w:w="960" w:type="dxa"/>
            <w:vAlign w:val="bottom"/>
          </w:tcPr>
          <w:p>
            <w:pPr>
              <w:jc w:val="right"/>
              <w:spacing w:after="0"/>
              <w:rPr>
                <w:sz w:val="20"/>
                <w:szCs w:val="20"/>
                <w:color w:val="auto"/>
              </w:rPr>
            </w:pPr>
            <w:r>
              <w:rPr>
                <w:rFonts w:ascii="Arial" w:cs="Arial" w:eastAsia="Arial" w:hAnsi="Arial"/>
                <w:sz w:val="13"/>
                <w:szCs w:val="13"/>
                <w:color w:val="auto"/>
              </w:rPr>
              <w:t>02/11/2021</w:t>
            </w:r>
          </w:p>
        </w:tc>
        <w:tc>
          <w:tcPr>
            <w:tcW w:w="1220" w:type="dxa"/>
            <w:vAlign w:val="bottom"/>
            <w:shd w:val="clear" w:color="auto" w:fill="FEFEFE"/>
          </w:tcPr>
          <w:p>
            <w:pPr>
              <w:spacing w:after="0"/>
              <w:rPr>
                <w:sz w:val="16"/>
                <w:szCs w:val="16"/>
                <w:color w:val="auto"/>
              </w:rPr>
            </w:pPr>
          </w:p>
        </w:tc>
      </w:tr>
      <w:tr>
        <w:trPr>
          <w:trHeight w:val="24"/>
        </w:trPr>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shd w:val="clear" w:color="auto" w:fill="FEFEFE"/>
          </w:tcPr>
          <w:p>
            <w:pPr>
              <w:spacing w:after="0"/>
              <w:rPr>
                <w:sz w:val="2"/>
                <w:szCs w:val="2"/>
                <w:color w:val="auto"/>
              </w:rPr>
            </w:pPr>
          </w:p>
        </w:tc>
      </w:tr>
    </w:tbl>
    <w:p>
      <w:pPr>
        <w:sectPr>
          <w:pgSz w:w="11900" w:h="16838" w:orient="portrait"/>
          <w:cols w:equalWidth="0" w:num="2">
            <w:col w:w="5420" w:space="520"/>
            <w:col w:w="4880"/>
          </w:cols>
          <w:pgMar w:left="760" w:top="658" w:right="31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10.18</w:t>
            </w:r>
          </w:p>
        </w:tc>
        <w:tc>
          <w:tcPr>
            <w:tcW w:w="4560" w:type="dxa"/>
            <w:vAlign w:val="bottom"/>
            <w:gridSpan w:val="14"/>
          </w:tcPr>
          <w:p>
            <w:pPr>
              <w:spacing w:after="0"/>
              <w:rPr>
                <w:sz w:val="20"/>
                <w:szCs w:val="20"/>
                <w:color w:val="auto"/>
              </w:rPr>
            </w:pPr>
            <w:r>
              <w:rPr>
                <w:rFonts w:ascii="Arial" w:cs="Arial" w:eastAsia="Arial" w:hAnsi="Arial"/>
                <w:sz w:val="13"/>
                <w:szCs w:val="13"/>
                <w:color w:val="0000FF"/>
              </w:rPr>
              <w:t>Amendment and Restatement Agreement, dated as of May 25, 2022, by and</w:t>
            </w: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20"/>
        </w:trPr>
        <w:tc>
          <w:tcPr>
            <w:tcW w:w="10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4560" w:type="dxa"/>
            <w:vAlign w:val="bottom"/>
            <w:gridSpan w:val="14"/>
          </w:tcPr>
          <w:p>
            <w:pPr>
              <w:spacing w:after="0" w:line="129" w:lineRule="exact"/>
              <w:rPr>
                <w:sz w:val="20"/>
                <w:szCs w:val="20"/>
                <w:color w:val="auto"/>
              </w:rPr>
            </w:pPr>
            <w:r>
              <w:rPr>
                <w:rFonts w:ascii="Arial" w:cs="Arial" w:eastAsia="Arial" w:hAnsi="Arial"/>
                <w:sz w:val="13"/>
                <w:szCs w:val="13"/>
                <w:color w:val="0000FF"/>
                <w:w w:val="97"/>
              </w:rPr>
              <w:t>among the Company, JPMorgan Chase Bank, N.A., as administrative agent, and</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shd w:val="clear" w:color="auto" w:fill="FEFEFE"/>
          </w:tcPr>
          <w:p>
            <w:pPr>
              <w:spacing w:after="0"/>
              <w:rPr>
                <w:sz w:val="11"/>
                <w:szCs w:val="11"/>
                <w:color w:val="auto"/>
              </w:rPr>
            </w:pPr>
          </w:p>
        </w:tc>
      </w:tr>
      <w:tr>
        <w:trPr>
          <w:trHeight w:val="129"/>
        </w:trPr>
        <w:tc>
          <w:tcPr>
            <w:tcW w:w="1000" w:type="dxa"/>
            <w:vAlign w:val="bottom"/>
          </w:tcPr>
          <w:p>
            <w:pPr>
              <w:spacing w:after="0"/>
              <w:rPr>
                <w:sz w:val="11"/>
                <w:szCs w:val="11"/>
                <w:color w:val="auto"/>
              </w:rPr>
            </w:pPr>
          </w:p>
        </w:tc>
        <w:tc>
          <w:tcPr>
            <w:tcW w:w="4520" w:type="dxa"/>
            <w:vAlign w:val="bottom"/>
            <w:tcBorders>
              <w:top w:val="single" w:sz="8" w:color="0000FF"/>
            </w:tcBorders>
            <w:gridSpan w:val="13"/>
          </w:tcPr>
          <w:p>
            <w:pPr>
              <w:spacing w:after="0" w:line="129" w:lineRule="exact"/>
              <w:rPr>
                <w:sz w:val="20"/>
                <w:szCs w:val="20"/>
                <w:color w:val="auto"/>
              </w:rPr>
            </w:pPr>
            <w:r>
              <w:rPr>
                <w:rFonts w:ascii="Arial" w:cs="Arial" w:eastAsia="Arial" w:hAnsi="Arial"/>
                <w:sz w:val="13"/>
                <w:szCs w:val="13"/>
                <w:color w:val="0000FF"/>
              </w:rPr>
              <w:t>certain banks and financial institutions party thereto as lenders and issuing</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r>
      <w:tr>
        <w:trPr>
          <w:trHeight w:val="118"/>
        </w:trPr>
        <w:tc>
          <w:tcPr>
            <w:tcW w:w="1000" w:type="dxa"/>
            <w:vAlign w:val="bottom"/>
          </w:tcPr>
          <w:p>
            <w:pPr>
              <w:spacing w:after="0"/>
              <w:rPr>
                <w:sz w:val="10"/>
                <w:szCs w:val="10"/>
                <w:color w:val="auto"/>
              </w:rPr>
            </w:pPr>
          </w:p>
        </w:tc>
        <w:tc>
          <w:tcPr>
            <w:tcW w:w="4200" w:type="dxa"/>
            <w:vAlign w:val="bottom"/>
            <w:tcBorders>
              <w:top w:val="single" w:sz="8" w:color="0000FF"/>
            </w:tcBorders>
            <w:gridSpan w:val="6"/>
          </w:tcPr>
          <w:p>
            <w:pPr>
              <w:spacing w:after="0" w:line="118" w:lineRule="exact"/>
              <w:rPr>
                <w:sz w:val="20"/>
                <w:szCs w:val="20"/>
                <w:color w:val="auto"/>
              </w:rPr>
            </w:pPr>
            <w:r>
              <w:rPr>
                <w:rFonts w:ascii="Arial" w:cs="Arial" w:eastAsia="Arial" w:hAnsi="Arial"/>
                <w:sz w:val="13"/>
                <w:szCs w:val="13"/>
                <w:color w:val="0000FF"/>
              </w:rPr>
              <w:t>banks, as amended</w:t>
            </w:r>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Borders>
              <w:top w:val="single" w:sz="8" w:color="FEFEFE"/>
            </w:tcBorders>
            <w:shd w:val="clear" w:color="auto" w:fill="FEFEFE"/>
          </w:tcPr>
          <w:p>
            <w:pPr>
              <w:spacing w:after="0"/>
              <w:rPr>
                <w:sz w:val="10"/>
                <w:szCs w:val="10"/>
                <w:color w:val="auto"/>
              </w:rPr>
            </w:pPr>
          </w:p>
        </w:tc>
      </w:tr>
      <w:tr>
        <w:trPr>
          <w:trHeight w:val="33"/>
        </w:trPr>
        <w:tc>
          <w:tcPr>
            <w:tcW w:w="100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Borders>
              <w:top w:val="single" w:sz="8" w:color="FEFEFE"/>
            </w:tcBorders>
            <w:shd w:val="clear" w:color="auto" w:fill="FEFEFE"/>
          </w:tcPr>
          <w:p>
            <w:pPr>
              <w:spacing w:after="0"/>
              <w:rPr>
                <w:sz w:val="2"/>
                <w:szCs w:val="2"/>
                <w:color w:val="auto"/>
              </w:rPr>
            </w:pPr>
          </w:p>
        </w:tc>
      </w:tr>
      <w:tr>
        <w:trPr>
          <w:trHeight w:val="138"/>
        </w:trPr>
        <w:tc>
          <w:tcPr>
            <w:tcW w:w="1000" w:type="dxa"/>
            <w:vAlign w:val="bottom"/>
            <w:shd w:val="clear" w:color="auto" w:fill="FEFEFE"/>
          </w:tcPr>
          <w:p>
            <w:pPr>
              <w:jc w:val="right"/>
              <w:ind w:right="76"/>
              <w:spacing w:after="0" w:line="138" w:lineRule="exact"/>
              <w:rPr>
                <w:sz w:val="20"/>
                <w:szCs w:val="20"/>
                <w:color w:val="auto"/>
              </w:rPr>
            </w:pPr>
            <w:r>
              <w:rPr>
                <w:rFonts w:ascii="Arial" w:cs="Arial" w:eastAsia="Arial" w:hAnsi="Arial"/>
                <w:sz w:val="13"/>
                <w:szCs w:val="13"/>
                <w:color w:val="auto"/>
              </w:rPr>
              <w:t>21.1</w:t>
            </w:r>
          </w:p>
        </w:tc>
        <w:tc>
          <w:tcPr>
            <w:tcW w:w="4560" w:type="dxa"/>
            <w:vAlign w:val="bottom"/>
            <w:gridSpan w:val="14"/>
            <w:shd w:val="clear" w:color="auto" w:fill="FEFEFE"/>
          </w:tcPr>
          <w:p>
            <w:pPr>
              <w:spacing w:after="0" w:line="138" w:lineRule="exact"/>
              <w:rPr>
                <w:rFonts w:ascii="Arial" w:cs="Arial" w:eastAsia="Arial" w:hAnsi="Arial"/>
                <w:sz w:val="13"/>
                <w:szCs w:val="13"/>
                <w:color w:val="0000FF"/>
              </w:rPr>
            </w:pPr>
            <w:hyperlink r:id="rId177">
              <w:r>
                <w:rPr>
                  <w:rFonts w:ascii="Arial" w:cs="Arial" w:eastAsia="Arial" w:hAnsi="Arial"/>
                  <w:sz w:val="13"/>
                  <w:szCs w:val="13"/>
                  <w:color w:val="0000FF"/>
                </w:rPr>
                <w:t>List of Subsidiaries</w:t>
              </w:r>
            </w:hyperlink>
            <w:r>
              <w:rPr>
                <w:rFonts w:ascii="Arial" w:cs="Arial" w:eastAsia="Arial" w:hAnsi="Arial"/>
                <w:sz w:val="13"/>
                <w:szCs w:val="13"/>
                <w:color w:val="000000"/>
              </w:rPr>
              <w:t>.</w:t>
            </w:r>
          </w:p>
        </w:tc>
        <w:tc>
          <w:tcPr>
            <w:tcW w:w="820" w:type="dxa"/>
            <w:vAlign w:val="bottom"/>
            <w:shd w:val="clear" w:color="auto" w:fill="FEFEFE"/>
          </w:tcPr>
          <w:p>
            <w:pPr>
              <w:spacing w:after="0" w:line="138" w:lineRule="exact"/>
              <w:rPr>
                <w:sz w:val="20"/>
                <w:szCs w:val="20"/>
                <w:color w:val="auto"/>
              </w:rPr>
            </w:pPr>
            <w:r>
              <w:rPr>
                <w:rFonts w:ascii="Arial" w:cs="Arial" w:eastAsia="Arial" w:hAnsi="Arial"/>
                <w:sz w:val="13"/>
                <w:szCs w:val="13"/>
                <w:color w:val="auto"/>
              </w:rPr>
              <w:t>S-1</w:t>
            </w:r>
          </w:p>
        </w:tc>
        <w:tc>
          <w:tcPr>
            <w:tcW w:w="1120" w:type="dxa"/>
            <w:vAlign w:val="bottom"/>
            <w:shd w:val="clear" w:color="auto" w:fill="FEFEFE"/>
          </w:tcPr>
          <w:p>
            <w:pPr>
              <w:jc w:val="right"/>
              <w:ind w:right="356"/>
              <w:spacing w:after="0" w:line="138" w:lineRule="exact"/>
              <w:rPr>
                <w:sz w:val="20"/>
                <w:szCs w:val="20"/>
                <w:color w:val="auto"/>
              </w:rPr>
            </w:pPr>
            <w:r>
              <w:rPr>
                <w:rFonts w:ascii="Arial" w:cs="Arial" w:eastAsia="Arial" w:hAnsi="Arial"/>
                <w:sz w:val="13"/>
                <w:szCs w:val="13"/>
                <w:color w:val="auto"/>
                <w:w w:val="97"/>
              </w:rPr>
              <w:t>333-233482</w:t>
            </w:r>
          </w:p>
        </w:tc>
        <w:tc>
          <w:tcPr>
            <w:tcW w:w="1320" w:type="dxa"/>
            <w:vAlign w:val="bottom"/>
            <w:shd w:val="clear" w:color="auto" w:fill="FEFEFE"/>
          </w:tcPr>
          <w:p>
            <w:pPr>
              <w:jc w:val="right"/>
              <w:spacing w:after="0" w:line="138" w:lineRule="exact"/>
              <w:rPr>
                <w:sz w:val="20"/>
                <w:szCs w:val="20"/>
                <w:color w:val="auto"/>
              </w:rPr>
            </w:pPr>
            <w:r>
              <w:rPr>
                <w:rFonts w:ascii="Arial" w:cs="Arial" w:eastAsia="Arial" w:hAnsi="Arial"/>
                <w:sz w:val="13"/>
                <w:szCs w:val="13"/>
                <w:color w:val="auto"/>
              </w:rPr>
              <w:t>21.1</w:t>
            </w:r>
          </w:p>
        </w:tc>
        <w:tc>
          <w:tcPr>
            <w:tcW w:w="1240" w:type="dxa"/>
            <w:vAlign w:val="bottom"/>
            <w:shd w:val="clear" w:color="auto" w:fill="FEFEFE"/>
          </w:tcPr>
          <w:p>
            <w:pPr>
              <w:jc w:val="right"/>
              <w:spacing w:after="0" w:line="138" w:lineRule="exact"/>
              <w:rPr>
                <w:sz w:val="20"/>
                <w:szCs w:val="20"/>
                <w:color w:val="auto"/>
              </w:rPr>
            </w:pPr>
            <w:r>
              <w:rPr>
                <w:rFonts w:ascii="Arial" w:cs="Arial" w:eastAsia="Arial" w:hAnsi="Arial"/>
                <w:sz w:val="13"/>
                <w:szCs w:val="13"/>
                <w:color w:val="auto"/>
              </w:rPr>
              <w:t>08/27/2019</w:t>
            </w:r>
          </w:p>
        </w:tc>
        <w:tc>
          <w:tcPr>
            <w:tcW w:w="1220" w:type="dxa"/>
            <w:vAlign w:val="bottom"/>
            <w:shd w:val="clear" w:color="auto" w:fill="FEFEFE"/>
          </w:tcPr>
          <w:p>
            <w:pPr>
              <w:spacing w:after="0"/>
              <w:rPr>
                <w:sz w:val="11"/>
                <w:szCs w:val="11"/>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00" w:type="dxa"/>
            <w:vAlign w:val="bottom"/>
            <w:tcBorders>
              <w:right w:val="single" w:sz="8" w:color="FEFEFE"/>
            </w:tcBorders>
            <w:shd w:val="clear" w:color="auto" w:fill="0000FF"/>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120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32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23.1</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0000FF"/>
              </w:rPr>
              <w:t>Consent of Ernst &amp; Young LLP, Independent registered public accounting firm</w:t>
            </w:r>
            <w:r>
              <w:rPr>
                <w:rFonts w:ascii="Arial" w:cs="Arial" w:eastAsia="Arial" w:hAnsi="Arial"/>
                <w:sz w:val="13"/>
                <w:szCs w:val="13"/>
                <w:color w:val="000000"/>
              </w:rPr>
              <w:t>.</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71"/>
        </w:trPr>
        <w:tc>
          <w:tcPr>
            <w:tcW w:w="1000" w:type="dxa"/>
            <w:vAlign w:val="bottom"/>
            <w:tcBorders>
              <w:top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24.1</w:t>
            </w:r>
          </w:p>
        </w:tc>
        <w:tc>
          <w:tcPr>
            <w:tcW w:w="4340" w:type="dxa"/>
            <w:vAlign w:val="bottom"/>
            <w:tcBorders>
              <w:top w:val="single" w:sz="8" w:color="0000FF"/>
            </w:tcBorders>
            <w:gridSpan w:val="8"/>
            <w:shd w:val="clear" w:color="auto" w:fill="FEFEFE"/>
          </w:tcPr>
          <w:p>
            <w:pPr>
              <w:spacing w:after="0"/>
              <w:rPr>
                <w:sz w:val="20"/>
                <w:szCs w:val="20"/>
                <w:color w:val="auto"/>
              </w:rPr>
            </w:pPr>
            <w:r>
              <w:rPr>
                <w:rFonts w:ascii="Arial" w:cs="Arial" w:eastAsia="Arial" w:hAnsi="Arial"/>
                <w:sz w:val="13"/>
                <w:szCs w:val="13"/>
                <w:color w:val="0000FF"/>
              </w:rPr>
              <w:t>Power of Attorney (included in the signature page)</w:t>
            </w:r>
            <w:r>
              <w:rPr>
                <w:rFonts w:ascii="Arial" w:cs="Arial" w:eastAsia="Arial" w:hAnsi="Arial"/>
                <w:sz w:val="13"/>
                <w:szCs w:val="13"/>
                <w:color w:val="000000"/>
              </w:rPr>
              <w:t>.</w:t>
            </w:r>
          </w:p>
        </w:tc>
        <w:tc>
          <w:tcPr>
            <w:tcW w:w="220" w:type="dxa"/>
            <w:vAlign w:val="bottom"/>
            <w:tcBorders>
              <w:top w:val="single" w:sz="8" w:color="FEFEFE"/>
            </w:tcBorders>
            <w:gridSpan w:val="6"/>
            <w:shd w:val="clear" w:color="auto" w:fill="FEFEFE"/>
          </w:tcPr>
          <w:p>
            <w:pPr>
              <w:spacing w:after="0"/>
              <w:rPr>
                <w:sz w:val="14"/>
                <w:szCs w:val="14"/>
                <w:color w:val="auto"/>
              </w:rPr>
            </w:pPr>
          </w:p>
        </w:tc>
        <w:tc>
          <w:tcPr>
            <w:tcW w:w="820" w:type="dxa"/>
            <w:vAlign w:val="bottom"/>
            <w:tcBorders>
              <w:top w:val="single" w:sz="8" w:color="FEFEFE"/>
            </w:tcBorders>
            <w:shd w:val="clear" w:color="auto" w:fill="FEFEFE"/>
          </w:tcPr>
          <w:p>
            <w:pPr>
              <w:spacing w:after="0"/>
              <w:rPr>
                <w:sz w:val="14"/>
                <w:szCs w:val="14"/>
                <w:color w:val="auto"/>
              </w:rPr>
            </w:pPr>
          </w:p>
        </w:tc>
        <w:tc>
          <w:tcPr>
            <w:tcW w:w="1120" w:type="dxa"/>
            <w:vAlign w:val="bottom"/>
            <w:tcBorders>
              <w:top w:val="single" w:sz="8" w:color="FEFEFE"/>
            </w:tcBorders>
            <w:shd w:val="clear" w:color="auto" w:fill="FEFEFE"/>
          </w:tcPr>
          <w:p>
            <w:pPr>
              <w:spacing w:after="0"/>
              <w:rPr>
                <w:sz w:val="14"/>
                <w:szCs w:val="14"/>
                <w:color w:val="auto"/>
              </w:rPr>
            </w:pPr>
          </w:p>
        </w:tc>
        <w:tc>
          <w:tcPr>
            <w:tcW w:w="1320" w:type="dxa"/>
            <w:vAlign w:val="bottom"/>
            <w:tcBorders>
              <w:top w:val="single" w:sz="8" w:color="FEFEFE"/>
            </w:tcBorders>
            <w:shd w:val="clear" w:color="auto" w:fill="FEFEFE"/>
          </w:tcPr>
          <w:p>
            <w:pPr>
              <w:spacing w:after="0"/>
              <w:rPr>
                <w:sz w:val="14"/>
                <w:szCs w:val="14"/>
                <w:color w:val="auto"/>
              </w:rPr>
            </w:pPr>
          </w:p>
        </w:tc>
        <w:tc>
          <w:tcPr>
            <w:tcW w:w="1240" w:type="dxa"/>
            <w:vAlign w:val="bottom"/>
            <w:tcBorders>
              <w:top w:val="single" w:sz="8" w:color="FEFEFE"/>
            </w:tcBorders>
            <w:shd w:val="clear" w:color="auto" w:fill="FEFEFE"/>
          </w:tcPr>
          <w:p>
            <w:pPr>
              <w:spacing w:after="0"/>
              <w:rPr>
                <w:sz w:val="14"/>
                <w:szCs w:val="14"/>
                <w:color w:val="auto"/>
              </w:rPr>
            </w:pPr>
          </w:p>
        </w:tc>
        <w:tc>
          <w:tcPr>
            <w:tcW w:w="1220" w:type="dxa"/>
            <w:vAlign w:val="bottom"/>
            <w:tcBorders>
              <w:top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20"/>
        </w:trPr>
        <w:tc>
          <w:tcPr>
            <w:tcW w:w="1000" w:type="dxa"/>
            <w:vAlign w:val="bottom"/>
            <w:shd w:val="clear" w:color="auto" w:fill="FEFEFE"/>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32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31.1</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0000FF"/>
                <w:w w:val="98"/>
              </w:rPr>
              <w:t>Certification of Principal Executive Officer Pursuant to Rules 13a-14(a) and 15d-</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29"/>
        </w:trPr>
        <w:tc>
          <w:tcPr>
            <w:tcW w:w="1000" w:type="dxa"/>
            <w:vAlign w:val="bottom"/>
            <w:tcBorders>
              <w:top w:val="single" w:sz="8" w:color="FEFEFE"/>
            </w:tcBorders>
            <w:shd w:val="clear" w:color="auto" w:fill="FEFEFE"/>
          </w:tcPr>
          <w:p>
            <w:pPr>
              <w:spacing w:after="0"/>
              <w:rPr>
                <w:sz w:val="11"/>
                <w:szCs w:val="11"/>
                <w:color w:val="auto"/>
              </w:rPr>
            </w:pPr>
          </w:p>
        </w:tc>
        <w:tc>
          <w:tcPr>
            <w:tcW w:w="4500" w:type="dxa"/>
            <w:vAlign w:val="bottom"/>
            <w:tcBorders>
              <w:top w:val="single" w:sz="8" w:color="0000FF"/>
            </w:tcBorders>
            <w:gridSpan w:val="12"/>
            <w:shd w:val="clear" w:color="auto" w:fill="FEFEFE"/>
          </w:tcPr>
          <w:p>
            <w:pPr>
              <w:spacing w:after="0" w:line="129" w:lineRule="exact"/>
              <w:rPr>
                <w:sz w:val="20"/>
                <w:szCs w:val="20"/>
                <w:color w:val="auto"/>
              </w:rPr>
            </w:pPr>
            <w:r>
              <w:rPr>
                <w:rFonts w:ascii="Arial" w:cs="Arial" w:eastAsia="Arial" w:hAnsi="Arial"/>
                <w:sz w:val="13"/>
                <w:szCs w:val="13"/>
                <w:color w:val="0000FF"/>
              </w:rPr>
              <w:t>14(a) under the Exchange Act, as Adopted Pursuant to Section 302 of the</w:t>
            </w:r>
          </w:p>
        </w:tc>
        <w:tc>
          <w:tcPr>
            <w:tcW w:w="60" w:type="dxa"/>
            <w:vAlign w:val="bottom"/>
            <w:tcBorders>
              <w:top w:val="single" w:sz="8" w:color="FEFEFE"/>
            </w:tcBorders>
            <w:gridSpan w:val="2"/>
            <w:shd w:val="clear" w:color="auto" w:fill="FEFEFE"/>
          </w:tcPr>
          <w:p>
            <w:pPr>
              <w:spacing w:after="0"/>
              <w:rPr>
                <w:sz w:val="11"/>
                <w:szCs w:val="11"/>
                <w:color w:val="auto"/>
              </w:rPr>
            </w:pPr>
          </w:p>
        </w:tc>
        <w:tc>
          <w:tcPr>
            <w:tcW w:w="820" w:type="dxa"/>
            <w:vAlign w:val="bottom"/>
            <w:tcBorders>
              <w:top w:val="single" w:sz="8" w:color="FEFEFE"/>
            </w:tcBorders>
            <w:shd w:val="clear" w:color="auto" w:fill="FEFEFE"/>
          </w:tcPr>
          <w:p>
            <w:pPr>
              <w:spacing w:after="0"/>
              <w:rPr>
                <w:sz w:val="11"/>
                <w:szCs w:val="11"/>
                <w:color w:val="auto"/>
              </w:rPr>
            </w:pPr>
          </w:p>
        </w:tc>
        <w:tc>
          <w:tcPr>
            <w:tcW w:w="1120" w:type="dxa"/>
            <w:vAlign w:val="bottom"/>
            <w:tcBorders>
              <w:top w:val="single" w:sz="8" w:color="FEFEFE"/>
            </w:tcBorders>
            <w:shd w:val="clear" w:color="auto" w:fill="FEFEFE"/>
          </w:tcPr>
          <w:p>
            <w:pPr>
              <w:spacing w:after="0"/>
              <w:rPr>
                <w:sz w:val="11"/>
                <w:szCs w:val="11"/>
                <w:color w:val="auto"/>
              </w:rPr>
            </w:pPr>
          </w:p>
        </w:tc>
        <w:tc>
          <w:tcPr>
            <w:tcW w:w="1320" w:type="dxa"/>
            <w:vAlign w:val="bottom"/>
            <w:tcBorders>
              <w:top w:val="single" w:sz="8" w:color="FEFEFE"/>
            </w:tcBorders>
            <w:shd w:val="clear" w:color="auto" w:fill="FEFEFE"/>
          </w:tcPr>
          <w:p>
            <w:pPr>
              <w:spacing w:after="0"/>
              <w:rPr>
                <w:sz w:val="11"/>
                <w:szCs w:val="11"/>
                <w:color w:val="auto"/>
              </w:rPr>
            </w:pPr>
          </w:p>
        </w:tc>
        <w:tc>
          <w:tcPr>
            <w:tcW w:w="1240" w:type="dxa"/>
            <w:vAlign w:val="bottom"/>
            <w:tcBorders>
              <w:top w:val="single" w:sz="8" w:color="FEFEFE"/>
            </w:tcBorders>
            <w:shd w:val="clear" w:color="auto" w:fill="FEFEFE"/>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r>
      <w:tr>
        <w:trPr>
          <w:trHeight w:val="129"/>
        </w:trPr>
        <w:tc>
          <w:tcPr>
            <w:tcW w:w="1000" w:type="dxa"/>
            <w:vAlign w:val="bottom"/>
            <w:tcBorders>
              <w:top w:val="single" w:sz="8" w:color="FEFEFE"/>
            </w:tcBorders>
            <w:shd w:val="clear" w:color="auto" w:fill="FEFEFE"/>
          </w:tcPr>
          <w:p>
            <w:pPr>
              <w:spacing w:after="0"/>
              <w:rPr>
                <w:sz w:val="11"/>
                <w:szCs w:val="11"/>
                <w:color w:val="auto"/>
              </w:rPr>
            </w:pPr>
          </w:p>
        </w:tc>
        <w:tc>
          <w:tcPr>
            <w:tcW w:w="4140" w:type="dxa"/>
            <w:vAlign w:val="bottom"/>
            <w:tcBorders>
              <w:top w:val="single" w:sz="8" w:color="0000FF"/>
            </w:tcBorders>
            <w:gridSpan w:val="5"/>
            <w:shd w:val="clear" w:color="auto" w:fill="FEFEFE"/>
          </w:tcPr>
          <w:p>
            <w:pPr>
              <w:spacing w:after="0" w:line="129" w:lineRule="exact"/>
              <w:rPr>
                <w:sz w:val="20"/>
                <w:szCs w:val="20"/>
                <w:color w:val="auto"/>
              </w:rPr>
            </w:pPr>
            <w:r>
              <w:rPr>
                <w:rFonts w:ascii="Arial" w:cs="Arial" w:eastAsia="Arial" w:hAnsi="Arial"/>
                <w:sz w:val="13"/>
                <w:szCs w:val="13"/>
                <w:color w:val="0000FF"/>
              </w:rPr>
              <w:t>Sarbanes-Oxley Act of 2002.</w:t>
            </w:r>
          </w:p>
        </w:tc>
        <w:tc>
          <w:tcPr>
            <w:tcW w:w="420" w:type="dxa"/>
            <w:vAlign w:val="bottom"/>
            <w:tcBorders>
              <w:top w:val="single" w:sz="8" w:color="FEFEFE"/>
            </w:tcBorders>
            <w:gridSpan w:val="9"/>
            <w:shd w:val="clear" w:color="auto" w:fill="FEFEFE"/>
          </w:tcPr>
          <w:p>
            <w:pPr>
              <w:spacing w:after="0"/>
              <w:rPr>
                <w:sz w:val="11"/>
                <w:szCs w:val="11"/>
                <w:color w:val="auto"/>
              </w:rPr>
            </w:pPr>
          </w:p>
        </w:tc>
        <w:tc>
          <w:tcPr>
            <w:tcW w:w="820" w:type="dxa"/>
            <w:vAlign w:val="bottom"/>
            <w:tcBorders>
              <w:top w:val="single" w:sz="8" w:color="FEFEFE"/>
            </w:tcBorders>
            <w:shd w:val="clear" w:color="auto" w:fill="FEFEFE"/>
          </w:tcPr>
          <w:p>
            <w:pPr>
              <w:spacing w:after="0"/>
              <w:rPr>
                <w:sz w:val="11"/>
                <w:szCs w:val="11"/>
                <w:color w:val="auto"/>
              </w:rPr>
            </w:pPr>
          </w:p>
        </w:tc>
        <w:tc>
          <w:tcPr>
            <w:tcW w:w="1120" w:type="dxa"/>
            <w:vAlign w:val="bottom"/>
            <w:tcBorders>
              <w:top w:val="single" w:sz="8" w:color="FEFEFE"/>
            </w:tcBorders>
            <w:shd w:val="clear" w:color="auto" w:fill="FEFEFE"/>
          </w:tcPr>
          <w:p>
            <w:pPr>
              <w:spacing w:after="0"/>
              <w:rPr>
                <w:sz w:val="11"/>
                <w:szCs w:val="11"/>
                <w:color w:val="auto"/>
              </w:rPr>
            </w:pPr>
          </w:p>
        </w:tc>
        <w:tc>
          <w:tcPr>
            <w:tcW w:w="1320" w:type="dxa"/>
            <w:vAlign w:val="bottom"/>
            <w:tcBorders>
              <w:top w:val="single" w:sz="8" w:color="FEFEFE"/>
            </w:tcBorders>
            <w:shd w:val="clear" w:color="auto" w:fill="FEFEFE"/>
          </w:tcPr>
          <w:p>
            <w:pPr>
              <w:spacing w:after="0"/>
              <w:rPr>
                <w:sz w:val="11"/>
                <w:szCs w:val="11"/>
                <w:color w:val="auto"/>
              </w:rPr>
            </w:pPr>
          </w:p>
        </w:tc>
        <w:tc>
          <w:tcPr>
            <w:tcW w:w="1240" w:type="dxa"/>
            <w:vAlign w:val="bottom"/>
            <w:tcBorders>
              <w:top w:val="single" w:sz="8" w:color="FEFEFE"/>
            </w:tcBorders>
            <w:shd w:val="clear" w:color="auto" w:fill="FEFEFE"/>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32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60"/>
        </w:trPr>
        <w:tc>
          <w:tcPr>
            <w:tcW w:w="1000" w:type="dxa"/>
            <w:vAlign w:val="bottom"/>
            <w:tcBorders>
              <w:bottom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31.2</w:t>
            </w:r>
          </w:p>
        </w:tc>
        <w:tc>
          <w:tcPr>
            <w:tcW w:w="4460" w:type="dxa"/>
            <w:vAlign w:val="bottom"/>
            <w:tcBorders>
              <w:bottom w:val="single" w:sz="8" w:color="0000FF"/>
            </w:tcBorders>
            <w:gridSpan w:val="11"/>
            <w:shd w:val="clear" w:color="auto" w:fill="FEFEFE"/>
          </w:tcPr>
          <w:p>
            <w:pPr>
              <w:spacing w:after="0"/>
              <w:rPr>
                <w:sz w:val="20"/>
                <w:szCs w:val="20"/>
                <w:color w:val="auto"/>
              </w:rPr>
            </w:pPr>
            <w:r>
              <w:rPr>
                <w:rFonts w:ascii="Arial" w:cs="Arial" w:eastAsia="Arial" w:hAnsi="Arial"/>
                <w:sz w:val="13"/>
                <w:szCs w:val="13"/>
                <w:color w:val="0000FF"/>
                <w:w w:val="97"/>
              </w:rPr>
              <w:t>Certification of Principal Financial Officer Pursuant to Rules 13a-14(a) and 15d-</w:t>
            </w:r>
          </w:p>
        </w:tc>
        <w:tc>
          <w:tcPr>
            <w:tcW w:w="100" w:type="dxa"/>
            <w:vAlign w:val="bottom"/>
            <w:tcBorders>
              <w:bottom w:val="single" w:sz="8" w:color="FEFEFE"/>
            </w:tcBorders>
            <w:gridSpan w:val="3"/>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320" w:type="dxa"/>
            <w:vAlign w:val="bottom"/>
            <w:tcBorders>
              <w:bottom w:val="single" w:sz="8" w:color="FEFEFE"/>
            </w:tcBorders>
            <w:shd w:val="clear" w:color="auto" w:fill="FEFEFE"/>
          </w:tcPr>
          <w:p>
            <w:pPr>
              <w:spacing w:after="0"/>
              <w:rPr>
                <w:sz w:val="13"/>
                <w:szCs w:val="13"/>
                <w:color w:val="auto"/>
              </w:rPr>
            </w:pPr>
          </w:p>
        </w:tc>
        <w:tc>
          <w:tcPr>
            <w:tcW w:w="1240" w:type="dxa"/>
            <w:vAlign w:val="bottom"/>
            <w:tcBorders>
              <w:bottom w:val="single" w:sz="8" w:color="FEFEFE"/>
            </w:tcBorders>
            <w:shd w:val="clear" w:color="auto" w:fill="FEFEFE"/>
          </w:tcPr>
          <w:p>
            <w:pPr>
              <w:spacing w:after="0"/>
              <w:rPr>
                <w:sz w:val="13"/>
                <w:szCs w:val="13"/>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29"/>
        </w:trPr>
        <w:tc>
          <w:tcPr>
            <w:tcW w:w="1000" w:type="dxa"/>
            <w:vAlign w:val="bottom"/>
            <w:shd w:val="clear" w:color="auto" w:fill="FEFEFE"/>
          </w:tcPr>
          <w:p>
            <w:pPr>
              <w:spacing w:after="0"/>
              <w:rPr>
                <w:sz w:val="11"/>
                <w:szCs w:val="11"/>
                <w:color w:val="auto"/>
              </w:rPr>
            </w:pPr>
          </w:p>
        </w:tc>
        <w:tc>
          <w:tcPr>
            <w:tcW w:w="4560" w:type="dxa"/>
            <w:vAlign w:val="bottom"/>
            <w:gridSpan w:val="14"/>
            <w:shd w:val="clear" w:color="auto" w:fill="FEFEFE"/>
          </w:tcPr>
          <w:p>
            <w:pPr>
              <w:spacing w:after="0" w:line="129" w:lineRule="exact"/>
              <w:rPr>
                <w:sz w:val="20"/>
                <w:szCs w:val="20"/>
                <w:color w:val="auto"/>
              </w:rPr>
            </w:pPr>
            <w:r>
              <w:rPr>
                <w:rFonts w:ascii="Arial" w:cs="Arial" w:eastAsia="Arial" w:hAnsi="Arial"/>
                <w:sz w:val="13"/>
                <w:szCs w:val="13"/>
                <w:color w:val="0000FF"/>
              </w:rPr>
              <w:t>14(a) under the Exchange Act, as Adopted Pursuant to Section 302 of the</w:t>
            </w:r>
          </w:p>
        </w:tc>
        <w:tc>
          <w:tcPr>
            <w:tcW w:w="820" w:type="dxa"/>
            <w:vAlign w:val="bottom"/>
            <w:shd w:val="clear" w:color="auto" w:fill="FEFEFE"/>
          </w:tcPr>
          <w:p>
            <w:pPr>
              <w:spacing w:after="0"/>
              <w:rPr>
                <w:sz w:val="11"/>
                <w:szCs w:val="11"/>
                <w:color w:val="auto"/>
              </w:rPr>
            </w:pPr>
          </w:p>
        </w:tc>
        <w:tc>
          <w:tcPr>
            <w:tcW w:w="1120" w:type="dxa"/>
            <w:vAlign w:val="bottom"/>
            <w:shd w:val="clear" w:color="auto" w:fill="FEFEFE"/>
          </w:tcPr>
          <w:p>
            <w:pPr>
              <w:spacing w:after="0"/>
              <w:rPr>
                <w:sz w:val="11"/>
                <w:szCs w:val="11"/>
                <w:color w:val="auto"/>
              </w:rPr>
            </w:pPr>
          </w:p>
        </w:tc>
        <w:tc>
          <w:tcPr>
            <w:tcW w:w="1320" w:type="dxa"/>
            <w:vAlign w:val="bottom"/>
            <w:shd w:val="clear" w:color="auto" w:fill="FEFEFE"/>
          </w:tcPr>
          <w:p>
            <w:pPr>
              <w:spacing w:after="0"/>
              <w:rPr>
                <w:sz w:val="11"/>
                <w:szCs w:val="11"/>
                <w:color w:val="auto"/>
              </w:rPr>
            </w:pPr>
          </w:p>
        </w:tc>
        <w:tc>
          <w:tcPr>
            <w:tcW w:w="1240" w:type="dxa"/>
            <w:vAlign w:val="bottom"/>
            <w:shd w:val="clear" w:color="auto" w:fill="FEFEFE"/>
          </w:tcPr>
          <w:p>
            <w:pPr>
              <w:spacing w:after="0"/>
              <w:rPr>
                <w:sz w:val="11"/>
                <w:szCs w:val="11"/>
                <w:color w:val="auto"/>
              </w:rPr>
            </w:pPr>
          </w:p>
        </w:tc>
        <w:tc>
          <w:tcPr>
            <w:tcW w:w="1220" w:type="dxa"/>
            <w:vAlign w:val="bottom"/>
            <w:shd w:val="clear" w:color="auto" w:fill="FEFEFE"/>
          </w:tcPr>
          <w:p>
            <w:pPr>
              <w:spacing w:after="0"/>
              <w:rPr>
                <w:sz w:val="11"/>
                <w:szCs w:val="11"/>
                <w:color w:val="auto"/>
              </w:rPr>
            </w:pPr>
          </w:p>
        </w:tc>
      </w:tr>
      <w:tr>
        <w:trPr>
          <w:trHeight w:val="129"/>
        </w:trPr>
        <w:tc>
          <w:tcPr>
            <w:tcW w:w="1000" w:type="dxa"/>
            <w:vAlign w:val="bottom"/>
            <w:tcBorders>
              <w:top w:val="single" w:sz="8" w:color="FEFEFE"/>
            </w:tcBorders>
            <w:shd w:val="clear" w:color="auto" w:fill="FEFEFE"/>
          </w:tcPr>
          <w:p>
            <w:pPr>
              <w:spacing w:after="0"/>
              <w:rPr>
                <w:sz w:val="11"/>
                <w:szCs w:val="11"/>
                <w:color w:val="auto"/>
              </w:rPr>
            </w:pPr>
          </w:p>
        </w:tc>
        <w:tc>
          <w:tcPr>
            <w:tcW w:w="4140" w:type="dxa"/>
            <w:vAlign w:val="bottom"/>
            <w:tcBorders>
              <w:top w:val="single" w:sz="8" w:color="0000FF"/>
            </w:tcBorders>
            <w:gridSpan w:val="5"/>
            <w:shd w:val="clear" w:color="auto" w:fill="FEFEFE"/>
          </w:tcPr>
          <w:p>
            <w:pPr>
              <w:spacing w:after="0" w:line="129" w:lineRule="exact"/>
              <w:rPr>
                <w:sz w:val="20"/>
                <w:szCs w:val="20"/>
                <w:color w:val="auto"/>
              </w:rPr>
            </w:pPr>
            <w:r>
              <w:rPr>
                <w:rFonts w:ascii="Arial" w:cs="Arial" w:eastAsia="Arial" w:hAnsi="Arial"/>
                <w:sz w:val="13"/>
                <w:szCs w:val="13"/>
                <w:color w:val="0000FF"/>
              </w:rPr>
              <w:t>Sarbanes-Oxley Act of 2002.</w:t>
            </w:r>
          </w:p>
        </w:tc>
        <w:tc>
          <w:tcPr>
            <w:tcW w:w="420" w:type="dxa"/>
            <w:vAlign w:val="bottom"/>
            <w:tcBorders>
              <w:top w:val="single" w:sz="8" w:color="FEFEFE"/>
            </w:tcBorders>
            <w:gridSpan w:val="9"/>
            <w:shd w:val="clear" w:color="auto" w:fill="FEFEFE"/>
          </w:tcPr>
          <w:p>
            <w:pPr>
              <w:spacing w:after="0"/>
              <w:rPr>
                <w:sz w:val="11"/>
                <w:szCs w:val="11"/>
                <w:color w:val="auto"/>
              </w:rPr>
            </w:pPr>
          </w:p>
        </w:tc>
        <w:tc>
          <w:tcPr>
            <w:tcW w:w="820" w:type="dxa"/>
            <w:vAlign w:val="bottom"/>
            <w:tcBorders>
              <w:top w:val="single" w:sz="8" w:color="FEFEFE"/>
            </w:tcBorders>
            <w:shd w:val="clear" w:color="auto" w:fill="FEFEFE"/>
          </w:tcPr>
          <w:p>
            <w:pPr>
              <w:spacing w:after="0"/>
              <w:rPr>
                <w:sz w:val="11"/>
                <w:szCs w:val="11"/>
                <w:color w:val="auto"/>
              </w:rPr>
            </w:pPr>
          </w:p>
        </w:tc>
        <w:tc>
          <w:tcPr>
            <w:tcW w:w="1120" w:type="dxa"/>
            <w:vAlign w:val="bottom"/>
            <w:tcBorders>
              <w:top w:val="single" w:sz="8" w:color="FEFEFE"/>
            </w:tcBorders>
            <w:shd w:val="clear" w:color="auto" w:fill="FEFEFE"/>
          </w:tcPr>
          <w:p>
            <w:pPr>
              <w:spacing w:after="0"/>
              <w:rPr>
                <w:sz w:val="11"/>
                <w:szCs w:val="11"/>
                <w:color w:val="auto"/>
              </w:rPr>
            </w:pPr>
          </w:p>
        </w:tc>
        <w:tc>
          <w:tcPr>
            <w:tcW w:w="1320" w:type="dxa"/>
            <w:vAlign w:val="bottom"/>
            <w:tcBorders>
              <w:top w:val="single" w:sz="8" w:color="FEFEFE"/>
            </w:tcBorders>
            <w:shd w:val="clear" w:color="auto" w:fill="FEFEFE"/>
          </w:tcPr>
          <w:p>
            <w:pPr>
              <w:spacing w:after="0"/>
              <w:rPr>
                <w:sz w:val="11"/>
                <w:szCs w:val="11"/>
                <w:color w:val="auto"/>
              </w:rPr>
            </w:pPr>
          </w:p>
        </w:tc>
        <w:tc>
          <w:tcPr>
            <w:tcW w:w="1240" w:type="dxa"/>
            <w:vAlign w:val="bottom"/>
            <w:tcBorders>
              <w:top w:val="single" w:sz="8" w:color="FEFEFE"/>
            </w:tcBorders>
            <w:shd w:val="clear" w:color="auto" w:fill="FEFEFE"/>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32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60"/>
        </w:trPr>
        <w:tc>
          <w:tcPr>
            <w:tcW w:w="1000" w:type="dxa"/>
            <w:vAlign w:val="bottom"/>
            <w:tcBorders>
              <w:bottom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32.1</w:t>
            </w:r>
          </w:p>
        </w:tc>
        <w:tc>
          <w:tcPr>
            <w:tcW w:w="4420" w:type="dxa"/>
            <w:vAlign w:val="bottom"/>
            <w:tcBorders>
              <w:bottom w:val="single" w:sz="8" w:color="0000FF"/>
            </w:tcBorders>
            <w:gridSpan w:val="10"/>
            <w:shd w:val="clear" w:color="auto" w:fill="FEFEFE"/>
          </w:tcPr>
          <w:p>
            <w:pPr>
              <w:spacing w:after="0"/>
              <w:rPr>
                <w:sz w:val="20"/>
                <w:szCs w:val="20"/>
                <w:color w:val="auto"/>
              </w:rPr>
            </w:pPr>
            <w:r>
              <w:rPr>
                <w:rFonts w:ascii="Arial" w:cs="Arial" w:eastAsia="Arial" w:hAnsi="Arial"/>
                <w:sz w:val="13"/>
                <w:szCs w:val="13"/>
                <w:color w:val="0000FF"/>
                <w:w w:val="97"/>
              </w:rPr>
              <w:t>Certification of Principal Executive Officer Pursuant to 18 U.S.C. Section 1350,</w:t>
            </w:r>
          </w:p>
        </w:tc>
        <w:tc>
          <w:tcPr>
            <w:tcW w:w="140" w:type="dxa"/>
            <w:vAlign w:val="bottom"/>
            <w:tcBorders>
              <w:bottom w:val="single" w:sz="8" w:color="FEFEFE"/>
            </w:tcBorders>
            <w:gridSpan w:val="4"/>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320" w:type="dxa"/>
            <w:vAlign w:val="bottom"/>
            <w:tcBorders>
              <w:bottom w:val="single" w:sz="8" w:color="FEFEFE"/>
            </w:tcBorders>
            <w:shd w:val="clear" w:color="auto" w:fill="FEFEFE"/>
          </w:tcPr>
          <w:p>
            <w:pPr>
              <w:spacing w:after="0"/>
              <w:rPr>
                <w:sz w:val="13"/>
                <w:szCs w:val="13"/>
                <w:color w:val="auto"/>
              </w:rPr>
            </w:pPr>
          </w:p>
        </w:tc>
        <w:tc>
          <w:tcPr>
            <w:tcW w:w="1240" w:type="dxa"/>
            <w:vAlign w:val="bottom"/>
            <w:tcBorders>
              <w:bottom w:val="single" w:sz="8" w:color="FEFEFE"/>
            </w:tcBorders>
            <w:shd w:val="clear" w:color="auto" w:fill="FEFEFE"/>
          </w:tcPr>
          <w:p>
            <w:pPr>
              <w:spacing w:after="0"/>
              <w:rPr>
                <w:sz w:val="13"/>
                <w:szCs w:val="13"/>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XX</w:t>
            </w:r>
          </w:p>
        </w:tc>
      </w:tr>
      <w:tr>
        <w:trPr>
          <w:trHeight w:val="129"/>
        </w:trPr>
        <w:tc>
          <w:tcPr>
            <w:tcW w:w="1000" w:type="dxa"/>
            <w:vAlign w:val="bottom"/>
            <w:tcBorders>
              <w:bottom w:val="single" w:sz="8" w:color="FEFEFE"/>
            </w:tcBorders>
            <w:shd w:val="clear" w:color="auto" w:fill="FEFEFE"/>
          </w:tcPr>
          <w:p>
            <w:pPr>
              <w:spacing w:after="0"/>
              <w:rPr>
                <w:sz w:val="11"/>
                <w:szCs w:val="11"/>
                <w:color w:val="auto"/>
              </w:rPr>
            </w:pPr>
          </w:p>
        </w:tc>
        <w:tc>
          <w:tcPr>
            <w:tcW w:w="4060" w:type="dxa"/>
            <w:vAlign w:val="bottom"/>
            <w:tcBorders>
              <w:bottom w:val="single" w:sz="8" w:color="0000FF"/>
            </w:tcBorders>
            <w:gridSpan w:val="4"/>
            <w:shd w:val="clear" w:color="auto" w:fill="FEFEFE"/>
          </w:tcPr>
          <w:p>
            <w:pPr>
              <w:spacing w:after="0" w:line="129" w:lineRule="exact"/>
              <w:rPr>
                <w:sz w:val="20"/>
                <w:szCs w:val="20"/>
                <w:color w:val="auto"/>
              </w:rPr>
            </w:pPr>
            <w:r>
              <w:rPr>
                <w:rFonts w:ascii="Arial" w:cs="Arial" w:eastAsia="Arial" w:hAnsi="Arial"/>
                <w:sz w:val="13"/>
                <w:szCs w:val="13"/>
                <w:color w:val="0000FF"/>
                <w:w w:val="97"/>
              </w:rPr>
              <w:t>as Adopted Pursuant to Section 906 of the Sarbanes-Oxley Act of 2002.</w:t>
            </w:r>
          </w:p>
        </w:tc>
        <w:tc>
          <w:tcPr>
            <w:tcW w:w="500" w:type="dxa"/>
            <w:vAlign w:val="bottom"/>
            <w:tcBorders>
              <w:bottom w:val="single" w:sz="8" w:color="FEFEFE"/>
            </w:tcBorders>
            <w:gridSpan w:val="10"/>
            <w:shd w:val="clear" w:color="auto" w:fill="FEFEFE"/>
          </w:tcPr>
          <w:p>
            <w:pPr>
              <w:spacing w:after="0"/>
              <w:rPr>
                <w:sz w:val="11"/>
                <w:szCs w:val="11"/>
                <w:color w:val="auto"/>
              </w:rPr>
            </w:pPr>
          </w:p>
        </w:tc>
        <w:tc>
          <w:tcPr>
            <w:tcW w:w="820" w:type="dxa"/>
            <w:vAlign w:val="bottom"/>
            <w:tcBorders>
              <w:bottom w:val="single" w:sz="8" w:color="FEFEFE"/>
            </w:tcBorders>
            <w:shd w:val="clear" w:color="auto" w:fill="FEFEFE"/>
          </w:tcPr>
          <w:p>
            <w:pPr>
              <w:spacing w:after="0"/>
              <w:rPr>
                <w:sz w:val="11"/>
                <w:szCs w:val="11"/>
                <w:color w:val="auto"/>
              </w:rPr>
            </w:pPr>
          </w:p>
        </w:tc>
        <w:tc>
          <w:tcPr>
            <w:tcW w:w="1120" w:type="dxa"/>
            <w:vAlign w:val="bottom"/>
            <w:tcBorders>
              <w:bottom w:val="single" w:sz="8" w:color="FEFEFE"/>
            </w:tcBorders>
            <w:shd w:val="clear" w:color="auto" w:fill="FEFEFE"/>
          </w:tcPr>
          <w:p>
            <w:pPr>
              <w:spacing w:after="0"/>
              <w:rPr>
                <w:sz w:val="11"/>
                <w:szCs w:val="11"/>
                <w:color w:val="auto"/>
              </w:rPr>
            </w:pPr>
          </w:p>
        </w:tc>
        <w:tc>
          <w:tcPr>
            <w:tcW w:w="1320" w:type="dxa"/>
            <w:vAlign w:val="bottom"/>
            <w:tcBorders>
              <w:bottom w:val="single" w:sz="8" w:color="FEFEFE"/>
            </w:tcBorders>
            <w:shd w:val="clear" w:color="auto" w:fill="FEFEFE"/>
          </w:tcPr>
          <w:p>
            <w:pPr>
              <w:spacing w:after="0"/>
              <w:rPr>
                <w:sz w:val="11"/>
                <w:szCs w:val="11"/>
                <w:color w:val="auto"/>
              </w:rPr>
            </w:pPr>
          </w:p>
        </w:tc>
        <w:tc>
          <w:tcPr>
            <w:tcW w:w="1240" w:type="dxa"/>
            <w:vAlign w:val="bottom"/>
            <w:tcBorders>
              <w:bottom w:val="single" w:sz="8" w:color="FEFEFE"/>
            </w:tcBorders>
            <w:shd w:val="clear" w:color="auto" w:fill="FEFEFE"/>
          </w:tcPr>
          <w:p>
            <w:pPr>
              <w:spacing w:after="0"/>
              <w:rPr>
                <w:sz w:val="11"/>
                <w:szCs w:val="11"/>
                <w:color w:val="auto"/>
              </w:rPr>
            </w:pPr>
          </w:p>
        </w:tc>
        <w:tc>
          <w:tcPr>
            <w:tcW w:w="1220" w:type="dxa"/>
            <w:vAlign w:val="bottom"/>
            <w:tcBorders>
              <w:bottom w:val="single" w:sz="8" w:color="FEFEFE"/>
            </w:tcBorders>
            <w:shd w:val="clear" w:color="auto" w:fill="FEFEFE"/>
          </w:tcPr>
          <w:p>
            <w:pPr>
              <w:spacing w:after="0"/>
              <w:rPr>
                <w:sz w:val="11"/>
                <w:szCs w:val="11"/>
                <w:color w:val="auto"/>
              </w:rPr>
            </w:pPr>
          </w:p>
        </w:tc>
      </w:tr>
      <w:tr>
        <w:trPr>
          <w:trHeight w:val="171"/>
        </w:trPr>
        <w:tc>
          <w:tcPr>
            <w:tcW w:w="1000" w:type="dxa"/>
            <w:vAlign w:val="bottom"/>
            <w:tcBorders>
              <w:bottom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32.2</w:t>
            </w:r>
          </w:p>
        </w:tc>
        <w:tc>
          <w:tcPr>
            <w:tcW w:w="4380" w:type="dxa"/>
            <w:vAlign w:val="bottom"/>
            <w:tcBorders>
              <w:bottom w:val="single" w:sz="8" w:color="0000FF"/>
            </w:tcBorders>
            <w:gridSpan w:val="9"/>
            <w:shd w:val="clear" w:color="auto" w:fill="FEFEFE"/>
          </w:tcPr>
          <w:p>
            <w:pPr>
              <w:spacing w:after="0"/>
              <w:rPr>
                <w:sz w:val="20"/>
                <w:szCs w:val="20"/>
                <w:color w:val="auto"/>
              </w:rPr>
            </w:pPr>
            <w:r>
              <w:rPr>
                <w:rFonts w:ascii="Arial" w:cs="Arial" w:eastAsia="Arial" w:hAnsi="Arial"/>
                <w:sz w:val="13"/>
                <w:szCs w:val="13"/>
                <w:color w:val="0000FF"/>
                <w:w w:val="97"/>
              </w:rPr>
              <w:t>Certification of Principal Financial Officer Pursuant to 18 U.S.C. Section 1350,</w:t>
            </w:r>
          </w:p>
        </w:tc>
        <w:tc>
          <w:tcPr>
            <w:tcW w:w="180" w:type="dxa"/>
            <w:vAlign w:val="bottom"/>
            <w:tcBorders>
              <w:bottom w:val="single" w:sz="8" w:color="FEFEFE"/>
            </w:tcBorders>
            <w:gridSpan w:val="5"/>
            <w:shd w:val="clear" w:color="auto" w:fill="FEFEFE"/>
          </w:tcPr>
          <w:p>
            <w:pPr>
              <w:spacing w:after="0"/>
              <w:rPr>
                <w:sz w:val="14"/>
                <w:szCs w:val="14"/>
                <w:color w:val="auto"/>
              </w:rPr>
            </w:pPr>
          </w:p>
        </w:tc>
        <w:tc>
          <w:tcPr>
            <w:tcW w:w="820" w:type="dxa"/>
            <w:vAlign w:val="bottom"/>
            <w:tcBorders>
              <w:bottom w:val="single" w:sz="8" w:color="FEFEFE"/>
            </w:tcBorders>
            <w:shd w:val="clear" w:color="auto" w:fill="FEFEFE"/>
          </w:tcPr>
          <w:p>
            <w:pPr>
              <w:spacing w:after="0"/>
              <w:rPr>
                <w:sz w:val="14"/>
                <w:szCs w:val="14"/>
                <w:color w:val="auto"/>
              </w:rPr>
            </w:pPr>
          </w:p>
        </w:tc>
        <w:tc>
          <w:tcPr>
            <w:tcW w:w="1120" w:type="dxa"/>
            <w:vAlign w:val="bottom"/>
            <w:tcBorders>
              <w:bottom w:val="single" w:sz="8" w:color="FEFEFE"/>
            </w:tcBorders>
            <w:shd w:val="clear" w:color="auto" w:fill="FEFEFE"/>
          </w:tcPr>
          <w:p>
            <w:pPr>
              <w:spacing w:after="0"/>
              <w:rPr>
                <w:sz w:val="14"/>
                <w:szCs w:val="14"/>
                <w:color w:val="auto"/>
              </w:rPr>
            </w:pPr>
          </w:p>
        </w:tc>
        <w:tc>
          <w:tcPr>
            <w:tcW w:w="1320" w:type="dxa"/>
            <w:vAlign w:val="bottom"/>
            <w:tcBorders>
              <w:bottom w:val="single" w:sz="8" w:color="FEFEFE"/>
            </w:tcBorders>
            <w:shd w:val="clear" w:color="auto" w:fill="FEFEFE"/>
          </w:tcPr>
          <w:p>
            <w:pPr>
              <w:spacing w:after="0"/>
              <w:rPr>
                <w:sz w:val="14"/>
                <w:szCs w:val="14"/>
                <w:color w:val="auto"/>
              </w:rPr>
            </w:pPr>
          </w:p>
        </w:tc>
        <w:tc>
          <w:tcPr>
            <w:tcW w:w="1240" w:type="dxa"/>
            <w:vAlign w:val="bottom"/>
            <w:tcBorders>
              <w:bottom w:val="single" w:sz="8" w:color="FEFEFE"/>
            </w:tcBorders>
            <w:shd w:val="clear" w:color="auto" w:fill="FEFEFE"/>
          </w:tcPr>
          <w:p>
            <w:pPr>
              <w:spacing w:after="0"/>
              <w:rPr>
                <w:sz w:val="14"/>
                <w:szCs w:val="14"/>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XX</w:t>
            </w:r>
          </w:p>
        </w:tc>
      </w:tr>
      <w:tr>
        <w:trPr>
          <w:trHeight w:val="129"/>
        </w:trPr>
        <w:tc>
          <w:tcPr>
            <w:tcW w:w="1000" w:type="dxa"/>
            <w:vAlign w:val="bottom"/>
            <w:tcBorders>
              <w:bottom w:val="single" w:sz="8" w:color="FEFEFE"/>
            </w:tcBorders>
            <w:shd w:val="clear" w:color="auto" w:fill="FEFEFE"/>
          </w:tcPr>
          <w:p>
            <w:pPr>
              <w:spacing w:after="0"/>
              <w:rPr>
                <w:sz w:val="11"/>
                <w:szCs w:val="11"/>
                <w:color w:val="auto"/>
              </w:rPr>
            </w:pPr>
          </w:p>
        </w:tc>
        <w:tc>
          <w:tcPr>
            <w:tcW w:w="4060" w:type="dxa"/>
            <w:vAlign w:val="bottom"/>
            <w:tcBorders>
              <w:bottom w:val="single" w:sz="8" w:color="0000FF"/>
            </w:tcBorders>
            <w:gridSpan w:val="4"/>
            <w:shd w:val="clear" w:color="auto" w:fill="FEFEFE"/>
          </w:tcPr>
          <w:p>
            <w:pPr>
              <w:spacing w:after="0" w:line="129" w:lineRule="exact"/>
              <w:rPr>
                <w:sz w:val="20"/>
                <w:szCs w:val="20"/>
                <w:color w:val="auto"/>
              </w:rPr>
            </w:pPr>
            <w:r>
              <w:rPr>
                <w:rFonts w:ascii="Arial" w:cs="Arial" w:eastAsia="Arial" w:hAnsi="Arial"/>
                <w:sz w:val="13"/>
                <w:szCs w:val="13"/>
                <w:color w:val="0000FF"/>
                <w:w w:val="97"/>
              </w:rPr>
              <w:t>as Adopted Pursuant to Section 906 of the Sarbanes-Oxley Act of 2002.</w:t>
            </w:r>
          </w:p>
        </w:tc>
        <w:tc>
          <w:tcPr>
            <w:tcW w:w="500" w:type="dxa"/>
            <w:vAlign w:val="bottom"/>
            <w:tcBorders>
              <w:bottom w:val="single" w:sz="8" w:color="FEFEFE"/>
            </w:tcBorders>
            <w:gridSpan w:val="10"/>
            <w:shd w:val="clear" w:color="auto" w:fill="FEFEFE"/>
          </w:tcPr>
          <w:p>
            <w:pPr>
              <w:spacing w:after="0"/>
              <w:rPr>
                <w:sz w:val="11"/>
                <w:szCs w:val="11"/>
                <w:color w:val="auto"/>
              </w:rPr>
            </w:pPr>
          </w:p>
        </w:tc>
        <w:tc>
          <w:tcPr>
            <w:tcW w:w="820" w:type="dxa"/>
            <w:vAlign w:val="bottom"/>
            <w:tcBorders>
              <w:bottom w:val="single" w:sz="8" w:color="FEFEFE"/>
            </w:tcBorders>
            <w:shd w:val="clear" w:color="auto" w:fill="FEFEFE"/>
          </w:tcPr>
          <w:p>
            <w:pPr>
              <w:spacing w:after="0"/>
              <w:rPr>
                <w:sz w:val="11"/>
                <w:szCs w:val="11"/>
                <w:color w:val="auto"/>
              </w:rPr>
            </w:pPr>
          </w:p>
        </w:tc>
        <w:tc>
          <w:tcPr>
            <w:tcW w:w="1120" w:type="dxa"/>
            <w:vAlign w:val="bottom"/>
            <w:tcBorders>
              <w:bottom w:val="single" w:sz="8" w:color="FEFEFE"/>
            </w:tcBorders>
            <w:shd w:val="clear" w:color="auto" w:fill="FEFEFE"/>
          </w:tcPr>
          <w:p>
            <w:pPr>
              <w:spacing w:after="0"/>
              <w:rPr>
                <w:sz w:val="11"/>
                <w:szCs w:val="11"/>
                <w:color w:val="auto"/>
              </w:rPr>
            </w:pPr>
          </w:p>
        </w:tc>
        <w:tc>
          <w:tcPr>
            <w:tcW w:w="1320" w:type="dxa"/>
            <w:vAlign w:val="bottom"/>
            <w:tcBorders>
              <w:bottom w:val="single" w:sz="8" w:color="FEFEFE"/>
            </w:tcBorders>
            <w:shd w:val="clear" w:color="auto" w:fill="FEFEFE"/>
          </w:tcPr>
          <w:p>
            <w:pPr>
              <w:spacing w:after="0"/>
              <w:rPr>
                <w:sz w:val="11"/>
                <w:szCs w:val="11"/>
                <w:color w:val="auto"/>
              </w:rPr>
            </w:pPr>
          </w:p>
        </w:tc>
        <w:tc>
          <w:tcPr>
            <w:tcW w:w="1240" w:type="dxa"/>
            <w:vAlign w:val="bottom"/>
            <w:tcBorders>
              <w:bottom w:val="single" w:sz="8" w:color="FEFEFE"/>
            </w:tcBorders>
            <w:shd w:val="clear" w:color="auto" w:fill="FEFEFE"/>
          </w:tcPr>
          <w:p>
            <w:pPr>
              <w:spacing w:after="0"/>
              <w:rPr>
                <w:sz w:val="11"/>
                <w:szCs w:val="11"/>
                <w:color w:val="auto"/>
              </w:rPr>
            </w:pPr>
          </w:p>
        </w:tc>
        <w:tc>
          <w:tcPr>
            <w:tcW w:w="1220" w:type="dxa"/>
            <w:vAlign w:val="bottom"/>
            <w:tcBorders>
              <w:bottom w:val="single" w:sz="8" w:color="FEFEFE"/>
            </w:tcBorders>
            <w:shd w:val="clear" w:color="auto" w:fill="FEFEFE"/>
          </w:tcPr>
          <w:p>
            <w:pPr>
              <w:spacing w:after="0"/>
              <w:rPr>
                <w:sz w:val="11"/>
                <w:szCs w:val="11"/>
                <w:color w:val="auto"/>
              </w:rPr>
            </w:pPr>
          </w:p>
        </w:tc>
      </w:tr>
      <w:tr>
        <w:trPr>
          <w:trHeight w:val="182"/>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101.INS</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w w:val="98"/>
              </w:rPr>
              <w:t>Inline XBRL Instance Document - the instance document does not appear in the</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20" w:type="dxa"/>
            <w:vAlign w:val="bottom"/>
            <w:shd w:val="clear" w:color="auto" w:fill="FEFEFE"/>
          </w:tcPr>
          <w:p>
            <w:pPr>
              <w:spacing w:after="0"/>
              <w:rPr>
                <w:sz w:val="15"/>
                <w:szCs w:val="15"/>
                <w:color w:val="auto"/>
              </w:rPr>
            </w:pPr>
          </w:p>
        </w:tc>
        <w:tc>
          <w:tcPr>
            <w:tcW w:w="124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49"/>
        </w:trPr>
        <w:tc>
          <w:tcPr>
            <w:tcW w:w="1000" w:type="dxa"/>
            <w:vAlign w:val="bottom"/>
            <w:shd w:val="clear" w:color="auto" w:fill="FEFEFE"/>
          </w:tcPr>
          <w:p>
            <w:pPr>
              <w:spacing w:after="0"/>
              <w:rPr>
                <w:sz w:val="12"/>
                <w:szCs w:val="12"/>
                <w:color w:val="auto"/>
              </w:rPr>
            </w:pP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Interactive Data File because its XBRL tags are embedded within the Inline</w:t>
            </w:r>
          </w:p>
        </w:tc>
        <w:tc>
          <w:tcPr>
            <w:tcW w:w="820" w:type="dxa"/>
            <w:vAlign w:val="bottom"/>
            <w:shd w:val="clear" w:color="auto" w:fill="FEFEFE"/>
          </w:tcPr>
          <w:p>
            <w:pPr>
              <w:spacing w:after="0"/>
              <w:rPr>
                <w:sz w:val="12"/>
                <w:szCs w:val="12"/>
                <w:color w:val="auto"/>
              </w:rPr>
            </w:pPr>
          </w:p>
        </w:tc>
        <w:tc>
          <w:tcPr>
            <w:tcW w:w="1120" w:type="dxa"/>
            <w:vAlign w:val="bottom"/>
            <w:shd w:val="clear" w:color="auto" w:fill="FEFEFE"/>
          </w:tcPr>
          <w:p>
            <w:pPr>
              <w:spacing w:after="0"/>
              <w:rPr>
                <w:sz w:val="12"/>
                <w:szCs w:val="12"/>
                <w:color w:val="auto"/>
              </w:rPr>
            </w:pPr>
          </w:p>
        </w:tc>
        <w:tc>
          <w:tcPr>
            <w:tcW w:w="1320" w:type="dxa"/>
            <w:vAlign w:val="bottom"/>
            <w:shd w:val="clear" w:color="auto" w:fill="FEFEFE"/>
          </w:tcPr>
          <w:p>
            <w:pPr>
              <w:spacing w:after="0"/>
              <w:rPr>
                <w:sz w:val="12"/>
                <w:szCs w:val="12"/>
                <w:color w:val="auto"/>
              </w:rPr>
            </w:pPr>
          </w:p>
        </w:tc>
        <w:tc>
          <w:tcPr>
            <w:tcW w:w="1240" w:type="dxa"/>
            <w:vAlign w:val="bottom"/>
            <w:shd w:val="clear" w:color="auto" w:fill="FEFEFE"/>
          </w:tcPr>
          <w:p>
            <w:pPr>
              <w:spacing w:after="0"/>
              <w:rPr>
                <w:sz w:val="12"/>
                <w:szCs w:val="12"/>
                <w:color w:val="auto"/>
              </w:rPr>
            </w:pPr>
          </w:p>
        </w:tc>
        <w:tc>
          <w:tcPr>
            <w:tcW w:w="1220" w:type="dxa"/>
            <w:vAlign w:val="bottom"/>
            <w:shd w:val="clear" w:color="auto" w:fill="FEFEFE"/>
          </w:tcPr>
          <w:p>
            <w:pPr>
              <w:spacing w:after="0"/>
              <w:rPr>
                <w:sz w:val="12"/>
                <w:szCs w:val="12"/>
                <w:color w:val="auto"/>
              </w:rPr>
            </w:pPr>
          </w:p>
        </w:tc>
      </w:tr>
      <w:tr>
        <w:trPr>
          <w:trHeight w:val="167"/>
        </w:trPr>
        <w:tc>
          <w:tcPr>
            <w:tcW w:w="1000" w:type="dxa"/>
            <w:vAlign w:val="bottom"/>
            <w:shd w:val="clear" w:color="auto" w:fill="FEFEFE"/>
          </w:tcPr>
          <w:p>
            <w:pPr>
              <w:spacing w:after="0"/>
              <w:rPr>
                <w:sz w:val="14"/>
                <w:szCs w:val="14"/>
                <w:color w:val="auto"/>
              </w:rPr>
            </w:pP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XBRL document.</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r>
      <w:tr>
        <w:trPr>
          <w:trHeight w:val="180"/>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101.SCH</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Inline XBRL Taxonomy Extension Schema Document.</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20" w:type="dxa"/>
            <w:vAlign w:val="bottom"/>
            <w:shd w:val="clear" w:color="auto" w:fill="FEFEFE"/>
          </w:tcPr>
          <w:p>
            <w:pPr>
              <w:spacing w:after="0"/>
              <w:rPr>
                <w:sz w:val="15"/>
                <w:szCs w:val="15"/>
                <w:color w:val="auto"/>
              </w:rPr>
            </w:pPr>
          </w:p>
        </w:tc>
        <w:tc>
          <w:tcPr>
            <w:tcW w:w="124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9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101.CAL</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9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101.DEF</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9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101.LAB</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9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101.PRE</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72"/>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104</w:t>
            </w: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Cover Page Interactive Data File (formatted in Inline XBRL and contained in</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r>
      <w:tr>
        <w:trPr>
          <w:trHeight w:val="167"/>
        </w:trPr>
        <w:tc>
          <w:tcPr>
            <w:tcW w:w="1000" w:type="dxa"/>
            <w:vAlign w:val="bottom"/>
            <w:shd w:val="clear" w:color="auto" w:fill="FEFEFE"/>
          </w:tcPr>
          <w:p>
            <w:pPr>
              <w:spacing w:after="0"/>
              <w:rPr>
                <w:sz w:val="14"/>
                <w:szCs w:val="14"/>
                <w:color w:val="auto"/>
              </w:rPr>
            </w:pPr>
          </w:p>
        </w:tc>
        <w:tc>
          <w:tcPr>
            <w:tcW w:w="4560" w:type="dxa"/>
            <w:vAlign w:val="bottom"/>
            <w:gridSpan w:val="14"/>
            <w:shd w:val="clear" w:color="auto" w:fill="FEFEFE"/>
          </w:tcPr>
          <w:p>
            <w:pPr>
              <w:spacing w:after="0"/>
              <w:rPr>
                <w:sz w:val="20"/>
                <w:szCs w:val="20"/>
                <w:color w:val="auto"/>
              </w:rPr>
            </w:pPr>
            <w:r>
              <w:rPr>
                <w:rFonts w:ascii="Arial" w:cs="Arial" w:eastAsia="Arial" w:hAnsi="Arial"/>
                <w:sz w:val="13"/>
                <w:szCs w:val="13"/>
                <w:color w:val="auto"/>
              </w:rPr>
              <w:t>Exhibit 101)</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r>
      <w:tr>
        <w:trPr>
          <w:trHeight w:val="24"/>
        </w:trPr>
        <w:tc>
          <w:tcPr>
            <w:tcW w:w="1000" w:type="dxa"/>
            <w:vAlign w:val="bottom"/>
            <w:shd w:val="clear" w:color="auto" w:fill="FEFEFE"/>
          </w:tcPr>
          <w:p>
            <w:pPr>
              <w:spacing w:after="0"/>
              <w:rPr>
                <w:sz w:val="2"/>
                <w:szCs w:val="2"/>
                <w:color w:val="auto"/>
              </w:rPr>
            </w:pPr>
          </w:p>
        </w:tc>
        <w:tc>
          <w:tcPr>
            <w:tcW w:w="1100" w:type="dxa"/>
            <w:vAlign w:val="bottom"/>
            <w:tcBorders>
              <w:right w:val="single" w:sz="8" w:color="FEFEFE"/>
            </w:tcBorders>
            <w:shd w:val="clear" w:color="auto" w:fill="FEFEFE"/>
          </w:tcPr>
          <w:p>
            <w:pPr>
              <w:spacing w:after="0"/>
              <w:rPr>
                <w:sz w:val="2"/>
                <w:szCs w:val="2"/>
                <w:color w:val="auto"/>
              </w:rPr>
            </w:pPr>
          </w:p>
        </w:tc>
        <w:tc>
          <w:tcPr>
            <w:tcW w:w="520" w:type="dxa"/>
            <w:vAlign w:val="bottom"/>
            <w:shd w:val="clear" w:color="auto" w:fill="FEFEFE"/>
          </w:tcPr>
          <w:p>
            <w:pPr>
              <w:spacing w:after="0"/>
              <w:rPr>
                <w:sz w:val="2"/>
                <w:szCs w:val="2"/>
                <w:color w:val="auto"/>
              </w:rPr>
            </w:pPr>
          </w:p>
        </w:tc>
        <w:tc>
          <w:tcPr>
            <w:tcW w:w="1200" w:type="dxa"/>
            <w:vAlign w:val="bottom"/>
            <w:shd w:val="clear" w:color="auto" w:fill="FEFEFE"/>
          </w:tcPr>
          <w:p>
            <w:pPr>
              <w:spacing w:after="0"/>
              <w:rPr>
                <w:sz w:val="2"/>
                <w:szCs w:val="2"/>
                <w:color w:val="auto"/>
              </w:rPr>
            </w:pPr>
          </w:p>
        </w:tc>
        <w:tc>
          <w:tcPr>
            <w:tcW w:w="1240" w:type="dxa"/>
            <w:vAlign w:val="bottom"/>
            <w:shd w:val="clear" w:color="auto" w:fill="FEFEFE"/>
          </w:tcPr>
          <w:p>
            <w:pPr>
              <w:spacing w:after="0"/>
              <w:rPr>
                <w:sz w:val="2"/>
                <w:szCs w:val="2"/>
                <w:color w:val="auto"/>
              </w:rPr>
            </w:pPr>
          </w:p>
        </w:tc>
        <w:tc>
          <w:tcPr>
            <w:tcW w:w="80" w:type="dxa"/>
            <w:vAlign w:val="bottom"/>
            <w:shd w:val="clear" w:color="auto" w:fill="FEFEFE"/>
          </w:tcPr>
          <w:p>
            <w:pPr>
              <w:spacing w:after="0"/>
              <w:rPr>
                <w:sz w:val="2"/>
                <w:szCs w:val="2"/>
                <w:color w:val="auto"/>
              </w:rPr>
            </w:pPr>
          </w:p>
        </w:tc>
        <w:tc>
          <w:tcPr>
            <w:tcW w:w="60" w:type="dxa"/>
            <w:vAlign w:val="bottom"/>
            <w:shd w:val="clear" w:color="auto" w:fill="FEFEFE"/>
          </w:tcPr>
          <w:p>
            <w:pPr>
              <w:spacing w:after="0"/>
              <w:rPr>
                <w:sz w:val="2"/>
                <w:szCs w:val="2"/>
                <w:color w:val="auto"/>
              </w:rPr>
            </w:pPr>
          </w:p>
        </w:tc>
        <w:tc>
          <w:tcPr>
            <w:tcW w:w="10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820" w:type="dxa"/>
            <w:vAlign w:val="bottom"/>
            <w:shd w:val="clear" w:color="auto" w:fill="FEFEFE"/>
          </w:tcPr>
          <w:p>
            <w:pPr>
              <w:spacing w:after="0"/>
              <w:rPr>
                <w:sz w:val="2"/>
                <w:szCs w:val="2"/>
                <w:color w:val="auto"/>
              </w:rPr>
            </w:pPr>
          </w:p>
        </w:tc>
        <w:tc>
          <w:tcPr>
            <w:tcW w:w="1120" w:type="dxa"/>
            <w:vAlign w:val="bottom"/>
            <w:shd w:val="clear" w:color="auto" w:fill="FEFEFE"/>
          </w:tcPr>
          <w:p>
            <w:pPr>
              <w:spacing w:after="0"/>
              <w:rPr>
                <w:sz w:val="2"/>
                <w:szCs w:val="2"/>
                <w:color w:val="auto"/>
              </w:rPr>
            </w:pPr>
          </w:p>
        </w:tc>
        <w:tc>
          <w:tcPr>
            <w:tcW w:w="1320" w:type="dxa"/>
            <w:vAlign w:val="bottom"/>
            <w:shd w:val="clear" w:color="auto" w:fill="FEFEFE"/>
          </w:tcPr>
          <w:p>
            <w:pPr>
              <w:spacing w:after="0"/>
              <w:rPr>
                <w:sz w:val="2"/>
                <w:szCs w:val="2"/>
                <w:color w:val="auto"/>
              </w:rPr>
            </w:pPr>
          </w:p>
        </w:tc>
        <w:tc>
          <w:tcPr>
            <w:tcW w:w="1240" w:type="dxa"/>
            <w:vAlign w:val="bottom"/>
            <w:shd w:val="clear" w:color="auto" w:fill="FEFEFE"/>
          </w:tcPr>
          <w:p>
            <w:pPr>
              <w:spacing w:after="0"/>
              <w:rPr>
                <w:sz w:val="2"/>
                <w:szCs w:val="2"/>
                <w:color w:val="auto"/>
              </w:rPr>
            </w:pPr>
          </w:p>
        </w:tc>
        <w:tc>
          <w:tcPr>
            <w:tcW w:w="1220" w:type="dxa"/>
            <w:vAlign w:val="bottom"/>
            <w:shd w:val="clear" w:color="auto" w:fill="FEFEFE"/>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ind w:right="3480" w:firstLine="5"/>
        <w:spacing w:after="0" w:line="237" w:lineRule="auto"/>
        <w:tabs>
          <w:tab w:leader="none" w:pos="106"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Indicates a management contract or compensatory plan or arrangement in which directors or executive officers are eligible to participate. </w:t>
      </w:r>
      <w:r>
        <w:rPr>
          <w:rFonts w:ascii="Arial" w:cs="Arial" w:eastAsia="Arial" w:hAnsi="Arial"/>
          <w:sz w:val="13"/>
          <w:szCs w:val="13"/>
          <w:color w:val="auto"/>
        </w:rPr>
        <w:t>X Filed herewith.</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XX Furnished herewith.</w:t>
      </w:r>
    </w:p>
    <w:p>
      <w:pPr>
        <w:ind w:right="80"/>
        <w:spacing w:after="0" w:line="247" w:lineRule="auto"/>
        <w:rPr>
          <w:rFonts w:ascii="Arial" w:cs="Arial" w:eastAsia="Arial" w:hAnsi="Arial"/>
          <w:sz w:val="13"/>
          <w:szCs w:val="13"/>
          <w:color w:val="auto"/>
        </w:rPr>
      </w:pPr>
      <w:r>
        <w:rPr>
          <w:rFonts w:ascii="Arial" w:cs="Arial" w:eastAsia="Arial" w:hAnsi="Arial"/>
          <w:sz w:val="13"/>
          <w:szCs w:val="13"/>
          <w:i w:val="1"/>
          <w:iCs w:val="1"/>
          <w:color w:val="auto"/>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 Form 10-K Summary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8" w:right="31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3"/>
          <w:szCs w:val="13"/>
          <w:b w:val="1"/>
          <w:bCs w:val="1"/>
          <w:color w:val="auto"/>
        </w:rPr>
        <w:t>SIGNATURES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41" w:lineRule="exact"/>
        <w:rPr>
          <w:sz w:val="20"/>
          <w:szCs w:val="20"/>
          <w:color w:val="auto"/>
        </w:rPr>
      </w:pPr>
    </w:p>
    <w:p>
      <w:pPr>
        <w:ind w:left="6680"/>
        <w:spacing w:after="0"/>
        <w:rPr>
          <w:sz w:val="20"/>
          <w:szCs w:val="20"/>
          <w:color w:val="auto"/>
        </w:rPr>
      </w:pPr>
      <w:r>
        <w:rPr>
          <w:rFonts w:ascii="Arial" w:cs="Arial" w:eastAsia="Arial" w:hAnsi="Arial"/>
          <w:sz w:val="13"/>
          <w:szCs w:val="13"/>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6660" w:val="left"/>
          <w:tab w:leader="none" w:pos="7120" w:val="left"/>
        </w:tabs>
        <w:rPr>
          <w:sz w:val="20"/>
          <w:szCs w:val="20"/>
          <w:color w:val="auto"/>
        </w:rPr>
      </w:pPr>
      <w:r>
        <w:rPr>
          <w:rFonts w:ascii="Arial" w:cs="Arial" w:eastAsia="Arial" w:hAnsi="Arial"/>
          <w:sz w:val="13"/>
          <w:szCs w:val="13"/>
          <w:color w:val="auto"/>
        </w:rPr>
        <w:t>Date: September 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Barry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26035</wp:posOffset>
            </wp:positionV>
            <wp:extent cx="254698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2546985" cy="6985"/>
                    </a:xfrm>
                    <a:prstGeom prst="rect">
                      <a:avLst/>
                    </a:prstGeom>
                    <a:noFill/>
                  </pic:spPr>
                </pic:pic>
              </a:graphicData>
            </a:graphic>
          </wp:anchor>
        </w:drawing>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Barry McCarthy</w:t>
      </w:r>
    </w:p>
    <w:p>
      <w:pPr>
        <w:ind w:left="7140"/>
        <w:spacing w:after="0"/>
        <w:rPr>
          <w:sz w:val="20"/>
          <w:szCs w:val="20"/>
          <w:color w:val="auto"/>
        </w:rPr>
      </w:pPr>
      <w:r>
        <w:rPr>
          <w:rFonts w:ascii="Arial" w:cs="Arial" w:eastAsia="Arial" w:hAnsi="Arial"/>
          <w:sz w:val="13"/>
          <w:szCs w:val="13"/>
          <w:color w:val="auto"/>
        </w:rPr>
        <w:t>Chief Executive Officer</w:t>
      </w:r>
    </w:p>
    <w:p>
      <w:pPr>
        <w:ind w:left="7140"/>
        <w:spacing w:after="0"/>
        <w:rPr>
          <w:sz w:val="20"/>
          <w:szCs w:val="20"/>
          <w:color w:val="auto"/>
        </w:rPr>
      </w:pPr>
      <w:r>
        <w:rPr>
          <w:rFonts w:ascii="Arial" w:cs="Arial" w:eastAsia="Arial" w:hAnsi="Arial"/>
          <w:sz w:val="13"/>
          <w:szCs w:val="13"/>
          <w:i w:val="1"/>
          <w:iCs w:val="1"/>
          <w:color w:val="auto"/>
        </w:rPr>
        <w:t>(Principal Executive Officer)</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KNOW ALL PERSONS BY THESE PRESENTS, that each person whose signature appears below hereby constitutes and appoints Barry McCarthy, Elizabeth F. Coddington, and Allen Klingsick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175"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Pursuant to the requirements of the Securities Exchange Act of 1934, as amended, this report has been signed below by the following persons on behalf of the registrant and in the capacities and on the dates indicated.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11"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3160" w:type="dxa"/>
            <w:vAlign w:val="bottom"/>
          </w:tcPr>
          <w:p>
            <w:pPr>
              <w:ind w:left="900"/>
              <w:spacing w:after="0"/>
              <w:rPr>
                <w:sz w:val="20"/>
                <w:szCs w:val="20"/>
                <w:color w:val="auto"/>
              </w:rPr>
            </w:pPr>
            <w:r>
              <w:rPr>
                <w:rFonts w:ascii="Arial" w:cs="Arial" w:eastAsia="Arial" w:hAnsi="Arial"/>
                <w:sz w:val="13"/>
                <w:szCs w:val="13"/>
                <w:b w:val="1"/>
                <w:bCs w:val="1"/>
                <w:color w:val="auto"/>
              </w:rPr>
              <w:t>Signature</w:t>
            </w:r>
          </w:p>
        </w:tc>
        <w:tc>
          <w:tcPr>
            <w:tcW w:w="4040" w:type="dxa"/>
            <w:vAlign w:val="bottom"/>
          </w:tcPr>
          <w:p>
            <w:pPr>
              <w:ind w:left="2120"/>
              <w:spacing w:after="0"/>
              <w:rPr>
                <w:sz w:val="20"/>
                <w:szCs w:val="20"/>
                <w:color w:val="auto"/>
              </w:rPr>
            </w:pPr>
            <w:r>
              <w:rPr>
                <w:rFonts w:ascii="Arial" w:cs="Arial" w:eastAsia="Arial" w:hAnsi="Arial"/>
                <w:sz w:val="13"/>
                <w:szCs w:val="13"/>
                <w:b w:val="1"/>
                <w:bCs w:val="1"/>
                <w:color w:val="auto"/>
              </w:rPr>
              <w:t>Title</w:t>
            </w:r>
          </w:p>
        </w:tc>
        <w:tc>
          <w:tcPr>
            <w:tcW w:w="2420" w:type="dxa"/>
            <w:vAlign w:val="bottom"/>
          </w:tcPr>
          <w:p>
            <w:pPr>
              <w:jc w:val="center"/>
              <w:ind w:left="1276"/>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336"/>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By:</w:t>
            </w:r>
          </w:p>
        </w:tc>
        <w:tc>
          <w:tcPr>
            <w:tcW w:w="3160" w:type="dxa"/>
            <w:vAlign w:val="bottom"/>
            <w:vMerge w:val="restart"/>
          </w:tcPr>
          <w:p>
            <w:pPr>
              <w:ind w:left="20"/>
              <w:spacing w:after="0"/>
              <w:rPr>
                <w:sz w:val="20"/>
                <w:szCs w:val="20"/>
                <w:color w:val="auto"/>
              </w:rPr>
            </w:pPr>
            <w:r>
              <w:rPr>
                <w:rFonts w:ascii="Arial" w:cs="Arial" w:eastAsia="Arial" w:hAnsi="Arial"/>
                <w:sz w:val="13"/>
                <w:szCs w:val="13"/>
                <w:color w:val="auto"/>
              </w:rPr>
              <w:t>/s/ Barry McCarthy</w:t>
            </w:r>
          </w:p>
        </w:tc>
        <w:tc>
          <w:tcPr>
            <w:tcW w:w="4040" w:type="dxa"/>
            <w:vAlign w:val="bottom"/>
          </w:tcPr>
          <w:p>
            <w:pPr>
              <w:ind w:left="100"/>
              <w:spacing w:after="0"/>
              <w:rPr>
                <w:sz w:val="20"/>
                <w:szCs w:val="20"/>
                <w:color w:val="auto"/>
              </w:rPr>
            </w:pPr>
            <w:r>
              <w:rPr>
                <w:rFonts w:ascii="Arial" w:cs="Arial" w:eastAsia="Arial" w:hAnsi="Arial"/>
                <w:sz w:val="13"/>
                <w:szCs w:val="13"/>
                <w:color w:val="auto"/>
              </w:rPr>
              <w:t>President, Chief Executive Officer and Director</w:t>
            </w:r>
          </w:p>
        </w:tc>
        <w:tc>
          <w:tcPr>
            <w:tcW w:w="2420" w:type="dxa"/>
            <w:vAlign w:val="bottom"/>
            <w:vMerge w:val="restart"/>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4040" w:type="dxa"/>
            <w:vAlign w:val="bottom"/>
          </w:tcPr>
          <w:p>
            <w:pPr>
              <w:ind w:left="100"/>
              <w:spacing w:after="0"/>
              <w:rPr>
                <w:sz w:val="20"/>
                <w:szCs w:val="20"/>
                <w:color w:val="auto"/>
              </w:rPr>
            </w:pPr>
            <w:r>
              <w:rPr>
                <w:rFonts w:ascii="Arial" w:cs="Arial" w:eastAsia="Arial" w:hAnsi="Arial"/>
                <w:sz w:val="13"/>
                <w:szCs w:val="13"/>
                <w:color w:val="auto"/>
              </w:rPr>
              <w:t>(Principal Executive Officer)</w:t>
            </w: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Barry McCarthy</w:t>
            </w: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By:</w:t>
            </w:r>
          </w:p>
        </w:tc>
        <w:tc>
          <w:tcPr>
            <w:tcW w:w="3160" w:type="dxa"/>
            <w:vAlign w:val="bottom"/>
            <w:vMerge w:val="restart"/>
          </w:tcPr>
          <w:p>
            <w:pPr>
              <w:ind w:left="20"/>
              <w:spacing w:after="0"/>
              <w:rPr>
                <w:sz w:val="20"/>
                <w:szCs w:val="20"/>
                <w:color w:val="auto"/>
              </w:rPr>
            </w:pPr>
            <w:r>
              <w:rPr>
                <w:rFonts w:ascii="Arial" w:cs="Arial" w:eastAsia="Arial" w:hAnsi="Arial"/>
                <w:sz w:val="13"/>
                <w:szCs w:val="13"/>
                <w:color w:val="auto"/>
              </w:rPr>
              <w:t>/s/ Elizabeth F Coddington</w:t>
            </w:r>
          </w:p>
        </w:tc>
        <w:tc>
          <w:tcPr>
            <w:tcW w:w="4040" w:type="dxa"/>
            <w:vAlign w:val="bottom"/>
          </w:tcPr>
          <w:p>
            <w:pPr>
              <w:ind w:left="100"/>
              <w:spacing w:after="0"/>
              <w:rPr>
                <w:sz w:val="20"/>
                <w:szCs w:val="20"/>
                <w:color w:val="auto"/>
              </w:rPr>
            </w:pPr>
            <w:r>
              <w:rPr>
                <w:rFonts w:ascii="Arial" w:cs="Arial" w:eastAsia="Arial" w:hAnsi="Arial"/>
                <w:sz w:val="13"/>
                <w:szCs w:val="13"/>
                <w:color w:val="auto"/>
              </w:rPr>
              <w:t>Chief Financial Officer</w:t>
            </w:r>
          </w:p>
        </w:tc>
        <w:tc>
          <w:tcPr>
            <w:tcW w:w="2420" w:type="dxa"/>
            <w:vAlign w:val="bottom"/>
            <w:vMerge w:val="restart"/>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4040" w:type="dxa"/>
            <w:vAlign w:val="bottom"/>
          </w:tcPr>
          <w:p>
            <w:pPr>
              <w:ind w:left="100"/>
              <w:spacing w:after="0"/>
              <w:rPr>
                <w:sz w:val="20"/>
                <w:szCs w:val="20"/>
                <w:color w:val="auto"/>
              </w:rPr>
            </w:pPr>
            <w:r>
              <w:rPr>
                <w:rFonts w:ascii="Arial" w:cs="Arial" w:eastAsia="Arial" w:hAnsi="Arial"/>
                <w:sz w:val="13"/>
                <w:szCs w:val="13"/>
                <w:color w:val="auto"/>
              </w:rPr>
              <w:t>(Principal Financial Officer)</w:t>
            </w: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Elizabeth F Coddington</w:t>
            </w: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By:</w:t>
            </w:r>
          </w:p>
        </w:tc>
        <w:tc>
          <w:tcPr>
            <w:tcW w:w="3160" w:type="dxa"/>
            <w:vAlign w:val="bottom"/>
            <w:vMerge w:val="restart"/>
          </w:tcPr>
          <w:p>
            <w:pPr>
              <w:ind w:left="20"/>
              <w:spacing w:after="0"/>
              <w:rPr>
                <w:sz w:val="20"/>
                <w:szCs w:val="20"/>
                <w:color w:val="auto"/>
              </w:rPr>
            </w:pPr>
            <w:r>
              <w:rPr>
                <w:rFonts w:ascii="Arial" w:cs="Arial" w:eastAsia="Arial" w:hAnsi="Arial"/>
                <w:sz w:val="13"/>
                <w:szCs w:val="13"/>
                <w:color w:val="auto"/>
              </w:rPr>
              <w:t>/s/ Allen Klingsick</w:t>
            </w:r>
          </w:p>
        </w:tc>
        <w:tc>
          <w:tcPr>
            <w:tcW w:w="4040" w:type="dxa"/>
            <w:vAlign w:val="bottom"/>
          </w:tcPr>
          <w:p>
            <w:pPr>
              <w:ind w:left="100"/>
              <w:spacing w:after="0"/>
              <w:rPr>
                <w:sz w:val="20"/>
                <w:szCs w:val="20"/>
                <w:color w:val="auto"/>
              </w:rPr>
            </w:pPr>
            <w:r>
              <w:rPr>
                <w:rFonts w:ascii="Arial" w:cs="Arial" w:eastAsia="Arial" w:hAnsi="Arial"/>
                <w:sz w:val="13"/>
                <w:szCs w:val="13"/>
                <w:color w:val="auto"/>
              </w:rPr>
              <w:t>Chief Accounting Officer</w:t>
            </w:r>
          </w:p>
        </w:tc>
        <w:tc>
          <w:tcPr>
            <w:tcW w:w="2420" w:type="dxa"/>
            <w:vAlign w:val="bottom"/>
            <w:vMerge w:val="restart"/>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4040" w:type="dxa"/>
            <w:vAlign w:val="bottom"/>
          </w:tcPr>
          <w:p>
            <w:pPr>
              <w:ind w:left="100"/>
              <w:spacing w:after="0"/>
              <w:rPr>
                <w:sz w:val="20"/>
                <w:szCs w:val="20"/>
                <w:color w:val="auto"/>
              </w:rPr>
            </w:pPr>
            <w:r>
              <w:rPr>
                <w:rFonts w:ascii="Arial" w:cs="Arial" w:eastAsia="Arial" w:hAnsi="Arial"/>
                <w:sz w:val="13"/>
                <w:szCs w:val="13"/>
                <w:color w:val="auto"/>
              </w:rPr>
              <w:t>(Principal Accounting Officer)</w:t>
            </w: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Allen Klingsick</w:t>
            </w: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John Foley</w:t>
            </w:r>
          </w:p>
        </w:tc>
        <w:tc>
          <w:tcPr>
            <w:tcW w:w="4040" w:type="dxa"/>
            <w:vAlign w:val="bottom"/>
          </w:tcPr>
          <w:p>
            <w:pPr>
              <w:ind w:left="100"/>
              <w:spacing w:after="0"/>
              <w:rPr>
                <w:sz w:val="20"/>
                <w:szCs w:val="20"/>
                <w:color w:val="auto"/>
              </w:rPr>
            </w:pPr>
            <w:r>
              <w:rPr>
                <w:rFonts w:ascii="Arial" w:cs="Arial" w:eastAsia="Arial" w:hAnsi="Arial"/>
                <w:sz w:val="13"/>
                <w:szCs w:val="13"/>
                <w:color w:val="auto"/>
              </w:rPr>
              <w:t>Director and Executive Chair</w:t>
            </w:r>
          </w:p>
        </w:tc>
        <w:tc>
          <w:tcPr>
            <w:tcW w:w="2420" w:type="dxa"/>
            <w:vAlign w:val="bottom"/>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59"/>
        </w:trPr>
        <w:tc>
          <w:tcPr>
            <w:tcW w:w="800" w:type="dxa"/>
            <w:vAlign w:val="bottom"/>
          </w:tcPr>
          <w:p>
            <w:pPr>
              <w:ind w:left="20"/>
              <w:spacing w:after="0"/>
              <w:rPr>
                <w:sz w:val="20"/>
                <w:szCs w:val="20"/>
                <w:color w:val="auto"/>
              </w:rPr>
            </w:pPr>
            <w:r>
              <w:rPr>
                <w:rFonts w:ascii="Arial" w:cs="Arial" w:eastAsia="Arial" w:hAnsi="Arial"/>
                <w:sz w:val="13"/>
                <w:szCs w:val="13"/>
                <w:color w:val="auto"/>
              </w:rPr>
              <w:t>John Foley</w:t>
            </w:r>
          </w:p>
        </w:tc>
        <w:tc>
          <w:tcPr>
            <w:tcW w:w="3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Karen Boone</w:t>
            </w:r>
          </w:p>
        </w:tc>
        <w:tc>
          <w:tcPr>
            <w:tcW w:w="40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420" w:type="dxa"/>
            <w:vAlign w:val="bottom"/>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59"/>
        </w:trPr>
        <w:tc>
          <w:tcPr>
            <w:tcW w:w="800" w:type="dxa"/>
            <w:vAlign w:val="bottom"/>
          </w:tcPr>
          <w:p>
            <w:pPr>
              <w:ind w:left="20"/>
              <w:spacing w:after="0"/>
              <w:rPr>
                <w:sz w:val="20"/>
                <w:szCs w:val="20"/>
                <w:color w:val="auto"/>
              </w:rPr>
            </w:pPr>
            <w:r>
              <w:rPr>
                <w:rFonts w:ascii="Arial" w:cs="Arial" w:eastAsia="Arial" w:hAnsi="Arial"/>
                <w:sz w:val="13"/>
                <w:szCs w:val="13"/>
                <w:color w:val="auto"/>
              </w:rPr>
              <w:t>Karen Boone</w:t>
            </w:r>
          </w:p>
        </w:tc>
        <w:tc>
          <w:tcPr>
            <w:tcW w:w="3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Jon Callaghan</w:t>
            </w:r>
          </w:p>
        </w:tc>
        <w:tc>
          <w:tcPr>
            <w:tcW w:w="40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420" w:type="dxa"/>
            <w:vAlign w:val="bottom"/>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59"/>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Jon Callaghan</w:t>
            </w: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Jay Hoag</w:t>
            </w:r>
          </w:p>
        </w:tc>
        <w:tc>
          <w:tcPr>
            <w:tcW w:w="40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420" w:type="dxa"/>
            <w:vAlign w:val="bottom"/>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59"/>
        </w:trPr>
        <w:tc>
          <w:tcPr>
            <w:tcW w:w="800" w:type="dxa"/>
            <w:vAlign w:val="bottom"/>
          </w:tcPr>
          <w:p>
            <w:pPr>
              <w:ind w:left="20"/>
              <w:spacing w:after="0"/>
              <w:rPr>
                <w:sz w:val="20"/>
                <w:szCs w:val="20"/>
                <w:color w:val="auto"/>
              </w:rPr>
            </w:pPr>
            <w:r>
              <w:rPr>
                <w:rFonts w:ascii="Arial" w:cs="Arial" w:eastAsia="Arial" w:hAnsi="Arial"/>
                <w:sz w:val="13"/>
                <w:szCs w:val="13"/>
                <w:color w:val="auto"/>
              </w:rPr>
              <w:t>Jay Hoag</w:t>
            </w:r>
          </w:p>
        </w:tc>
        <w:tc>
          <w:tcPr>
            <w:tcW w:w="3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Angel Mendez</w:t>
            </w:r>
          </w:p>
        </w:tc>
        <w:tc>
          <w:tcPr>
            <w:tcW w:w="40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420" w:type="dxa"/>
            <w:vAlign w:val="bottom"/>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59"/>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Angel Mendez</w:t>
            </w: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Jonathan Mildenhall</w:t>
            </w:r>
          </w:p>
        </w:tc>
        <w:tc>
          <w:tcPr>
            <w:tcW w:w="40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420" w:type="dxa"/>
            <w:vAlign w:val="bottom"/>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59"/>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Jonathan Mildenhall</w:t>
            </w: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Pamela Thomas-Graham</w:t>
            </w:r>
          </w:p>
        </w:tc>
        <w:tc>
          <w:tcPr>
            <w:tcW w:w="40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420" w:type="dxa"/>
            <w:vAlign w:val="bottom"/>
          </w:tcPr>
          <w:p>
            <w:pPr>
              <w:jc w:val="center"/>
              <w:ind w:left="1276"/>
              <w:spacing w:after="0"/>
              <w:rPr>
                <w:sz w:val="20"/>
                <w:szCs w:val="20"/>
                <w:color w:val="auto"/>
              </w:rPr>
            </w:pPr>
            <w:r>
              <w:rPr>
                <w:rFonts w:ascii="Arial" w:cs="Arial" w:eastAsia="Arial" w:hAnsi="Arial"/>
                <w:sz w:val="13"/>
                <w:szCs w:val="13"/>
                <w:color w:val="auto"/>
                <w:w w:val="97"/>
              </w:rPr>
              <w:t>September 6, 2022</w:t>
            </w:r>
          </w:p>
        </w:tc>
        <w:tc>
          <w:tcPr>
            <w:tcW w:w="0" w:type="dxa"/>
            <w:vAlign w:val="bottom"/>
          </w:tcPr>
          <w:p>
            <w:pPr>
              <w:spacing w:after="0"/>
              <w:rPr>
                <w:sz w:val="1"/>
                <w:szCs w:val="1"/>
                <w:color w:val="auto"/>
              </w:rPr>
            </w:pPr>
          </w:p>
        </w:tc>
      </w:tr>
      <w:tr>
        <w:trPr>
          <w:trHeight w:val="159"/>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Pamela Thomas-Graham</w:t>
            </w:r>
          </w:p>
        </w:tc>
        <w:tc>
          <w:tcPr>
            <w:tcW w:w="4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7"/>
        </w:trPr>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40" w:type="dxa"/>
            <w:vAlign w:val="bottom"/>
          </w:tcPr>
          <w:p>
            <w:pPr>
              <w:ind w:left="1580"/>
              <w:spacing w:after="0"/>
              <w:rPr>
                <w:sz w:val="20"/>
                <w:szCs w:val="20"/>
                <w:color w:val="auto"/>
              </w:rPr>
            </w:pPr>
            <w:r>
              <w:rPr>
                <w:rFonts w:ascii="Arial" w:cs="Arial" w:eastAsia="Arial" w:hAnsi="Arial"/>
                <w:sz w:val="13"/>
                <w:szCs w:val="13"/>
                <w:color w:val="auto"/>
              </w:rPr>
              <w:t>113</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00" w:top="543" w:right="1179" w:bottom="1440" w:gutter="0" w:footer="0" w:header="0"/>
        </w:sectPr>
      </w:pPr>
    </w:p>
    <w:bookmarkStart w:id="114" w:name="page115"/>
    <w:bookmarkEnd w:id="114"/>
    <w:p>
      <w:pPr>
        <w:ind w:left="9464"/>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PELOTON INTERACTIVE, INC.</w:t>
      </w:r>
    </w:p>
    <w:p>
      <w:pPr>
        <w:spacing w:after="0" w:line="16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2019 EQUITY INCENTIVE PLAN</w:t>
      </w:r>
    </w:p>
    <w:p>
      <w:pPr>
        <w:spacing w:after="0" w:line="166" w:lineRule="exact"/>
        <w:rPr>
          <w:sz w:val="20"/>
          <w:szCs w:val="20"/>
          <w:color w:val="auto"/>
        </w:rPr>
      </w:pPr>
    </w:p>
    <w:p>
      <w:pPr>
        <w:jc w:val="both"/>
        <w:ind w:left="4" w:hanging="4"/>
        <w:spacing w:after="0" w:line="222" w:lineRule="auto"/>
        <w:tabs>
          <w:tab w:leader="none" w:pos="439"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PURPOSE</w:t>
      </w:r>
      <w:r>
        <w:rPr>
          <w:rFonts w:ascii="Times New Roman" w:cs="Times New Roman" w:eastAsia="Times New Roman" w:hAnsi="Times New Roman"/>
          <w:sz w:val="16"/>
          <w:szCs w:val="16"/>
          <w:color w:val="auto"/>
        </w:rPr>
        <w:t>. The purpose of this Plan is to provide incentives to attract, retain and motivate eligible persons whose present and potential contributions are important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57" w:lineRule="exact"/>
        <w:rPr>
          <w:rFonts w:ascii="Times New Roman" w:cs="Times New Roman" w:eastAsia="Times New Roman" w:hAnsi="Times New Roman"/>
          <w:sz w:val="16"/>
          <w:szCs w:val="16"/>
          <w:b w:val="1"/>
          <w:bCs w:val="1"/>
          <w:color w:val="auto"/>
        </w:rPr>
      </w:pPr>
    </w:p>
    <w:p>
      <w:pPr>
        <w:ind w:left="504" w:hanging="504"/>
        <w:spacing w:after="0"/>
        <w:tabs>
          <w:tab w:leader="none" w:pos="504"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SHARES SUBJECT TO THE PLAN</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504"/>
        <w:spacing w:after="0"/>
        <w:tabs>
          <w:tab w:leader="none" w:pos="924"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4"/>
          <w:szCs w:val="14"/>
          <w:u w:val="single" w:color="auto"/>
          <w:color w:val="auto"/>
        </w:rPr>
        <w:t>Number of Shares Available</w:t>
      </w:r>
      <w:r>
        <w:rPr>
          <w:rFonts w:ascii="Times New Roman" w:cs="Times New Roman" w:eastAsia="Times New Roman" w:hAnsi="Times New Roman"/>
          <w:sz w:val="14"/>
          <w:szCs w:val="14"/>
          <w:color w:val="auto"/>
        </w:rPr>
        <w:t>. Subject to Section 2.4, Section 2.6 and Section 21 and any other applicable provisions hereof, the total number of Shares reserved</w:t>
      </w:r>
    </w:p>
    <w:p>
      <w:pPr>
        <w:ind w:left="4"/>
        <w:spacing w:after="0" w:line="229" w:lineRule="auto"/>
        <w:rPr>
          <w:sz w:val="20"/>
          <w:szCs w:val="20"/>
          <w:color w:val="auto"/>
        </w:rPr>
      </w:pPr>
      <w:r>
        <w:rPr>
          <w:rFonts w:ascii="Times New Roman" w:cs="Times New Roman" w:eastAsia="Times New Roman" w:hAnsi="Times New Roman"/>
          <w:sz w:val="14"/>
          <w:szCs w:val="14"/>
          <w:color w:val="auto"/>
        </w:rPr>
        <w:t>and available for grant and issuance pursuant to this Plan as of the date of adoption of the Plan by the Board, is 40,986,767 Shares, plus (a) any reserved shares not issued or subject to outstanding grants under the Company’s 2015 Stock Plan (the “</w:t>
      </w:r>
      <w:r>
        <w:rPr>
          <w:rFonts w:ascii="Times New Roman" w:cs="Times New Roman" w:eastAsia="Times New Roman" w:hAnsi="Times New Roman"/>
          <w:sz w:val="14"/>
          <w:szCs w:val="14"/>
          <w:b w:val="1"/>
          <w:bCs w:val="1"/>
          <w:i w:val="1"/>
          <w:iCs w:val="1"/>
          <w:color w:val="auto"/>
        </w:rPr>
        <w:t>Prior Plan</w:t>
      </w:r>
      <w:r>
        <w:rPr>
          <w:rFonts w:ascii="Times New Roman" w:cs="Times New Roman" w:eastAsia="Times New Roman" w:hAnsi="Times New Roman"/>
          <w:sz w:val="14"/>
          <w:szCs w:val="14"/>
          <w:color w:val="auto"/>
        </w:rPr>
        <w:t>”) on the Effective Date, (b) shares that are subject to stock options or other awards granted</w:t>
      </w:r>
    </w:p>
    <w:p>
      <w:pPr>
        <w:ind w:left="4"/>
        <w:spacing w:after="0" w:line="237" w:lineRule="auto"/>
        <w:rPr>
          <w:sz w:val="20"/>
          <w:szCs w:val="20"/>
          <w:color w:val="auto"/>
        </w:rPr>
      </w:pPr>
      <w:r>
        <w:rPr>
          <w:rFonts w:ascii="Times New Roman" w:cs="Times New Roman" w:eastAsia="Times New Roman" w:hAnsi="Times New Roman"/>
          <w:sz w:val="14"/>
          <w:szCs w:val="14"/>
          <w:color w:val="auto"/>
        </w:rPr>
        <w:t>under the Prior Plan that cease to be subject to such stock options or other awards by forfeiture or otherwise after the Effective Date, (c) shares issued under the Prior Plan before</w:t>
      </w:r>
    </w:p>
    <w:p>
      <w:pPr>
        <w:spacing w:after="0" w:line="1" w:lineRule="exact"/>
        <w:rPr>
          <w:sz w:val="20"/>
          <w:szCs w:val="20"/>
          <w:color w:val="auto"/>
        </w:rPr>
      </w:pPr>
    </w:p>
    <w:p>
      <w:pPr>
        <w:ind w:left="4"/>
        <w:spacing w:after="0" w:line="229" w:lineRule="auto"/>
        <w:rPr>
          <w:sz w:val="20"/>
          <w:szCs w:val="20"/>
          <w:color w:val="auto"/>
        </w:rPr>
      </w:pPr>
      <w:r>
        <w:rPr>
          <w:rFonts w:ascii="Times New Roman" w:cs="Times New Roman" w:eastAsia="Times New Roman" w:hAnsi="Times New Roman"/>
          <w:sz w:val="14"/>
          <w:szCs w:val="14"/>
          <w:color w:val="auto"/>
        </w:rPr>
        <w:t>or after the Effective Date pursuant to the exercise of stock options that are, after the Effective Date, forfeited, (d) shares issued under the Prior Plan that are repurchased by the Company at the original issue price and (e) shares that are subject to stock options or other awards under the Prior Plan that are used to pay the exercise price of an option or</w:t>
      </w:r>
    </w:p>
    <w:p>
      <w:pPr>
        <w:ind w:left="4"/>
        <w:spacing w:after="0" w:line="224" w:lineRule="auto"/>
        <w:rPr>
          <w:sz w:val="20"/>
          <w:szCs w:val="20"/>
          <w:color w:val="auto"/>
        </w:rPr>
      </w:pPr>
      <w:r>
        <w:rPr>
          <w:rFonts w:ascii="Times New Roman" w:cs="Times New Roman" w:eastAsia="Times New Roman" w:hAnsi="Times New Roman"/>
          <w:sz w:val="16"/>
          <w:szCs w:val="16"/>
          <w:color w:val="auto"/>
        </w:rPr>
        <w:t>withheld to satisfy the tax withholding obligations related to any award. Any of the Company’s Class B common stock that becomes available for grant pursuant this Section 2.1 will be issued only as Shares.</w:t>
      </w:r>
    </w:p>
    <w:p>
      <w:pPr>
        <w:spacing w:after="0" w:line="139" w:lineRule="exact"/>
        <w:rPr>
          <w:sz w:val="20"/>
          <w:szCs w:val="20"/>
          <w:color w:val="auto"/>
        </w:rPr>
      </w:pPr>
    </w:p>
    <w:p>
      <w:pPr>
        <w:ind w:left="504"/>
        <w:spacing w:after="0"/>
        <w:tabs>
          <w:tab w:leader="none" w:pos="924" w:val="left"/>
        </w:tabs>
        <w:rPr>
          <w:sz w:val="20"/>
          <w:szCs w:val="20"/>
          <w:color w:val="auto"/>
        </w:rPr>
      </w:pPr>
      <w:r>
        <w:rPr>
          <w:rFonts w:ascii="Times New Roman" w:cs="Times New Roman" w:eastAsia="Times New Roman" w:hAnsi="Times New Roman"/>
          <w:sz w:val="16"/>
          <w:szCs w:val="16"/>
          <w:b w:val="1"/>
          <w:bCs w:val="1"/>
          <w:color w:val="auto"/>
        </w:rPr>
        <w:t>2.2.</w:t>
      </w:r>
      <w:r>
        <w:rPr>
          <w:sz w:val="20"/>
          <w:szCs w:val="20"/>
          <w:color w:val="auto"/>
        </w:rPr>
        <w:tab/>
      </w:r>
      <w:r>
        <w:rPr>
          <w:rFonts w:ascii="Times New Roman" w:cs="Times New Roman" w:eastAsia="Times New Roman" w:hAnsi="Times New Roman"/>
          <w:sz w:val="16"/>
          <w:szCs w:val="16"/>
          <w:u w:val="single" w:color="auto"/>
          <w:color w:val="auto"/>
        </w:rPr>
        <w:t>Lapsed, Returned Awards</w:t>
      </w:r>
      <w:r>
        <w:rPr>
          <w:rFonts w:ascii="Times New Roman" w:cs="Times New Roman" w:eastAsia="Times New Roman" w:hAnsi="Times New Roman"/>
          <w:sz w:val="16"/>
          <w:szCs w:val="16"/>
          <w:color w:val="auto"/>
        </w:rPr>
        <w:t>. Shares subject to Awards, and Shares issued under the Plan under any Award, will again be available for grant and issuance in</w:t>
      </w:r>
    </w:p>
    <w:p>
      <w:pPr>
        <w:ind w:left="4"/>
        <w:spacing w:after="0" w:line="229" w:lineRule="auto"/>
        <w:rPr>
          <w:sz w:val="20"/>
          <w:szCs w:val="20"/>
          <w:color w:val="auto"/>
        </w:rPr>
      </w:pPr>
      <w:r>
        <w:rPr>
          <w:rFonts w:ascii="Times New Roman" w:cs="Times New Roman" w:eastAsia="Times New Roman" w:hAnsi="Times New Roman"/>
          <w:sz w:val="14"/>
          <w:szCs w:val="14"/>
          <w:color w:val="auto"/>
        </w:rPr>
        <w:t>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w:t>
      </w:r>
    </w:p>
    <w:p>
      <w:pPr>
        <w:ind w:left="4"/>
        <w:spacing w:after="0" w:line="237" w:lineRule="auto"/>
        <w:rPr>
          <w:sz w:val="20"/>
          <w:szCs w:val="20"/>
          <w:color w:val="auto"/>
        </w:rPr>
      </w:pPr>
      <w:r>
        <w:rPr>
          <w:rFonts w:ascii="Times New Roman" w:cs="Times New Roman" w:eastAsia="Times New Roman" w:hAnsi="Times New Roman"/>
          <w:sz w:val="14"/>
          <w:szCs w:val="14"/>
          <w:color w:val="auto"/>
        </w:rPr>
        <w:t>repurchased by the Company at the original issue price; (c) are subject to Awards granted under this Plan that otherwise terminate without such Shares being issued; or (d) are</w:t>
      </w:r>
    </w:p>
    <w:p>
      <w:pPr>
        <w:spacing w:after="0" w:line="1" w:lineRule="exact"/>
        <w:rPr>
          <w:sz w:val="20"/>
          <w:szCs w:val="20"/>
          <w:color w:val="auto"/>
        </w:rPr>
      </w:pPr>
    </w:p>
    <w:p>
      <w:pPr>
        <w:ind w:left="4"/>
        <w:spacing w:after="0" w:line="229" w:lineRule="auto"/>
        <w:rPr>
          <w:sz w:val="20"/>
          <w:szCs w:val="20"/>
          <w:color w:val="auto"/>
        </w:rPr>
      </w:pPr>
      <w:r>
        <w:rPr>
          <w:rFonts w:ascii="Times New Roman" w:cs="Times New Roman" w:eastAsia="Times New Roman" w:hAnsi="Times New Roman"/>
          <w:sz w:val="14"/>
          <w:szCs w:val="14"/>
          <w:color w:val="auto"/>
        </w:rPr>
        <w:t>surrendered pursuant to Exchange Program. To the extent an Award under the Plan is paid out in cash rather than Shares, such cash payment will not result in reducing the number of Shares available for issuance under the Plan. Shares used to pay the exercise price of an Award or withheld to satisfy the tax withholding obligations related to an Award will</w:t>
      </w:r>
    </w:p>
    <w:p>
      <w:pPr>
        <w:ind w:left="4"/>
        <w:spacing w:after="0" w:line="237" w:lineRule="auto"/>
        <w:rPr>
          <w:sz w:val="20"/>
          <w:szCs w:val="20"/>
          <w:color w:val="auto"/>
        </w:rPr>
      </w:pPr>
      <w:r>
        <w:rPr>
          <w:rFonts w:ascii="Times New Roman" w:cs="Times New Roman" w:eastAsia="Times New Roman" w:hAnsi="Times New Roman"/>
          <w:sz w:val="14"/>
          <w:szCs w:val="14"/>
          <w:color w:val="auto"/>
        </w:rPr>
        <w:t>become available for future grant or sale under the Plan. For the avoidance of doubt, Shares that otherwise become available for grant and issuance because of the provisions of</w:t>
      </w:r>
    </w:p>
    <w:p>
      <w:pPr>
        <w:ind w:left="4"/>
        <w:spacing w:after="0" w:line="194" w:lineRule="auto"/>
        <w:rPr>
          <w:sz w:val="20"/>
          <w:szCs w:val="20"/>
          <w:color w:val="auto"/>
        </w:rPr>
      </w:pPr>
      <w:r>
        <w:rPr>
          <w:rFonts w:ascii="Times New Roman" w:cs="Times New Roman" w:eastAsia="Times New Roman" w:hAnsi="Times New Roman"/>
          <w:sz w:val="16"/>
          <w:szCs w:val="16"/>
          <w:color w:val="auto"/>
        </w:rPr>
        <w:t>this Section</w:t>
      </w:r>
    </w:p>
    <w:p>
      <w:pPr>
        <w:ind w:left="4"/>
        <w:spacing w:after="0"/>
        <w:rPr>
          <w:sz w:val="20"/>
          <w:szCs w:val="20"/>
          <w:color w:val="auto"/>
        </w:rPr>
      </w:pPr>
      <w:r>
        <w:rPr>
          <w:rFonts w:ascii="Times New Roman" w:cs="Times New Roman" w:eastAsia="Times New Roman" w:hAnsi="Times New Roman"/>
          <w:sz w:val="16"/>
          <w:szCs w:val="16"/>
          <w:color w:val="auto"/>
        </w:rPr>
        <w:t>2.2 shall not include Shares subject to Awards that initially became available because of the substitution clause in Section 21.2 hereof.</w:t>
      </w:r>
    </w:p>
    <w:p>
      <w:pPr>
        <w:spacing w:after="0" w:line="157" w:lineRule="exact"/>
        <w:rPr>
          <w:sz w:val="20"/>
          <w:szCs w:val="20"/>
          <w:color w:val="auto"/>
        </w:rPr>
      </w:pPr>
    </w:p>
    <w:p>
      <w:pPr>
        <w:ind w:left="4" w:right="20" w:firstLine="509"/>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2.3. </w:t>
      </w:r>
      <w:r>
        <w:rPr>
          <w:rFonts w:ascii="Times New Roman" w:cs="Times New Roman" w:eastAsia="Times New Roman" w:hAnsi="Times New Roman"/>
          <w:sz w:val="16"/>
          <w:szCs w:val="16"/>
          <w:u w:val="single" w:color="auto"/>
          <w:color w:val="auto"/>
        </w:rPr>
        <w:t>Minimum Share Reserve</w:t>
      </w:r>
      <w:r>
        <w:rPr>
          <w:rFonts w:ascii="Times New Roman" w:cs="Times New Roman" w:eastAsia="Times New Roman" w:hAnsi="Times New Roman"/>
          <w:sz w:val="16"/>
          <w:szCs w:val="16"/>
          <w:color w:val="auto"/>
        </w:rPr>
        <w:t>. At all times the Company will reserve and keep available a sufficient number of Shares as will be required to satisfy the requirements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outstanding Awards granted under this Plan.</w:t>
      </w:r>
    </w:p>
    <w:p>
      <w:pPr>
        <w:spacing w:after="0" w:line="157" w:lineRule="exact"/>
        <w:rPr>
          <w:sz w:val="20"/>
          <w:szCs w:val="20"/>
          <w:color w:val="auto"/>
        </w:rPr>
      </w:pPr>
    </w:p>
    <w:p>
      <w:pPr>
        <w:ind w:left="4" w:firstLine="509"/>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2.4. </w:t>
      </w:r>
      <w:r>
        <w:rPr>
          <w:rFonts w:ascii="Times New Roman" w:cs="Times New Roman" w:eastAsia="Times New Roman" w:hAnsi="Times New Roman"/>
          <w:sz w:val="16"/>
          <w:szCs w:val="16"/>
          <w:u w:val="single" w:color="auto"/>
          <w:color w:val="auto"/>
        </w:rPr>
        <w:t>Automatic Share Reserve Increase</w:t>
      </w:r>
      <w:r>
        <w:rPr>
          <w:rFonts w:ascii="Times New Roman" w:cs="Times New Roman" w:eastAsia="Times New Roman" w:hAnsi="Times New Roman"/>
          <w:sz w:val="16"/>
          <w:szCs w:val="16"/>
          <w:color w:val="auto"/>
        </w:rPr>
        <w:t>. The number of Shares available for grant and issuance under the Plan will be increased on July 1 of 2020 through 2029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lesser of (a) five (5%) of all classes of the Company’s common stock outstanding on each June 30 immediately prior to the date of increase or (b) such number of Shares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determined by the Board.</w:t>
      </w:r>
    </w:p>
    <w:p>
      <w:pPr>
        <w:spacing w:after="0" w:line="8" w:lineRule="exact"/>
        <w:rPr>
          <w:sz w:val="20"/>
          <w:szCs w:val="20"/>
          <w:color w:val="auto"/>
        </w:rPr>
      </w:pPr>
    </w:p>
    <w:p>
      <w:pPr>
        <w:ind w:left="504"/>
        <w:spacing w:after="0"/>
        <w:tabs>
          <w:tab w:leader="none" w:pos="924" w:val="left"/>
        </w:tabs>
        <w:rPr>
          <w:sz w:val="20"/>
          <w:szCs w:val="20"/>
          <w:color w:val="auto"/>
        </w:rPr>
      </w:pPr>
      <w:r>
        <w:rPr>
          <w:rFonts w:ascii="Times New Roman" w:cs="Times New Roman" w:eastAsia="Times New Roman" w:hAnsi="Times New Roman"/>
          <w:sz w:val="16"/>
          <w:szCs w:val="16"/>
          <w:b w:val="1"/>
          <w:bCs w:val="1"/>
          <w:color w:val="auto"/>
        </w:rPr>
        <w:t>2.5.</w:t>
      </w:r>
      <w:r>
        <w:rPr>
          <w:sz w:val="20"/>
          <w:szCs w:val="20"/>
          <w:color w:val="auto"/>
        </w:rPr>
        <w:tab/>
      </w:r>
      <w:r>
        <w:rPr>
          <w:rFonts w:ascii="Times New Roman" w:cs="Times New Roman" w:eastAsia="Times New Roman" w:hAnsi="Times New Roman"/>
          <w:sz w:val="14"/>
          <w:szCs w:val="14"/>
          <w:u w:val="single" w:color="auto"/>
          <w:color w:val="auto"/>
        </w:rPr>
        <w:t>ISO Limitation</w:t>
      </w:r>
      <w:r>
        <w:rPr>
          <w:rFonts w:ascii="Times New Roman" w:cs="Times New Roman" w:eastAsia="Times New Roman" w:hAnsi="Times New Roman"/>
          <w:sz w:val="14"/>
          <w:szCs w:val="14"/>
          <w:color w:val="auto"/>
        </w:rPr>
        <w:t>. No more than 150,000,000 Shares shall be issued pursuant to the exercise of ISOs (as defined below) under the Plan.</w:t>
      </w:r>
    </w:p>
    <w:p>
      <w:pPr>
        <w:spacing w:after="0" w:line="219" w:lineRule="exact"/>
        <w:rPr>
          <w:sz w:val="20"/>
          <w:szCs w:val="20"/>
          <w:color w:val="auto"/>
        </w:rPr>
      </w:pPr>
    </w:p>
    <w:p>
      <w:pPr>
        <w:ind w:left="4"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2.6. </w:t>
      </w:r>
      <w:r>
        <w:rPr>
          <w:rFonts w:ascii="Times New Roman" w:cs="Times New Roman" w:eastAsia="Times New Roman" w:hAnsi="Times New Roman"/>
          <w:sz w:val="14"/>
          <w:szCs w:val="14"/>
          <w:u w:val="single" w:color="auto"/>
          <w:color w:val="auto"/>
        </w:rPr>
        <w:t>Adjustment of Shares</w:t>
      </w:r>
      <w:r>
        <w:rPr>
          <w:rFonts w:ascii="Times New Roman" w:cs="Times New Roman" w:eastAsia="Times New Roman" w:hAnsi="Times New Roman"/>
          <w:sz w:val="14"/>
          <w:szCs w:val="14"/>
          <w:color w:val="auto"/>
        </w:rPr>
        <w:t>. If the number of outstanding Shares is changed by a stock dividend, extraordinary dividend or distribution (whether in cash, shares or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property, other than a regular cash dividend) recapitalization, stock split, reverse stock split, subdivision, combination, consolidation, reclassification, spin-off or similar change in</w:t>
      </w:r>
    </w:p>
    <w:p>
      <w:pPr>
        <w:ind w:left="4"/>
        <w:spacing w:after="0"/>
        <w:rPr>
          <w:sz w:val="20"/>
          <w:szCs w:val="20"/>
          <w:color w:val="auto"/>
        </w:rPr>
      </w:pPr>
      <w:r>
        <w:rPr>
          <w:rFonts w:ascii="Times New Roman" w:cs="Times New Roman" w:eastAsia="Times New Roman" w:hAnsi="Times New Roman"/>
          <w:sz w:val="16"/>
          <w:szCs w:val="16"/>
          <w:color w:val="auto"/>
        </w:rPr>
        <w:t>the capital structure of the Company, without consideration, then (a) the number and class of Shares reserved for issuance and future grant under the Plan set forth in</w:t>
      </w:r>
    </w:p>
    <w:p>
      <w:pPr>
        <w:sectPr>
          <w:pgSz w:w="11900" w:h="16838" w:orient="portrait"/>
          <w:cols w:equalWidth="0" w:num="1">
            <w:col w:w="11124"/>
          </w:cols>
          <w:pgMar w:left="376" w:top="1127" w:right="399" w:bottom="1440" w:gutter="0" w:footer="0" w:header="0"/>
        </w:sectPr>
      </w:pPr>
    </w:p>
    <w:bookmarkStart w:id="115" w:name="page116"/>
    <w:bookmarkEnd w:id="115"/>
    <w:p>
      <w:pPr>
        <w:ind w:left="40"/>
        <w:spacing w:after="0" w:line="250" w:lineRule="auto"/>
        <w:rPr>
          <w:sz w:val="20"/>
          <w:szCs w:val="20"/>
          <w:color w:val="auto"/>
        </w:rPr>
      </w:pPr>
      <w:r>
        <w:rPr>
          <w:rFonts w:ascii="Times New Roman" w:cs="Times New Roman" w:eastAsia="Times New Roman" w:hAnsi="Times New Roman"/>
          <w:sz w:val="14"/>
          <w:szCs w:val="14"/>
          <w:color w:val="auto"/>
        </w:rPr>
        <w:t>Section 2.1, including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w:t>
      </w:r>
    </w:p>
    <w:p>
      <w:pPr>
        <w:spacing w:after="0" w:line="1" w:lineRule="exact"/>
        <w:rPr>
          <w:sz w:val="20"/>
          <w:szCs w:val="20"/>
          <w:color w:val="auto"/>
        </w:rPr>
      </w:pPr>
    </w:p>
    <w:p>
      <w:pPr>
        <w:ind w:left="40"/>
        <w:spacing w:after="0" w:line="217" w:lineRule="auto"/>
        <w:rPr>
          <w:sz w:val="20"/>
          <w:szCs w:val="20"/>
          <w:color w:val="auto"/>
        </w:rPr>
      </w:pPr>
      <w:r>
        <w:rPr>
          <w:rFonts w:ascii="Times New Roman" w:cs="Times New Roman" w:eastAsia="Times New Roman" w:hAnsi="Times New Roman"/>
          <w:sz w:val="16"/>
          <w:szCs w:val="16"/>
          <w:color w:val="auto"/>
        </w:rPr>
        <w:t>2.5 will be proportionately adjusted, subject to any required action by the Board or the stockholders of the Company and in compliance with applicable securities laws; provided that fractions of a Share will not be issued.</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If, by reason of an adjustment pursuant to this Section 2.6, a Participant’s Award Agreement or other agreement related to any Award or the Shares subject to such Award</w:t>
      </w:r>
    </w:p>
    <w:p>
      <w:pPr>
        <w:spacing w:after="0" w:line="16" w:lineRule="exact"/>
        <w:rPr>
          <w:sz w:val="20"/>
          <w:szCs w:val="20"/>
          <w:color w:val="auto"/>
        </w:rPr>
      </w:pPr>
    </w:p>
    <w:p>
      <w:pPr>
        <w:ind w:left="40"/>
        <w:spacing w:after="0" w:line="217" w:lineRule="auto"/>
        <w:rPr>
          <w:sz w:val="20"/>
          <w:szCs w:val="20"/>
          <w:color w:val="auto"/>
        </w:rPr>
      </w:pPr>
      <w:r>
        <w:rPr>
          <w:rFonts w:ascii="Times New Roman" w:cs="Times New Roman" w:eastAsia="Times New Roman" w:hAnsi="Times New Roman"/>
          <w:sz w:val="16"/>
          <w:szCs w:val="16"/>
          <w:color w:val="auto"/>
        </w:rPr>
        <w:t>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pacing w:after="0" w:line="146" w:lineRule="exact"/>
        <w:rPr>
          <w:sz w:val="20"/>
          <w:szCs w:val="20"/>
          <w:color w:val="auto"/>
        </w:rPr>
      </w:pPr>
    </w:p>
    <w:p>
      <w:pPr>
        <w:ind w:left="40" w:hanging="4"/>
        <w:spacing w:after="0" w:line="237" w:lineRule="auto"/>
        <w:tabs>
          <w:tab w:leader="none" w:pos="475"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ELIGIBILITY</w:t>
      </w:r>
      <w:r>
        <w:rPr>
          <w:rFonts w:ascii="Times New Roman" w:cs="Times New Roman" w:eastAsia="Times New Roman" w:hAnsi="Times New Roman"/>
          <w:sz w:val="16"/>
          <w:szCs w:val="16"/>
          <w:color w:val="auto"/>
        </w:rPr>
        <w:t>. ISOs may be granted only to Employees. All other Awards may be granted to Employees, Consultants, and Non-Employee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Consultants and Non-Employee Directors render bona fide services not in connection with the offer and sale of securities in a capital- raising transaction.</w:t>
      </w:r>
    </w:p>
    <w:p>
      <w:pPr>
        <w:spacing w:after="0" w:line="145" w:lineRule="exact"/>
        <w:rPr>
          <w:rFonts w:ascii="Times New Roman" w:cs="Times New Roman" w:eastAsia="Times New Roman" w:hAnsi="Times New Roman"/>
          <w:sz w:val="16"/>
          <w:szCs w:val="16"/>
          <w:b w:val="1"/>
          <w:bCs w:val="1"/>
          <w:color w:val="auto"/>
        </w:rPr>
      </w:pPr>
    </w:p>
    <w:p>
      <w:pPr>
        <w:ind w:left="540" w:hanging="504"/>
        <w:spacing w:after="0"/>
        <w:tabs>
          <w:tab w:leader="none" w:pos="54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ADMINISTRATION</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40" w:firstLine="509"/>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6"/>
          <w:szCs w:val="16"/>
          <w:u w:val="single" w:color="auto"/>
          <w:color w:val="auto"/>
        </w:rPr>
        <w:t>Committee Composition; Authority</w:t>
      </w:r>
      <w:r>
        <w:rPr>
          <w:rFonts w:ascii="Times New Roman" w:cs="Times New Roman" w:eastAsia="Times New Roman" w:hAnsi="Times New Roman"/>
          <w:sz w:val="16"/>
          <w:szCs w:val="16"/>
          <w:color w:val="auto"/>
        </w:rPr>
        <w:t>. This Plan will be administered by the Committee or by the Board acting as the Committee. Subject to the general purposes,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terms and conditions of this Plan, and to the direction of the Board, the Committee will have full power to implement and carry out this Plan, except, however, the Board will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establish the terms for the grant of an Award to Non-Employee Directors. The Committee will have the authority to:</w:t>
      </w:r>
    </w:p>
    <w:p>
      <w:pPr>
        <w:spacing w:after="0" w:line="148" w:lineRule="exact"/>
        <w:rPr>
          <w:sz w:val="20"/>
          <w:szCs w:val="20"/>
          <w:color w:val="auto"/>
        </w:rPr>
      </w:pPr>
    </w:p>
    <w:p>
      <w:pPr>
        <w:ind w:left="1500" w:hanging="446"/>
        <w:spacing w:after="0"/>
        <w:tabs>
          <w:tab w:leader="none" w:pos="1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construe and interpret this Plan, any Award Agreement and any other agreement or document executed pursuant to this Plan;</w:t>
      </w:r>
    </w:p>
    <w:p>
      <w:pPr>
        <w:spacing w:after="0" w:line="222"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prescribe, amend and rescind rules and regulations relating to this Plan or any</w:t>
      </w:r>
    </w:p>
    <w:p>
      <w:pPr>
        <w:ind w:left="40"/>
        <w:spacing w:after="0"/>
        <w:rPr>
          <w:sz w:val="20"/>
          <w:szCs w:val="20"/>
          <w:color w:val="auto"/>
        </w:rPr>
      </w:pPr>
      <w:r>
        <w:rPr>
          <w:rFonts w:ascii="Times New Roman" w:cs="Times New Roman" w:eastAsia="Times New Roman" w:hAnsi="Times New Roman"/>
          <w:sz w:val="16"/>
          <w:szCs w:val="16"/>
          <w:color w:val="auto"/>
        </w:rPr>
        <w:t>Award;</w:t>
      </w:r>
    </w:p>
    <w:p>
      <w:pPr>
        <w:spacing w:after="0" w:line="222" w:lineRule="exact"/>
        <w:rPr>
          <w:sz w:val="20"/>
          <w:szCs w:val="20"/>
          <w:color w:val="auto"/>
        </w:rPr>
      </w:pPr>
    </w:p>
    <w:p>
      <w:pPr>
        <w:ind w:left="1560" w:hanging="506"/>
        <w:spacing w:after="0"/>
        <w:tabs>
          <w:tab w:leader="none" w:pos="1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persons to receive Awards;</w:t>
      </w:r>
    </w:p>
    <w:p>
      <w:pPr>
        <w:spacing w:after="0" w:line="166" w:lineRule="exact"/>
        <w:rPr>
          <w:rFonts w:ascii="Times New Roman" w:cs="Times New Roman" w:eastAsia="Times New Roman" w:hAnsi="Times New Roman"/>
          <w:sz w:val="16"/>
          <w:szCs w:val="16"/>
          <w:color w:val="auto"/>
        </w:rPr>
      </w:pPr>
    </w:p>
    <w:p>
      <w:pPr>
        <w:jc w:val="both"/>
        <w:ind w:left="40" w:firstLine="1014"/>
        <w:spacing w:after="0" w:line="218" w:lineRule="auto"/>
        <w:tabs>
          <w:tab w:leader="none" w:pos="149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41"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number of Shares or other consideration subject to Awards;</w:t>
      </w:r>
    </w:p>
    <w:p>
      <w:pPr>
        <w:ind w:left="1560" w:right="180" w:hanging="506"/>
        <w:spacing w:after="0" w:line="224" w:lineRule="auto"/>
        <w:tabs>
          <w:tab w:leader="none" w:pos="159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47" w:lineRule="exact"/>
        <w:rPr>
          <w:rFonts w:ascii="Times New Roman" w:cs="Times New Roman" w:eastAsia="Times New Roman" w:hAnsi="Times New Roman"/>
          <w:sz w:val="16"/>
          <w:szCs w:val="16"/>
          <w:color w:val="auto"/>
        </w:rPr>
      </w:pPr>
    </w:p>
    <w:p>
      <w:pPr>
        <w:ind w:left="40" w:firstLine="1014"/>
        <w:spacing w:after="0" w:line="235" w:lineRule="auto"/>
        <w:tabs>
          <w:tab w:leader="none" w:pos="149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48"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waivers of Plan or Award conditions;</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vesting, exercisability and payment of Awards;</w:t>
      </w:r>
    </w:p>
    <w:p>
      <w:pPr>
        <w:spacing w:after="0" w:line="176" w:lineRule="exact"/>
        <w:rPr>
          <w:rFonts w:ascii="Times New Roman" w:cs="Times New Roman" w:eastAsia="Times New Roman" w:hAnsi="Times New Roman"/>
          <w:sz w:val="16"/>
          <w:szCs w:val="16"/>
          <w:color w:val="auto"/>
        </w:rPr>
      </w:pPr>
    </w:p>
    <w:p>
      <w:pPr>
        <w:ind w:left="1480" w:hanging="426"/>
        <w:spacing w:after="0"/>
        <w:tabs>
          <w:tab w:leader="none" w:pos="14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 any defect, supply any omission or reconcile any inconsistency in this Plan, any Award or any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60"/>
          </w:cols>
          <w:pgMar w:left="340" w:top="1065" w:right="399" w:bottom="1440" w:gutter="0" w:footer="0" w:header="0"/>
        </w:sectPr>
      </w:pPr>
    </w:p>
    <w:bookmarkStart w:id="116" w:name="page117"/>
    <w:bookmarkEnd w:id="116"/>
    <w:p>
      <w:pPr>
        <w:ind w:left="1560" w:hanging="506"/>
        <w:spacing w:after="0"/>
        <w:tabs>
          <w:tab w:leader="none" w:pos="1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whether an Award has been vested and/or earned;</w:t>
      </w:r>
    </w:p>
    <w:p>
      <w:pPr>
        <w:spacing w:after="0" w:line="222"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terms and conditions of any, and to institute any Exchange</w:t>
      </w:r>
    </w:p>
    <w:p>
      <w:pPr>
        <w:ind w:left="40"/>
        <w:spacing w:after="0"/>
        <w:rPr>
          <w:sz w:val="20"/>
          <w:szCs w:val="20"/>
          <w:color w:val="auto"/>
        </w:rPr>
      </w:pPr>
      <w:r>
        <w:rPr>
          <w:rFonts w:ascii="Times New Roman" w:cs="Times New Roman" w:eastAsia="Times New Roman" w:hAnsi="Times New Roman"/>
          <w:sz w:val="16"/>
          <w:szCs w:val="16"/>
          <w:color w:val="auto"/>
        </w:rPr>
        <w:t>Program;</w:t>
      </w:r>
    </w:p>
    <w:p>
      <w:pPr>
        <w:spacing w:after="0" w:line="222" w:lineRule="exact"/>
        <w:rPr>
          <w:sz w:val="20"/>
          <w:szCs w:val="20"/>
          <w:color w:val="auto"/>
        </w:rPr>
      </w:pPr>
    </w:p>
    <w:p>
      <w:pPr>
        <w:ind w:left="1560" w:hanging="506"/>
        <w:spacing w:after="0"/>
        <w:tabs>
          <w:tab w:leader="none" w:pos="1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waive or modify any criteria with respect to Performance Factors;</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 Performance Factors;</w:t>
      </w:r>
    </w:p>
    <w:p>
      <w:pPr>
        <w:spacing w:after="0" w:line="166" w:lineRule="exact"/>
        <w:rPr>
          <w:rFonts w:ascii="Times New Roman" w:cs="Times New Roman" w:eastAsia="Times New Roman" w:hAnsi="Times New Roman"/>
          <w:sz w:val="16"/>
          <w:szCs w:val="16"/>
          <w:color w:val="auto"/>
        </w:rPr>
      </w:pPr>
    </w:p>
    <w:p>
      <w:pPr>
        <w:jc w:val="both"/>
        <w:ind w:left="40" w:firstLine="1014"/>
        <w:spacing w:after="0" w:line="226" w:lineRule="auto"/>
        <w:tabs>
          <w:tab w:leader="none" w:pos="149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terms and conditions, rules and/or procedures (including the adoption of any subplan under this Plan) relating to the operation and administration of the Plan to accommodate requirements of local law and procedures outside of the United States or to qualify Awards for special tax treatment under laws of jurisdictions other than the United States;</w:t>
      </w:r>
    </w:p>
    <w:p>
      <w:pPr>
        <w:spacing w:after="0" w:line="148"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discretion with respect to Performance Awards;</w:t>
      </w:r>
    </w:p>
    <w:p>
      <w:pPr>
        <w:spacing w:after="0" w:line="212"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all other determinations necessary or advisable for the administration of</w:t>
      </w:r>
    </w:p>
    <w:p>
      <w:pPr>
        <w:ind w:left="40"/>
        <w:spacing w:after="0"/>
        <w:rPr>
          <w:sz w:val="20"/>
          <w:szCs w:val="20"/>
          <w:color w:val="auto"/>
        </w:rPr>
      </w:pPr>
      <w:r>
        <w:rPr>
          <w:rFonts w:ascii="Times New Roman" w:cs="Times New Roman" w:eastAsia="Times New Roman" w:hAnsi="Times New Roman"/>
          <w:sz w:val="16"/>
          <w:szCs w:val="16"/>
          <w:color w:val="auto"/>
        </w:rPr>
        <w:t>this Plan; and</w:t>
      </w:r>
    </w:p>
    <w:p>
      <w:pPr>
        <w:spacing w:after="0" w:line="212" w:lineRule="exact"/>
        <w:rPr>
          <w:sz w:val="20"/>
          <w:szCs w:val="20"/>
          <w:color w:val="auto"/>
        </w:rPr>
      </w:pPr>
    </w:p>
    <w:p>
      <w:pPr>
        <w:ind w:left="1480" w:hanging="426"/>
        <w:spacing w:after="0"/>
        <w:tabs>
          <w:tab w:leader="none" w:pos="14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delegate any of the foregoing to a subcommittee or to one or more executive officers pursuant to a specific delegation as permitted by applicable law.</w:t>
      </w:r>
    </w:p>
    <w:p>
      <w:pPr>
        <w:spacing w:after="0" w:line="164" w:lineRule="exact"/>
        <w:rPr>
          <w:sz w:val="20"/>
          <w:szCs w:val="20"/>
          <w:color w:val="auto"/>
        </w:rPr>
      </w:pPr>
    </w:p>
    <w:p>
      <w:pPr>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u w:val="single" w:color="auto"/>
          <w:color w:val="auto"/>
        </w:rPr>
        <w:t>Committee Interpretation and Discretion</w:t>
      </w:r>
      <w:r>
        <w:rPr>
          <w:rFonts w:ascii="Times New Roman" w:cs="Times New Roman" w:eastAsia="Times New Roman" w:hAnsi="Times New Roman"/>
          <w:sz w:val="14"/>
          <w:szCs w:val="14"/>
          <w:color w:val="auto"/>
        </w:rPr>
        <w:t>. Any determination made by the Committee with respect to any Award will be made in its sole discretion at the time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grant of the Award or, unless in contravention of any express term of the Plan or Award, at any later time, and such determination will be final and binding on the Company and</w:t>
      </w:r>
    </w:p>
    <w:p>
      <w:pPr>
        <w:ind w:left="40"/>
        <w:spacing w:after="0" w:line="229" w:lineRule="auto"/>
        <w:rPr>
          <w:sz w:val="20"/>
          <w:szCs w:val="20"/>
          <w:color w:val="auto"/>
        </w:rPr>
      </w:pPr>
      <w:r>
        <w:rPr>
          <w:rFonts w:ascii="Times New Roman" w:cs="Times New Roman" w:eastAsia="Times New Roman" w:hAnsi="Times New Roman"/>
          <w:sz w:val="14"/>
          <w:szCs w:val="14"/>
          <w:color w:val="auto"/>
        </w:rPr>
        <w:t>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 The Committee may</w:t>
      </w:r>
    </w:p>
    <w:p>
      <w:pPr>
        <w:ind w:left="40"/>
        <w:spacing w:after="0" w:line="224" w:lineRule="auto"/>
        <w:rPr>
          <w:sz w:val="20"/>
          <w:szCs w:val="20"/>
          <w:color w:val="auto"/>
        </w:rPr>
      </w:pPr>
      <w:r>
        <w:rPr>
          <w:rFonts w:ascii="Times New Roman" w:cs="Times New Roman" w:eastAsia="Times New Roman" w:hAnsi="Times New Roman"/>
          <w:sz w:val="16"/>
          <w:szCs w:val="16"/>
          <w:color w:val="auto"/>
        </w:rPr>
        <w:t>delegate to one or more executive officers the authority to review and resolve disputes with respect to Awards held by Participants who are not Insiders, and such resolution will be final and binding on the Company and the Participant.</w:t>
      </w:r>
    </w:p>
    <w:p>
      <w:pPr>
        <w:spacing w:after="0" w:line="199"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6"/>
          <w:szCs w:val="16"/>
          <w:u w:val="single" w:color="auto"/>
          <w:color w:val="auto"/>
        </w:rPr>
        <w:t>Section 16 of the Exchange Act</w:t>
      </w:r>
      <w:r>
        <w:rPr>
          <w:rFonts w:ascii="Times New Roman" w:cs="Times New Roman" w:eastAsia="Times New Roman" w:hAnsi="Times New Roman"/>
          <w:sz w:val="16"/>
          <w:szCs w:val="16"/>
          <w:color w:val="auto"/>
        </w:rPr>
        <w:t>. Awards granted to Participants who are subject to Section 16 of the Exchange Act must be approved by two or more “non-employee directors” (as defined in the regulations promulgated under Section 16 of the Exchange Act).</w:t>
      </w:r>
    </w:p>
    <w:p>
      <w:pPr>
        <w:spacing w:after="0" w:line="252"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u w:val="single" w:color="auto"/>
          <w:color w:val="auto"/>
        </w:rPr>
        <w:t>Documentation</w:t>
      </w:r>
      <w:r>
        <w:rPr>
          <w:rFonts w:ascii="Times New Roman" w:cs="Times New Roman" w:eastAsia="Times New Roman" w:hAnsi="Times New Roman"/>
          <w:sz w:val="16"/>
          <w:szCs w:val="16"/>
          <w:color w:val="auto"/>
        </w:rPr>
        <w:t>. The Award Agreement for a given Award, the Plan and any other documents may be delivered to, and accepted by, a Participant or any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person in any manner (including electronic distribution or posting) that meets applicable legal requirements.</w:t>
      </w:r>
    </w:p>
    <w:p>
      <w:pPr>
        <w:spacing w:after="0" w:line="146" w:lineRule="exact"/>
        <w:rPr>
          <w:sz w:val="20"/>
          <w:szCs w:val="20"/>
          <w:color w:val="auto"/>
        </w:rPr>
      </w:pPr>
    </w:p>
    <w:p>
      <w:pPr>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4.4. </w:t>
      </w:r>
      <w:r>
        <w:rPr>
          <w:rFonts w:ascii="Times New Roman" w:cs="Times New Roman" w:eastAsia="Times New Roman" w:hAnsi="Times New Roman"/>
          <w:sz w:val="14"/>
          <w:szCs w:val="14"/>
          <w:u w:val="single" w:color="auto"/>
          <w:color w:val="auto"/>
        </w:rPr>
        <w:t>Foreign Award Recipients</w:t>
      </w:r>
      <w:r>
        <w:rPr>
          <w:rFonts w:ascii="Times New Roman" w:cs="Times New Roman" w:eastAsia="Times New Roman" w:hAnsi="Times New Roman"/>
          <w:sz w:val="14"/>
          <w:szCs w:val="14"/>
          <w:color w:val="auto"/>
        </w:rPr>
        <w:t>. Notwithstanding any provision of the Plan to the contrary, in order to comply with the laws and practices in other countries in which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and its Subsidiaries or Affiliates operate or have Employees or other individuals eligible for Awards, the Committee, in its sole discretion, will have the power and</w:t>
      </w: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authority to: (a) determine which Subsidiaries and Affiliates will be covered by the Plan; (b) determine which individuals outside the United States are eligible to participate in the Plan; (c) modify the terms and conditions of any Award granted to individuals outside the United States or foreign nationals to comply with applicable foreign laws, policies,</w:t>
      </w:r>
    </w:p>
    <w:p>
      <w:pPr>
        <w:ind w:left="40"/>
        <w:spacing w:after="0" w:line="237" w:lineRule="auto"/>
        <w:rPr>
          <w:sz w:val="20"/>
          <w:szCs w:val="20"/>
          <w:color w:val="auto"/>
        </w:rPr>
      </w:pPr>
      <w:r>
        <w:rPr>
          <w:rFonts w:ascii="Times New Roman" w:cs="Times New Roman" w:eastAsia="Times New Roman" w:hAnsi="Times New Roman"/>
          <w:sz w:val="14"/>
          <w:szCs w:val="14"/>
          <w:color w:val="auto"/>
        </w:rPr>
        <w:t>customs and practices; (d) establish subplans and modify exercise procedures, vesting conditions, and other terms and procedures, to the extent the Committee determines such</w:t>
      </w:r>
    </w:p>
    <w:p>
      <w:pPr>
        <w:spacing w:after="0" w:line="1"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color w:val="auto"/>
        </w:rPr>
        <w:t>actions to be necessary or advisable (and such subplans and/or modifications will be attached to this Plan as appendices, if necessary); provided, however, that no such subplans and/or modifications will increase the share limitations contained in Section 2.1 hereof; and (e) take any action, before or after an Award is made, that the Committee determines</w:t>
      </w:r>
    </w:p>
    <w:p>
      <w:pPr>
        <w:ind w:left="40"/>
        <w:spacing w:after="0" w:line="217" w:lineRule="auto"/>
        <w:rPr>
          <w:sz w:val="20"/>
          <w:szCs w:val="20"/>
          <w:color w:val="auto"/>
        </w:rPr>
      </w:pPr>
      <w:r>
        <w:rPr>
          <w:rFonts w:ascii="Times New Roman" w:cs="Times New Roman" w:eastAsia="Times New Roman" w:hAnsi="Times New Roman"/>
          <w:sz w:val="16"/>
          <w:szCs w:val="16"/>
          <w:color w:val="auto"/>
        </w:rPr>
        <w:t>to be necessary or advisable to obtain approval or comply with any local governmental regulatory exemptions or approvals. Notwithstanding the foregoing, the Committee may not take any actions hereunder, and no Awards will be granted, that would violate the Exchange Act or any other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60"/>
          </w:cols>
          <w:pgMar w:left="340" w:top="1065" w:right="399"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6"/>
          <w:szCs w:val="16"/>
          <w:color w:val="auto"/>
        </w:rPr>
        <w:t>applicable United States securities law, the Code, or any other applicable United States governing statute or law.</w:t>
      </w:r>
    </w:p>
    <w:p>
      <w:pPr>
        <w:spacing w:after="0" w:line="175" w:lineRule="exact"/>
        <w:rPr>
          <w:sz w:val="20"/>
          <w:szCs w:val="20"/>
          <w:color w:val="auto"/>
        </w:rPr>
      </w:pPr>
    </w:p>
    <w:p>
      <w:pPr>
        <w:jc w:val="both"/>
        <w:ind w:left="40" w:hanging="4"/>
        <w:spacing w:after="0" w:line="218" w:lineRule="auto"/>
        <w:tabs>
          <w:tab w:leader="none" w:pos="475"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OPTIONS</w:t>
      </w:r>
      <w:r>
        <w:rPr>
          <w:rFonts w:ascii="Times New Roman" w:cs="Times New Roman" w:eastAsia="Times New Roman" w:hAnsi="Times New Roman"/>
          <w:sz w:val="16"/>
          <w:szCs w:val="16"/>
          <w:color w:val="auto"/>
        </w:rPr>
        <w:t>. An Option is the right but not the obligation to purchase a Share, subject to certain conditions, if applicable. The Committee may grant Options to eligible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Consultants and Directors and will determine whether such Options will be Incentive Stock Options within the meaning of the Code (“</w:t>
      </w:r>
      <w:r>
        <w:rPr>
          <w:rFonts w:ascii="Times New Roman" w:cs="Times New Roman" w:eastAsia="Times New Roman" w:hAnsi="Times New Roman"/>
          <w:sz w:val="16"/>
          <w:szCs w:val="16"/>
          <w:b w:val="1"/>
          <w:bCs w:val="1"/>
          <w:i w:val="1"/>
          <w:iCs w:val="1"/>
          <w:color w:val="auto"/>
        </w:rPr>
        <w:t>ISOs</w:t>
      </w:r>
      <w:r>
        <w:rPr>
          <w:rFonts w:ascii="Times New Roman" w:cs="Times New Roman" w:eastAsia="Times New Roman" w:hAnsi="Times New Roman"/>
          <w:sz w:val="16"/>
          <w:szCs w:val="16"/>
          <w:color w:val="auto"/>
        </w:rPr>
        <w:t>”) or Nonqualified Stock Options (“</w:t>
      </w:r>
      <w:r>
        <w:rPr>
          <w:rFonts w:ascii="Times New Roman" w:cs="Times New Roman" w:eastAsia="Times New Roman" w:hAnsi="Times New Roman"/>
          <w:sz w:val="16"/>
          <w:szCs w:val="16"/>
          <w:b w:val="1"/>
          <w:bCs w:val="1"/>
          <w:i w:val="1"/>
          <w:iCs w:val="1"/>
          <w:color w:val="auto"/>
        </w:rPr>
        <w:t>NSOs</w:t>
      </w:r>
      <w:r>
        <w:rPr>
          <w:rFonts w:ascii="Times New Roman" w:cs="Times New Roman" w:eastAsia="Times New Roman" w:hAnsi="Times New Roman"/>
          <w:sz w:val="16"/>
          <w:szCs w:val="16"/>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48"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5.1. </w:t>
      </w:r>
      <w:r>
        <w:rPr>
          <w:rFonts w:ascii="Times New Roman" w:cs="Times New Roman" w:eastAsia="Times New Roman" w:hAnsi="Times New Roman"/>
          <w:sz w:val="14"/>
          <w:szCs w:val="14"/>
          <w:u w:val="single" w:color="auto"/>
          <w:color w:val="auto"/>
        </w:rPr>
        <w:t>Option Grant</w:t>
      </w:r>
      <w:r>
        <w:rPr>
          <w:rFonts w:ascii="Times New Roman" w:cs="Times New Roman" w:eastAsia="Times New Roman" w:hAnsi="Times New Roman"/>
          <w:sz w:val="14"/>
          <w:szCs w:val="14"/>
          <w:color w:val="auto"/>
        </w:rPr>
        <w:t>. Each Option granted under this Plan will identify the Option as an ISO or an NSO. An Option may be, but need not be, awarded upon satisfaction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Performance Factors during any Performance Period as are set out in advance in the Participant’s individual Award Agreement. If the Option is being earned upon the</w:t>
      </w:r>
    </w:p>
    <w:p>
      <w:pPr>
        <w:ind w:left="40"/>
        <w:spacing w:after="0" w:line="237" w:lineRule="auto"/>
        <w:rPr>
          <w:sz w:val="20"/>
          <w:szCs w:val="20"/>
          <w:color w:val="auto"/>
        </w:rPr>
      </w:pPr>
      <w:r>
        <w:rPr>
          <w:rFonts w:ascii="Times New Roman" w:cs="Times New Roman" w:eastAsia="Times New Roman" w:hAnsi="Times New Roman"/>
          <w:sz w:val="14"/>
          <w:szCs w:val="14"/>
          <w:color w:val="auto"/>
        </w:rPr>
        <w:t>satisfaction of Performance Factors, then the Committee will: (a) determine the nature, length and starting date of any Performance Period for each Option; and (b) select from</w:t>
      </w:r>
    </w:p>
    <w:p>
      <w:pPr>
        <w:spacing w:after="0" w:line="1" w:lineRule="exact"/>
        <w:rPr>
          <w:sz w:val="20"/>
          <w:szCs w:val="20"/>
          <w:color w:val="auto"/>
        </w:rPr>
      </w:pPr>
    </w:p>
    <w:p>
      <w:pPr>
        <w:ind w:left="40"/>
        <w:spacing w:after="0" w:line="217" w:lineRule="auto"/>
        <w:rPr>
          <w:sz w:val="20"/>
          <w:szCs w:val="20"/>
          <w:color w:val="auto"/>
        </w:rPr>
      </w:pPr>
      <w:r>
        <w:rPr>
          <w:rFonts w:ascii="Times New Roman" w:cs="Times New Roman" w:eastAsia="Times New Roman" w:hAnsi="Times New Roman"/>
          <w:sz w:val="16"/>
          <w:szCs w:val="16"/>
          <w:color w:val="auto"/>
        </w:rPr>
        <w:t>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41"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5.2.</w:t>
      </w:r>
      <w:r>
        <w:rPr>
          <w:sz w:val="20"/>
          <w:szCs w:val="20"/>
          <w:color w:val="auto"/>
        </w:rPr>
        <w:tab/>
      </w:r>
      <w:r>
        <w:rPr>
          <w:rFonts w:ascii="Times New Roman" w:cs="Times New Roman" w:eastAsia="Times New Roman" w:hAnsi="Times New Roman"/>
          <w:sz w:val="14"/>
          <w:szCs w:val="14"/>
          <w:u w:val="single" w:color="auto"/>
          <w:color w:val="auto"/>
        </w:rPr>
        <w:t>Date of Grant</w:t>
      </w:r>
      <w:r>
        <w:rPr>
          <w:rFonts w:ascii="Times New Roman" w:cs="Times New Roman" w:eastAsia="Times New Roman" w:hAnsi="Times New Roman"/>
          <w:sz w:val="14"/>
          <w:szCs w:val="14"/>
          <w:color w:val="auto"/>
        </w:rPr>
        <w:t>. The date of grant of an Option will be the date on which the Committee makes the determination to grant such Option, or a specified future date.</w:t>
      </w:r>
    </w:p>
    <w:p>
      <w:pPr>
        <w:ind w:left="40"/>
        <w:spacing w:after="0"/>
        <w:rPr>
          <w:sz w:val="20"/>
          <w:szCs w:val="20"/>
          <w:color w:val="auto"/>
        </w:rPr>
      </w:pPr>
      <w:r>
        <w:rPr>
          <w:rFonts w:ascii="Times New Roman" w:cs="Times New Roman" w:eastAsia="Times New Roman" w:hAnsi="Times New Roman"/>
          <w:sz w:val="16"/>
          <w:szCs w:val="16"/>
          <w:color w:val="auto"/>
        </w:rPr>
        <w:t>The Award Agreement will be delivered to the Participant within a reasonable time after the granting of the Option.</w:t>
      </w:r>
    </w:p>
    <w:p>
      <w:pPr>
        <w:spacing w:after="0" w:line="157" w:lineRule="exact"/>
        <w:rPr>
          <w:sz w:val="20"/>
          <w:szCs w:val="20"/>
          <w:color w:val="auto"/>
        </w:rPr>
      </w:pPr>
    </w:p>
    <w:p>
      <w:pPr>
        <w:ind w:left="40" w:firstLine="509"/>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5.3. </w:t>
      </w:r>
      <w:r>
        <w:rPr>
          <w:rFonts w:ascii="Times New Roman" w:cs="Times New Roman" w:eastAsia="Times New Roman" w:hAnsi="Times New Roman"/>
          <w:sz w:val="16"/>
          <w:szCs w:val="16"/>
          <w:u w:val="single" w:color="auto"/>
          <w:color w:val="auto"/>
        </w:rPr>
        <w:t>Exercise Period</w:t>
      </w:r>
      <w:r>
        <w:rPr>
          <w:rFonts w:ascii="Times New Roman" w:cs="Times New Roman" w:eastAsia="Times New Roman" w:hAnsi="Times New Roman"/>
          <w:sz w:val="16"/>
          <w:szCs w:val="16"/>
          <w:color w:val="auto"/>
        </w:rPr>
        <w:t>. Options may be vested and exercisable within the times or upon the conditions as set forth in the Award Agreement governing such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 Option will be exercisable after the expiration of ten (10) years from the date the Option is granted;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no ISO granted to a</w:t>
      </w:r>
    </w:p>
    <w:p>
      <w:pPr>
        <w:ind w:left="40"/>
        <w:spacing w:after="0"/>
        <w:rPr>
          <w:sz w:val="20"/>
          <w:szCs w:val="20"/>
          <w:color w:val="auto"/>
        </w:rPr>
      </w:pPr>
      <w:r>
        <w:rPr>
          <w:rFonts w:ascii="Times New Roman" w:cs="Times New Roman" w:eastAsia="Times New Roman" w:hAnsi="Times New Roman"/>
          <w:sz w:val="14"/>
          <w:szCs w:val="14"/>
          <w:color w:val="auto"/>
        </w:rPr>
        <w:t>person who, at the time the ISO is granted, directly or by attribution owns more than ten percent (10%) of the total combined voting power of all classes of stock of the Company</w:t>
      </w:r>
    </w:p>
    <w:p>
      <w:pPr>
        <w:ind w:left="40"/>
        <w:spacing w:after="0" w:line="229" w:lineRule="auto"/>
        <w:rPr>
          <w:sz w:val="20"/>
          <w:szCs w:val="20"/>
          <w:color w:val="auto"/>
        </w:rPr>
      </w:pPr>
      <w:r>
        <w:rPr>
          <w:rFonts w:ascii="Times New Roman" w:cs="Times New Roman" w:eastAsia="Times New Roman" w:hAnsi="Times New Roman"/>
          <w:sz w:val="14"/>
          <w:szCs w:val="14"/>
          <w:color w:val="auto"/>
        </w:rPr>
        <w:t>or of any Parent or Subsidiary (“</w:t>
      </w:r>
      <w:r>
        <w:rPr>
          <w:rFonts w:ascii="Times New Roman" w:cs="Times New Roman" w:eastAsia="Times New Roman" w:hAnsi="Times New Roman"/>
          <w:sz w:val="14"/>
          <w:szCs w:val="14"/>
          <w:b w:val="1"/>
          <w:bCs w:val="1"/>
          <w:i w:val="1"/>
          <w:iCs w:val="1"/>
          <w:color w:val="auto"/>
        </w:rPr>
        <w:t>Ten Percent Stockholder</w:t>
      </w:r>
      <w:r>
        <w:rPr>
          <w:rFonts w:ascii="Times New Roman" w:cs="Times New Roman" w:eastAsia="Times New Roman" w:hAnsi="Times New Roman"/>
          <w:sz w:val="14"/>
          <w:szCs w:val="14"/>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w:t>
      </w:r>
    </w:p>
    <w:p>
      <w:pPr>
        <w:ind w:left="40"/>
        <w:spacing w:after="0"/>
        <w:rPr>
          <w:sz w:val="20"/>
          <w:szCs w:val="20"/>
          <w:color w:val="auto"/>
        </w:rPr>
      </w:pPr>
      <w:r>
        <w:rPr>
          <w:rFonts w:ascii="Times New Roman" w:cs="Times New Roman" w:eastAsia="Times New Roman" w:hAnsi="Times New Roman"/>
          <w:sz w:val="16"/>
          <w:szCs w:val="16"/>
          <w:color w:val="auto"/>
        </w:rPr>
        <w:t>determines.</w:t>
      </w:r>
    </w:p>
    <w:p>
      <w:pPr>
        <w:spacing w:after="0" w:line="1"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5.4.</w:t>
      </w:r>
      <w:r>
        <w:rPr>
          <w:sz w:val="20"/>
          <w:szCs w:val="20"/>
          <w:color w:val="auto"/>
        </w:rPr>
        <w:tab/>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The Exercise Price of an Option will be determined by the Committee when the Option is granted; provided that: (a) the Exercise Price of an</w:t>
      </w:r>
    </w:p>
    <w:p>
      <w:pPr>
        <w:ind w:left="40"/>
        <w:spacing w:after="0" w:line="229" w:lineRule="auto"/>
        <w:rPr>
          <w:sz w:val="20"/>
          <w:szCs w:val="20"/>
          <w:color w:val="auto"/>
        </w:rPr>
      </w:pPr>
      <w:r>
        <w:rPr>
          <w:rFonts w:ascii="Times New Roman" w:cs="Times New Roman" w:eastAsia="Times New Roman" w:hAnsi="Times New Roman"/>
          <w:sz w:val="14"/>
          <w:szCs w:val="14"/>
          <w:color w:val="auto"/>
        </w:rPr>
        <w:t>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w:t>
      </w:r>
    </w:p>
    <w:p>
      <w:pPr>
        <w:ind w:left="40"/>
        <w:spacing w:after="0"/>
        <w:rPr>
          <w:sz w:val="20"/>
          <w:szCs w:val="20"/>
          <w:color w:val="auto"/>
        </w:rPr>
      </w:pPr>
      <w:r>
        <w:rPr>
          <w:rFonts w:ascii="Times New Roman" w:cs="Times New Roman" w:eastAsia="Times New Roman" w:hAnsi="Times New Roman"/>
          <w:sz w:val="16"/>
          <w:szCs w:val="16"/>
          <w:color w:val="auto"/>
        </w:rPr>
        <w:t>accordance with Section 11 and the Award Agreement and in accordance with any procedures established by the Company.</w:t>
      </w:r>
    </w:p>
    <w:p>
      <w:pPr>
        <w:spacing w:after="0" w:line="146" w:lineRule="exact"/>
        <w:rPr>
          <w:sz w:val="20"/>
          <w:szCs w:val="20"/>
          <w:color w:val="auto"/>
        </w:rPr>
      </w:pPr>
    </w:p>
    <w:p>
      <w:pPr>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5.5. </w:t>
      </w: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Any Option granted hereunder will be vested and exercisable according to the terms of the Plan and at such times and under such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determined by the Committee and set forth in the Award Agreement. An Option may not be exercised for a fraction of a Share. An Option will be deemed exercised when the</w:t>
      </w:r>
    </w:p>
    <w:p>
      <w:pPr>
        <w:ind w:left="40"/>
        <w:spacing w:after="0" w:line="229" w:lineRule="auto"/>
        <w:rPr>
          <w:sz w:val="20"/>
          <w:szCs w:val="20"/>
          <w:color w:val="auto"/>
        </w:rPr>
      </w:pPr>
      <w:r>
        <w:rPr>
          <w:rFonts w:ascii="Times New Roman" w:cs="Times New Roman" w:eastAsia="Times New Roman" w:hAnsi="Times New Roman"/>
          <w:sz w:val="14"/>
          <w:szCs w:val="14"/>
          <w:color w:val="auto"/>
        </w:rPr>
        <w:t>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w:t>
      </w:r>
    </w:p>
    <w:p>
      <w:pPr>
        <w:ind w:left="40"/>
        <w:spacing w:after="0" w:line="237" w:lineRule="auto"/>
        <w:rPr>
          <w:sz w:val="20"/>
          <w:szCs w:val="20"/>
          <w:color w:val="auto"/>
        </w:rPr>
      </w:pPr>
      <w:r>
        <w:rPr>
          <w:rFonts w:ascii="Times New Roman" w:cs="Times New Roman" w:eastAsia="Times New Roman" w:hAnsi="Times New Roman"/>
          <w:sz w:val="14"/>
          <w:szCs w:val="14"/>
          <w:color w:val="auto"/>
        </w:rPr>
        <w:t>withholding taxes). Full payment may consist of any consideration and method of payment authorized by the Committee and permitted by the Award Agreement and the Plan.</w:t>
      </w:r>
    </w:p>
    <w:p>
      <w:pPr>
        <w:spacing w:after="0" w:line="1" w:lineRule="exact"/>
        <w:rPr>
          <w:sz w:val="20"/>
          <w:szCs w:val="20"/>
          <w:color w:val="auto"/>
        </w:rPr>
      </w:pP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w:t>
      </w:r>
    </w:p>
    <w:p>
      <w:pPr>
        <w:ind w:left="40"/>
        <w:spacing w:after="0" w:line="237" w:lineRule="auto"/>
        <w:rPr>
          <w:sz w:val="20"/>
          <w:szCs w:val="20"/>
          <w:color w:val="auto"/>
        </w:rPr>
      </w:pPr>
      <w:r>
        <w:rPr>
          <w:rFonts w:ascii="Times New Roman" w:cs="Times New Roman" w:eastAsia="Times New Roman" w:hAnsi="Times New Roman"/>
          <w:sz w:val="14"/>
          <w:szCs w:val="14"/>
          <w:color w:val="auto"/>
        </w:rPr>
        <w:t>notwithstanding the exercise of the Option. The Company will issue (or cause to be issued) such Shares promptly after the Option is exercised. No adjustment will be made for a</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14"/>
          <w:szCs w:val="14"/>
          <w:color w:val="auto"/>
        </w:rPr>
        <w:t>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160"/>
          </w:cols>
          <w:pgMar w:left="340" w:top="1065" w:right="399" w:bottom="1440" w:gutter="0" w:footer="0" w:header="0"/>
        </w:sectPr>
      </w:pPr>
    </w:p>
    <w:bookmarkStart w:id="118" w:name="page119"/>
    <w:bookmarkEnd w:id="118"/>
    <w:p>
      <w:pPr>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5.6. </w:t>
      </w:r>
      <w:r>
        <w:rPr>
          <w:rFonts w:ascii="Times New Roman" w:cs="Times New Roman" w:eastAsia="Times New Roman" w:hAnsi="Times New Roman"/>
          <w:sz w:val="14"/>
          <w:szCs w:val="14"/>
          <w:u w:val="single" w:color="auto"/>
          <w:color w:val="auto"/>
        </w:rPr>
        <w:t>Termination of Service</w:t>
      </w:r>
      <w:r>
        <w:rPr>
          <w:rFonts w:ascii="Times New Roman" w:cs="Times New Roman" w:eastAsia="Times New Roman" w:hAnsi="Times New Roman"/>
          <w:sz w:val="14"/>
          <w:szCs w:val="14"/>
          <w:color w:val="auto"/>
        </w:rPr>
        <w:t>. If the Participant’s Service terminates for any reason except for Cause or the Participant’s death or Disability, then the Participant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exercise such Participant’s Options only to the extent that such Options would have been exercisable by the Participant on the date Participant’s Service terminates no later than</w:t>
      </w:r>
    </w:p>
    <w:p>
      <w:pPr>
        <w:ind w:left="40"/>
        <w:spacing w:after="0" w:line="217" w:lineRule="auto"/>
        <w:rPr>
          <w:sz w:val="20"/>
          <w:szCs w:val="20"/>
          <w:color w:val="auto"/>
        </w:rPr>
      </w:pPr>
      <w:r>
        <w:rPr>
          <w:rFonts w:ascii="Times New Roman" w:cs="Times New Roman" w:eastAsia="Times New Roman" w:hAnsi="Times New Roman"/>
          <w:sz w:val="16"/>
          <w:szCs w:val="16"/>
          <w:color w:val="auto"/>
        </w:rPr>
        <w:t>three (3) months after the date Participant’s Service terminates (or such shorter or longer time period as may be determined by the Committee, with any exercise beyond three (3) months after the date Participant’s employment terminates deemed to be the exercise of an NSO), but in any event no later than the expiration date of the Options.</w:t>
      </w:r>
    </w:p>
    <w:p>
      <w:pPr>
        <w:spacing w:after="0" w:line="148" w:lineRule="exact"/>
        <w:rPr>
          <w:sz w:val="20"/>
          <w:szCs w:val="20"/>
          <w:color w:val="auto"/>
        </w:rPr>
      </w:pPr>
    </w:p>
    <w:p>
      <w:pPr>
        <w:jc w:val="both"/>
        <w:ind w:left="40" w:firstLine="1014"/>
        <w:spacing w:after="0" w:line="216" w:lineRule="auto"/>
        <w:tabs>
          <w:tab w:leader="none" w:pos="153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158" w:lineRule="exact"/>
        <w:rPr>
          <w:rFonts w:ascii="Times New Roman" w:cs="Times New Roman" w:eastAsia="Times New Roman" w:hAnsi="Times New Roman"/>
          <w:sz w:val="16"/>
          <w:szCs w:val="16"/>
          <w:color w:val="auto"/>
        </w:rPr>
      </w:pPr>
    </w:p>
    <w:p>
      <w:pPr>
        <w:jc w:val="both"/>
        <w:ind w:left="40" w:firstLine="1014"/>
        <w:spacing w:after="0" w:line="209" w:lineRule="auto"/>
        <w:tabs>
          <w:tab w:leader="none" w:pos="149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62" w:lineRule="exact"/>
        <w:rPr>
          <w:rFonts w:ascii="Times New Roman" w:cs="Times New Roman" w:eastAsia="Times New Roman" w:hAnsi="Times New Roman"/>
          <w:sz w:val="16"/>
          <w:szCs w:val="16"/>
          <w:color w:val="auto"/>
        </w:rPr>
      </w:pPr>
    </w:p>
    <w:p>
      <w:pPr>
        <w:jc w:val="both"/>
        <w:ind w:left="40" w:firstLine="1014"/>
        <w:spacing w:after="0" w:line="244" w:lineRule="auto"/>
        <w:tabs>
          <w:tab w:leader="none" w:pos="149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-1888490</wp:posOffset>
            </wp:positionV>
            <wp:extent cx="2667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136" w:lineRule="exact"/>
        <w:rPr>
          <w:sz w:val="20"/>
          <w:szCs w:val="20"/>
          <w:color w:val="auto"/>
        </w:rPr>
      </w:pPr>
    </w:p>
    <w:p>
      <w:pPr>
        <w:jc w:val="both"/>
        <w:ind w:left="40" w:firstLine="509"/>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5.7. </w:t>
      </w:r>
      <w:r>
        <w:rPr>
          <w:rFonts w:ascii="Times New Roman" w:cs="Times New Roman" w:eastAsia="Times New Roman" w:hAnsi="Times New Roman"/>
          <w:sz w:val="16"/>
          <w:szCs w:val="16"/>
          <w:u w:val="single" w:color="auto"/>
          <w:color w:val="auto"/>
        </w:rPr>
        <w:t>Limitations on Exercise</w:t>
      </w:r>
      <w:r>
        <w:rPr>
          <w:rFonts w:ascii="Times New Roman" w:cs="Times New Roman" w:eastAsia="Times New Roman" w:hAnsi="Times New Roman"/>
          <w:sz w:val="16"/>
          <w:szCs w:val="16"/>
          <w:color w:val="auto"/>
        </w:rPr>
        <w:t>. The Committee may specify a minimum number of Shares that may be purchased on any exercise of an Option, provided that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minimum number will not prevent any Participant from exercising the Option for the full number of Shares for which it is then exercisable.</w:t>
      </w:r>
    </w:p>
    <w:p>
      <w:pPr>
        <w:spacing w:after="0" w:line="157" w:lineRule="exact"/>
        <w:rPr>
          <w:sz w:val="20"/>
          <w:szCs w:val="20"/>
          <w:color w:val="auto"/>
        </w:rPr>
      </w:pPr>
    </w:p>
    <w:p>
      <w:pPr>
        <w:jc w:val="both"/>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5.8. </w:t>
      </w:r>
      <w:r>
        <w:rPr>
          <w:rFonts w:ascii="Times New Roman" w:cs="Times New Roman" w:eastAsia="Times New Roman" w:hAnsi="Times New Roman"/>
          <w:sz w:val="14"/>
          <w:szCs w:val="14"/>
          <w:u w:val="single" w:color="auto"/>
          <w:color w:val="auto"/>
        </w:rPr>
        <w:t>Limitations on ISOs</w:t>
      </w:r>
      <w:r>
        <w:rPr>
          <w:rFonts w:ascii="Times New Roman" w:cs="Times New Roman" w:eastAsia="Times New Roman" w:hAnsi="Times New Roman"/>
          <w:sz w:val="14"/>
          <w:szCs w:val="14"/>
          <w:color w:val="auto"/>
        </w:rPr>
        <w:t>. With respect to Awards granted as ISOs, to the extent that the aggregate Fair Market Value of the Shares with respect to which such ISOs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exercisable for the first time by the Participant during any calendar year (under all plans of the Company and any Parent or Subsidiary) exceeds one hundred thousand dollars</w:t>
      </w:r>
    </w:p>
    <w:p>
      <w:pPr>
        <w:ind w:left="40"/>
        <w:spacing w:after="0" w:line="208" w:lineRule="auto"/>
        <w:rPr>
          <w:sz w:val="20"/>
          <w:szCs w:val="20"/>
          <w:color w:val="auto"/>
        </w:rPr>
      </w:pPr>
      <w:r>
        <w:rPr>
          <w:rFonts w:ascii="Times New Roman" w:cs="Times New Roman" w:eastAsia="Times New Roman" w:hAnsi="Times New Roman"/>
          <w:sz w:val="16"/>
          <w:szCs w:val="16"/>
          <w:color w:val="auto"/>
        </w:rPr>
        <w:t>($100,000), such Options will be treated as NSOs. For purposes of this Section 5.8, ISOs will be taken into account in the order in which they were granted. The Fair Market</w:t>
      </w: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w:t>
      </w:r>
    </w:p>
    <w:p>
      <w:pPr>
        <w:ind w:left="40"/>
        <w:spacing w:after="0"/>
        <w:rPr>
          <w:sz w:val="20"/>
          <w:szCs w:val="20"/>
          <w:color w:val="auto"/>
        </w:rPr>
      </w:pPr>
      <w:r>
        <w:rPr>
          <w:rFonts w:ascii="Times New Roman" w:cs="Times New Roman" w:eastAsia="Times New Roman" w:hAnsi="Times New Roman"/>
          <w:sz w:val="16"/>
          <w:szCs w:val="16"/>
          <w:color w:val="auto"/>
        </w:rPr>
        <w:t>incorporated herein and will apply to any Options granted after the effective date of such amendment.</w:t>
      </w:r>
    </w:p>
    <w:p>
      <w:pPr>
        <w:spacing w:after="0" w:line="146" w:lineRule="exact"/>
        <w:rPr>
          <w:sz w:val="20"/>
          <w:szCs w:val="20"/>
          <w:color w:val="auto"/>
        </w:rPr>
      </w:pPr>
    </w:p>
    <w:p>
      <w:pPr>
        <w:jc w:val="both"/>
        <w:ind w:left="40" w:firstLine="509"/>
        <w:spacing w:after="0" w:line="227" w:lineRule="auto"/>
        <w:rPr>
          <w:sz w:val="20"/>
          <w:szCs w:val="20"/>
          <w:color w:val="auto"/>
        </w:rPr>
      </w:pPr>
      <w:r>
        <w:rPr>
          <w:rFonts w:ascii="Times New Roman" w:cs="Times New Roman" w:eastAsia="Times New Roman" w:hAnsi="Times New Roman"/>
          <w:sz w:val="16"/>
          <w:szCs w:val="16"/>
          <w:b w:val="1"/>
          <w:bCs w:val="1"/>
          <w:color w:val="auto"/>
        </w:rPr>
        <w:t xml:space="preserve">5.9. </w:t>
      </w:r>
      <w:r>
        <w:rPr>
          <w:rFonts w:ascii="Times New Roman" w:cs="Times New Roman" w:eastAsia="Times New Roman" w:hAnsi="Times New Roman"/>
          <w:sz w:val="16"/>
          <w:szCs w:val="16"/>
          <w:u w:val="single" w:color="auto"/>
          <w:color w:val="auto"/>
        </w:rPr>
        <w:t>Modification, Extension or Renewal</w:t>
      </w:r>
      <w:r>
        <w:rPr>
          <w:rFonts w:ascii="Times New Roman" w:cs="Times New Roman" w:eastAsia="Times New Roman" w:hAnsi="Times New Roman"/>
          <w:sz w:val="16"/>
          <w:szCs w:val="16"/>
          <w:color w:val="auto"/>
        </w:rPr>
        <w:t>. The Committee may modify, extend or renew outstanding Options and authorize the grant of new Options in substitution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18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160"/>
          </w:cols>
          <w:pgMar w:left="340" w:top="1063" w:right="399" w:bottom="1440" w:gutter="0" w:footer="0" w:header="0"/>
        </w:sectPr>
      </w:pPr>
    </w:p>
    <w:bookmarkStart w:id="119" w:name="page120"/>
    <w:bookmarkEnd w:id="119"/>
    <w:p>
      <w:pPr>
        <w:jc w:val="both"/>
        <w:ind w:left="40"/>
        <w:spacing w:after="0" w:line="235" w:lineRule="auto"/>
        <w:rPr>
          <w:sz w:val="20"/>
          <w:szCs w:val="20"/>
          <w:color w:val="auto"/>
        </w:rPr>
      </w:pPr>
      <w:r>
        <w:rPr>
          <w:rFonts w:ascii="Times New Roman" w:cs="Times New Roman" w:eastAsia="Times New Roman" w:hAnsi="Times New Roman"/>
          <w:sz w:val="16"/>
          <w:szCs w:val="16"/>
          <w:color w:val="auto"/>
        </w:rPr>
        <w:t xml:space="preserve">this Plan, by written notice to affected Participants, the Committee may reduce the Exercise Price of outstanding Options without the consent of such Participants;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Exercise Price may not be reduced below the Fair Market Value on the date the action is taken to reduce the Exercise Price.</w:t>
      </w:r>
    </w:p>
    <w:p>
      <w:pPr>
        <w:spacing w:after="0" w:line="147" w:lineRule="exact"/>
        <w:rPr>
          <w:sz w:val="20"/>
          <w:szCs w:val="20"/>
          <w:color w:val="auto"/>
        </w:rPr>
      </w:pPr>
    </w:p>
    <w:p>
      <w:pPr>
        <w:jc w:val="both"/>
        <w:ind w:left="40" w:firstLine="509"/>
        <w:spacing w:after="0" w:line="227" w:lineRule="auto"/>
        <w:rPr>
          <w:sz w:val="20"/>
          <w:szCs w:val="20"/>
          <w:color w:val="auto"/>
        </w:rPr>
      </w:pPr>
      <w:r>
        <w:rPr>
          <w:rFonts w:ascii="Times New Roman" w:cs="Times New Roman" w:eastAsia="Times New Roman" w:hAnsi="Times New Roman"/>
          <w:sz w:val="16"/>
          <w:szCs w:val="16"/>
          <w:b w:val="1"/>
          <w:bCs w:val="1"/>
          <w:color w:val="auto"/>
        </w:rPr>
        <w:t xml:space="preserve">5.10. </w:t>
      </w:r>
      <w:r>
        <w:rPr>
          <w:rFonts w:ascii="Times New Roman" w:cs="Times New Roman" w:eastAsia="Times New Roman" w:hAnsi="Times New Roman"/>
          <w:sz w:val="16"/>
          <w:szCs w:val="16"/>
          <w:u w:val="single" w:color="auto"/>
          <w:color w:val="auto"/>
        </w:rPr>
        <w:t>No Disqualification</w:t>
      </w:r>
      <w:r>
        <w:rPr>
          <w:rFonts w:ascii="Times New Roman" w:cs="Times New Roman" w:eastAsia="Times New Roman" w:hAnsi="Times New Roman"/>
          <w:sz w:val="16"/>
          <w:szCs w:val="16"/>
          <w:color w:val="auto"/>
        </w:rPr>
        <w:t>. Notwithstanding any other provision in this Plan, no term of this Plan relating to ISOs will be interpreted, amended or altered, nor will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discretion or authority granted under this Plan be exercised, so as to disqualify this Plan under Section 422 of the Code or, without the consent of the Participant affected, to disqualify any ISO under Section 422 of the Code.</w:t>
      </w:r>
    </w:p>
    <w:p>
      <w:pPr>
        <w:spacing w:after="0" w:line="146" w:lineRule="exact"/>
        <w:rPr>
          <w:sz w:val="20"/>
          <w:szCs w:val="20"/>
          <w:color w:val="auto"/>
        </w:rPr>
      </w:pPr>
    </w:p>
    <w:p>
      <w:pPr>
        <w:jc w:val="both"/>
        <w:ind w:left="40" w:hanging="4"/>
        <w:spacing w:after="0" w:line="222" w:lineRule="auto"/>
        <w:tabs>
          <w:tab w:leader="none" w:pos="475"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RESTRICTED STOCK AWARDS</w:t>
      </w:r>
      <w:r>
        <w:rPr>
          <w:rFonts w:ascii="Times New Roman" w:cs="Times New Roman" w:eastAsia="Times New Roman" w:hAnsi="Times New Roman"/>
          <w:sz w:val="16"/>
          <w:szCs w:val="16"/>
          <w:color w:val="auto"/>
        </w:rPr>
        <w:t>. A Restricted Stock Award is an offer by the Company to sell to an eligible Employee, Consultant, or Director Shares that are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restrictions (“</w:t>
      </w:r>
      <w:r>
        <w:rPr>
          <w:rFonts w:ascii="Times New Roman" w:cs="Times New Roman" w:eastAsia="Times New Roman" w:hAnsi="Times New Roman"/>
          <w:sz w:val="16"/>
          <w:szCs w:val="16"/>
          <w:b w:val="1"/>
          <w:bCs w:val="1"/>
          <w:i w:val="1"/>
          <w:iCs w:val="1"/>
          <w:color w:val="auto"/>
        </w:rPr>
        <w:t>Restricted Stock</w:t>
      </w:r>
      <w:r>
        <w:rPr>
          <w:rFonts w:ascii="Times New Roman" w:cs="Times New Roman" w:eastAsia="Times New Roman" w:hAnsi="Times New Roman"/>
          <w:sz w:val="16"/>
          <w:szCs w:val="16"/>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47" w:lineRule="exact"/>
        <w:rPr>
          <w:rFonts w:ascii="Times New Roman" w:cs="Times New Roman" w:eastAsia="Times New Roman" w:hAnsi="Times New Roman"/>
          <w:sz w:val="16"/>
          <w:szCs w:val="16"/>
          <w:b w:val="1"/>
          <w:bCs w:val="1"/>
          <w:color w:val="auto"/>
        </w:rPr>
      </w:pPr>
    </w:p>
    <w:p>
      <w:pPr>
        <w:jc w:val="both"/>
        <w:ind w:left="40" w:hanging="4"/>
        <w:spacing w:after="0" w:line="218" w:lineRule="auto"/>
        <w:tabs>
          <w:tab w:leader="none" w:pos="475"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RESTRICTED STOCK PURCHASE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purchases under a Restricted Stock Award will be evidenced by an Award Agreement. Except as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42"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7.1.</w:t>
      </w:r>
      <w:r>
        <w:rPr>
          <w:sz w:val="20"/>
          <w:szCs w:val="20"/>
          <w:color w:val="auto"/>
        </w:rPr>
        <w:tab/>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The Purchase Price for a Restricted Stock Award will be determined by the Committee and may be less than Fair Market Value on the date the</w:t>
      </w:r>
    </w:p>
    <w:p>
      <w:pPr>
        <w:ind w:left="40"/>
        <w:spacing w:after="0" w:line="217" w:lineRule="auto"/>
        <w:rPr>
          <w:sz w:val="20"/>
          <w:szCs w:val="20"/>
          <w:color w:val="auto"/>
        </w:rPr>
      </w:pPr>
      <w:r>
        <w:rPr>
          <w:rFonts w:ascii="Times New Roman" w:cs="Times New Roman" w:eastAsia="Times New Roman" w:hAnsi="Times New Roman"/>
          <w:sz w:val="16"/>
          <w:szCs w:val="16"/>
          <w:color w:val="auto"/>
        </w:rPr>
        <w:t>Restricted Stock Award is granted. Payment of the Purchase Price must be made in accordance with Section 11 of the Plan, and the Award Agreement and in accordance with any procedures established by the Company.</w:t>
      </w:r>
    </w:p>
    <w:p>
      <w:pPr>
        <w:spacing w:after="0" w:line="157"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7.2. </w:t>
      </w:r>
      <w:r>
        <w:rPr>
          <w:rFonts w:ascii="Times New Roman" w:cs="Times New Roman" w:eastAsia="Times New Roman" w:hAnsi="Times New Roman"/>
          <w:sz w:val="14"/>
          <w:szCs w:val="14"/>
          <w:u w:val="single" w:color="auto"/>
          <w:color w:val="auto"/>
        </w:rPr>
        <w:t>Terms of Restricted Stock Awards</w:t>
      </w:r>
      <w:r>
        <w:rPr>
          <w:rFonts w:ascii="Times New Roman" w:cs="Times New Roman" w:eastAsia="Times New Roman" w:hAnsi="Times New Roman"/>
          <w:sz w:val="14"/>
          <w:szCs w:val="14"/>
          <w:color w:val="auto"/>
        </w:rPr>
        <w:t>. Restricted Stock Awards will be subject to such restrictions as the Committee may impose or are required by law.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restrictions may be based on completion of a specified number of years of service with the Company or upon completion of Performance Factors, if any, during any Performance</w:t>
      </w:r>
    </w:p>
    <w:p>
      <w:pPr>
        <w:ind w:left="40"/>
        <w:spacing w:after="0" w:line="208" w:lineRule="auto"/>
        <w:rPr>
          <w:sz w:val="20"/>
          <w:szCs w:val="20"/>
          <w:color w:val="auto"/>
        </w:rPr>
      </w:pPr>
      <w:r>
        <w:rPr>
          <w:rFonts w:ascii="Times New Roman" w:cs="Times New Roman" w:eastAsia="Times New Roman" w:hAnsi="Times New Roman"/>
          <w:sz w:val="16"/>
          <w:szCs w:val="16"/>
          <w:color w:val="auto"/>
        </w:rPr>
        <w:t>Period as set out in advance in the Participant’s Award Agreement. Prior to the grant of a Restricted Stock Award, the Committee shall: (a) determine the nature, length and</w:t>
      </w:r>
    </w:p>
    <w:p>
      <w:pPr>
        <w:ind w:left="40"/>
        <w:spacing w:after="0" w:line="229" w:lineRule="auto"/>
        <w:rPr>
          <w:sz w:val="20"/>
          <w:szCs w:val="20"/>
          <w:color w:val="auto"/>
        </w:rPr>
      </w:pPr>
      <w:r>
        <w:rPr>
          <w:rFonts w:ascii="Times New Roman" w:cs="Times New Roman" w:eastAsia="Times New Roman" w:hAnsi="Times New Roman"/>
          <w:sz w:val="14"/>
          <w:szCs w:val="14"/>
          <w:color w:val="auto"/>
        </w:rPr>
        <w:t>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w:t>
      </w:r>
    </w:p>
    <w:p>
      <w:pPr>
        <w:ind w:left="40"/>
        <w:spacing w:after="0"/>
        <w:rPr>
          <w:sz w:val="20"/>
          <w:szCs w:val="20"/>
          <w:color w:val="auto"/>
        </w:rPr>
      </w:pPr>
      <w:r>
        <w:rPr>
          <w:rFonts w:ascii="Times New Roman" w:cs="Times New Roman" w:eastAsia="Times New Roman" w:hAnsi="Times New Roman"/>
          <w:sz w:val="16"/>
          <w:szCs w:val="16"/>
          <w:color w:val="auto"/>
        </w:rPr>
        <w:t>Restricted Stock Awards that are subject to different Performance Periods and having different performance goals and other criteria.</w:t>
      </w:r>
    </w:p>
    <w:p>
      <w:pPr>
        <w:spacing w:after="0" w:line="14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7.3. </w:t>
      </w:r>
      <w:r>
        <w:rPr>
          <w:rFonts w:ascii="Times New Roman" w:cs="Times New Roman" w:eastAsia="Times New Roman" w:hAnsi="Times New Roman"/>
          <w:sz w:val="16"/>
          <w:szCs w:val="16"/>
          <w:u w:val="single" w:color="auto"/>
          <w:color w:val="auto"/>
        </w:rPr>
        <w:t>Termination of Service</w:t>
      </w:r>
      <w:r>
        <w:rPr>
          <w:rFonts w:ascii="Times New Roman" w:cs="Times New Roman" w:eastAsia="Times New Roman" w:hAnsi="Times New Roman"/>
          <w:sz w:val="16"/>
          <w:szCs w:val="16"/>
          <w:color w:val="auto"/>
        </w:rPr>
        <w:t>. Except as may be set forth in the Participant’s Award Agreement, vesting ceases on such date Participant’s Service terminates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otherwise by the Committee).</w:t>
      </w:r>
    </w:p>
    <w:p>
      <w:pPr>
        <w:spacing w:after="0" w:line="146" w:lineRule="exact"/>
        <w:rPr>
          <w:sz w:val="20"/>
          <w:szCs w:val="20"/>
          <w:color w:val="auto"/>
        </w:rPr>
      </w:pPr>
    </w:p>
    <w:p>
      <w:pPr>
        <w:jc w:val="both"/>
        <w:ind w:left="40" w:hanging="4"/>
        <w:spacing w:after="0" w:line="227" w:lineRule="auto"/>
        <w:tabs>
          <w:tab w:leader="none" w:pos="475"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STOCK BONUS AWARDS</w:t>
      </w:r>
      <w:r>
        <w:rPr>
          <w:rFonts w:ascii="Times New Roman" w:cs="Times New Roman" w:eastAsia="Times New Roman" w:hAnsi="Times New Roman"/>
          <w:sz w:val="16"/>
          <w:szCs w:val="16"/>
          <w:color w:val="auto"/>
        </w:rPr>
        <w:t>. A Stock Bonus Award is an award to an eligible Employee, Consultant, or Director of Shares for Services to be rendered or for past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already rendered to the Company or any Parent, Subsidiary or Affiliate. All Stock Bonus Awards shall be made pursuant to an Award Agreement. No payment from the Participant will be required for Shares awarded pursuant to a Stock Bonus Award.</w:t>
      </w:r>
    </w:p>
    <w:p>
      <w:pPr>
        <w:spacing w:after="0" w:line="140"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8.1.</w:t>
      </w:r>
      <w:r>
        <w:rPr>
          <w:sz w:val="20"/>
          <w:szCs w:val="20"/>
          <w:color w:val="auto"/>
        </w:rPr>
        <w:tab/>
      </w:r>
      <w:r>
        <w:rPr>
          <w:rFonts w:ascii="Times New Roman" w:cs="Times New Roman" w:eastAsia="Times New Roman" w:hAnsi="Times New Roman"/>
          <w:sz w:val="16"/>
          <w:szCs w:val="16"/>
          <w:u w:val="single" w:color="auto"/>
          <w:color w:val="auto"/>
        </w:rPr>
        <w:t>Terms of Stock Bonus Awards</w:t>
      </w:r>
      <w:r>
        <w:rPr>
          <w:rFonts w:ascii="Times New Roman" w:cs="Times New Roman" w:eastAsia="Times New Roman" w:hAnsi="Times New Roman"/>
          <w:sz w:val="16"/>
          <w:szCs w:val="16"/>
          <w:color w:val="auto"/>
        </w:rPr>
        <w:t>. The Committee will determine the number of Shares to be awarded to the Participant under a Stock Bonus Award and any</w:t>
      </w:r>
    </w:p>
    <w:p>
      <w:pPr>
        <w:ind w:left="40"/>
        <w:spacing w:after="0" w:line="229" w:lineRule="auto"/>
        <w:rPr>
          <w:sz w:val="20"/>
          <w:szCs w:val="20"/>
          <w:color w:val="auto"/>
        </w:rPr>
      </w:pPr>
      <w:r>
        <w:rPr>
          <w:rFonts w:ascii="Times New Roman" w:cs="Times New Roman" w:eastAsia="Times New Roman" w:hAnsi="Times New Roman"/>
          <w:sz w:val="14"/>
          <w:szCs w:val="14"/>
          <w:color w:val="auto"/>
        </w:rPr>
        <w:t>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w:t>
      </w:r>
    </w:p>
    <w:p>
      <w:pPr>
        <w:ind w:left="40"/>
        <w:spacing w:after="0" w:line="237" w:lineRule="auto"/>
        <w:rPr>
          <w:sz w:val="20"/>
          <w:szCs w:val="20"/>
          <w:color w:val="auto"/>
        </w:rPr>
      </w:pPr>
      <w:r>
        <w:rPr>
          <w:rFonts w:ascii="Times New Roman" w:cs="Times New Roman" w:eastAsia="Times New Roman" w:hAnsi="Times New Roman"/>
          <w:sz w:val="14"/>
          <w:szCs w:val="14"/>
          <w:color w:val="auto"/>
        </w:rPr>
        <w:t>Committee shall: (a) determine the nature, length and starting date of any Performance Period for the Stock Bonus Award; (b) select from among the Performance Factors to be</w:t>
      </w:r>
    </w:p>
    <w:p>
      <w:pPr>
        <w:spacing w:after="0" w:line="1" w:lineRule="exact"/>
        <w:rPr>
          <w:sz w:val="20"/>
          <w:szCs w:val="20"/>
          <w:color w:val="auto"/>
        </w:rPr>
      </w:pPr>
    </w:p>
    <w:p>
      <w:pPr>
        <w:ind w:left="40"/>
        <w:spacing w:after="0" w:line="217" w:lineRule="auto"/>
        <w:rPr>
          <w:sz w:val="20"/>
          <w:szCs w:val="20"/>
          <w:color w:val="auto"/>
        </w:rPr>
      </w:pPr>
      <w:r>
        <w:rPr>
          <w:rFonts w:ascii="Times New Roman" w:cs="Times New Roman" w:eastAsia="Times New Roman" w:hAnsi="Times New Roman"/>
          <w:sz w:val="16"/>
          <w:szCs w:val="16"/>
          <w:color w:val="auto"/>
        </w:rPr>
        <w:t>used to measure performance goals; and (c) determine the number of Shares that may be awarded to the Participant. Performance Periods may overlap and a Participant may participate simultaneously with respect to Stock Bonus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60"/>
          </w:cols>
          <w:pgMar w:left="340" w:top="1065" w:right="399"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6"/>
          <w:szCs w:val="16"/>
          <w:color w:val="auto"/>
        </w:rPr>
        <w:t>Awards that are subject to different Performance Periods and different performance goals and other criteria.</w:t>
      </w:r>
    </w:p>
    <w:p>
      <w:pPr>
        <w:spacing w:after="0" w:line="175" w:lineRule="exact"/>
        <w:rPr>
          <w:sz w:val="20"/>
          <w:szCs w:val="20"/>
          <w:color w:val="auto"/>
        </w:rPr>
      </w:pPr>
    </w:p>
    <w:p>
      <w:pPr>
        <w:ind w:left="40" w:firstLine="509"/>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8.2. </w:t>
      </w:r>
      <w:r>
        <w:rPr>
          <w:rFonts w:ascii="Times New Roman" w:cs="Times New Roman" w:eastAsia="Times New Roman" w:hAnsi="Times New Roman"/>
          <w:sz w:val="16"/>
          <w:szCs w:val="16"/>
          <w:u w:val="single" w:color="auto"/>
          <w:color w:val="auto"/>
        </w:rPr>
        <w:t>Form of Payment to Participant</w:t>
      </w:r>
      <w:r>
        <w:rPr>
          <w:rFonts w:ascii="Times New Roman" w:cs="Times New Roman" w:eastAsia="Times New Roman" w:hAnsi="Times New Roman"/>
          <w:sz w:val="16"/>
          <w:szCs w:val="16"/>
          <w:color w:val="auto"/>
        </w:rPr>
        <w:t>. Payment may be made in the form of cash, whole Shares, or a combination thereof, based on the Fair Market Value of the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earned under a Stock Bonus Award on the date of payment, as determined in the sole discretion of the Committee.</w:t>
      </w:r>
    </w:p>
    <w:p>
      <w:pPr>
        <w:spacing w:after="0" w:line="8"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8.3. </w:t>
      </w:r>
      <w:r>
        <w:rPr>
          <w:rFonts w:ascii="Times New Roman" w:cs="Times New Roman" w:eastAsia="Times New Roman" w:hAnsi="Times New Roman"/>
          <w:sz w:val="16"/>
          <w:szCs w:val="16"/>
          <w:u w:val="single" w:color="auto"/>
          <w:color w:val="auto"/>
        </w:rPr>
        <w:t>Termination of Service</w:t>
      </w:r>
      <w:r>
        <w:rPr>
          <w:rFonts w:ascii="Times New Roman" w:cs="Times New Roman" w:eastAsia="Times New Roman" w:hAnsi="Times New Roman"/>
          <w:sz w:val="16"/>
          <w:szCs w:val="16"/>
          <w:color w:val="auto"/>
        </w:rPr>
        <w:t>. Except as may be set forth in the Participnt’s Award Agreement, vesting ceases on such date Participant’s Service terminates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otherwise by the Committee).</w:t>
      </w:r>
    </w:p>
    <w:p>
      <w:pPr>
        <w:spacing w:after="0" w:line="146" w:lineRule="exact"/>
        <w:rPr>
          <w:sz w:val="20"/>
          <w:szCs w:val="20"/>
          <w:color w:val="auto"/>
        </w:rPr>
      </w:pPr>
    </w:p>
    <w:p>
      <w:pPr>
        <w:jc w:val="both"/>
        <w:ind w:left="40" w:hanging="4"/>
        <w:spacing w:after="0" w:line="218" w:lineRule="auto"/>
        <w:tabs>
          <w:tab w:leader="none" w:pos="475"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STOCK APPRECIATION RIGHTS</w:t>
      </w:r>
      <w:r>
        <w:rPr>
          <w:rFonts w:ascii="Times New Roman" w:cs="Times New Roman" w:eastAsia="Times New Roman" w:hAnsi="Times New Roman"/>
          <w:sz w:val="16"/>
          <w:szCs w:val="16"/>
          <w:color w:val="auto"/>
        </w:rPr>
        <w:t>. A Stock Appreciation Right (“</w:t>
      </w:r>
      <w:r>
        <w:rPr>
          <w:rFonts w:ascii="Times New Roman" w:cs="Times New Roman" w:eastAsia="Times New Roman" w:hAnsi="Times New Roman"/>
          <w:sz w:val="16"/>
          <w:szCs w:val="16"/>
          <w:b w:val="1"/>
          <w:bCs w:val="1"/>
          <w:i w:val="1"/>
          <w:iCs w:val="1"/>
          <w:color w:val="auto"/>
        </w:rPr>
        <w:t>SAR</w:t>
      </w:r>
      <w:r>
        <w:rPr>
          <w:rFonts w:ascii="Times New Roman" w:cs="Times New Roman" w:eastAsia="Times New Roman" w:hAnsi="Times New Roman"/>
          <w:sz w:val="16"/>
          <w:szCs w:val="16"/>
          <w:color w:val="auto"/>
        </w:rPr>
        <w:t>”) is an award to an eligible Employee, Consultant, or Director that may be settled in cash,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95" w:lineRule="exact"/>
        <w:rPr>
          <w:sz w:val="20"/>
          <w:szCs w:val="20"/>
          <w:color w:val="auto"/>
        </w:rPr>
      </w:pPr>
    </w:p>
    <w:p>
      <w:pPr>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9.1. </w:t>
      </w:r>
      <w:r>
        <w:rPr>
          <w:rFonts w:ascii="Times New Roman" w:cs="Times New Roman" w:eastAsia="Times New Roman" w:hAnsi="Times New Roman"/>
          <w:sz w:val="14"/>
          <w:szCs w:val="14"/>
          <w:u w:val="single" w:color="auto"/>
          <w:color w:val="auto"/>
        </w:rPr>
        <w:t>Terms of SARs</w:t>
      </w:r>
      <w:r>
        <w:rPr>
          <w:rFonts w:ascii="Times New Roman" w:cs="Times New Roman" w:eastAsia="Times New Roman" w:hAnsi="Times New Roman"/>
          <w:sz w:val="14"/>
          <w:szCs w:val="14"/>
          <w:color w:val="auto"/>
        </w:rPr>
        <w:t>. The Committee will determine the terms of each SAR including, without limitation: (a) the number of Shares subject to the SAR; (b) the Exercise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Price and the time or times during which the SAR may be settled; (c) the consideration to be distributed on settlement of the SAR; and (d) the effect of the Participant’s</w:t>
      </w:r>
    </w:p>
    <w:p>
      <w:pPr>
        <w:ind w:left="40"/>
        <w:spacing w:after="0" w:line="229" w:lineRule="auto"/>
        <w:rPr>
          <w:sz w:val="20"/>
          <w:szCs w:val="20"/>
          <w:color w:val="auto"/>
        </w:rPr>
      </w:pPr>
      <w:r>
        <w:rPr>
          <w:rFonts w:ascii="Times New Roman" w:cs="Times New Roman" w:eastAsia="Times New Roman" w:hAnsi="Times New Roman"/>
          <w:sz w:val="14"/>
          <w:szCs w:val="14"/>
          <w:color w:val="auto"/>
        </w:rPr>
        <w:t>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w:t>
      </w:r>
    </w:p>
    <w:p>
      <w:pPr>
        <w:ind w:left="40"/>
        <w:spacing w:after="0" w:line="208" w:lineRule="auto"/>
        <w:rPr>
          <w:sz w:val="20"/>
          <w:szCs w:val="20"/>
          <w:color w:val="auto"/>
        </w:rPr>
      </w:pPr>
      <w:r>
        <w:rPr>
          <w:rFonts w:ascii="Times New Roman" w:cs="Times New Roman" w:eastAsia="Times New Roman" w:hAnsi="Times New Roman"/>
          <w:sz w:val="16"/>
          <w:szCs w:val="16"/>
          <w:color w:val="auto"/>
        </w:rPr>
        <w:t>Agreement. If the SAR is being earned upon the satisfaction of Performance Factors, then the Committee will: (x) determine the nature, length and starting date of any</w:t>
      </w:r>
    </w:p>
    <w:p>
      <w:pPr>
        <w:ind w:left="40"/>
        <w:spacing w:after="0" w:line="217" w:lineRule="auto"/>
        <w:rPr>
          <w:sz w:val="20"/>
          <w:szCs w:val="20"/>
          <w:color w:val="auto"/>
        </w:rPr>
      </w:pPr>
      <w:r>
        <w:rPr>
          <w:rFonts w:ascii="Times New Roman" w:cs="Times New Roman" w:eastAsia="Times New Roman" w:hAnsi="Times New Roman"/>
          <w:sz w:val="16"/>
          <w:szCs w:val="16"/>
          <w:color w:val="auto"/>
        </w:rPr>
        <w:t>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57"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9.2. </w:t>
      </w:r>
      <w:r>
        <w:rPr>
          <w:rFonts w:ascii="Times New Roman" w:cs="Times New Roman" w:eastAsia="Times New Roman" w:hAnsi="Times New Roman"/>
          <w:sz w:val="14"/>
          <w:szCs w:val="14"/>
          <w:u w:val="single" w:color="auto"/>
          <w:color w:val="auto"/>
        </w:rPr>
        <w:t>Exercise Period and Expiration Date</w:t>
      </w:r>
      <w:r>
        <w:rPr>
          <w:rFonts w:ascii="Times New Roman" w:cs="Times New Roman" w:eastAsia="Times New Roman" w:hAnsi="Times New Roman"/>
          <w:sz w:val="14"/>
          <w:szCs w:val="14"/>
          <w:color w:val="auto"/>
        </w:rPr>
        <w:t>. A SAR will be exercisable within the times or upon the occurrence of events determined by the Committee and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Award Agreement governing such SAR. The SAR Agreement shall set forth the expiration date; provided that no SAR will be exercisable after the expiration of ten (10) years</w:t>
      </w:r>
    </w:p>
    <w:p>
      <w:pPr>
        <w:ind w:left="40"/>
        <w:spacing w:after="0" w:line="208" w:lineRule="auto"/>
        <w:rPr>
          <w:sz w:val="20"/>
          <w:szCs w:val="20"/>
          <w:color w:val="auto"/>
        </w:rPr>
      </w:pPr>
      <w:r>
        <w:rPr>
          <w:rFonts w:ascii="Times New Roman" w:cs="Times New Roman" w:eastAsia="Times New Roman" w:hAnsi="Times New Roman"/>
          <w:sz w:val="16"/>
          <w:szCs w:val="16"/>
          <w:color w:val="auto"/>
        </w:rPr>
        <w:t>from the date the SAR is granted. The Committee may also provide for SARs to become exercisable at one time or from time to time, periodically or otherwise (including,</w:t>
      </w:r>
    </w:p>
    <w:p>
      <w:pPr>
        <w:ind w:left="40"/>
        <w:spacing w:after="0" w:line="229" w:lineRule="auto"/>
        <w:rPr>
          <w:sz w:val="20"/>
          <w:szCs w:val="20"/>
          <w:color w:val="auto"/>
        </w:rPr>
      </w:pPr>
      <w:r>
        <w:rPr>
          <w:rFonts w:ascii="Times New Roman" w:cs="Times New Roman" w:eastAsia="Times New Roman" w:hAnsi="Times New Roman"/>
          <w:sz w:val="14"/>
          <w:szCs w:val="14"/>
          <w:color w:val="auto"/>
        </w:rPr>
        <w:t>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w:t>
      </w:r>
    </w:p>
    <w:p>
      <w:pPr>
        <w:ind w:left="40"/>
        <w:spacing w:after="0"/>
        <w:rPr>
          <w:sz w:val="20"/>
          <w:szCs w:val="20"/>
          <w:color w:val="auto"/>
        </w:rPr>
      </w:pPr>
      <w:r>
        <w:rPr>
          <w:rFonts w:ascii="Times New Roman" w:cs="Times New Roman" w:eastAsia="Times New Roman" w:hAnsi="Times New Roman"/>
          <w:sz w:val="16"/>
          <w:szCs w:val="16"/>
          <w:color w:val="auto"/>
        </w:rPr>
        <w:t>(unless determined otherwise by the Committee). Notwithstanding the foregoing, the rules of Section 5.6 also will apply to SARs.</w:t>
      </w:r>
    </w:p>
    <w:p>
      <w:pPr>
        <w:spacing w:after="0" w:line="146" w:lineRule="exact"/>
        <w:rPr>
          <w:sz w:val="20"/>
          <w:szCs w:val="20"/>
          <w:color w:val="auto"/>
        </w:rPr>
      </w:pPr>
    </w:p>
    <w:p>
      <w:pPr>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9.3. </w:t>
      </w:r>
      <w:r>
        <w:rPr>
          <w:rFonts w:ascii="Times New Roman" w:cs="Times New Roman" w:eastAsia="Times New Roman" w:hAnsi="Times New Roman"/>
          <w:sz w:val="14"/>
          <w:szCs w:val="14"/>
          <w:u w:val="single" w:color="auto"/>
          <w:color w:val="auto"/>
        </w:rPr>
        <w:t>Form of Settlement</w:t>
      </w:r>
      <w:r>
        <w:rPr>
          <w:rFonts w:ascii="Times New Roman" w:cs="Times New Roman" w:eastAsia="Times New Roman" w:hAnsi="Times New Roman"/>
          <w:sz w:val="14"/>
          <w:szCs w:val="14"/>
          <w:color w:val="auto"/>
        </w:rPr>
        <w:t>. Upon exercise of a SAR, a Participant will be entitled to receive payment from the Company in an amount determined by multiplying (a)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difference between the Fair Market Value of a Share on the date of exercise over the Exercise Price; times (b) the number of Shares with respect to which the SAR is exercised. At</w:t>
      </w:r>
    </w:p>
    <w:p>
      <w:pPr>
        <w:ind w:left="40"/>
        <w:spacing w:after="0" w:line="229" w:lineRule="auto"/>
        <w:rPr>
          <w:sz w:val="20"/>
          <w:szCs w:val="20"/>
          <w:color w:val="auto"/>
        </w:rPr>
      </w:pPr>
      <w:r>
        <w:rPr>
          <w:rFonts w:ascii="Times New Roman" w:cs="Times New Roman" w:eastAsia="Times New Roman" w:hAnsi="Times New Roman"/>
          <w:sz w:val="14"/>
          <w:szCs w:val="14"/>
          <w:color w:val="auto"/>
        </w:rPr>
        <w:t>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w:t>
      </w:r>
    </w:p>
    <w:p>
      <w:pPr>
        <w:ind w:left="40"/>
        <w:spacing w:after="0"/>
        <w:rPr>
          <w:sz w:val="20"/>
          <w:szCs w:val="20"/>
          <w:color w:val="auto"/>
        </w:rPr>
      </w:pPr>
      <w:r>
        <w:rPr>
          <w:rFonts w:ascii="Times New Roman" w:cs="Times New Roman" w:eastAsia="Times New Roman" w:hAnsi="Times New Roman"/>
          <w:sz w:val="16"/>
          <w:szCs w:val="16"/>
          <w:color w:val="auto"/>
        </w:rPr>
        <w:t>satisfy the requirements of Section 409A of the Code to the extent applicable.</w:t>
      </w:r>
    </w:p>
    <w:p>
      <w:pPr>
        <w:spacing w:after="0" w:line="14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9.4. </w:t>
      </w:r>
      <w:r>
        <w:rPr>
          <w:rFonts w:ascii="Times New Roman" w:cs="Times New Roman" w:eastAsia="Times New Roman" w:hAnsi="Times New Roman"/>
          <w:sz w:val="16"/>
          <w:szCs w:val="16"/>
          <w:u w:val="single" w:color="auto"/>
          <w:color w:val="auto"/>
        </w:rPr>
        <w:t>Termination of Service</w:t>
      </w:r>
      <w:r>
        <w:rPr>
          <w:rFonts w:ascii="Times New Roman" w:cs="Times New Roman" w:eastAsia="Times New Roman" w:hAnsi="Times New Roman"/>
          <w:sz w:val="16"/>
          <w:szCs w:val="16"/>
          <w:color w:val="auto"/>
        </w:rPr>
        <w:t>. Except as may be set forth in the Participant’s Award Agreement, vesting ceases on such date Participant’s Service terminates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otherwise by the Committee).</w:t>
      </w:r>
    </w:p>
    <w:p>
      <w:pPr>
        <w:spacing w:after="0" w:line="8" w:lineRule="exact"/>
        <w:rPr>
          <w:sz w:val="20"/>
          <w:szCs w:val="20"/>
          <w:color w:val="auto"/>
        </w:rPr>
      </w:pPr>
    </w:p>
    <w:p>
      <w:pPr>
        <w:ind w:left="40" w:hanging="4"/>
        <w:spacing w:after="0" w:line="230" w:lineRule="auto"/>
        <w:tabs>
          <w:tab w:leader="none" w:pos="478"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RESTRICTED STOCK UNITS</w:t>
      </w:r>
      <w:r>
        <w:rPr>
          <w:rFonts w:ascii="Times New Roman" w:cs="Times New Roman" w:eastAsia="Times New Roman" w:hAnsi="Times New Roman"/>
          <w:sz w:val="16"/>
          <w:szCs w:val="16"/>
          <w:color w:val="auto"/>
        </w:rPr>
        <w:t>. A Restricted Stock Unit (“</w:t>
      </w:r>
      <w:r>
        <w:rPr>
          <w:rFonts w:ascii="Times New Roman" w:cs="Times New Roman" w:eastAsia="Times New Roman" w:hAnsi="Times New Roman"/>
          <w:sz w:val="16"/>
          <w:szCs w:val="16"/>
          <w:b w:val="1"/>
          <w:bCs w:val="1"/>
          <w:i w:val="1"/>
          <w:iCs w:val="1"/>
          <w:color w:val="auto"/>
        </w:rPr>
        <w:t>RSU</w:t>
      </w:r>
      <w:r>
        <w:rPr>
          <w:rFonts w:ascii="Times New Roman" w:cs="Times New Roman" w:eastAsia="Times New Roman" w:hAnsi="Times New Roman"/>
          <w:sz w:val="16"/>
          <w:szCs w:val="16"/>
          <w:color w:val="auto"/>
        </w:rPr>
        <w:t>”) is an award to an eligible Employee, Consultant, or Director covering a number of Shares that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settled in cash, or by issuance of those Shares (which may consist of Restricted Stock). All RSUs shall be made pursuant to an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60"/>
          </w:cols>
          <w:pgMar w:left="340" w:top="1065" w:right="399" w:bottom="1440" w:gutter="0" w:footer="0" w:header="0"/>
        </w:sectPr>
      </w:pPr>
    </w:p>
    <w:bookmarkStart w:id="121" w:name="page122"/>
    <w:bookmarkEnd w:id="121"/>
    <w:p>
      <w:pPr>
        <w:jc w:val="both"/>
        <w:ind w:left="40" w:firstLine="509"/>
        <w:spacing w:after="0" w:line="220" w:lineRule="auto"/>
        <w:rPr>
          <w:sz w:val="20"/>
          <w:szCs w:val="20"/>
          <w:color w:val="auto"/>
        </w:rPr>
      </w:pPr>
      <w:r>
        <w:rPr>
          <w:rFonts w:ascii="Times New Roman" w:cs="Times New Roman" w:eastAsia="Times New Roman" w:hAnsi="Times New Roman"/>
          <w:sz w:val="16"/>
          <w:szCs w:val="16"/>
          <w:b w:val="1"/>
          <w:bCs w:val="1"/>
          <w:color w:val="auto"/>
        </w:rPr>
        <w:t xml:space="preserve">10.1. </w:t>
      </w:r>
      <w:r>
        <w:rPr>
          <w:rFonts w:ascii="Times New Roman" w:cs="Times New Roman" w:eastAsia="Times New Roman" w:hAnsi="Times New Roman"/>
          <w:sz w:val="16"/>
          <w:szCs w:val="16"/>
          <w:u w:val="single" w:color="auto"/>
          <w:color w:val="auto"/>
        </w:rPr>
        <w:t>Terms of RSUs</w:t>
      </w:r>
      <w:r>
        <w:rPr>
          <w:rFonts w:ascii="Times New Roman" w:cs="Times New Roman" w:eastAsia="Times New Roman" w:hAnsi="Times New Roman"/>
          <w:sz w:val="16"/>
          <w:szCs w:val="16"/>
          <w:color w:val="auto"/>
        </w:rPr>
        <w:t>. The Committee will determine the terms of an RSU including, without limitation: (a) the number of Shares subject to the RSU; (b) the time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times during which the RSU may be settled; (c) the consideration to be distributed on settlement; and (d) the effect of the Participant’s termination of Service on each RSU;</w:t>
      </w:r>
    </w:p>
    <w:p>
      <w:pPr>
        <w:spacing w:after="0" w:line="1"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color w:val="auto"/>
        </w:rPr>
        <w:t>provided that no RSU shall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w:t>
      </w:r>
    </w:p>
    <w:p>
      <w:pPr>
        <w:ind w:left="40"/>
        <w:spacing w:after="0" w:line="208" w:lineRule="auto"/>
        <w:rPr>
          <w:sz w:val="20"/>
          <w:szCs w:val="20"/>
          <w:color w:val="auto"/>
        </w:rPr>
      </w:pPr>
      <w:r>
        <w:rPr>
          <w:rFonts w:ascii="Times New Roman" w:cs="Times New Roman" w:eastAsia="Times New Roman" w:hAnsi="Times New Roman"/>
          <w:sz w:val="16"/>
          <w:szCs w:val="16"/>
          <w:color w:val="auto"/>
        </w:rPr>
        <w:t>will: (x) determine the nature, length and starting date of any Performance Period for the RSU; (y) select from among the Performance Factors to be used to measure the</w:t>
      </w:r>
    </w:p>
    <w:p>
      <w:pPr>
        <w:ind w:left="40"/>
        <w:spacing w:after="0" w:line="217" w:lineRule="auto"/>
        <w:rPr>
          <w:sz w:val="20"/>
          <w:szCs w:val="20"/>
          <w:color w:val="auto"/>
        </w:rPr>
      </w:pPr>
      <w:r>
        <w:rPr>
          <w:rFonts w:ascii="Times New Roman" w:cs="Times New Roman" w:eastAsia="Times New Roman" w:hAnsi="Times New Roman"/>
          <w:sz w:val="16"/>
          <w:szCs w:val="16"/>
          <w:color w:val="auto"/>
        </w:rPr>
        <w:t>performance, if any; and (z)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46" w:lineRule="exact"/>
        <w:rPr>
          <w:sz w:val="20"/>
          <w:szCs w:val="20"/>
          <w:color w:val="auto"/>
        </w:rPr>
      </w:pPr>
    </w:p>
    <w:p>
      <w:pPr>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10.2. </w:t>
      </w:r>
      <w:r>
        <w:rPr>
          <w:rFonts w:ascii="Times New Roman" w:cs="Times New Roman" w:eastAsia="Times New Roman" w:hAnsi="Times New Roman"/>
          <w:sz w:val="14"/>
          <w:szCs w:val="14"/>
          <w:u w:val="single" w:color="auto"/>
          <w:color w:val="auto"/>
        </w:rPr>
        <w:t>Form and Timing of Settlement</w:t>
      </w:r>
      <w:r>
        <w:rPr>
          <w:rFonts w:ascii="Times New Roman" w:cs="Times New Roman" w:eastAsia="Times New Roman" w:hAnsi="Times New Roman"/>
          <w:sz w:val="14"/>
          <w:szCs w:val="14"/>
          <w:color w:val="auto"/>
        </w:rPr>
        <w:t>. Payment of earned RSUs shall be made as soon as practicable after the date(s) determined by the Committee and set forth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Award Agreement. The Committee, in its sole discretion, may settle earned RSUs in cash, Shares, or a combination of both. The Committee may also permit a Participant to defer</w:t>
      </w:r>
    </w:p>
    <w:p>
      <w:pPr>
        <w:ind w:left="40"/>
        <w:spacing w:after="0" w:line="217" w:lineRule="auto"/>
        <w:rPr>
          <w:sz w:val="20"/>
          <w:szCs w:val="20"/>
          <w:color w:val="auto"/>
        </w:rPr>
      </w:pPr>
      <w:r>
        <w:rPr>
          <w:rFonts w:ascii="Times New Roman" w:cs="Times New Roman" w:eastAsia="Times New Roman" w:hAnsi="Times New Roman"/>
          <w:sz w:val="16"/>
          <w:szCs w:val="16"/>
          <w:color w:val="auto"/>
        </w:rPr>
        <w:t>payment under a RSU to a date or dates after the RSU is earned provided that the terms of the RSU and any deferral satisfy the requirements of Section 409A of the Code to the extent applicable.</w:t>
      </w:r>
    </w:p>
    <w:p>
      <w:pPr>
        <w:spacing w:after="0" w:line="157" w:lineRule="exact"/>
        <w:rPr>
          <w:sz w:val="20"/>
          <w:szCs w:val="20"/>
          <w:color w:val="auto"/>
        </w:rPr>
      </w:pPr>
    </w:p>
    <w:p>
      <w:pPr>
        <w:ind w:left="40" w:firstLine="509"/>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10.3. </w:t>
      </w:r>
      <w:r>
        <w:rPr>
          <w:rFonts w:ascii="Times New Roman" w:cs="Times New Roman" w:eastAsia="Times New Roman" w:hAnsi="Times New Roman"/>
          <w:sz w:val="16"/>
          <w:szCs w:val="16"/>
          <w:u w:val="single" w:color="auto"/>
          <w:color w:val="auto"/>
        </w:rPr>
        <w:t>Termination of Service</w:t>
      </w:r>
      <w:r>
        <w:rPr>
          <w:rFonts w:ascii="Times New Roman" w:cs="Times New Roman" w:eastAsia="Times New Roman" w:hAnsi="Times New Roman"/>
          <w:sz w:val="16"/>
          <w:szCs w:val="16"/>
          <w:color w:val="auto"/>
        </w:rPr>
        <w:t>. Except as may be set forth in the Participant’s Award Agreement, vesting ceases on such date Participant’s Service terminates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otherwise by the Committee).</w:t>
      </w:r>
    </w:p>
    <w:p>
      <w:pPr>
        <w:spacing w:after="0" w:line="157" w:lineRule="exact"/>
        <w:rPr>
          <w:sz w:val="20"/>
          <w:szCs w:val="20"/>
          <w:color w:val="auto"/>
        </w:rPr>
      </w:pPr>
    </w:p>
    <w:p>
      <w:pPr>
        <w:jc w:val="both"/>
        <w:ind w:left="40" w:hanging="4"/>
        <w:spacing w:after="0" w:line="218" w:lineRule="auto"/>
        <w:tabs>
          <w:tab w:leader="none" w:pos="47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PERFORMANCE AWARDS</w:t>
      </w:r>
      <w:r>
        <w:rPr>
          <w:rFonts w:ascii="Times New Roman" w:cs="Times New Roman" w:eastAsia="Times New Roman" w:hAnsi="Times New Roman"/>
          <w:sz w:val="16"/>
          <w:szCs w:val="16"/>
          <w:color w:val="auto"/>
        </w:rPr>
        <w:t>. A Performance Award is an award to an eligible Employee, Consultant, or Director of the Company or any Parent, Subsidiary or Affiliate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is 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w:t>
      </w:r>
    </w:p>
    <w:p>
      <w:pPr>
        <w:spacing w:after="0" w:line="148"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11.1.</w:t>
      </w:r>
      <w:r>
        <w:rPr>
          <w:sz w:val="20"/>
          <w:szCs w:val="20"/>
          <w:color w:val="auto"/>
        </w:rPr>
        <w:tab/>
      </w:r>
      <w:r>
        <w:rPr>
          <w:rFonts w:ascii="Times New Roman" w:cs="Times New Roman" w:eastAsia="Times New Roman" w:hAnsi="Times New Roman"/>
          <w:sz w:val="14"/>
          <w:szCs w:val="14"/>
          <w:color w:val="auto"/>
        </w:rPr>
        <w:t>Performance Awards shall include Performance Shares, Performance Units, and cash- based Awards as set forth in Sections 10.1(a), 10.1(b), and 10.1(c) below.</w:t>
      </w:r>
    </w:p>
    <w:p>
      <w:pPr>
        <w:spacing w:after="0" w:line="168" w:lineRule="exact"/>
        <w:rPr>
          <w:sz w:val="20"/>
          <w:szCs w:val="20"/>
          <w:color w:val="auto"/>
        </w:rPr>
      </w:pPr>
    </w:p>
    <w:p>
      <w:pPr>
        <w:jc w:val="both"/>
        <w:ind w:left="40" w:firstLine="1014"/>
        <w:spacing w:after="0" w:line="214" w:lineRule="auto"/>
        <w:tabs>
          <w:tab w:leader="none" w:pos="149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Shares</w:t>
      </w:r>
      <w:r>
        <w:rPr>
          <w:rFonts w:ascii="Times New Roman" w:cs="Times New Roman" w:eastAsia="Times New Roman" w:hAnsi="Times New Roman"/>
          <w:sz w:val="16"/>
          <w:szCs w:val="16"/>
          <w:color w:val="auto"/>
        </w:rPr>
        <w:t>.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 or, if set forth in the instrument evidencing the Award,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w:t>
      </w:r>
    </w:p>
    <w:p>
      <w:pPr>
        <w:spacing w:after="0" w:line="13" w:lineRule="exact"/>
        <w:rPr>
          <w:rFonts w:ascii="Times New Roman" w:cs="Times New Roman" w:eastAsia="Times New Roman" w:hAnsi="Times New Roman"/>
          <w:sz w:val="16"/>
          <w:szCs w:val="16"/>
          <w:color w:val="auto"/>
        </w:rPr>
      </w:pPr>
    </w:p>
    <w:p>
      <w:pPr>
        <w:jc w:val="both"/>
        <w:ind w:left="40" w:firstLine="1014"/>
        <w:spacing w:after="0" w:line="213" w:lineRule="auto"/>
        <w:tabs>
          <w:tab w:leader="none" w:pos="149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Units</w:t>
      </w:r>
      <w:r>
        <w:rPr>
          <w:rFonts w:ascii="Times New Roman" w:cs="Times New Roman" w:eastAsia="Times New Roman" w:hAnsi="Times New Roman"/>
          <w:sz w:val="16"/>
          <w:szCs w:val="16"/>
          <w:color w:val="auto"/>
        </w:rPr>
        <w:t>.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59" w:lineRule="exact"/>
        <w:rPr>
          <w:rFonts w:ascii="Times New Roman" w:cs="Times New Roman" w:eastAsia="Times New Roman" w:hAnsi="Times New Roman"/>
          <w:sz w:val="16"/>
          <w:szCs w:val="16"/>
          <w:color w:val="auto"/>
        </w:rPr>
      </w:pPr>
    </w:p>
    <w:p>
      <w:pPr>
        <w:ind w:left="40" w:right="20" w:firstLine="1014"/>
        <w:spacing w:after="0" w:line="283" w:lineRule="auto"/>
        <w:tabs>
          <w:tab w:leader="none" w:pos="149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Cash-Settled Performance Awards</w:t>
      </w:r>
      <w:r>
        <w:rPr>
          <w:rFonts w:ascii="Times New Roman" w:cs="Times New Roman" w:eastAsia="Times New Roman" w:hAnsi="Times New Roman"/>
          <w:sz w:val="14"/>
          <w:szCs w:val="14"/>
          <w:color w:val="auto"/>
        </w:rPr>
        <w:t>. The Committee may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128" w:lineRule="exact"/>
        <w:rPr>
          <w:sz w:val="20"/>
          <w:szCs w:val="20"/>
          <w:color w:val="auto"/>
        </w:rPr>
      </w:pPr>
    </w:p>
    <w:p>
      <w:pPr>
        <w:ind w:left="40" w:firstLine="509"/>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11.2. </w:t>
      </w:r>
      <w:r>
        <w:rPr>
          <w:rFonts w:ascii="Times New Roman" w:cs="Times New Roman" w:eastAsia="Times New Roman" w:hAnsi="Times New Roman"/>
          <w:sz w:val="16"/>
          <w:szCs w:val="16"/>
          <w:u w:val="single" w:color="auto"/>
          <w:color w:val="auto"/>
        </w:rPr>
        <w:t>Terms of Performance Awards</w:t>
      </w:r>
      <w:r>
        <w:rPr>
          <w:rFonts w:ascii="Times New Roman" w:cs="Times New Roman" w:eastAsia="Times New Roman" w:hAnsi="Times New Roman"/>
          <w:sz w:val="16"/>
          <w:szCs w:val="16"/>
          <w:color w:val="auto"/>
        </w:rPr>
        <w:t>. Performance Awards will be based on the attainment of performance goals using the Performance Factors within this Plan that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60"/>
          </w:cols>
          <w:pgMar w:left="340" w:top="1063" w:right="399" w:bottom="1440" w:gutter="0" w:footer="0" w:header="0"/>
        </w:sectPr>
      </w:pPr>
    </w:p>
    <w:bookmarkStart w:id="122" w:name="page123"/>
    <w:bookmarkEnd w:id="122"/>
    <w:p>
      <w:pPr>
        <w:ind w:left="40"/>
        <w:spacing w:after="0" w:line="250" w:lineRule="auto"/>
        <w:rPr>
          <w:sz w:val="20"/>
          <w:szCs w:val="20"/>
          <w:color w:val="auto"/>
        </w:rPr>
      </w:pPr>
      <w:r>
        <w:rPr>
          <w:rFonts w:ascii="Times New Roman" w:cs="Times New Roman" w:eastAsia="Times New Roman" w:hAnsi="Times New Roman"/>
          <w:sz w:val="14"/>
          <w:szCs w:val="14"/>
          <w:color w:val="auto"/>
        </w:rPr>
        <w:t>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w:t>
      </w:r>
    </w:p>
    <w:p>
      <w:pPr>
        <w:spacing w:after="0" w:line="1" w:lineRule="exact"/>
        <w:rPr>
          <w:sz w:val="20"/>
          <w:szCs w:val="20"/>
          <w:color w:val="auto"/>
        </w:rPr>
      </w:pP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(x) determine the nature,</w:t>
      </w:r>
    </w:p>
    <w:p>
      <w:pPr>
        <w:ind w:left="40"/>
        <w:spacing w:after="0" w:line="208" w:lineRule="auto"/>
        <w:rPr>
          <w:sz w:val="20"/>
          <w:szCs w:val="20"/>
          <w:color w:val="auto"/>
        </w:rPr>
      </w:pPr>
      <w:r>
        <w:rPr>
          <w:rFonts w:ascii="Times New Roman" w:cs="Times New Roman" w:eastAsia="Times New Roman" w:hAnsi="Times New Roman"/>
          <w:sz w:val="16"/>
          <w:szCs w:val="16"/>
          <w:color w:val="auto"/>
        </w:rPr>
        <w:t>length and starting date of any Performance Period; (y) select from among the Performance Factors to be used; and</w:t>
      </w:r>
    </w:p>
    <w:p>
      <w:pPr>
        <w:jc w:val="both"/>
        <w:ind w:left="40" w:hanging="4"/>
        <w:spacing w:after="0" w:line="214" w:lineRule="auto"/>
        <w:tabs>
          <w:tab w:leader="none" w:pos="26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number of Shares deemed subject to the award of Performance Shares.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4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11.3. </w:t>
      </w:r>
      <w:r>
        <w:rPr>
          <w:rFonts w:ascii="Times New Roman" w:cs="Times New Roman" w:eastAsia="Times New Roman" w:hAnsi="Times New Roman"/>
          <w:sz w:val="16"/>
          <w:szCs w:val="16"/>
          <w:u w:val="single" w:color="auto"/>
          <w:color w:val="auto"/>
        </w:rPr>
        <w:t>Termination of Service</w:t>
      </w:r>
      <w:r>
        <w:rPr>
          <w:rFonts w:ascii="Times New Roman" w:cs="Times New Roman" w:eastAsia="Times New Roman" w:hAnsi="Times New Roman"/>
          <w:sz w:val="16"/>
          <w:szCs w:val="16"/>
          <w:color w:val="auto"/>
        </w:rPr>
        <w:t>. Except as may be set forth in the Participant’s Award Agreement, vesting ceases on the date Participant’s Service terminates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otherwise by the Committee).</w:t>
      </w:r>
    </w:p>
    <w:p>
      <w:pPr>
        <w:spacing w:after="0" w:line="146" w:lineRule="exact"/>
        <w:rPr>
          <w:sz w:val="20"/>
          <w:szCs w:val="20"/>
          <w:color w:val="auto"/>
        </w:rPr>
      </w:pPr>
    </w:p>
    <w:p>
      <w:pPr>
        <w:ind w:left="40" w:hanging="4"/>
        <w:spacing w:after="0" w:line="237" w:lineRule="auto"/>
        <w:tabs>
          <w:tab w:leader="none" w:pos="478"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PAYMENT FOR SHARE PURCHASES</w:t>
      </w:r>
      <w:r>
        <w:rPr>
          <w:rFonts w:ascii="Times New Roman" w:cs="Times New Roman" w:eastAsia="Times New Roman" w:hAnsi="Times New Roman"/>
          <w:sz w:val="16"/>
          <w:szCs w:val="16"/>
          <w:color w:val="auto"/>
        </w:rPr>
        <w:t>. Payment from a Participant for Shares purchased pursuant to this Plan may be made in cash or by check or, where approved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the Participant by the Committee and where permitted by law (and to the extent not otherwise set forth in the applicable Award Agreement):</w:t>
      </w:r>
    </w:p>
    <w:p>
      <w:pPr>
        <w:spacing w:after="0" w:line="147" w:lineRule="exact"/>
        <w:rPr>
          <w:rFonts w:ascii="Times New Roman" w:cs="Times New Roman" w:eastAsia="Times New Roman" w:hAnsi="Times New Roman"/>
          <w:sz w:val="16"/>
          <w:szCs w:val="16"/>
          <w:b w:val="1"/>
          <w:bCs w:val="1"/>
          <w:color w:val="auto"/>
        </w:rPr>
      </w:pPr>
    </w:p>
    <w:p>
      <w:pPr>
        <w:ind w:left="1560" w:hanging="506"/>
        <w:spacing w:after="0"/>
        <w:tabs>
          <w:tab w:leader="none" w:pos="156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cancellation of indebtedness of the Company to the Participant;</w:t>
      </w:r>
    </w:p>
    <w:p>
      <w:pPr>
        <w:spacing w:after="0" w:line="166" w:lineRule="exact"/>
        <w:rPr>
          <w:rFonts w:ascii="Times New Roman" w:cs="Times New Roman" w:eastAsia="Times New Roman" w:hAnsi="Times New Roman"/>
          <w:sz w:val="16"/>
          <w:szCs w:val="16"/>
          <w:color w:val="auto"/>
        </w:rPr>
      </w:pPr>
    </w:p>
    <w:p>
      <w:pPr>
        <w:ind w:left="40" w:firstLine="1014"/>
        <w:spacing w:after="0" w:line="235" w:lineRule="auto"/>
        <w:tabs>
          <w:tab w:leader="none" w:pos="1494"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surrender of Shares by the Participant that have a Fair Market Value on the date of surrender equal to the aggregate exercise price of the Shares as to which said Award will be exercised or settled;</w:t>
      </w:r>
    </w:p>
    <w:p>
      <w:pPr>
        <w:spacing w:after="0" w:line="148" w:lineRule="exact"/>
        <w:rPr>
          <w:rFonts w:ascii="Times New Roman" w:cs="Times New Roman" w:eastAsia="Times New Roman" w:hAnsi="Times New Roman"/>
          <w:sz w:val="16"/>
          <w:szCs w:val="16"/>
          <w:color w:val="auto"/>
        </w:rPr>
      </w:pPr>
    </w:p>
    <w:p>
      <w:pPr>
        <w:ind w:left="1500" w:hanging="446"/>
        <w:spacing w:after="0"/>
        <w:tabs>
          <w:tab w:leader="none" w:pos="150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waiver of compensation due or accrued to the Participant for services rendered or to be rendered to the Company or a Parent or Subsidiary;</w:t>
      </w:r>
    </w:p>
    <w:p>
      <w:pPr>
        <w:spacing w:after="0" w:line="176" w:lineRule="exact"/>
        <w:rPr>
          <w:rFonts w:ascii="Times New Roman" w:cs="Times New Roman" w:eastAsia="Times New Roman" w:hAnsi="Times New Roman"/>
          <w:sz w:val="16"/>
          <w:szCs w:val="16"/>
          <w:color w:val="auto"/>
        </w:rPr>
      </w:pPr>
    </w:p>
    <w:p>
      <w:pPr>
        <w:ind w:left="40" w:firstLine="1014"/>
        <w:spacing w:after="0" w:line="229" w:lineRule="auto"/>
        <w:tabs>
          <w:tab w:leader="none" w:pos="1494"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consideration received by the Company pursuant to a broker-assisted or other form of cashless exercise program implemented by the Company in connection with the Plan;</w:t>
      </w:r>
    </w:p>
    <w:p>
      <w:pPr>
        <w:spacing w:after="0" w:line="158"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combination of the foregoing; or</w:t>
      </w:r>
    </w:p>
    <w:p>
      <w:pPr>
        <w:spacing w:after="0" w:line="28"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method of payment as is permitted by applicable law.</w:t>
      </w:r>
    </w:p>
    <w:p>
      <w:pPr>
        <w:spacing w:after="0" w:line="164" w:lineRule="exact"/>
        <w:rPr>
          <w:rFonts w:ascii="Times New Roman" w:cs="Times New Roman" w:eastAsia="Times New Roman" w:hAnsi="Times New Roman"/>
          <w:sz w:val="16"/>
          <w:szCs w:val="16"/>
          <w:color w:val="auto"/>
        </w:rPr>
      </w:pPr>
    </w:p>
    <w:p>
      <w:pPr>
        <w:ind w:left="540" w:hanging="504"/>
        <w:spacing w:after="0"/>
        <w:tabs>
          <w:tab w:leader="none" w:pos="540"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GRANTS TO NON-EMPLOYEE DIRECTORS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13.1. </w:t>
      </w:r>
      <w:r>
        <w:rPr>
          <w:rFonts w:ascii="Times New Roman" w:cs="Times New Roman" w:eastAsia="Times New Roman" w:hAnsi="Times New Roman"/>
          <w:sz w:val="16"/>
          <w:szCs w:val="16"/>
          <w:u w:val="single" w:color="auto"/>
          <w:color w:val="auto"/>
        </w:rPr>
        <w:t>Grant and Eligibility</w:t>
      </w:r>
      <w:r>
        <w:rPr>
          <w:rFonts w:ascii="Times New Roman" w:cs="Times New Roman" w:eastAsia="Times New Roman" w:hAnsi="Times New Roman"/>
          <w:sz w:val="16"/>
          <w:szCs w:val="16"/>
          <w:color w:val="auto"/>
        </w:rPr>
        <w:t>. Awards under the Plan may be granted to Non-Employee Directors may be automatically made pursuant to a policy adopted by the Board,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made from time to time as determined in the discretion of the Board.</w:t>
      </w:r>
    </w:p>
    <w:p>
      <w:pPr>
        <w:spacing w:after="0" w:line="146" w:lineRule="exact"/>
        <w:rPr>
          <w:sz w:val="20"/>
          <w:szCs w:val="20"/>
          <w:color w:val="auto"/>
        </w:rPr>
      </w:pPr>
    </w:p>
    <w:p>
      <w:pPr>
        <w:jc w:val="both"/>
        <w:ind w:left="40" w:firstLine="509"/>
        <w:spacing w:after="0" w:line="211" w:lineRule="auto"/>
        <w:rPr>
          <w:sz w:val="20"/>
          <w:szCs w:val="20"/>
          <w:color w:val="auto"/>
        </w:rPr>
      </w:pPr>
      <w:r>
        <w:rPr>
          <w:rFonts w:ascii="Times New Roman" w:cs="Times New Roman" w:eastAsia="Times New Roman" w:hAnsi="Times New Roman"/>
          <w:sz w:val="16"/>
          <w:szCs w:val="16"/>
          <w:b w:val="1"/>
          <w:bCs w:val="1"/>
          <w:color w:val="auto"/>
        </w:rPr>
        <w:t xml:space="preserve">13.2. </w:t>
      </w:r>
      <w:r>
        <w:rPr>
          <w:rFonts w:ascii="Times New Roman" w:cs="Times New Roman" w:eastAsia="Times New Roman" w:hAnsi="Times New Roman"/>
          <w:sz w:val="16"/>
          <w:szCs w:val="16"/>
          <w:u w:val="single" w:color="auto"/>
          <w:color w:val="auto"/>
        </w:rPr>
        <w:t>Vesting, Exercisability and Settlement</w:t>
      </w:r>
      <w:r>
        <w:rPr>
          <w:rFonts w:ascii="Times New Roman" w:cs="Times New Roman" w:eastAsia="Times New Roman" w:hAnsi="Times New Roman"/>
          <w:sz w:val="16"/>
          <w:szCs w:val="16"/>
          <w:color w:val="auto"/>
        </w:rPr>
        <w:t>. Except as set forth in Section 21, Awards will vest, become exercisable and be settled as determined by the Board.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respect to Options and SARs, the exercise price granted to Non-Employee Directors will not be less than the Fair Market Value of the Shares at the time that such Option or SAR is granted.</w:t>
      </w:r>
    </w:p>
    <w:p>
      <w:pPr>
        <w:spacing w:after="0" w:line="2" w:lineRule="exact"/>
        <w:rPr>
          <w:sz w:val="20"/>
          <w:szCs w:val="20"/>
          <w:color w:val="auto"/>
        </w:rPr>
      </w:pPr>
    </w:p>
    <w:p>
      <w:pPr>
        <w:jc w:val="both"/>
        <w:ind w:left="40" w:firstLine="509"/>
        <w:spacing w:after="0" w:line="218" w:lineRule="auto"/>
        <w:rPr>
          <w:sz w:val="20"/>
          <w:szCs w:val="20"/>
          <w:color w:val="auto"/>
        </w:rPr>
      </w:pPr>
      <w:r>
        <w:rPr>
          <w:rFonts w:ascii="Times New Roman" w:cs="Times New Roman" w:eastAsia="Times New Roman" w:hAnsi="Times New Roman"/>
          <w:sz w:val="16"/>
          <w:szCs w:val="16"/>
          <w:b w:val="1"/>
          <w:bCs w:val="1"/>
          <w:color w:val="auto"/>
        </w:rPr>
        <w:t xml:space="preserve">13.3. </w:t>
      </w:r>
      <w:r>
        <w:rPr>
          <w:rFonts w:ascii="Times New Roman" w:cs="Times New Roman" w:eastAsia="Times New Roman" w:hAnsi="Times New Roman"/>
          <w:sz w:val="16"/>
          <w:szCs w:val="16"/>
          <w:u w:val="single" w:color="auto"/>
          <w:color w:val="auto"/>
        </w:rPr>
        <w:t>Election to Receive Awards in Lieu of Cash</w:t>
      </w:r>
      <w:r>
        <w:rPr>
          <w:rFonts w:ascii="Times New Roman" w:cs="Times New Roman" w:eastAsia="Times New Roman" w:hAnsi="Times New Roman"/>
          <w:sz w:val="16"/>
          <w:szCs w:val="16"/>
          <w:color w:val="auto"/>
        </w:rPr>
        <w:t>. A Non-Employee Director may elect to receive his or her annual retainer payments and/or meeting fees from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in the form of cash or Awards or a combination thereof, if permitted, and as determined, by the Committee. Such Awards shall be issued under the Plan. An election under this Section 12.3 shall be filed with the Company on the form prescribed by the Company.</w:t>
      </w:r>
    </w:p>
    <w:p>
      <w:pPr>
        <w:spacing w:after="0" w:line="285" w:lineRule="exact"/>
        <w:rPr>
          <w:sz w:val="20"/>
          <w:szCs w:val="20"/>
          <w:color w:val="auto"/>
        </w:rPr>
      </w:pPr>
    </w:p>
    <w:p>
      <w:pPr>
        <w:ind w:left="540" w:hanging="504"/>
        <w:spacing w:after="0"/>
        <w:tabs>
          <w:tab w:leader="none" w:pos="54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WITHHOLDING TAXES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14.1. </w:t>
      </w:r>
      <w:r>
        <w:rPr>
          <w:rFonts w:ascii="Times New Roman" w:cs="Times New Roman" w:eastAsia="Times New Roman" w:hAnsi="Times New Roman"/>
          <w:sz w:val="16"/>
          <w:szCs w:val="16"/>
          <w:u w:val="single" w:color="auto"/>
          <w:color w:val="auto"/>
        </w:rPr>
        <w:t>Withholding Generally</w:t>
      </w:r>
      <w:r>
        <w:rPr>
          <w:rFonts w:ascii="Times New Roman" w:cs="Times New Roman" w:eastAsia="Times New Roman" w:hAnsi="Times New Roman"/>
          <w:sz w:val="16"/>
          <w:szCs w:val="16"/>
          <w:color w:val="auto"/>
        </w:rPr>
        <w:t>. Whenever Shares are to be issued in satisfaction of Awards granted under this Plan or a tax event occurs, the Company may require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to remit to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60"/>
          </w:cols>
          <w:pgMar w:left="340" w:top="1065" w:right="399" w:bottom="1440" w:gutter="0" w:footer="0" w:header="0"/>
        </w:sectPr>
      </w:pPr>
    </w:p>
    <w:bookmarkStart w:id="123" w:name="page124"/>
    <w:bookmarkEnd w:id="123"/>
    <w:p>
      <w:pPr>
        <w:ind w:left="40"/>
        <w:spacing w:after="0" w:line="250" w:lineRule="auto"/>
        <w:rPr>
          <w:sz w:val="20"/>
          <w:szCs w:val="20"/>
          <w:color w:val="auto"/>
        </w:rPr>
      </w:pPr>
      <w:r>
        <w:rPr>
          <w:rFonts w:ascii="Times New Roman" w:cs="Times New Roman" w:eastAsia="Times New Roman" w:hAnsi="Times New Roman"/>
          <w:sz w:val="14"/>
          <w:szCs w:val="14"/>
          <w:color w:val="auto"/>
        </w:rPr>
        <w:t>Company, or to the Parent, Subsidiary or Affiliate, as applicable, employing the Participant, an amount sufficient to satisfy applicable U.S. federal, state, local and international tax or any other tax or social insurance liability (the “</w:t>
      </w:r>
      <w:r>
        <w:rPr>
          <w:rFonts w:ascii="Times New Roman" w:cs="Times New Roman" w:eastAsia="Times New Roman" w:hAnsi="Times New Roman"/>
          <w:sz w:val="14"/>
          <w:szCs w:val="14"/>
          <w:b w:val="1"/>
          <w:bCs w:val="1"/>
          <w:i w:val="1"/>
          <w:iCs w:val="1"/>
          <w:color w:val="auto"/>
        </w:rPr>
        <w:t>Tax-Related Items</w:t>
      </w:r>
      <w:r>
        <w:rPr>
          <w:rFonts w:ascii="Times New Roman" w:cs="Times New Roman" w:eastAsia="Times New Roman" w:hAnsi="Times New Roman"/>
          <w:sz w:val="14"/>
          <w:szCs w:val="14"/>
          <w:color w:val="auto"/>
        </w:rPr>
        <w:t>”) required to be withheld from the Participant prior to the delivery of Shares pursuant to exercise or</w:t>
      </w:r>
    </w:p>
    <w:p>
      <w:pPr>
        <w:spacing w:after="0" w:line="1"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color w:val="auto"/>
        </w:rPr>
        <w:t>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w:t>
      </w:r>
    </w:p>
    <w:p>
      <w:pPr>
        <w:ind w:left="40"/>
        <w:spacing w:after="0" w:line="224" w:lineRule="auto"/>
        <w:rPr>
          <w:sz w:val="20"/>
          <w:szCs w:val="20"/>
          <w:color w:val="auto"/>
        </w:rPr>
      </w:pPr>
      <w:r>
        <w:rPr>
          <w:rFonts w:ascii="Times New Roman" w:cs="Times New Roman" w:eastAsia="Times New Roman" w:hAnsi="Times New Roman"/>
          <w:sz w:val="16"/>
          <w:szCs w:val="16"/>
          <w:color w:val="auto"/>
        </w:rPr>
        <w:t>that the taxes are required to be withheld and such Shares will be valued based on the value of the actual trade or, if there is none, the Fair Market Value of the Shares as of the previous trading day.</w:t>
      </w:r>
    </w:p>
    <w:p>
      <w:pPr>
        <w:spacing w:after="0" w:line="146"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14.2. </w:t>
      </w:r>
      <w:r>
        <w:rPr>
          <w:rFonts w:ascii="Times New Roman" w:cs="Times New Roman" w:eastAsia="Times New Roman" w:hAnsi="Times New Roman"/>
          <w:sz w:val="14"/>
          <w:szCs w:val="14"/>
          <w:u w:val="single" w:color="auto"/>
          <w:color w:val="auto"/>
        </w:rPr>
        <w:t>Stock Withholding</w:t>
      </w:r>
      <w:r>
        <w:rPr>
          <w:rFonts w:ascii="Times New Roman" w:cs="Times New Roman" w:eastAsia="Times New Roman" w:hAnsi="Times New Roman"/>
          <w:sz w:val="14"/>
          <w:szCs w:val="14"/>
          <w:color w:val="auto"/>
        </w:rPr>
        <w:t>. The Committee, or its delegate(s), as permitted by applicable law, in its sole discretion and pursuant to such procedures as it may specify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to time and to limitations of local law, may require or permit a Participant to satisfy such Tax Related Items legally due from the Participant, in whole or in part by (without</w:t>
      </w:r>
    </w:p>
    <w:p>
      <w:pPr>
        <w:ind w:left="40"/>
        <w:spacing w:after="0" w:line="237" w:lineRule="auto"/>
        <w:rPr>
          <w:sz w:val="20"/>
          <w:szCs w:val="20"/>
          <w:color w:val="auto"/>
        </w:rPr>
      </w:pPr>
      <w:r>
        <w:rPr>
          <w:rFonts w:ascii="Times New Roman" w:cs="Times New Roman" w:eastAsia="Times New Roman" w:hAnsi="Times New Roman"/>
          <w:sz w:val="14"/>
          <w:szCs w:val="14"/>
          <w:color w:val="auto"/>
        </w:rPr>
        <w:t>limitation) (a) paying cash, (b) having the Company withhold otherwise deliverable cash or Shares having a Fair Market Value equal to the Tax-Related Items to be withheld, (c)</w:t>
      </w:r>
    </w:p>
    <w:p>
      <w:pPr>
        <w:spacing w:after="0" w:line="1"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color w:val="auto"/>
        </w:rPr>
        <w:t>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w:t>
      </w:r>
    </w:p>
    <w:p>
      <w:pPr>
        <w:ind w:left="40"/>
        <w:spacing w:after="0" w:line="224" w:lineRule="auto"/>
        <w:rPr>
          <w:sz w:val="20"/>
          <w:szCs w:val="20"/>
          <w:color w:val="auto"/>
        </w:rPr>
      </w:pPr>
      <w:r>
        <w:rPr>
          <w:rFonts w:ascii="Times New Roman" w:cs="Times New Roman" w:eastAsia="Times New Roman" w:hAnsi="Times New Roman"/>
          <w:sz w:val="16"/>
          <w:szCs w:val="16"/>
          <w:color w:val="auto"/>
        </w:rPr>
        <w:t>account for these Tax-Related Items by considering applicable statutory withholding rates or other applicable withholding rates, including up to (but not in excess of) the maximum permissible statutory tax rate for the applicable tax jurisdiction, to the extent consistent with applicable laws.</w:t>
      </w:r>
    </w:p>
    <w:p>
      <w:pPr>
        <w:spacing w:after="0" w:line="199" w:lineRule="exact"/>
        <w:rPr>
          <w:sz w:val="20"/>
          <w:szCs w:val="20"/>
          <w:color w:val="auto"/>
        </w:rPr>
      </w:pPr>
    </w:p>
    <w:p>
      <w:pPr>
        <w:jc w:val="both"/>
        <w:ind w:left="40" w:hanging="4"/>
        <w:spacing w:after="0" w:line="215" w:lineRule="auto"/>
        <w:tabs>
          <w:tab w:leader="none" w:pos="478"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TRANSFERABILITY</w:t>
      </w:r>
      <w:r>
        <w:rPr>
          <w:rFonts w:ascii="Times New Roman" w:cs="Times New Roman" w:eastAsia="Times New Roman" w:hAnsi="Times New Roman"/>
          <w:sz w:val="16"/>
          <w:szCs w:val="16"/>
          <w:color w:val="auto"/>
        </w:rPr>
        <w:t>. Unless determined otherwise by the Committee or pursuant to Section 14.2, an Award may not be sold, pledged, assigned, hypothecated,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spacing w:after="0" w:line="146" w:lineRule="exact"/>
        <w:rPr>
          <w:rFonts w:ascii="Times New Roman" w:cs="Times New Roman" w:eastAsia="Times New Roman" w:hAnsi="Times New Roman"/>
          <w:sz w:val="16"/>
          <w:szCs w:val="16"/>
          <w:b w:val="1"/>
          <w:bCs w:val="1"/>
          <w:color w:val="auto"/>
        </w:rPr>
      </w:pPr>
    </w:p>
    <w:p>
      <w:pPr>
        <w:ind w:left="540" w:hanging="504"/>
        <w:spacing w:after="0"/>
        <w:tabs>
          <w:tab w:leader="none" w:pos="54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PRIVILEGES OF STOCK OWNERSHIP; RESTRICTIONS ON SHARES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16.1. </w:t>
      </w:r>
      <w:r>
        <w:rPr>
          <w:rFonts w:ascii="Times New Roman" w:cs="Times New Roman" w:eastAsia="Times New Roman" w:hAnsi="Times New Roman"/>
          <w:sz w:val="14"/>
          <w:szCs w:val="14"/>
          <w:u w:val="single" w:color="auto"/>
          <w:color w:val="auto"/>
        </w:rPr>
        <w:t>Voting and Dividends</w:t>
      </w:r>
      <w:r>
        <w:rPr>
          <w:rFonts w:ascii="Times New Roman" w:cs="Times New Roman" w:eastAsia="Times New Roman" w:hAnsi="Times New Roman"/>
          <w:sz w:val="14"/>
          <w:szCs w:val="14"/>
          <w:color w:val="auto"/>
        </w:rPr>
        <w:t>. No Participant will have any of the rights of a stockholder with respect to any Shares until the Shares are issued to the Participant, except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any Dividend Equivalent Rights permitted by an applicable Award Agreement. Any Dividend Equivalent Rights will be subject to the same vesting or performance conditions</w:t>
      </w:r>
    </w:p>
    <w:p>
      <w:pPr>
        <w:ind w:left="40"/>
        <w:spacing w:after="0" w:line="229" w:lineRule="auto"/>
        <w:rPr>
          <w:sz w:val="20"/>
          <w:szCs w:val="20"/>
          <w:color w:val="auto"/>
        </w:rPr>
      </w:pPr>
      <w:r>
        <w:rPr>
          <w:rFonts w:ascii="Times New Roman" w:cs="Times New Roman" w:eastAsia="Times New Roman" w:hAnsi="Times New Roman"/>
          <w:sz w:val="14"/>
          <w:szCs w:val="14"/>
          <w:color w:val="auto"/>
        </w:rPr>
        <w:t>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w:t>
      </w:r>
    </w:p>
    <w:p>
      <w:pPr>
        <w:ind w:left="40"/>
        <w:spacing w:after="0" w:line="208" w:lineRule="auto"/>
        <w:rPr>
          <w:sz w:val="20"/>
          <w:szCs w:val="20"/>
          <w:color w:val="auto"/>
        </w:rPr>
      </w:pPr>
      <w:r>
        <w:rPr>
          <w:rFonts w:ascii="Times New Roman" w:cs="Times New Roman" w:eastAsia="Times New Roman" w:hAnsi="Times New Roman"/>
          <w:sz w:val="16"/>
          <w:szCs w:val="16"/>
          <w:color w:val="auto"/>
        </w:rPr>
        <w:t xml:space="preserve">respect to such Shares, including the right to vote and receive all dividends or other distributions made or paid with respect to such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such Shares are</w:t>
      </w:r>
    </w:p>
    <w:p>
      <w:pPr>
        <w:ind w:left="40"/>
        <w:spacing w:after="0" w:line="229" w:lineRule="auto"/>
        <w:rPr>
          <w:sz w:val="20"/>
          <w:szCs w:val="20"/>
          <w:color w:val="auto"/>
        </w:rPr>
      </w:pPr>
      <w:r>
        <w:rPr>
          <w:rFonts w:ascii="Times New Roman" w:cs="Times New Roman" w:eastAsia="Times New Roman" w:hAnsi="Times New Roman"/>
          <w:sz w:val="14"/>
          <w:szCs w:val="14"/>
          <w:color w:val="auto"/>
        </w:rPr>
        <w:t xml:space="preserve">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Participant</w:t>
      </w:r>
    </w:p>
    <w:p>
      <w:pPr>
        <w:ind w:left="40"/>
        <w:spacing w:after="0" w:line="237" w:lineRule="auto"/>
        <w:rPr>
          <w:sz w:val="20"/>
          <w:szCs w:val="20"/>
          <w:color w:val="auto"/>
        </w:rPr>
      </w:pPr>
      <w:r>
        <w:rPr>
          <w:rFonts w:ascii="Times New Roman" w:cs="Times New Roman" w:eastAsia="Times New Roman" w:hAnsi="Times New Roman"/>
          <w:sz w:val="14"/>
          <w:szCs w:val="14"/>
          <w:color w:val="auto"/>
        </w:rPr>
        <w:t>will have no right to such stock dividends or stock distributions with respect to Unvested Shares, and any such dividends or stock distributions will be accrued and paid only at</w:t>
      </w:r>
    </w:p>
    <w:p>
      <w:pPr>
        <w:spacing w:after="0" w:line="1"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color w:val="auto"/>
        </w:rPr>
        <w:t>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w:t>
      </w:r>
    </w:p>
    <w:p>
      <w:pPr>
        <w:ind w:left="40"/>
        <w:spacing w:after="0" w:line="237" w:lineRule="auto"/>
        <w:rPr>
          <w:sz w:val="20"/>
          <w:szCs w:val="20"/>
          <w:color w:val="auto"/>
        </w:rPr>
      </w:pPr>
      <w:r>
        <w:rPr>
          <w:rFonts w:ascii="Times New Roman" w:cs="Times New Roman" w:eastAsia="Times New Roman" w:hAnsi="Times New Roman"/>
          <w:sz w:val="14"/>
          <w:szCs w:val="14"/>
          <w:color w:val="auto"/>
        </w:rPr>
        <w:t>the Award is granted and ending, with respect to each Share subject to the Award, on the earlier of the date on which the Award is exercised or settled or the date on which it is</w:t>
      </w:r>
    </w:p>
    <w:p>
      <w:pPr>
        <w:spacing w:after="0" w:line="1"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color w:val="auto"/>
        </w:rPr>
        <w:t xml:space="preserve">forfeited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w:t>
      </w:r>
    </w:p>
    <w:p>
      <w:pPr>
        <w:ind w:left="40"/>
        <w:spacing w:after="0"/>
        <w:rPr>
          <w:sz w:val="20"/>
          <w:szCs w:val="20"/>
          <w:color w:val="auto"/>
        </w:rPr>
      </w:pPr>
      <w:r>
        <w:rPr>
          <w:rFonts w:ascii="Times New Roman" w:cs="Times New Roman" w:eastAsia="Times New Roman" w:hAnsi="Times New Roman"/>
          <w:sz w:val="16"/>
          <w:szCs w:val="16"/>
          <w:color w:val="auto"/>
        </w:rPr>
        <w:t>Shares as of the date of payment of such cash dividends on Shares.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160"/>
          </w:cols>
          <w:pgMar w:left="340" w:top="1065" w:right="399" w:bottom="1440" w:gutter="0" w:footer="0" w:header="0"/>
        </w:sectPr>
      </w:pPr>
    </w:p>
    <w:bookmarkStart w:id="124" w:name="page125"/>
    <w:bookmarkEnd w:id="124"/>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16.2.</w:t>
      </w:r>
      <w:r>
        <w:rPr>
          <w:sz w:val="20"/>
          <w:szCs w:val="20"/>
          <w:color w:val="auto"/>
        </w:rPr>
        <w:tab/>
      </w:r>
      <w:r>
        <w:rPr>
          <w:rFonts w:ascii="Times New Roman" w:cs="Times New Roman" w:eastAsia="Times New Roman" w:hAnsi="Times New Roman"/>
          <w:sz w:val="16"/>
          <w:szCs w:val="16"/>
          <w:u w:val="single" w:color="auto"/>
          <w:color w:val="auto"/>
        </w:rPr>
        <w:t>Restrictions on Shares</w:t>
      </w:r>
      <w:r>
        <w:rPr>
          <w:rFonts w:ascii="Times New Roman" w:cs="Times New Roman" w:eastAsia="Times New Roman" w:hAnsi="Times New Roman"/>
          <w:sz w:val="16"/>
          <w:szCs w:val="16"/>
          <w:color w:val="auto"/>
        </w:rPr>
        <w:t>. At the discretion of the Committee, the Company may reserve to itself and/or its assignee(s) a right to repurchase (a “</w:t>
      </w:r>
      <w:r>
        <w:rPr>
          <w:rFonts w:ascii="Times New Roman" w:cs="Times New Roman" w:eastAsia="Times New Roman" w:hAnsi="Times New Roman"/>
          <w:sz w:val="16"/>
          <w:szCs w:val="16"/>
          <w:b w:val="1"/>
          <w:bCs w:val="1"/>
          <w:i w:val="1"/>
          <w:iCs w:val="1"/>
          <w:color w:val="auto"/>
        </w:rPr>
        <w:t>Right of</w:t>
      </w:r>
    </w:p>
    <w:p>
      <w:pPr>
        <w:ind w:left="40"/>
        <w:spacing w:after="0" w:line="229" w:lineRule="auto"/>
        <w:rPr>
          <w:sz w:val="20"/>
          <w:szCs w:val="20"/>
          <w:color w:val="auto"/>
        </w:rPr>
      </w:pPr>
      <w:r>
        <w:rPr>
          <w:rFonts w:ascii="Times New Roman" w:cs="Times New Roman" w:eastAsia="Times New Roman" w:hAnsi="Times New Roman"/>
          <w:sz w:val="14"/>
          <w:szCs w:val="14"/>
          <w:b w:val="1"/>
          <w:bCs w:val="1"/>
          <w:i w:val="1"/>
          <w:iCs w:val="1"/>
          <w:color w:val="auto"/>
        </w:rPr>
        <w:t>Repurchase</w:t>
      </w:r>
      <w:r>
        <w:rPr>
          <w:rFonts w:ascii="Times New Roman" w:cs="Times New Roman" w:eastAsia="Times New Roman" w:hAnsi="Times New Roman"/>
          <w:sz w:val="14"/>
          <w:szCs w:val="14"/>
          <w:color w:val="auto"/>
        </w:rPr>
        <w:t>”) a portion of any or all Unvested Shares held by a Participant following such Participant’s termination of Service at any time within ninety (90) days (or such longer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shorter time determined by the Committee) after the later of the date Participant’s Service terminates and the date the Participant purchases Shares under this Plan, for cash</w:t>
      </w:r>
    </w:p>
    <w:p>
      <w:pPr>
        <w:ind w:left="40"/>
        <w:spacing w:after="0"/>
        <w:rPr>
          <w:sz w:val="20"/>
          <w:szCs w:val="20"/>
          <w:color w:val="auto"/>
        </w:rPr>
      </w:pPr>
      <w:r>
        <w:rPr>
          <w:rFonts w:ascii="Times New Roman" w:cs="Times New Roman" w:eastAsia="Times New Roman" w:hAnsi="Times New Roman"/>
          <w:sz w:val="16"/>
          <w:szCs w:val="16"/>
          <w:color w:val="auto"/>
        </w:rPr>
        <w:t>and/or cancellation of purchase money indebtedness, at the Participant’s Purchase Price or Exercise Price, as the case may be.</w:t>
      </w:r>
    </w:p>
    <w:p>
      <w:pPr>
        <w:spacing w:after="0" w:line="146" w:lineRule="exact"/>
        <w:rPr>
          <w:sz w:val="20"/>
          <w:szCs w:val="20"/>
          <w:color w:val="auto"/>
        </w:rPr>
      </w:pPr>
    </w:p>
    <w:p>
      <w:pPr>
        <w:jc w:val="both"/>
        <w:ind w:left="40" w:hanging="4"/>
        <w:spacing w:after="0" w:line="218" w:lineRule="auto"/>
        <w:tabs>
          <w:tab w:leader="none" w:pos="478"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CERTIFICATES</w:t>
      </w:r>
      <w:r>
        <w:rPr>
          <w:rFonts w:ascii="Times New Roman" w:cs="Times New Roman" w:eastAsia="Times New Roman" w:hAnsi="Times New Roman"/>
          <w:sz w:val="16"/>
          <w:szCs w:val="16"/>
          <w:color w:val="auto"/>
        </w:rPr>
        <w:t>. All Shares or other securities whether or not certificated, delivered under this Plan will be subject to such stock transfer orders, legends and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0" w:lineRule="exact"/>
        <w:rPr>
          <w:rFonts w:ascii="Times New Roman" w:cs="Times New Roman" w:eastAsia="Times New Roman" w:hAnsi="Times New Roman"/>
          <w:sz w:val="16"/>
          <w:szCs w:val="16"/>
          <w:b w:val="1"/>
          <w:bCs w:val="1"/>
          <w:color w:val="auto"/>
        </w:rPr>
      </w:pPr>
    </w:p>
    <w:p>
      <w:pPr>
        <w:jc w:val="both"/>
        <w:ind w:left="40" w:hanging="4"/>
        <w:spacing w:after="0"/>
        <w:tabs>
          <w:tab w:leader="none" w:pos="478"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ESCROW; PLEDGE OF SHARES</w:t>
      </w:r>
      <w:r>
        <w:rPr>
          <w:rFonts w:ascii="Times New Roman" w:cs="Times New Roman" w:eastAsia="Times New Roman" w:hAnsi="Times New Roman"/>
          <w:sz w:val="14"/>
          <w:szCs w:val="14"/>
          <w:color w:val="auto"/>
        </w:rPr>
        <w:t>. To enforce any restrictions on a Participant’s Shares, the Committee may require the Participant to deposit all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314" w:lineRule="exact"/>
        <w:rPr>
          <w:rFonts w:ascii="Times New Roman" w:cs="Times New Roman" w:eastAsia="Times New Roman" w:hAnsi="Times New Roman"/>
          <w:sz w:val="14"/>
          <w:szCs w:val="14"/>
          <w:b w:val="1"/>
          <w:bCs w:val="1"/>
          <w:color w:val="auto"/>
        </w:rPr>
      </w:pPr>
    </w:p>
    <w:p>
      <w:pPr>
        <w:jc w:val="both"/>
        <w:ind w:left="40" w:hanging="4"/>
        <w:spacing w:after="0" w:line="218" w:lineRule="auto"/>
        <w:tabs>
          <w:tab w:leader="none" w:pos="478"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REPRICING; EXCHANGE AND BUYOUT OF AWARDS</w:t>
      </w:r>
      <w:r>
        <w:rPr>
          <w:rFonts w:ascii="Times New Roman" w:cs="Times New Roman" w:eastAsia="Times New Roman" w:hAnsi="Times New Roman"/>
          <w:sz w:val="16"/>
          <w:szCs w:val="16"/>
          <w:color w:val="auto"/>
        </w:rPr>
        <w:t>. Without prior stockholder approval, the Committee may (a) reprice Options or SARs (and where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w:t>
      </w:r>
    </w:p>
    <w:p>
      <w:pPr>
        <w:spacing w:after="0" w:line="90" w:lineRule="exact"/>
        <w:rPr>
          <w:rFonts w:ascii="Times New Roman" w:cs="Times New Roman" w:eastAsia="Times New Roman" w:hAnsi="Times New Roman"/>
          <w:sz w:val="16"/>
          <w:szCs w:val="16"/>
          <w:b w:val="1"/>
          <w:bCs w:val="1"/>
          <w:color w:val="auto"/>
        </w:rPr>
      </w:pPr>
    </w:p>
    <w:p>
      <w:pPr>
        <w:ind w:left="540" w:hanging="504"/>
        <w:spacing w:after="0"/>
        <w:tabs>
          <w:tab w:leader="none" w:pos="54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SECURITIES LAW AND OTHER REGULATORY COMPLIANCE</w:t>
      </w:r>
      <w:r>
        <w:rPr>
          <w:rFonts w:ascii="Times New Roman" w:cs="Times New Roman" w:eastAsia="Times New Roman" w:hAnsi="Times New Roman"/>
          <w:sz w:val="16"/>
          <w:szCs w:val="16"/>
          <w:color w:val="auto"/>
        </w:rPr>
        <w:t>. An Award will not be</w:t>
      </w:r>
    </w:p>
    <w:p>
      <w:pPr>
        <w:ind w:left="40"/>
        <w:spacing w:after="0" w:line="229" w:lineRule="auto"/>
        <w:rPr>
          <w:sz w:val="20"/>
          <w:szCs w:val="20"/>
          <w:color w:val="auto"/>
        </w:rPr>
      </w:pPr>
      <w:r>
        <w:rPr>
          <w:rFonts w:ascii="Times New Roman" w:cs="Times New Roman" w:eastAsia="Times New Roman" w:hAnsi="Times New Roman"/>
          <w:sz w:val="14"/>
          <w:szCs w:val="14"/>
          <w:color w:val="auto"/>
        </w:rPr>
        <w:t>effective unless such Award is in compliance with all 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w:t>
      </w:r>
    </w:p>
    <w:p>
      <w:pPr>
        <w:ind w:left="40"/>
        <w:spacing w:after="0" w:line="229" w:lineRule="auto"/>
        <w:rPr>
          <w:sz w:val="20"/>
          <w:szCs w:val="20"/>
          <w:color w:val="auto"/>
        </w:rPr>
      </w:pPr>
      <w:r>
        <w:rPr>
          <w:rFonts w:ascii="Times New Roman" w:cs="Times New Roman" w:eastAsia="Times New Roman" w:hAnsi="Times New Roman"/>
          <w:sz w:val="14"/>
          <w:szCs w:val="14"/>
          <w:color w:val="auto"/>
        </w:rPr>
        <w:t>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w:t>
      </w:r>
    </w:p>
    <w:p>
      <w:pPr>
        <w:jc w:val="both"/>
        <w:ind w:left="40" w:hanging="4"/>
        <w:spacing w:after="0" w:line="212" w:lineRule="auto"/>
        <w:tabs>
          <w:tab w:leader="none" w:pos="26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47" w:lineRule="exact"/>
        <w:rPr>
          <w:sz w:val="20"/>
          <w:szCs w:val="20"/>
          <w:color w:val="auto"/>
        </w:rPr>
      </w:pPr>
    </w:p>
    <w:p>
      <w:pPr>
        <w:jc w:val="both"/>
        <w:ind w:left="40" w:hanging="4"/>
        <w:spacing w:after="0" w:line="227" w:lineRule="auto"/>
        <w:tabs>
          <w:tab w:leader="none" w:pos="478"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OBLIGATION TO EMPLOY</w:t>
      </w:r>
      <w:r>
        <w:rPr>
          <w:rFonts w:ascii="Times New Roman" w:cs="Times New Roman" w:eastAsia="Times New Roman" w:hAnsi="Times New Roman"/>
          <w:sz w:val="16"/>
          <w:szCs w:val="16"/>
          <w:color w:val="auto"/>
        </w:rPr>
        <w:t>. Nothing in this Plan or any Award granted under this Plan will confer or be deemed to confer on any Participant any right to continue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160"/>
          </w:cols>
          <w:pgMar w:left="340" w:top="1260" w:right="399" w:bottom="1440" w:gutter="0" w:footer="0" w:header="0"/>
        </w:sectPr>
      </w:pPr>
    </w:p>
    <w:bookmarkStart w:id="125" w:name="page126"/>
    <w:bookmarkEnd w:id="125"/>
    <w:p>
      <w:pPr>
        <w:ind w:left="540" w:hanging="504"/>
        <w:spacing w:after="0"/>
        <w:tabs>
          <w:tab w:leader="none" w:pos="54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CORPORATE TRANSACTIONS</w:t>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22.1.</w:t>
      </w:r>
      <w:r>
        <w:rPr>
          <w:sz w:val="20"/>
          <w:szCs w:val="20"/>
          <w:color w:val="auto"/>
        </w:rPr>
        <w:tab/>
      </w:r>
      <w:r>
        <w:rPr>
          <w:rFonts w:ascii="Times New Roman" w:cs="Times New Roman" w:eastAsia="Times New Roman" w:hAnsi="Times New Roman"/>
          <w:sz w:val="14"/>
          <w:szCs w:val="14"/>
          <w:u w:val="single" w:color="auto"/>
          <w:color w:val="auto"/>
        </w:rPr>
        <w:t>Assumption or Replacement of Awards by Successor</w:t>
      </w:r>
      <w:r>
        <w:rPr>
          <w:rFonts w:ascii="Times New Roman" w:cs="Times New Roman" w:eastAsia="Times New Roman" w:hAnsi="Times New Roman"/>
          <w:sz w:val="14"/>
          <w:szCs w:val="14"/>
          <w:color w:val="auto"/>
        </w:rPr>
        <w:t>. In the event of a Corporate Transaction any or all outstanding Awards may be (a) continued by the Company,</w:t>
      </w:r>
    </w:p>
    <w:p>
      <w:pPr>
        <w:ind w:left="40"/>
        <w:spacing w:after="0" w:line="229" w:lineRule="auto"/>
        <w:rPr>
          <w:sz w:val="20"/>
          <w:szCs w:val="20"/>
          <w:color w:val="auto"/>
        </w:rPr>
      </w:pPr>
      <w:r>
        <w:rPr>
          <w:rFonts w:ascii="Times New Roman" w:cs="Times New Roman" w:eastAsia="Times New Roman" w:hAnsi="Times New Roman"/>
          <w:sz w:val="14"/>
          <w:szCs w:val="14"/>
          <w:color w:val="auto"/>
        </w:rPr>
        <w:t>if the Company is the successor entity; or (b) assumed or substituted by the successor corporation, or a parent or subsidiary of the successor corporation, for substantially equivalent Awards (including, but not limited to, an award to acquire the same consideration paid to the stockholders of the Company pursuant to the Corporate Transaction), in</w:t>
      </w:r>
    </w:p>
    <w:p>
      <w:pPr>
        <w:ind w:left="40"/>
        <w:spacing w:after="0" w:line="237" w:lineRule="auto"/>
        <w:rPr>
          <w:sz w:val="20"/>
          <w:szCs w:val="20"/>
          <w:color w:val="auto"/>
        </w:rPr>
      </w:pPr>
      <w:r>
        <w:rPr>
          <w:rFonts w:ascii="Times New Roman" w:cs="Times New Roman" w:eastAsia="Times New Roman" w:hAnsi="Times New Roman"/>
          <w:sz w:val="14"/>
          <w:szCs w:val="14"/>
          <w:color w:val="auto"/>
        </w:rPr>
        <w:t>each case after taking into account appropriate adjustments for the number and kind of shares and exercise prices. In the event such successor corporation refuses to assume or</w:t>
      </w:r>
    </w:p>
    <w:p>
      <w:pPr>
        <w:spacing w:after="0" w:line="1" w:lineRule="exact"/>
        <w:rPr>
          <w:sz w:val="20"/>
          <w:szCs w:val="20"/>
          <w:color w:val="auto"/>
        </w:rPr>
      </w:pP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substitute any Award in accordance with this Section 21, then notwithstanding any other provision in this Plan to the contrary, each such Award shall become fully vested and, as applicable, exercisable and any rights of repurchase or forfeiture restrictions thereon shall lapse, immediately prior to the consummation of the Corporation Transaction.</w:t>
      </w:r>
    </w:p>
    <w:p>
      <w:pPr>
        <w:ind w:left="40"/>
        <w:spacing w:after="0" w:line="217" w:lineRule="auto"/>
        <w:rPr>
          <w:sz w:val="20"/>
          <w:szCs w:val="20"/>
          <w:color w:val="auto"/>
        </w:rPr>
      </w:pPr>
      <w:r>
        <w:rPr>
          <w:rFonts w:ascii="Times New Roman" w:cs="Times New Roman" w:eastAsia="Times New Roman" w:hAnsi="Times New Roman"/>
          <w:sz w:val="16"/>
          <w:szCs w:val="16"/>
          <w:color w:val="auto"/>
        </w:rPr>
        <w:t>Performance Awards not assumed pursuant to the foregoing shall be deemed earned and vested at 100% of target level, unless otherwise indicated pursuant to the terms and conditions of the applicable Award Agreement.</w:t>
      </w:r>
    </w:p>
    <w:p>
      <w:pPr>
        <w:spacing w:after="0" w:line="159" w:lineRule="exact"/>
        <w:rPr>
          <w:sz w:val="20"/>
          <w:szCs w:val="20"/>
          <w:color w:val="auto"/>
        </w:rPr>
      </w:pPr>
    </w:p>
    <w:p>
      <w:pPr>
        <w:ind w:left="40" w:firstLine="509"/>
        <w:spacing w:after="0" w:line="242" w:lineRule="auto"/>
        <w:rPr>
          <w:sz w:val="20"/>
          <w:szCs w:val="20"/>
          <w:color w:val="auto"/>
        </w:rPr>
      </w:pPr>
      <w:r>
        <w:rPr>
          <w:rFonts w:ascii="Times New Roman" w:cs="Times New Roman" w:eastAsia="Times New Roman" w:hAnsi="Times New Roman"/>
          <w:sz w:val="14"/>
          <w:szCs w:val="14"/>
          <w:color w:val="auto"/>
        </w:rPr>
        <w:t>If an Award vests in lieu of assumption or substitution in connection with a Corporate Transaction as provided above, the Committee will notify the holder of such Award in writing or electronically that such Award will be exercisable for a period of time determined by the Committee in its sole discretion, and such Award will terminate upon the</w:t>
      </w:r>
    </w:p>
    <w:p>
      <w:pPr>
        <w:spacing w:after="0" w:line="1" w:lineRule="exact"/>
        <w:rPr>
          <w:sz w:val="20"/>
          <w:szCs w:val="20"/>
          <w:color w:val="auto"/>
        </w:rPr>
      </w:pPr>
    </w:p>
    <w:p>
      <w:pPr>
        <w:ind w:left="40" w:right="20"/>
        <w:spacing w:after="0" w:line="224" w:lineRule="auto"/>
        <w:rPr>
          <w:sz w:val="20"/>
          <w:szCs w:val="20"/>
          <w:color w:val="auto"/>
        </w:rPr>
      </w:pPr>
      <w:r>
        <w:rPr>
          <w:rFonts w:ascii="Times New Roman" w:cs="Times New Roman" w:eastAsia="Times New Roman" w:hAnsi="Times New Roman"/>
          <w:sz w:val="16"/>
          <w:szCs w:val="16"/>
          <w:color w:val="auto"/>
        </w:rPr>
        <w:t>expiration of such period without consideration. Any determinations by the Committee need not treat all outstanding Awards in an identical manner, and shall be final and binding on each applicable Participant.</w:t>
      </w:r>
    </w:p>
    <w:p>
      <w:pPr>
        <w:spacing w:after="0" w:line="146"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22.2. </w:t>
      </w:r>
      <w:r>
        <w:rPr>
          <w:rFonts w:ascii="Times New Roman" w:cs="Times New Roman" w:eastAsia="Times New Roman" w:hAnsi="Times New Roman"/>
          <w:sz w:val="14"/>
          <w:szCs w:val="14"/>
          <w:u w:val="single" w:color="auto"/>
          <w:color w:val="auto"/>
        </w:rPr>
        <w:t>Assumption of Awards by the Company</w:t>
      </w:r>
      <w:r>
        <w:rPr>
          <w:rFonts w:ascii="Times New Roman" w:cs="Times New Roman" w:eastAsia="Times New Roman" w:hAnsi="Times New Roman"/>
          <w:sz w:val="14"/>
          <w:szCs w:val="14"/>
          <w:color w:val="auto"/>
        </w:rPr>
        <w:t>. The Company, from time to time, also may substitute or assume outstanding awards granted by another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whether in connection with an acquisition of such other company or otherwise, by either; (a) granting an Award under this Plan in substitution of such other company’s award; or</w:t>
      </w:r>
    </w:p>
    <w:p>
      <w:pPr>
        <w:jc w:val="both"/>
        <w:ind w:left="40" w:hanging="4"/>
        <w:spacing w:after="0" w:line="208" w:lineRule="auto"/>
        <w:tabs>
          <w:tab w:leader="none" w:pos="26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cs="Times New Roman" w:eastAsia="Times New Roman" w:hAnsi="Times New Roman"/>
          <w:sz w:val="16"/>
          <w:szCs w:val="16"/>
          <w:u w:val="single" w:color="auto"/>
          <w:color w:val="auto"/>
        </w:rPr>
        <w:t>except</w:t>
      </w:r>
      <w:r>
        <w:rPr>
          <w:rFonts w:ascii="Times New Roman" w:cs="Times New Roman" w:eastAsia="Times New Roman" w:hAnsi="Times New Roman"/>
          <w:sz w:val="16"/>
          <w:szCs w:val="16"/>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w:t>
      </w:r>
    </w:p>
    <w:p>
      <w:pPr>
        <w:spacing w:after="0" w:line="158"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22.3. </w:t>
      </w:r>
      <w:r>
        <w:rPr>
          <w:rFonts w:ascii="Times New Roman" w:cs="Times New Roman" w:eastAsia="Times New Roman" w:hAnsi="Times New Roman"/>
          <w:sz w:val="14"/>
          <w:szCs w:val="14"/>
          <w:u w:val="single" w:color="auto"/>
          <w:color w:val="auto"/>
        </w:rPr>
        <w:t>Non-Employee Directors’ Awards</w:t>
      </w:r>
      <w:r>
        <w:rPr>
          <w:rFonts w:ascii="Times New Roman" w:cs="Times New Roman" w:eastAsia="Times New Roman" w:hAnsi="Times New Roman"/>
          <w:sz w:val="14"/>
          <w:szCs w:val="14"/>
          <w:color w:val="auto"/>
        </w:rPr>
        <w:t>. Notwithstanding any provision to the contrary herein, in the event of a Corporate Transaction, the vesting of all Awards granted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Non-Employee Directors will accelerate and such Awards will become exercisable (as applicable) in full prior to the consummation of such event at such times and on such</w:t>
      </w:r>
    </w:p>
    <w:p>
      <w:pPr>
        <w:ind w:left="40"/>
        <w:spacing w:after="0"/>
        <w:rPr>
          <w:sz w:val="20"/>
          <w:szCs w:val="20"/>
          <w:color w:val="auto"/>
        </w:rPr>
      </w:pPr>
      <w:r>
        <w:rPr>
          <w:rFonts w:ascii="Times New Roman" w:cs="Times New Roman" w:eastAsia="Times New Roman" w:hAnsi="Times New Roman"/>
          <w:sz w:val="16"/>
          <w:szCs w:val="16"/>
          <w:color w:val="auto"/>
        </w:rPr>
        <w:t>conditions as the Committee determines.</w:t>
      </w:r>
    </w:p>
    <w:p>
      <w:pPr>
        <w:spacing w:after="0" w:line="146" w:lineRule="exact"/>
        <w:rPr>
          <w:sz w:val="20"/>
          <w:szCs w:val="20"/>
          <w:color w:val="auto"/>
        </w:rPr>
      </w:pPr>
    </w:p>
    <w:p>
      <w:pPr>
        <w:ind w:left="40" w:hanging="4"/>
        <w:spacing w:after="0" w:line="237" w:lineRule="auto"/>
        <w:tabs>
          <w:tab w:leader="none" w:pos="478"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ADOPTION AND STOCKHOLDER APPROVAL</w:t>
      </w:r>
      <w:r>
        <w:rPr>
          <w:rFonts w:ascii="Times New Roman" w:cs="Times New Roman" w:eastAsia="Times New Roman" w:hAnsi="Times New Roman"/>
          <w:sz w:val="16"/>
          <w:szCs w:val="16"/>
          <w:color w:val="auto"/>
        </w:rPr>
        <w:t>. This Plan will be submitted for the approval of the Company’s stockholders, consistent with applicable laws, within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twelve (12) months before or after the date this Plan is adopted by the Board.</w:t>
      </w:r>
    </w:p>
    <w:p>
      <w:pPr>
        <w:spacing w:after="0" w:line="145" w:lineRule="exact"/>
        <w:rPr>
          <w:rFonts w:ascii="Times New Roman" w:cs="Times New Roman" w:eastAsia="Times New Roman" w:hAnsi="Times New Roman"/>
          <w:sz w:val="16"/>
          <w:szCs w:val="16"/>
          <w:b w:val="1"/>
          <w:bCs w:val="1"/>
          <w:color w:val="auto"/>
        </w:rPr>
      </w:pPr>
    </w:p>
    <w:p>
      <w:pPr>
        <w:jc w:val="both"/>
        <w:ind w:left="40" w:hanging="4"/>
        <w:spacing w:after="0" w:line="227" w:lineRule="auto"/>
        <w:tabs>
          <w:tab w:leader="none" w:pos="478"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 OF PLAN/GOVERNING LAW</w:t>
      </w:r>
      <w:r>
        <w:rPr>
          <w:rFonts w:ascii="Times New Roman" w:cs="Times New Roman" w:eastAsia="Times New Roman" w:hAnsi="Times New Roman"/>
          <w:sz w:val="16"/>
          <w:szCs w:val="16"/>
          <w:color w:val="auto"/>
        </w:rPr>
        <w:t>. Unless earlier terminated as provided herein, this Plan will become effective on the Effective Date and will terminate ten (10)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years from the date this Plan is adopted by the Board. This Plan and all Awards granted hereunder will be governed by and construed in accordance with the laws of the State of Delaware (excluding its conflict of laws rules).</w:t>
      </w:r>
    </w:p>
    <w:p>
      <w:pPr>
        <w:spacing w:after="0" w:line="8" w:lineRule="exact"/>
        <w:rPr>
          <w:rFonts w:ascii="Times New Roman" w:cs="Times New Roman" w:eastAsia="Times New Roman" w:hAnsi="Times New Roman"/>
          <w:sz w:val="16"/>
          <w:szCs w:val="16"/>
          <w:b w:val="1"/>
          <w:bCs w:val="1"/>
          <w:color w:val="auto"/>
        </w:rPr>
      </w:pPr>
    </w:p>
    <w:p>
      <w:pPr>
        <w:jc w:val="both"/>
        <w:ind w:left="40" w:hanging="4"/>
        <w:spacing w:after="0" w:line="213" w:lineRule="auto"/>
        <w:tabs>
          <w:tab w:leader="none" w:pos="478"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OR TERMINATION OF PLAN</w:t>
      </w:r>
      <w:r>
        <w:rPr>
          <w:rFonts w:ascii="Times New Roman" w:cs="Times New Roman" w:eastAsia="Times New Roman" w:hAnsi="Times New Roman"/>
          <w:sz w:val="16"/>
          <w:szCs w:val="16"/>
          <w:color w:val="auto"/>
        </w:rPr>
        <w:t>. The Board may at any time terminate or amend this Plan in any respect, including, without limitation, amendment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any form of Award Agreement or instrument to be executed pursuant to this Plan;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Board will not, without the approval of the stockholders of the Company, amend this Plan in any manner that requires such stockholder approval;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that a Participant’s Award will be governed by the version of this Plan then in effect at the time such Award was granted. No termination or amendment of the Plan or any outstanding Award may adversely affect any then outstanding Award without the consent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160"/>
          </w:cols>
          <w:pgMar w:left="340" w:top="1265" w:right="399"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6"/>
          <w:szCs w:val="16"/>
          <w:color w:val="auto"/>
        </w:rPr>
        <w:t>Participant, unless such termination or amendment is necessary to comply with applicable law, regulation or rule.</w:t>
      </w:r>
    </w:p>
    <w:p>
      <w:pPr>
        <w:spacing w:after="0" w:line="164" w:lineRule="exact"/>
        <w:rPr>
          <w:sz w:val="20"/>
          <w:szCs w:val="20"/>
          <w:color w:val="auto"/>
        </w:rPr>
      </w:pPr>
    </w:p>
    <w:p>
      <w:pPr>
        <w:jc w:val="both"/>
        <w:ind w:left="40" w:hanging="4"/>
        <w:spacing w:after="0" w:line="218" w:lineRule="auto"/>
        <w:tabs>
          <w:tab w:leader="none" w:pos="478"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NONEXCLUSIVITY OF THE PLAN</w:t>
      </w:r>
      <w:r>
        <w:rPr>
          <w:rFonts w:ascii="Times New Roman" w:cs="Times New Roman" w:eastAsia="Times New Roman" w:hAnsi="Times New Roman"/>
          <w:sz w:val="16"/>
          <w:szCs w:val="16"/>
          <w:color w:val="auto"/>
        </w:rPr>
        <w:t>. Neither the adoption of this Plan by the Board, the submission of this Plan to the stockholders of the Company for approval, nor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48" w:lineRule="exact"/>
        <w:rPr>
          <w:rFonts w:ascii="Times New Roman" w:cs="Times New Roman" w:eastAsia="Times New Roman" w:hAnsi="Times New Roman"/>
          <w:sz w:val="16"/>
          <w:szCs w:val="16"/>
          <w:b w:val="1"/>
          <w:bCs w:val="1"/>
          <w:color w:val="auto"/>
        </w:rPr>
      </w:pPr>
    </w:p>
    <w:p>
      <w:pPr>
        <w:jc w:val="both"/>
        <w:ind w:left="40" w:hanging="4"/>
        <w:spacing w:after="0" w:line="222" w:lineRule="auto"/>
        <w:tabs>
          <w:tab w:leader="none" w:pos="478"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INSIDER TRADING POLICY</w:t>
      </w:r>
      <w:r>
        <w:rPr>
          <w:rFonts w:ascii="Times New Roman" w:cs="Times New Roman" w:eastAsia="Times New Roman" w:hAnsi="Times New Roman"/>
          <w:sz w:val="16"/>
          <w:szCs w:val="16"/>
          <w:color w:val="auto"/>
        </w:rPr>
        <w:t>. Each Participant who receives an Award will comply with any policy adopted by the Company from time to time covering transactions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Company’s securities by Employees, officers and/or directors of the Company, as well as with any applicable insider trading or market abuse laws to which the Participant may be subject.</w:t>
      </w:r>
    </w:p>
    <w:p>
      <w:pPr>
        <w:spacing w:after="0" w:line="168" w:lineRule="exact"/>
        <w:rPr>
          <w:rFonts w:ascii="Times New Roman" w:cs="Times New Roman" w:eastAsia="Times New Roman" w:hAnsi="Times New Roman"/>
          <w:sz w:val="16"/>
          <w:szCs w:val="16"/>
          <w:b w:val="1"/>
          <w:bCs w:val="1"/>
          <w:color w:val="auto"/>
        </w:rPr>
      </w:pPr>
    </w:p>
    <w:p>
      <w:pPr>
        <w:ind w:left="540" w:hanging="504"/>
        <w:spacing w:after="0"/>
        <w:tabs>
          <w:tab w:leader="none" w:pos="54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ALL AWARDS SUBJECT TO COMPANY CLAWBACK OR RECOUPMENT POLICY</w:t>
      </w:r>
      <w:r>
        <w:rPr>
          <w:rFonts w:ascii="Times New Roman" w:cs="Times New Roman" w:eastAsia="Times New Roman" w:hAnsi="Times New Roman"/>
          <w:sz w:val="16"/>
          <w:szCs w:val="16"/>
          <w:color w:val="auto"/>
        </w:rPr>
        <w:t>.</w:t>
      </w:r>
    </w:p>
    <w:p>
      <w:pPr>
        <w:spacing w:after="0" w:line="6" w:lineRule="exact"/>
        <w:rPr>
          <w:sz w:val="20"/>
          <w:szCs w:val="20"/>
          <w:color w:val="auto"/>
        </w:rPr>
      </w:pPr>
    </w:p>
    <w:p>
      <w:pPr>
        <w:ind w:left="40" w:firstLine="39"/>
        <w:spacing w:after="0" w:line="229" w:lineRule="auto"/>
        <w:rPr>
          <w:sz w:val="20"/>
          <w:szCs w:val="20"/>
          <w:color w:val="auto"/>
        </w:rPr>
      </w:pPr>
      <w:r>
        <w:rPr>
          <w:rFonts w:ascii="Times New Roman" w:cs="Times New Roman" w:eastAsia="Times New Roman" w:hAnsi="Times New Roman"/>
          <w:sz w:val="14"/>
          <w:szCs w:val="14"/>
          <w:color w:val="auto"/>
        </w:rPr>
        <w:t>All Awards, subject to applicable law, shall be subject to clawback or recoupment pursuant to any compensation clawback or recoupment policy adopted by the Board or required by law during the term of Participant’s employment or other service with the Company that is applicable to Employees, Directors or other service providers of the Company, and</w:t>
      </w:r>
    </w:p>
    <w:p>
      <w:pPr>
        <w:ind w:left="40" w:right="20"/>
        <w:spacing w:after="0" w:line="224" w:lineRule="auto"/>
        <w:rPr>
          <w:sz w:val="20"/>
          <w:szCs w:val="20"/>
          <w:color w:val="auto"/>
        </w:rPr>
      </w:pPr>
      <w:r>
        <w:rPr>
          <w:rFonts w:ascii="Times New Roman" w:cs="Times New Roman" w:eastAsia="Times New Roman" w:hAnsi="Times New Roman"/>
          <w:sz w:val="16"/>
          <w:szCs w:val="16"/>
          <w:color w:val="auto"/>
        </w:rPr>
        <w:t>in addition to any other remedies available under such policy and applicable law, may require the cancellation of outstanding Awards and the recoupment of any gains realized with respect to Awards.</w:t>
      </w:r>
    </w:p>
    <w:p>
      <w:pPr>
        <w:spacing w:after="0" w:line="146" w:lineRule="exact"/>
        <w:rPr>
          <w:sz w:val="20"/>
          <w:szCs w:val="20"/>
          <w:color w:val="auto"/>
        </w:rPr>
      </w:pPr>
    </w:p>
    <w:p>
      <w:pPr>
        <w:ind w:left="480" w:hanging="444"/>
        <w:spacing w:after="0"/>
        <w:tabs>
          <w:tab w:leader="none" w:pos="48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DEFINITIONS</w:t>
      </w:r>
      <w:r>
        <w:rPr>
          <w:rFonts w:ascii="Times New Roman" w:cs="Times New Roman" w:eastAsia="Times New Roman" w:hAnsi="Times New Roman"/>
          <w:sz w:val="16"/>
          <w:szCs w:val="16"/>
          <w:color w:val="auto"/>
        </w:rPr>
        <w:t>. As used in this Plan, and except as elsewhere defined herein, the following terms will have the following meanings:</w:t>
      </w:r>
    </w:p>
    <w:p>
      <w:pPr>
        <w:spacing w:after="0" w:line="161"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29.1.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means any person or entity that directly or indirectly through one or more intermediaries controls, or is controlled by, or is under common control with,</w:t>
      </w:r>
    </w:p>
    <w:p>
      <w:pPr>
        <w:ind w:left="40"/>
        <w:spacing w:after="0" w:line="200" w:lineRule="auto"/>
        <w:rPr>
          <w:sz w:val="20"/>
          <w:szCs w:val="20"/>
          <w:color w:val="auto"/>
        </w:rPr>
      </w:pPr>
      <w:r>
        <w:rPr>
          <w:rFonts w:ascii="Times New Roman" w:cs="Times New Roman" w:eastAsia="Times New Roman" w:hAnsi="Times New Roman"/>
          <w:sz w:val="16"/>
          <w:szCs w:val="16"/>
          <w:color w:val="auto"/>
        </w:rPr>
        <w:t>the Company, including any general partner, managing member, officer or director of the Company, in each case as of the date on which, or at any time during the period for which, the determination of affiliation is being made. For purposes of this definition, the term “control” (including the correlative meanings of the terms “controlled by” and</w:t>
      </w:r>
    </w:p>
    <w:p>
      <w:pPr>
        <w:spacing w:after="0" w:line="1" w:lineRule="exact"/>
        <w:rPr>
          <w:sz w:val="20"/>
          <w:szCs w:val="20"/>
          <w:color w:val="auto"/>
        </w:rPr>
      </w:pPr>
    </w:p>
    <w:p>
      <w:pPr>
        <w:ind w:left="40" w:right="20"/>
        <w:spacing w:after="0" w:line="224" w:lineRule="auto"/>
        <w:rPr>
          <w:sz w:val="20"/>
          <w:szCs w:val="20"/>
          <w:color w:val="auto"/>
        </w:rPr>
      </w:pPr>
      <w:r>
        <w:rPr>
          <w:rFonts w:ascii="Times New Roman" w:cs="Times New Roman" w:eastAsia="Times New Roman" w:hAnsi="Times New Roman"/>
          <w:sz w:val="16"/>
          <w:szCs w:val="16"/>
          <w:color w:val="auto"/>
        </w:rPr>
        <w:t>“under common control with”), as used with respect to any person or entity, means the possession, directly or indirectly, of the power to direct or cause the direction of the management policies of such person or entity, whether through the ownership of voting securities or by contract or otherwise.</w:t>
      </w:r>
    </w:p>
    <w:p>
      <w:pPr>
        <w:spacing w:after="0" w:line="141"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29.2.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Award</w:t>
      </w:r>
      <w:r>
        <w:rPr>
          <w:rFonts w:ascii="Times New Roman" w:cs="Times New Roman" w:eastAsia="Times New Roman" w:hAnsi="Times New Roman"/>
          <w:sz w:val="14"/>
          <w:szCs w:val="14"/>
          <w:color w:val="auto"/>
        </w:rPr>
        <w:t>” means any award under the Plan, including any Option, Restricted Stock, Stock Bonus, Stock Appreciation Right, Restricted stock Unit or Performance</w:t>
      </w:r>
    </w:p>
    <w:p>
      <w:pPr>
        <w:ind w:left="40"/>
        <w:spacing w:after="0"/>
        <w:rPr>
          <w:sz w:val="20"/>
          <w:szCs w:val="20"/>
          <w:color w:val="auto"/>
        </w:rPr>
      </w:pPr>
      <w:r>
        <w:rPr>
          <w:rFonts w:ascii="Times New Roman" w:cs="Times New Roman" w:eastAsia="Times New Roman" w:hAnsi="Times New Roman"/>
          <w:sz w:val="16"/>
          <w:szCs w:val="16"/>
          <w:color w:val="auto"/>
        </w:rPr>
        <w:t>Award.</w:t>
      </w:r>
    </w:p>
    <w:p>
      <w:pPr>
        <w:spacing w:after="0" w:line="141"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29.3.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Award Agreement</w:t>
      </w:r>
      <w:r>
        <w:rPr>
          <w:rFonts w:ascii="Times New Roman" w:cs="Times New Roman" w:eastAsia="Times New Roman" w:hAnsi="Times New Roman"/>
          <w:sz w:val="14"/>
          <w:szCs w:val="14"/>
          <w:color w:val="auto"/>
        </w:rPr>
        <w:t>” means, with respect to each Award, the written or electronic agreement between the Company and the Participant setting forth the terms and</w:t>
      </w:r>
    </w:p>
    <w:p>
      <w:pPr>
        <w:ind w:left="40"/>
        <w:spacing w:after="0" w:line="229" w:lineRule="auto"/>
        <w:rPr>
          <w:sz w:val="20"/>
          <w:szCs w:val="20"/>
          <w:color w:val="auto"/>
        </w:rPr>
      </w:pPr>
      <w:r>
        <w:rPr>
          <w:rFonts w:ascii="Times New Roman" w:cs="Times New Roman" w:eastAsia="Times New Roman" w:hAnsi="Times New Roman"/>
          <w:sz w:val="14"/>
          <w:szCs w:val="14"/>
          <w:color w:val="auto"/>
        </w:rPr>
        <w:t>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w:t>
      </w:r>
    </w:p>
    <w:p>
      <w:pPr>
        <w:ind w:left="40"/>
        <w:spacing w:after="0"/>
        <w:rPr>
          <w:sz w:val="20"/>
          <w:szCs w:val="20"/>
          <w:color w:val="auto"/>
        </w:rPr>
      </w:pPr>
      <w:r>
        <w:rPr>
          <w:rFonts w:ascii="Times New Roman" w:cs="Times New Roman" w:eastAsia="Times New Roman" w:hAnsi="Times New Roman"/>
          <w:sz w:val="16"/>
          <w:szCs w:val="16"/>
          <w:color w:val="auto"/>
        </w:rPr>
        <w:t>with and be subject to the terms and conditions of this Plan.</w:t>
      </w:r>
    </w:p>
    <w:p>
      <w:pPr>
        <w:spacing w:after="0" w:line="14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29.4.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means the Board of Directors of the Company.</w:t>
      </w:r>
    </w:p>
    <w:p>
      <w:pPr>
        <w:spacing w:after="0" w:line="177" w:lineRule="exact"/>
        <w:rPr>
          <w:sz w:val="20"/>
          <w:szCs w:val="20"/>
          <w:color w:val="auto"/>
        </w:rPr>
      </w:pPr>
    </w:p>
    <w:p>
      <w:pPr>
        <w:jc w:val="both"/>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29.5.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Cause</w:t>
      </w:r>
      <w:r>
        <w:rPr>
          <w:rFonts w:ascii="Times New Roman" w:cs="Times New Roman" w:eastAsia="Times New Roman" w:hAnsi="Times New Roman"/>
          <w:sz w:val="14"/>
          <w:szCs w:val="14"/>
          <w:color w:val="auto"/>
        </w:rPr>
        <w:t>” means a determination by the Company (and in the case of Participant who is subject to Section 16 of the Exchange Act, the Committee) that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Participant has committed an act or acts constituting any of the following: (a) dishonesty, fraud, misconduct or negligence in connection with Participant’s duties to the Company,</w:t>
      </w:r>
    </w:p>
    <w:p>
      <w:pPr>
        <w:jc w:val="both"/>
        <w:ind w:left="40" w:hanging="4"/>
        <w:spacing w:after="0" w:line="242" w:lineRule="auto"/>
        <w:tabs>
          <w:tab w:leader="none" w:pos="263"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unauthorized disclosure or use of the Company’s confidential or proprietary information, (c) misappropriation of a business opportunity of the Company, (d) materially aiding Company competitor, (e) a felony conviction, (f) failure or refusal to attend to the duties or obligations of the Participant’s position (g) violation or breach of, or failure to comply with, the Company’s code of ethics or conduct, any of the Company’s rules, policies or procedures applicable to the Participant or any agreement in effect between the Company and the Participant or (h) other conduct by such Participant that could be expected to be harmful to the business, interests or reputation of the Company. The determination as to whether Cause for a Participant’s termination exists will be made in good faith by the Company and will be final and binding on the Participant. This definition does not 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160"/>
          </w:cols>
          <w:pgMar w:left="340" w:top="1128" w:right="399" w:bottom="1440" w:gutter="0" w:footer="0" w:header="0"/>
        </w:sectPr>
      </w:pPr>
    </w:p>
    <w:bookmarkStart w:id="127" w:name="page128"/>
    <w:bookmarkEnd w:id="127"/>
    <w:p>
      <w:pPr>
        <w:jc w:val="both"/>
        <w:ind w:left="40"/>
        <w:spacing w:after="0" w:line="226" w:lineRule="auto"/>
        <w:rPr>
          <w:sz w:val="20"/>
          <w:szCs w:val="20"/>
          <w:color w:val="auto"/>
        </w:rPr>
      </w:pPr>
      <w:r>
        <w:rPr>
          <w:rFonts w:ascii="Times New Roman" w:cs="Times New Roman" w:eastAsia="Times New Roman" w:hAnsi="Times New Roman"/>
          <w:sz w:val="16"/>
          <w:szCs w:val="16"/>
          <w:color w:val="auto"/>
        </w:rPr>
        <w:t>any way limit the Company’s or any Parent’s or Subsidiary’s ability to terminate a Participant’s employment or services at any time as provided in Section 20 above. Notwithstanding the foregoing, the foregoing definition of “Cause” may, in part or in whole, be modified or replaced in each individual employment agreement, Award Agreement, or other applicable agreement with any Participant provided that such document specifically supersedes this definition.</w:t>
      </w:r>
    </w:p>
    <w:p>
      <w:pPr>
        <w:spacing w:after="0" w:line="147"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29.6.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means the United States Internal Revenue Code of 1986, as amended, and the regulations promulgated thereunder.</w:t>
      </w:r>
    </w:p>
    <w:p>
      <w:pPr>
        <w:spacing w:after="0" w:line="166" w:lineRule="exact"/>
        <w:rPr>
          <w:sz w:val="20"/>
          <w:szCs w:val="20"/>
          <w:color w:val="auto"/>
        </w:rPr>
      </w:pPr>
    </w:p>
    <w:p>
      <w:pPr>
        <w:jc w:val="both"/>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Committee</w:t>
      </w:r>
      <w:r>
        <w:rPr>
          <w:rFonts w:ascii="Times New Roman" w:cs="Times New Roman" w:eastAsia="Times New Roman" w:hAnsi="Times New Roman"/>
          <w:sz w:val="16"/>
          <w:szCs w:val="16"/>
          <w:color w:val="auto"/>
        </w:rPr>
        <w:t>” means the Compensation Committee of the Board or those persons to whom administration of the Plan, or part of the Plan, has been delegated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by law.</w:t>
      </w:r>
    </w:p>
    <w:p>
      <w:pPr>
        <w:spacing w:after="0" w:line="146"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29.8.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means Peloton Interactive, Inc., a Delaware corporation, or any successor corporation.</w:t>
      </w:r>
    </w:p>
    <w:p>
      <w:pPr>
        <w:spacing w:after="0" w:line="166" w:lineRule="exact"/>
        <w:rPr>
          <w:sz w:val="20"/>
          <w:szCs w:val="20"/>
          <w:color w:val="auto"/>
        </w:rPr>
      </w:pPr>
    </w:p>
    <w:p>
      <w:pPr>
        <w:jc w:val="both"/>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Consultant</w:t>
      </w:r>
      <w:r>
        <w:rPr>
          <w:rFonts w:ascii="Times New Roman" w:cs="Times New Roman" w:eastAsia="Times New Roman" w:hAnsi="Times New Roman"/>
          <w:sz w:val="16"/>
          <w:szCs w:val="16"/>
          <w:color w:val="auto"/>
        </w:rPr>
        <w:t>” means any natural person, including an advisor or independent contractor, engaged by the Company or a Parent, Subsidiary or Affiliate to render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services to such entity.</w:t>
      </w:r>
    </w:p>
    <w:p>
      <w:pPr>
        <w:spacing w:after="0" w:line="146" w:lineRule="exact"/>
        <w:rPr>
          <w:sz w:val="20"/>
          <w:szCs w:val="20"/>
          <w:color w:val="auto"/>
        </w:rPr>
      </w:pPr>
    </w:p>
    <w:p>
      <w:pPr>
        <w:jc w:val="both"/>
        <w:ind w:left="40"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29.10.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Transaction</w:t>
      </w:r>
      <w:r>
        <w:rPr>
          <w:rFonts w:ascii="Times New Roman" w:cs="Times New Roman" w:eastAsia="Times New Roman" w:hAnsi="Times New Roman"/>
          <w:sz w:val="14"/>
          <w:szCs w:val="14"/>
          <w:color w:val="auto"/>
        </w:rPr>
        <w:t>” means the occurrence of any of the following events: (a) any “Person” (as such term is used in Sections 13(d) and 14(d) of the Exchange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Act) becomes the “beneficial owner” (as defined in Rule 13d-3 of the Exchange Act), directly or indirectly, of securities of the Company representing more than fifty percent</w:t>
      </w: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w:t>
      </w:r>
    </w:p>
    <w:p>
      <w:pPr>
        <w:ind w:left="40"/>
        <w:spacing w:after="0" w:line="237" w:lineRule="auto"/>
        <w:rPr>
          <w:sz w:val="20"/>
          <w:szCs w:val="20"/>
          <w:color w:val="auto"/>
        </w:rPr>
      </w:pPr>
      <w:r>
        <w:rPr>
          <w:rFonts w:ascii="Times New Roman" w:cs="Times New Roman" w:eastAsia="Times New Roman" w:hAnsi="Times New Roman"/>
          <w:sz w:val="14"/>
          <w:szCs w:val="14"/>
          <w:color w:val="auto"/>
        </w:rPr>
        <w:t>Corporate Transaction; (b) the consummation of the sale or disposition by the Company of all or substantially all of the Company’s assets; (c) the consummation of a merger or</w:t>
      </w:r>
    </w:p>
    <w:p>
      <w:pPr>
        <w:spacing w:after="0" w:line="1" w:lineRule="exact"/>
        <w:rPr>
          <w:sz w:val="20"/>
          <w:szCs w:val="20"/>
          <w:color w:val="auto"/>
        </w:rPr>
      </w:pP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w:t>
      </w:r>
    </w:p>
    <w:p>
      <w:pPr>
        <w:ind w:left="40"/>
        <w:spacing w:after="0" w:line="237" w:lineRule="auto"/>
        <w:rPr>
          <w:sz w:val="20"/>
          <w:szCs w:val="20"/>
          <w:color w:val="auto"/>
        </w:rPr>
      </w:pPr>
      <w:r>
        <w:rPr>
          <w:rFonts w:ascii="Times New Roman" w:cs="Times New Roman" w:eastAsia="Times New Roman" w:hAnsi="Times New Roman"/>
          <w:sz w:val="14"/>
          <w:szCs w:val="14"/>
          <w:color w:val="auto"/>
        </w:rPr>
        <w:t>percent (50%) of the total voting power represented by the voting securities of the Company or such surviving entity or its parent outstanding immediately after such merger or</w:t>
      </w:r>
    </w:p>
    <w:p>
      <w:pPr>
        <w:spacing w:after="0" w:line="1" w:lineRule="exact"/>
        <w:rPr>
          <w:sz w:val="20"/>
          <w:szCs w:val="20"/>
          <w:color w:val="auto"/>
        </w:rPr>
      </w:pP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Company) or (e) a change in the effective</w:t>
      </w:r>
    </w:p>
    <w:p>
      <w:pPr>
        <w:ind w:left="40"/>
        <w:spacing w:after="0" w:line="208" w:lineRule="auto"/>
        <w:rPr>
          <w:sz w:val="20"/>
          <w:szCs w:val="20"/>
          <w:color w:val="auto"/>
        </w:rPr>
      </w:pPr>
      <w:r>
        <w:rPr>
          <w:rFonts w:ascii="Times New Roman" w:cs="Times New Roman" w:eastAsia="Times New Roman" w:hAnsi="Times New Roman"/>
          <w:sz w:val="16"/>
          <w:szCs w:val="16"/>
          <w:color w:val="auto"/>
        </w:rPr>
        <w:t>control of the Company that occurs on the date that a majority of members of the Board is replaced during any twelve (12) month period by members of the Board whose</w:t>
      </w:r>
    </w:p>
    <w:p>
      <w:pPr>
        <w:jc w:val="both"/>
        <w:ind w:left="40"/>
        <w:spacing w:after="0" w:line="229" w:lineRule="auto"/>
        <w:rPr>
          <w:sz w:val="20"/>
          <w:szCs w:val="20"/>
          <w:color w:val="auto"/>
        </w:rPr>
      </w:pPr>
      <w:r>
        <w:rPr>
          <w:rFonts w:ascii="Times New Roman" w:cs="Times New Roman" w:eastAsia="Times New Roman" w:hAnsi="Times New Roman"/>
          <w:sz w:val="14"/>
          <w:szCs w:val="14"/>
          <w:color w:val="auto"/>
        </w:rPr>
        <w:t>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ind w:left="40"/>
        <w:spacing w:after="0" w:line="208" w:lineRule="auto"/>
        <w:rPr>
          <w:sz w:val="20"/>
          <w:szCs w:val="20"/>
          <w:color w:val="auto"/>
        </w:rPr>
      </w:pPr>
      <w:r>
        <w:rPr>
          <w:rFonts w:ascii="Times New Roman" w:cs="Times New Roman" w:eastAsia="Times New Roman" w:hAnsi="Times New Roman"/>
          <w:sz w:val="16"/>
          <w:szCs w:val="16"/>
          <w:color w:val="auto"/>
        </w:rPr>
        <w:t>For purposes of this definition, Persons will be considered to be acting as a group if they are owners of a corporation that enters into a merger, consolidation, purchase or</w:t>
      </w:r>
    </w:p>
    <w:p>
      <w:pPr>
        <w:jc w:val="both"/>
        <w:ind w:left="40"/>
        <w:spacing w:after="0" w:line="200" w:lineRule="auto"/>
        <w:rPr>
          <w:sz w:val="20"/>
          <w:szCs w:val="20"/>
          <w:color w:val="auto"/>
        </w:rPr>
      </w:pPr>
      <w:r>
        <w:rPr>
          <w:rFonts w:ascii="Times New Roman" w:cs="Times New Roman" w:eastAsia="Times New Roman" w:hAnsi="Times New Roman"/>
          <w:sz w:val="16"/>
          <w:szCs w:val="16"/>
          <w:color w:val="auto"/>
        </w:rPr>
        <w:t>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w:t>
      </w:r>
    </w:p>
    <w:p>
      <w:pPr>
        <w:ind w:left="40"/>
        <w:spacing w:after="0"/>
        <w:rPr>
          <w:sz w:val="20"/>
          <w:szCs w:val="20"/>
          <w:color w:val="auto"/>
        </w:rPr>
      </w:pPr>
      <w:r>
        <w:rPr>
          <w:rFonts w:ascii="Times New Roman" w:cs="Times New Roman" w:eastAsia="Times New Roman" w:hAnsi="Times New Roman"/>
          <w:sz w:val="14"/>
          <w:szCs w:val="14"/>
          <w:color w:val="auto"/>
        </w:rPr>
        <w:t>constituting a Corporate Transaction would also qualify as a change in ownership or effective control of the Company or a change in the ownership of a substantial portion of the</w:t>
      </w:r>
    </w:p>
    <w:p>
      <w:pPr>
        <w:jc w:val="both"/>
        <w:ind w:left="40"/>
        <w:spacing w:after="0" w:line="217" w:lineRule="auto"/>
        <w:rPr>
          <w:sz w:val="20"/>
          <w:szCs w:val="20"/>
          <w:color w:val="auto"/>
        </w:rPr>
      </w:pPr>
      <w:r>
        <w:rPr>
          <w:rFonts w:ascii="Times New Roman" w:cs="Times New Roman" w:eastAsia="Times New Roman" w:hAnsi="Times New Roman"/>
          <w:sz w:val="16"/>
          <w:szCs w:val="16"/>
          <w:color w:val="auto"/>
        </w:rPr>
        <w:t>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Director</w:t>
      </w:r>
      <w:r>
        <w:rPr>
          <w:rFonts w:ascii="Times New Roman" w:cs="Times New Roman" w:eastAsia="Times New Roman" w:hAnsi="Times New Roman"/>
          <w:sz w:val="16"/>
          <w:szCs w:val="16"/>
          <w:color w:val="auto"/>
        </w:rPr>
        <w:t>” means a member of the Board.</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 xml:space="preserve">29.12.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Disability</w:t>
      </w:r>
      <w:r>
        <w:rPr>
          <w:rFonts w:ascii="Times New Roman" w:cs="Times New Roman" w:eastAsia="Times New Roman" w:hAnsi="Times New Roman"/>
          <w:sz w:val="14"/>
          <w:szCs w:val="14"/>
          <w:color w:val="auto"/>
        </w:rPr>
        <w:t>” means in the case of incentive stock options, total and permanent disability as defined in Section 22(e)(3) of the Code and in the case of other Awards,</w:t>
      </w:r>
    </w:p>
    <w:p>
      <w:pPr>
        <w:spacing w:after="0" w:line="18" w:lineRule="exact"/>
        <w:rPr>
          <w:sz w:val="20"/>
          <w:szCs w:val="20"/>
          <w:color w:val="auto"/>
        </w:rPr>
      </w:pPr>
    </w:p>
    <w:p>
      <w:pPr>
        <w:jc w:val="both"/>
        <w:ind w:left="40"/>
        <w:spacing w:after="0" w:line="217" w:lineRule="auto"/>
        <w:rPr>
          <w:sz w:val="20"/>
          <w:szCs w:val="20"/>
          <w:color w:val="auto"/>
        </w:rPr>
      </w:pPr>
      <w:r>
        <w:rPr>
          <w:rFonts w:ascii="Times New Roman" w:cs="Times New Roman" w:eastAsia="Times New Roman" w:hAnsi="Times New Roman"/>
          <w:sz w:val="16"/>
          <w:szCs w:val="16"/>
          <w:color w:val="auto"/>
        </w:rPr>
        <w:t>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160"/>
          </w:cols>
          <w:pgMar w:left="340" w:top="1065" w:right="399" w:bottom="1440" w:gutter="0" w:footer="0" w:header="0"/>
        </w:sectPr>
      </w:pPr>
    </w:p>
    <w:bookmarkStart w:id="128" w:name="page129"/>
    <w:bookmarkEnd w:id="128"/>
    <w:p>
      <w:pPr>
        <w:jc w:val="both"/>
        <w:ind w:left="40" w:firstLine="509"/>
        <w:spacing w:after="0" w:line="227" w:lineRule="auto"/>
        <w:rPr>
          <w:sz w:val="20"/>
          <w:szCs w:val="20"/>
          <w:color w:val="auto"/>
        </w:rPr>
      </w:pPr>
      <w:r>
        <w:rPr>
          <w:rFonts w:ascii="Times New Roman" w:cs="Times New Roman" w:eastAsia="Times New Roman" w:hAnsi="Times New Roman"/>
          <w:sz w:val="16"/>
          <w:szCs w:val="16"/>
          <w:b w:val="1"/>
          <w:bCs w:val="1"/>
          <w:color w:val="auto"/>
        </w:rPr>
        <w:t xml:space="preserve">29.13.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Dividend Equivalent Right</w:t>
      </w:r>
      <w:r>
        <w:rPr>
          <w:rFonts w:ascii="Times New Roman" w:cs="Times New Roman" w:eastAsia="Times New Roman" w:hAnsi="Times New Roman"/>
          <w:sz w:val="16"/>
          <w:szCs w:val="16"/>
          <w:color w:val="auto"/>
        </w:rPr>
        <w:t>” means the right of a Participant, granted at the discretion of the Committee or as otherwise provided by the Plan, to receive a credit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the account of such Participant in an amount equal to the cash, stock or other property dividends in amounts equivalent to cash, stock or other property dividends for each Share represented by an Award held by such Participant.</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means the day immediately prior to the Company’s IPO Registration Date, subject to approval of the Plan by the Company’s stockholders.</w:t>
      </w:r>
    </w:p>
    <w:p>
      <w:pPr>
        <w:spacing w:after="0" w:line="166" w:lineRule="exact"/>
        <w:rPr>
          <w:sz w:val="20"/>
          <w:szCs w:val="20"/>
          <w:color w:val="auto"/>
        </w:rPr>
      </w:pPr>
    </w:p>
    <w:p>
      <w:pPr>
        <w:jc w:val="both"/>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Employee</w:t>
      </w:r>
      <w:r>
        <w:rPr>
          <w:rFonts w:ascii="Times New Roman" w:cs="Times New Roman" w:eastAsia="Times New Roman" w:hAnsi="Times New Roman"/>
          <w:sz w:val="16"/>
          <w:szCs w:val="16"/>
          <w:color w:val="auto"/>
        </w:rPr>
        <w:t>” means any person, including officers and Directors, providing services as an employee to the Company or any Parent, Subsidiary or Affiliate. Neither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 as a Director nor payment of a director’s fee by the Company will be sufficient to constitute “employment” by the Company.</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United States Securities Exchange Act of 1934, as amended.</w:t>
      </w:r>
    </w:p>
    <w:p>
      <w:pPr>
        <w:spacing w:after="0" w:line="166" w:lineRule="exact"/>
        <w:rPr>
          <w:sz w:val="20"/>
          <w:szCs w:val="20"/>
          <w:color w:val="auto"/>
        </w:rPr>
      </w:pPr>
    </w:p>
    <w:p>
      <w:pPr>
        <w:jc w:val="both"/>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Program</w:t>
      </w:r>
      <w:r>
        <w:rPr>
          <w:rFonts w:ascii="Times New Roman" w:cs="Times New Roman" w:eastAsia="Times New Roman" w:hAnsi="Times New Roman"/>
          <w:sz w:val="16"/>
          <w:szCs w:val="16"/>
          <w:color w:val="auto"/>
        </w:rPr>
        <w:t>” means a program pursuant to which (a) outstanding Awards are surrendered, cancelled or exchanged for cash, the same type of Award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different Award (or combination thereof) or (b) the exercise price of an outstanding Award is increased or reduced, each as described in </w:t>
      </w: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jc w:val="both"/>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29.18.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Exercise Price</w:t>
      </w:r>
      <w:r>
        <w:rPr>
          <w:rFonts w:ascii="Times New Roman" w:cs="Times New Roman" w:eastAsia="Times New Roman" w:hAnsi="Times New Roman"/>
          <w:sz w:val="16"/>
          <w:szCs w:val="16"/>
          <w:color w:val="auto"/>
        </w:rPr>
        <w:t>” means, with respect to an Option, the price at which a holder may purchase the Shares issuable upon exercise of an Option and with respect to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SAR, the price at which the SAR is granted to the holder thereof.</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Fair Market Value</w:t>
      </w:r>
      <w:r>
        <w:rPr>
          <w:rFonts w:ascii="Times New Roman" w:cs="Times New Roman" w:eastAsia="Times New Roman" w:hAnsi="Times New Roman"/>
          <w:sz w:val="16"/>
          <w:szCs w:val="16"/>
          <w:color w:val="auto"/>
        </w:rPr>
        <w:t>” means, as of any date, the value of a share of the Company’s common stock determined as follows:</w:t>
      </w:r>
    </w:p>
    <w:p>
      <w:pPr>
        <w:spacing w:after="0" w:line="30" w:lineRule="exact"/>
        <w:rPr>
          <w:sz w:val="20"/>
          <w:szCs w:val="20"/>
          <w:color w:val="auto"/>
        </w:rPr>
      </w:pPr>
    </w:p>
    <w:p>
      <w:pPr>
        <w:jc w:val="both"/>
        <w:ind w:left="40" w:firstLine="1014"/>
        <w:spacing w:after="0" w:line="226" w:lineRule="auto"/>
        <w:tabs>
          <w:tab w:leader="none" w:pos="149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6"/>
          <w:szCs w:val="16"/>
          <w:i w:val="1"/>
          <w:iCs w:val="1"/>
          <w:color w:val="auto"/>
        </w:rPr>
        <w:t>The Wall Street</w:t>
      </w:r>
      <w:r>
        <w:rPr>
          <w:rFonts w:ascii="Times New Roman" w:cs="Times New Roman" w:eastAsia="Times New Roman" w:hAnsi="Times New Roman"/>
          <w:sz w:val="16"/>
          <w:szCs w:val="16"/>
          <w:color w:val="auto"/>
        </w:rPr>
        <w:t xml:space="preserve"> Journal or such other source as the Committee deems reliable;</w:t>
      </w:r>
    </w:p>
    <w:p>
      <w:pPr>
        <w:spacing w:after="0" w:line="148" w:lineRule="exact"/>
        <w:rPr>
          <w:rFonts w:ascii="Times New Roman" w:cs="Times New Roman" w:eastAsia="Times New Roman" w:hAnsi="Times New Roman"/>
          <w:sz w:val="16"/>
          <w:szCs w:val="16"/>
          <w:color w:val="auto"/>
        </w:rPr>
      </w:pPr>
    </w:p>
    <w:p>
      <w:pPr>
        <w:ind w:left="40" w:firstLine="1014"/>
        <w:spacing w:after="0" w:line="235" w:lineRule="auto"/>
        <w:tabs>
          <w:tab w:leader="none" w:pos="149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or such other source as the Committee deems reliable;</w:t>
      </w:r>
    </w:p>
    <w:p>
      <w:pPr>
        <w:spacing w:after="0" w:line="148" w:lineRule="exact"/>
        <w:rPr>
          <w:rFonts w:ascii="Times New Roman" w:cs="Times New Roman" w:eastAsia="Times New Roman" w:hAnsi="Times New Roman"/>
          <w:sz w:val="16"/>
          <w:szCs w:val="16"/>
          <w:color w:val="auto"/>
        </w:rPr>
      </w:pPr>
    </w:p>
    <w:p>
      <w:pPr>
        <w:jc w:val="both"/>
        <w:ind w:left="40" w:firstLine="1014"/>
        <w:spacing w:after="0" w:line="221" w:lineRule="auto"/>
        <w:tabs>
          <w:tab w:leader="none" w:pos="149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S-1 filed with the SEC under the Securities Act; or</w:t>
      </w:r>
    </w:p>
    <w:p>
      <w:pPr>
        <w:spacing w:after="0" w:line="160"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Board or the Committee in good faith.</w:t>
      </w:r>
    </w:p>
    <w:p>
      <w:pPr>
        <w:spacing w:after="0" w:line="164"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29.20.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Insider</w:t>
      </w:r>
      <w:r>
        <w:rPr>
          <w:rFonts w:ascii="Times New Roman" w:cs="Times New Roman" w:eastAsia="Times New Roman" w:hAnsi="Times New Roman"/>
          <w:sz w:val="16"/>
          <w:szCs w:val="16"/>
          <w:color w:val="auto"/>
        </w:rPr>
        <w:t>” means an officer or Director of the Company or any other person whose transactions in the Company’s common stock are subject to Section 16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Exchange Act.</w:t>
      </w:r>
    </w:p>
    <w:p>
      <w:pPr>
        <w:spacing w:after="0" w:line="14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29.21.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IPO Registration Date</w:t>
      </w:r>
      <w:r>
        <w:rPr>
          <w:rFonts w:ascii="Times New Roman" w:cs="Times New Roman" w:eastAsia="Times New Roman" w:hAnsi="Times New Roman"/>
          <w:sz w:val="16"/>
          <w:szCs w:val="16"/>
          <w:color w:val="auto"/>
        </w:rPr>
        <w:t>” means the date on which the Company’s registration statement on Form S-1 in connection with its initial public offering of 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is declared effective by the SEC under the Securities Act.</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29.22.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IRS</w:t>
      </w:r>
      <w:r>
        <w:rPr>
          <w:rFonts w:ascii="Times New Roman" w:cs="Times New Roman" w:eastAsia="Times New Roman" w:hAnsi="Times New Roman"/>
          <w:sz w:val="16"/>
          <w:szCs w:val="16"/>
          <w:color w:val="auto"/>
        </w:rPr>
        <w:t>” means the United States Internal Revenue Service.</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29.23.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Non-Employee Director</w:t>
      </w:r>
      <w:r>
        <w:rPr>
          <w:rFonts w:ascii="Times New Roman" w:cs="Times New Roman" w:eastAsia="Times New Roman" w:hAnsi="Times New Roman"/>
          <w:sz w:val="16"/>
          <w:szCs w:val="16"/>
          <w:color w:val="auto"/>
        </w:rPr>
        <w:t>” means a Director who is not an Employee of the Company or any Parent or Subsidiary.</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29.24.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means an Award as defined in Section 5 and granted under the Plan.</w:t>
      </w:r>
    </w:p>
    <w:p>
      <w:pPr>
        <w:spacing w:after="0" w:line="177" w:lineRule="exact"/>
        <w:rPr>
          <w:sz w:val="20"/>
          <w:szCs w:val="20"/>
          <w:color w:val="auto"/>
        </w:rPr>
      </w:pPr>
    </w:p>
    <w:p>
      <w:pPr>
        <w:ind w:left="40" w:firstLine="509"/>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29.25.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Parent</w:t>
      </w:r>
      <w:r>
        <w:rPr>
          <w:rFonts w:ascii="Times New Roman" w:cs="Times New Roman" w:eastAsia="Times New Roman" w:hAnsi="Times New Roman"/>
          <w:sz w:val="16"/>
          <w:szCs w:val="16"/>
          <w:color w:val="auto"/>
        </w:rPr>
        <w:t>” means any corporation (other than the Company) in an unbroken chain of corporations ending with the Company if each of such corporations other than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owns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160"/>
          </w:cols>
          <w:pgMar w:left="340" w:top="1063" w:right="399"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6"/>
          <w:szCs w:val="16"/>
          <w:color w:val="auto"/>
        </w:rPr>
        <w:t>possessing fifty percent (50%) or more of the total combined voting power of all classes of stock in one of the other corporations in such chain.</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29.26.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means a person who holds an Award under this Plan.</w:t>
      </w:r>
    </w:p>
    <w:p>
      <w:pPr>
        <w:spacing w:after="0" w:line="2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29.27.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Performance Award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an Award as defined in Section 10 and granted under the</w:t>
      </w:r>
    </w:p>
    <w:p>
      <w:pPr>
        <w:ind w:left="40"/>
        <w:spacing w:after="0"/>
        <w:rPr>
          <w:sz w:val="20"/>
          <w:szCs w:val="20"/>
          <w:color w:val="auto"/>
        </w:rPr>
      </w:pPr>
      <w:r>
        <w:rPr>
          <w:rFonts w:ascii="Times New Roman" w:cs="Times New Roman" w:eastAsia="Times New Roman" w:hAnsi="Times New Roman"/>
          <w:sz w:val="16"/>
          <w:szCs w:val="16"/>
          <w:color w:val="auto"/>
        </w:rPr>
        <w:t>Plan.</w:t>
      </w:r>
    </w:p>
    <w:p>
      <w:pPr>
        <w:spacing w:after="0" w:line="210" w:lineRule="exact"/>
        <w:rPr>
          <w:sz w:val="20"/>
          <w:szCs w:val="20"/>
          <w:color w:val="auto"/>
        </w:rPr>
      </w:pPr>
    </w:p>
    <w:p>
      <w:pPr>
        <w:jc w:val="both"/>
        <w:ind w:left="40" w:firstLine="509"/>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29.28.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Performance Factors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any of the factors selected by the Committee and specified in an Award Agreement, from among the following objective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subjective measures, either individually, alternatively or in any combination applied to the Participant, the Company, any business unit or Subsidiary, either individually,</w:t>
      </w:r>
    </w:p>
    <w:p>
      <w:pPr>
        <w:spacing w:after="0" w:line="1" w:lineRule="exact"/>
        <w:rPr>
          <w:sz w:val="20"/>
          <w:szCs w:val="20"/>
          <w:color w:val="auto"/>
        </w:rPr>
      </w:pPr>
    </w:p>
    <w:p>
      <w:pPr>
        <w:ind w:left="40" w:right="20"/>
        <w:spacing w:after="0" w:line="224" w:lineRule="auto"/>
        <w:rPr>
          <w:sz w:val="20"/>
          <w:szCs w:val="20"/>
          <w:color w:val="auto"/>
        </w:rPr>
      </w:pPr>
      <w:r>
        <w:rPr>
          <w:rFonts w:ascii="Times New Roman" w:cs="Times New Roman" w:eastAsia="Times New Roman" w:hAnsi="Times New Roman"/>
          <w:sz w:val="16"/>
          <w:szCs w:val="16"/>
          <w:color w:val="auto"/>
        </w:rPr>
        <w:t>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48" w:lineRule="exact"/>
        <w:rPr>
          <w:sz w:val="20"/>
          <w:szCs w:val="20"/>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Profit Before Tax;</w:t>
      </w:r>
    </w:p>
    <w:p>
      <w:pPr>
        <w:spacing w:after="0" w:line="28"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Billings;</w:t>
      </w:r>
    </w:p>
    <w:p>
      <w:pPr>
        <w:spacing w:after="0" w:line="17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revenue;</w:t>
      </w:r>
    </w:p>
    <w:p>
      <w:pPr>
        <w:spacing w:after="0" w:line="166" w:lineRule="exact"/>
        <w:rPr>
          <w:rFonts w:ascii="Times New Roman" w:cs="Times New Roman" w:eastAsia="Times New Roman" w:hAnsi="Times New Roman"/>
          <w:sz w:val="16"/>
          <w:szCs w:val="16"/>
          <w:color w:val="auto"/>
        </w:rPr>
      </w:pPr>
    </w:p>
    <w:p>
      <w:pPr>
        <w:ind w:left="1060" w:right="20" w:hanging="6"/>
        <w:spacing w:after="0" w:line="235" w:lineRule="auto"/>
        <w:tabs>
          <w:tab w:leader="none" w:pos="149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(which may include earnings before interest and taxes, earnings before taxes, net earning, stock-based compensation expenses, depreciation and amortization);</w:t>
      </w:r>
    </w:p>
    <w:p>
      <w:pPr>
        <w:spacing w:after="0" w:line="148"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w:t>
      </w:r>
    </w:p>
    <w:p>
      <w:pPr>
        <w:spacing w:after="0" w:line="17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margin;</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Controllable operating profit, or net operating profit;</w:t>
      </w:r>
    </w:p>
    <w:p>
      <w:pPr>
        <w:spacing w:after="0" w:line="17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Profit;</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or operating expenses as a percentage of revenue;</w:t>
      </w:r>
    </w:p>
    <w:p>
      <w:pPr>
        <w:spacing w:after="0" w:line="17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per share;</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stockholder return;</w:t>
      </w:r>
    </w:p>
    <w:p>
      <w:pPr>
        <w:spacing w:after="0" w:line="17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share;</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on assets or net assets;</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stock price;</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Growth in stockholder value relative to a pre-determined index;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160"/>
          </w:cols>
          <w:pgMar w:left="340" w:top="1065" w:right="399" w:bottom="1440" w:gutter="0" w:footer="0" w:header="0"/>
        </w:sectPr>
      </w:pPr>
    </w:p>
    <w:bookmarkStart w:id="130" w:name="page131"/>
    <w:bookmarkEnd w:id="130"/>
    <w:p>
      <w:pPr>
        <w:ind w:left="1560" w:hanging="506"/>
        <w:spacing w:after="0"/>
        <w:tabs>
          <w:tab w:leader="none" w:pos="15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on equity;</w:t>
      </w:r>
    </w:p>
    <w:p>
      <w:pPr>
        <w:spacing w:after="0" w:line="166" w:lineRule="exact"/>
        <w:rPr>
          <w:sz w:val="20"/>
          <w:szCs w:val="20"/>
          <w:color w:val="auto"/>
        </w:rPr>
      </w:pPr>
    </w:p>
    <w:p>
      <w:pPr>
        <w:ind w:left="1560" w:hanging="506"/>
        <w:spacing w:after="0"/>
        <w:tabs>
          <w:tab w:leader="none" w:pos="15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invested capital;</w:t>
      </w:r>
    </w:p>
    <w:p>
      <w:pPr>
        <w:sectPr>
          <w:pgSz w:w="11900" w:h="16838" w:orient="portrait"/>
          <w:cols w:equalWidth="0" w:num="1">
            <w:col w:w="10119"/>
          </w:cols>
          <w:pgMar w:left="340" w:top="1267" w:right="1440" w:bottom="1440" w:gutter="0" w:footer="0" w:header="0"/>
        </w:sectPr>
      </w:pPr>
    </w:p>
    <w:p>
      <w:pPr>
        <w:spacing w:after="0" w:line="20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(ab)</w:t>
      </w:r>
    </w:p>
    <w:p>
      <w:pPr>
        <w:spacing w:after="0" w:line="18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(ac)</w:t>
      </w:r>
    </w:p>
    <w:p>
      <w:pPr>
        <w:spacing w:after="0" w:line="28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Cash Flow (including free cash flow or operating cash flows);</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Balance of cash, cash equivalents and marketable securities;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conversion cycle;</w:t>
      </w:r>
    </w:p>
    <w:p>
      <w:pPr>
        <w:spacing w:after="0" w:line="200" w:lineRule="exact"/>
        <w:rPr>
          <w:sz w:val="20"/>
          <w:szCs w:val="20"/>
          <w:color w:val="auto"/>
        </w:rPr>
      </w:pPr>
    </w:p>
    <w:p>
      <w:pPr>
        <w:sectPr>
          <w:pgSz w:w="11900" w:h="16838" w:orient="portrait"/>
          <w:cols w:equalWidth="0" w:num="2">
            <w:col w:w="1300" w:space="180"/>
            <w:col w:w="8639"/>
          </w:cols>
          <w:pgMar w:left="340" w:top="1267" w:right="1440" w:bottom="1440" w:gutter="0" w:footer="0" w:header="0"/>
          <w:type w:val="continuous"/>
        </w:sectPr>
      </w:pPr>
    </w:p>
    <w:p>
      <w:pPr>
        <w:spacing w:after="0" w:line="157" w:lineRule="exact"/>
        <w:rPr>
          <w:sz w:val="20"/>
          <w:szCs w:val="20"/>
          <w:color w:val="auto"/>
        </w:rPr>
      </w:pPr>
    </w:p>
    <w:p>
      <w:pPr>
        <w:ind w:left="1460" w:hanging="406"/>
        <w:spacing w:after="0"/>
        <w:tabs>
          <w:tab w:leader="none" w:pos="1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value added;</w:t>
      </w:r>
    </w:p>
    <w:p>
      <w:pPr>
        <w:spacing w:after="0" w:line="229"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confidential business objectives;</w:t>
      </w:r>
    </w:p>
    <w:p>
      <w:pPr>
        <w:spacing w:after="0" w:line="219"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 awards or backlog;</w:t>
      </w:r>
    </w:p>
    <w:p>
      <w:pPr>
        <w:spacing w:after="0" w:line="166"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Overhead or other expense reduction;</w:t>
      </w:r>
    </w:p>
    <w:p>
      <w:pPr>
        <w:spacing w:after="0" w:line="176"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w:t>
      </w:r>
    </w:p>
    <w:p>
      <w:pPr>
        <w:spacing w:after="0" w:line="81" w:lineRule="exact"/>
        <w:rPr>
          <w:rFonts w:ascii="Times New Roman" w:cs="Times New Roman" w:eastAsia="Times New Roman" w:hAnsi="Times New Roman"/>
          <w:sz w:val="16"/>
          <w:szCs w:val="16"/>
          <w:color w:val="auto"/>
        </w:rPr>
      </w:pPr>
    </w:p>
    <w:p>
      <w:pPr>
        <w:ind w:left="1420" w:hanging="366"/>
        <w:spacing w:after="0"/>
        <w:tabs>
          <w:tab w:leader="none" w:pos="14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an identified special project;</w:t>
      </w:r>
    </w:p>
    <w:p>
      <w:pPr>
        <w:spacing w:after="0" w:line="272"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a joint venture or other corporate transaction;</w:t>
      </w:r>
    </w:p>
    <w:p>
      <w:pPr>
        <w:spacing w:after="0" w:line="166"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plan development and implementation;</w:t>
      </w:r>
    </w:p>
    <w:p>
      <w:pPr>
        <w:spacing w:after="0" w:line="166" w:lineRule="exact"/>
        <w:rPr>
          <w:rFonts w:ascii="Times New Roman" w:cs="Times New Roman" w:eastAsia="Times New Roman" w:hAnsi="Times New Roman"/>
          <w:sz w:val="16"/>
          <w:szCs w:val="16"/>
          <w:color w:val="auto"/>
        </w:rPr>
      </w:pPr>
    </w:p>
    <w:p>
      <w:pPr>
        <w:ind w:left="1400" w:hanging="346"/>
        <w:spacing w:after="0"/>
        <w:tabs>
          <w:tab w:leader="none" w:pos="14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Succession plan development and implementation;</w:t>
      </w:r>
    </w:p>
    <w:p>
      <w:pPr>
        <w:spacing w:after="0" w:line="176" w:lineRule="exact"/>
        <w:rPr>
          <w:rFonts w:ascii="Times New Roman" w:cs="Times New Roman" w:eastAsia="Times New Roman" w:hAnsi="Times New Roman"/>
          <w:sz w:val="16"/>
          <w:szCs w:val="16"/>
          <w:color w:val="auto"/>
        </w:rPr>
      </w:pPr>
    </w:p>
    <w:p>
      <w:pPr>
        <w:ind w:left="1400" w:hanging="346"/>
        <w:spacing w:after="0"/>
        <w:tabs>
          <w:tab w:leader="none" w:pos="14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Improvement in workforce diversity;</w:t>
      </w:r>
    </w:p>
    <w:p>
      <w:pPr>
        <w:spacing w:after="0" w:line="166"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satisfaction;</w:t>
      </w:r>
    </w:p>
    <w:p>
      <w:pPr>
        <w:spacing w:after="0" w:line="166" w:lineRule="exact"/>
        <w:rPr>
          <w:rFonts w:ascii="Times New Roman" w:cs="Times New Roman" w:eastAsia="Times New Roman" w:hAnsi="Times New Roman"/>
          <w:sz w:val="16"/>
          <w:szCs w:val="16"/>
          <w:color w:val="auto"/>
        </w:rPr>
      </w:pPr>
    </w:p>
    <w:p>
      <w:pPr>
        <w:ind w:left="1400" w:hanging="346"/>
        <w:spacing w:after="0"/>
        <w:tabs>
          <w:tab w:leader="none" w:pos="14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retention;</w:t>
      </w:r>
    </w:p>
    <w:p>
      <w:pPr>
        <w:spacing w:after="0" w:line="166" w:lineRule="exact"/>
        <w:rPr>
          <w:rFonts w:ascii="Times New Roman" w:cs="Times New Roman" w:eastAsia="Times New Roman" w:hAnsi="Times New Roman"/>
          <w:sz w:val="16"/>
          <w:szCs w:val="16"/>
          <w:color w:val="auto"/>
        </w:rPr>
      </w:pPr>
    </w:p>
    <w:p>
      <w:pPr>
        <w:ind w:left="1560" w:hanging="506"/>
        <w:spacing w:after="0"/>
        <w:tabs>
          <w:tab w:leader="none" w:pos="15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indicators and/or satisfaction;</w:t>
      </w:r>
    </w:p>
    <w:p>
      <w:pPr>
        <w:spacing w:after="0" w:line="166" w:lineRule="exact"/>
        <w:rPr>
          <w:sz w:val="20"/>
          <w:szCs w:val="20"/>
          <w:color w:val="auto"/>
        </w:rPr>
      </w:pPr>
    </w:p>
    <w:p>
      <w:pPr>
        <w:jc w:val="right"/>
        <w:ind w:right="3519"/>
        <w:spacing w:after="0"/>
        <w:tabs>
          <w:tab w:leader="none" w:pos="5120" w:val="left"/>
          <w:tab w:leader="none" w:pos="2300" w:val="left"/>
        </w:tabs>
        <w:rPr>
          <w:sz w:val="20"/>
          <w:szCs w:val="20"/>
          <w:color w:val="auto"/>
        </w:rPr>
      </w:pPr>
      <w:r>
        <w:rPr>
          <w:rFonts w:ascii="Times New Roman" w:cs="Times New Roman" w:eastAsia="Times New Roman" w:hAnsi="Times New Roman"/>
          <w:sz w:val="16"/>
          <w:szCs w:val="16"/>
          <w:color w:val="auto"/>
        </w:rPr>
        <w:t>(nn)</w:t>
        <w:tab/>
        <w:t>New product invention or innovation; (oo)</w:t>
      </w:r>
      <w:r>
        <w:rPr>
          <w:sz w:val="20"/>
          <w:szCs w:val="20"/>
          <w:color w:val="auto"/>
        </w:rPr>
        <w:tab/>
      </w:r>
      <w:r>
        <w:rPr>
          <w:rFonts w:ascii="Times New Roman" w:cs="Times New Roman" w:eastAsia="Times New Roman" w:hAnsi="Times New Roman"/>
          <w:sz w:val="14"/>
          <w:szCs w:val="14"/>
          <w:color w:val="auto"/>
        </w:rPr>
        <w:t>Research and development expenses;</w:t>
      </w:r>
    </w:p>
    <w:p>
      <w:pPr>
        <w:spacing w:after="0" w:line="166" w:lineRule="exact"/>
        <w:rPr>
          <w:sz w:val="20"/>
          <w:szCs w:val="20"/>
          <w:color w:val="auto"/>
        </w:rPr>
      </w:pPr>
    </w:p>
    <w:p>
      <w:pPr>
        <w:ind w:left="1460" w:hanging="406"/>
        <w:spacing w:after="0"/>
        <w:tabs>
          <w:tab w:leader="none" w:pos="1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Attainment of research and development milestones;</w:t>
      </w:r>
    </w:p>
    <w:p>
      <w:pPr>
        <w:spacing w:after="0" w:line="166"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Improvements in productivity;</w:t>
      </w:r>
    </w:p>
    <w:p>
      <w:pPr>
        <w:spacing w:after="0" w:line="91" w:lineRule="exact"/>
        <w:rPr>
          <w:rFonts w:ascii="Times New Roman" w:cs="Times New Roman" w:eastAsia="Times New Roman" w:hAnsi="Times New Roman"/>
          <w:sz w:val="16"/>
          <w:szCs w:val="16"/>
          <w:color w:val="auto"/>
        </w:rPr>
      </w:pPr>
    </w:p>
    <w:p>
      <w:pPr>
        <w:ind w:left="1420" w:hanging="366"/>
        <w:spacing w:after="0"/>
        <w:tabs>
          <w:tab w:leader="none" w:pos="14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Bookings;</w:t>
      </w:r>
    </w:p>
    <w:p>
      <w:pPr>
        <w:spacing w:after="0" w:line="272" w:lineRule="exact"/>
        <w:rPr>
          <w:rFonts w:ascii="Times New Roman" w:cs="Times New Roman" w:eastAsia="Times New Roman" w:hAnsi="Times New Roman"/>
          <w:sz w:val="16"/>
          <w:szCs w:val="16"/>
          <w:color w:val="auto"/>
        </w:rPr>
      </w:pPr>
    </w:p>
    <w:p>
      <w:pPr>
        <w:ind w:left="1440" w:hanging="386"/>
        <w:spacing w:after="0"/>
        <w:tabs>
          <w:tab w:leader="none" w:pos="1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Working-capital targets and changes in working capital;</w:t>
      </w:r>
    </w:p>
    <w:p>
      <w:pPr>
        <w:spacing w:after="0" w:line="166" w:lineRule="exact"/>
        <w:rPr>
          <w:rFonts w:ascii="Times New Roman" w:cs="Times New Roman" w:eastAsia="Times New Roman" w:hAnsi="Times New Roman"/>
          <w:sz w:val="16"/>
          <w:szCs w:val="16"/>
          <w:color w:val="auto"/>
        </w:rPr>
      </w:pPr>
    </w:p>
    <w:p>
      <w:pPr>
        <w:ind w:left="1400" w:hanging="346"/>
        <w:spacing w:after="0"/>
        <w:tabs>
          <w:tab w:leader="none" w:pos="14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Attainment of operating goals and employee metrics; and</w:t>
      </w:r>
    </w:p>
    <w:p>
      <w:pPr>
        <w:spacing w:after="0" w:line="166" w:lineRule="exact"/>
        <w:rPr>
          <w:rFonts w:ascii="Times New Roman" w:cs="Times New Roman" w:eastAsia="Times New Roman" w:hAnsi="Times New Roman"/>
          <w:sz w:val="16"/>
          <w:szCs w:val="16"/>
          <w:color w:val="auto"/>
        </w:rPr>
      </w:pPr>
    </w:p>
    <w:p>
      <w:pPr>
        <w:ind w:left="1460" w:hanging="406"/>
        <w:spacing w:after="0"/>
        <w:tabs>
          <w:tab w:leader="none" w:pos="1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metric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119"/>
          </w:cols>
          <w:pgMar w:left="340" w:top="1267" w:right="1440" w:bottom="1440" w:gutter="0" w:footer="0" w:header="0"/>
          <w:type w:val="continuous"/>
        </w:sectPr>
      </w:pPr>
    </w:p>
    <w:bookmarkStart w:id="131" w:name="page132"/>
    <w:bookmarkEnd w:id="131"/>
    <w:p>
      <w:pPr>
        <w:spacing w:after="0" w:line="18" w:lineRule="exact"/>
        <w:rPr>
          <w:sz w:val="20"/>
          <w:szCs w:val="20"/>
          <w:color w:val="auto"/>
        </w:rPr>
      </w:pPr>
    </w:p>
    <w:p>
      <w:pPr>
        <w:ind w:left="40" w:firstLine="509"/>
        <w:spacing w:after="0" w:line="242" w:lineRule="auto"/>
        <w:rPr>
          <w:sz w:val="20"/>
          <w:szCs w:val="20"/>
          <w:color w:val="auto"/>
        </w:rPr>
      </w:pPr>
      <w:r>
        <w:rPr>
          <w:rFonts w:ascii="Times New Roman" w:cs="Times New Roman" w:eastAsia="Times New Roman" w:hAnsi="Times New Roman"/>
          <w:sz w:val="14"/>
          <w:szCs w:val="14"/>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changes in applicable accounting rules. It is within the sole discretion of the Committee to make or not make any such equitable adjustments.</w:t>
      </w:r>
    </w:p>
    <w:p>
      <w:pPr>
        <w:spacing w:after="0" w:line="14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Performance Period</w:t>
      </w:r>
      <w:r>
        <w:rPr>
          <w:rFonts w:ascii="Times New Roman" w:cs="Times New Roman" w:eastAsia="Times New Roman" w:hAnsi="Times New Roman"/>
          <w:sz w:val="16"/>
          <w:szCs w:val="16"/>
          <w:color w:val="auto"/>
        </w:rPr>
        <w:t>” means one or more periods of time, which may be of varying and overlapping durations, as the Committee may select, over which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attainment of one or more Performance Factors will be measured for the purpose of determining a Participant’s right to, and the payment of, a Performance Award.</w:t>
      </w:r>
    </w:p>
    <w:p>
      <w:pPr>
        <w:spacing w:after="0" w:line="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29.2.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Performance Share</w:t>
      </w:r>
      <w:r>
        <w:rPr>
          <w:rFonts w:ascii="Times New Roman" w:cs="Times New Roman" w:eastAsia="Times New Roman" w:hAnsi="Times New Roman"/>
          <w:sz w:val="14"/>
          <w:szCs w:val="14"/>
          <w:color w:val="auto"/>
        </w:rPr>
        <w:t>” means an Award as defined in Section 10 and granted under the Plan.</w:t>
      </w:r>
    </w:p>
    <w:p>
      <w:pPr>
        <w:spacing w:after="0" w:line="240"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29.3.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Transferee</w:t>
      </w:r>
      <w:r>
        <w:rPr>
          <w:rFonts w:ascii="Times New Roman" w:cs="Times New Roman" w:eastAsia="Times New Roman" w:hAnsi="Times New Roman"/>
          <w:sz w:val="14"/>
          <w:szCs w:val="14"/>
          <w:color w:val="auto"/>
        </w:rPr>
        <w:t>” means any child, stepchild, grandchild, parent, stepparent, grandparent, spouse, former spouse, sibling, niece, nephew, mother-in-law,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father-in-law, son-in-law, daughter-in-law, brother-in-law, or sister-in-law (including adoptive relationships) of the Employee, any person sharing the Employee’s household (other</w:t>
      </w:r>
    </w:p>
    <w:p>
      <w:pPr>
        <w:ind w:left="40"/>
        <w:spacing w:after="0" w:line="224" w:lineRule="auto"/>
        <w:rPr>
          <w:sz w:val="20"/>
          <w:szCs w:val="20"/>
          <w:color w:val="auto"/>
        </w:rPr>
      </w:pPr>
      <w:r>
        <w:rPr>
          <w:rFonts w:ascii="Times New Roman" w:cs="Times New Roman" w:eastAsia="Times New Roman" w:hAnsi="Times New Roman"/>
          <w:sz w:val="16"/>
          <w:szCs w:val="16"/>
          <w:color w:val="auto"/>
        </w:rPr>
        <w:t>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209" w:lineRule="exact"/>
        <w:rPr>
          <w:sz w:val="20"/>
          <w:szCs w:val="20"/>
          <w:color w:val="auto"/>
        </w:rPr>
      </w:pPr>
    </w:p>
    <w:p>
      <w:pPr>
        <w:ind w:left="5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29.4.</w:t>
      </w:r>
      <w:r>
        <w:rPr>
          <w:sz w:val="20"/>
          <w:szCs w:val="20"/>
          <w:color w:val="auto"/>
        </w:rPr>
        <w:tab/>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Performance Unit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an Award as defined in Section 10 and granted under the Plan.</w:t>
      </w:r>
    </w:p>
    <w:p>
      <w:pPr>
        <w:spacing w:after="0" w:line="230" w:lineRule="exact"/>
        <w:rPr>
          <w:sz w:val="20"/>
          <w:szCs w:val="20"/>
          <w:color w:val="auto"/>
        </w:rPr>
      </w:pPr>
    </w:p>
    <w:p>
      <w:pPr>
        <w:ind w:left="5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29.5.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means this Peloton Interactive, Inc. 2019 Equity Incentive Plan.</w:t>
      </w:r>
    </w:p>
    <w:p>
      <w:pPr>
        <w:spacing w:after="0" w:line="177"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29.6.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Purchase Price</w:t>
      </w:r>
      <w:r>
        <w:rPr>
          <w:rFonts w:ascii="Times New Roman" w:cs="Times New Roman" w:eastAsia="Times New Roman" w:hAnsi="Times New Roman"/>
          <w:sz w:val="14"/>
          <w:szCs w:val="14"/>
          <w:color w:val="auto"/>
        </w:rPr>
        <w:t>” means the price to be paid for Shares acquired under the Plan, other than Shares acquired upon exercise of an Option or SAR.</w:t>
      </w:r>
    </w:p>
    <w:p>
      <w:pPr>
        <w:spacing w:after="0" w:line="166"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29.7.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Restricted Stock Award</w:t>
      </w:r>
      <w:r>
        <w:rPr>
          <w:rFonts w:ascii="Times New Roman" w:cs="Times New Roman" w:eastAsia="Times New Roman" w:hAnsi="Times New Roman"/>
          <w:sz w:val="14"/>
          <w:szCs w:val="14"/>
          <w:color w:val="auto"/>
        </w:rPr>
        <w:t>” means an Award as defined in Section 6 and granted under the Plan (or issued pursuant to the early exercise of an Option).</w:t>
      </w:r>
    </w:p>
    <w:p>
      <w:pPr>
        <w:spacing w:after="0" w:line="230" w:lineRule="exact"/>
        <w:rPr>
          <w:sz w:val="20"/>
          <w:szCs w:val="20"/>
          <w:color w:val="auto"/>
        </w:rPr>
      </w:pPr>
    </w:p>
    <w:p>
      <w:pPr>
        <w:ind w:left="5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29.8.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Restricted Stock Unit</w:t>
      </w:r>
      <w:r>
        <w:rPr>
          <w:rFonts w:ascii="Times New Roman" w:cs="Times New Roman" w:eastAsia="Times New Roman" w:hAnsi="Times New Roman"/>
          <w:sz w:val="14"/>
          <w:szCs w:val="14"/>
          <w:color w:val="auto"/>
        </w:rPr>
        <w:t>” means an Award as defined in Section 9 and granted under the Plan.</w:t>
      </w:r>
    </w:p>
    <w:p>
      <w:pPr>
        <w:spacing w:after="0" w:line="240" w:lineRule="exact"/>
        <w:rPr>
          <w:sz w:val="20"/>
          <w:szCs w:val="20"/>
          <w:color w:val="auto"/>
        </w:rPr>
      </w:pPr>
    </w:p>
    <w:p>
      <w:pPr>
        <w:ind w:left="5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29.9.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means the United States Securities Act of 1933, as amended.</w:t>
      </w:r>
    </w:p>
    <w:p>
      <w:pPr>
        <w:spacing w:after="0" w:line="177"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29.11.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Service</w:t>
      </w:r>
      <w:r>
        <w:rPr>
          <w:rFonts w:ascii="Times New Roman" w:cs="Times New Roman" w:eastAsia="Times New Roman" w:hAnsi="Times New Roman"/>
          <w:sz w:val="14"/>
          <w:szCs w:val="14"/>
          <w:color w:val="auto"/>
        </w:rPr>
        <w:t>” means service as an Employee, Consultant, Director or Non-Employee Director, to the Company or a Parent, Subsidiary or Affiliate, subject to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further limitations as may be set forth in the Plan or the applicable Award Agreement. An Employee will not be deemed to have ceased to provide Service in the case of (a) sick</w:t>
      </w:r>
    </w:p>
    <w:p>
      <w:pPr>
        <w:ind w:left="40"/>
        <w:spacing w:after="0" w:line="229" w:lineRule="auto"/>
        <w:rPr>
          <w:sz w:val="20"/>
          <w:szCs w:val="20"/>
          <w:color w:val="auto"/>
        </w:rPr>
      </w:pPr>
      <w:r>
        <w:rPr>
          <w:rFonts w:ascii="Times New Roman" w:cs="Times New Roman" w:eastAsia="Times New Roman" w:hAnsi="Times New Roman"/>
          <w:sz w:val="14"/>
          <w:szCs w:val="14"/>
          <w:color w:val="auto"/>
        </w:rPr>
        <w:t xml:space="preserve">leave, (b) military leave, or (c) any other leave of absence approved by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leave is for a period of not more than 90 days unless reemployment upon the expiration of such leave is guaranteed by contract or statute. Notwithstanding anything to the contrary, an Employee will not be deemed to have ceased to provide Service if a</w:t>
      </w:r>
    </w:p>
    <w:p>
      <w:pPr>
        <w:ind w:left="40"/>
        <w:spacing w:after="0" w:line="237" w:lineRule="auto"/>
        <w:rPr>
          <w:sz w:val="20"/>
          <w:szCs w:val="20"/>
          <w:color w:val="auto"/>
        </w:rPr>
      </w:pPr>
      <w:r>
        <w:rPr>
          <w:rFonts w:ascii="Times New Roman" w:cs="Times New Roman" w:eastAsia="Times New Roman" w:hAnsi="Times New Roman"/>
          <w:sz w:val="14"/>
          <w:szCs w:val="14"/>
          <w:color w:val="auto"/>
        </w:rPr>
        <w:t>formal policy adopted from time to time by the Company and issued and promulgated to employees in writing provides otherwise. In the case of any Employee on an approved</w:t>
      </w:r>
    </w:p>
    <w:p>
      <w:pPr>
        <w:spacing w:after="0" w:line="1"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color w:val="auto"/>
        </w:rPr>
        <w:t>leave of absence or a reduction in hours worked (for illustrative purposes only, a change in schedule from that of full-time to part-time), the Committee may make such provisions respecting suspension or modification of vesting of the Award while on leave from the employ of the Company or a Parent, Subsidiary or Affiliate or during such change in</w:t>
      </w:r>
    </w:p>
    <w:p>
      <w:pPr>
        <w:ind w:left="40"/>
        <w:spacing w:after="0" w:line="237" w:lineRule="auto"/>
        <w:rPr>
          <w:sz w:val="20"/>
          <w:szCs w:val="20"/>
          <w:color w:val="auto"/>
        </w:rPr>
      </w:pPr>
      <w:r>
        <w:rPr>
          <w:rFonts w:ascii="Times New Roman" w:cs="Times New Roman" w:eastAsia="Times New Roman" w:hAnsi="Times New Roman"/>
          <w:sz w:val="14"/>
          <w:szCs w:val="14"/>
          <w:color w:val="auto"/>
        </w:rPr>
        <w:t>working hours as it may deem appropriate, except that in no event may an Award be exercised after the expiration of the term set forth in the applicable Award Agreement. In the</w:t>
      </w:r>
    </w:p>
    <w:p>
      <w:pPr>
        <w:spacing w:after="0" w:line="1" w:lineRule="exact"/>
        <w:rPr>
          <w:sz w:val="20"/>
          <w:szCs w:val="20"/>
          <w:color w:val="auto"/>
        </w:rPr>
      </w:pPr>
    </w:p>
    <w:p>
      <w:pPr>
        <w:ind w:left="40"/>
        <w:spacing w:after="0" w:line="217" w:lineRule="auto"/>
        <w:rPr>
          <w:sz w:val="20"/>
          <w:szCs w:val="20"/>
          <w:color w:val="auto"/>
        </w:rPr>
      </w:pPr>
      <w:r>
        <w:rPr>
          <w:rFonts w:ascii="Times New Roman" w:cs="Times New Roman" w:eastAsia="Times New Roman" w:hAnsi="Times New Roman"/>
          <w:sz w:val="16"/>
          <w:szCs w:val="16"/>
          <w:color w:val="auto"/>
        </w:rPr>
        <w:t>event of military or other protected leave, if required by applicable laws, vesting will continue for the longest period that vesting continues under any other statutory or Company approved leave of absence and, upon a Participant’s returning from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160"/>
          </w:cols>
          <w:pgMar w:left="340" w:top="1440" w:right="399" w:bottom="1440" w:gutter="0" w:footer="0" w:header="0"/>
        </w:sectPr>
      </w:pPr>
    </w:p>
    <w:bookmarkStart w:id="132" w:name="page133"/>
    <w:bookmarkEnd w:id="132"/>
    <w:p>
      <w:pPr>
        <w:ind w:left="40"/>
        <w:spacing w:after="0" w:line="250" w:lineRule="auto"/>
        <w:rPr>
          <w:sz w:val="20"/>
          <w:szCs w:val="20"/>
          <w:color w:val="auto"/>
        </w:rPr>
      </w:pPr>
      <w:r>
        <w:rPr>
          <w:rFonts w:ascii="Times New Roman" w:cs="Times New Roman" w:eastAsia="Times New Roman" w:hAnsi="Times New Roman"/>
          <w:sz w:val="14"/>
          <w:szCs w:val="14"/>
          <w:color w:val="auto"/>
        </w:rPr>
        <w:t>military leave, he or she will be given vesting credit with respect to Awards to the same extent as would have applied had the Participant continued to provide Service to the Company throughout the leave on the same terms as he or she was providing Service immediately prior to such leave. An Employee will have terminated employment as of the</w:t>
      </w:r>
    </w:p>
    <w:p>
      <w:pPr>
        <w:spacing w:after="0" w:line="1"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color w:val="auto"/>
        </w:rPr>
        <w:t xml:space="preserve">date he or she ceases to provide Service (regardless of whether the termination is in breach of local employment laws or is later found to be invalid) and employment will not be extended by any notice period or garden leave mandated by local law,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a change in status from an Employee to a Consultant or a Non-Employee Director (or</w:t>
      </w:r>
    </w:p>
    <w:p>
      <w:pPr>
        <w:ind w:left="40"/>
        <w:spacing w:after="0" w:line="272" w:lineRule="auto"/>
        <w:rPr>
          <w:sz w:val="20"/>
          <w:szCs w:val="20"/>
          <w:color w:val="auto"/>
        </w:rPr>
      </w:pPr>
      <w:r>
        <w:rPr>
          <w:rFonts w:ascii="Times New Roman" w:cs="Times New Roman" w:eastAsia="Times New Roman" w:hAnsi="Times New Roman"/>
          <w:sz w:val="14"/>
          <w:szCs w:val="14"/>
          <w:color w:val="auto"/>
        </w:rPr>
        <w:t>vice versa) will not terminate a Participant’s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means shares of the Class A common stock of the Company.</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Stock Appreciation Right</w:t>
      </w:r>
      <w:r>
        <w:rPr>
          <w:rFonts w:ascii="Times New Roman" w:cs="Times New Roman" w:eastAsia="Times New Roman" w:hAnsi="Times New Roman"/>
          <w:sz w:val="16"/>
          <w:szCs w:val="16"/>
          <w:color w:val="auto"/>
        </w:rPr>
        <w:t>” means an Award as defined in Section 8 and granted under the Plan.</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Stock Bonus</w:t>
      </w:r>
      <w:r>
        <w:rPr>
          <w:rFonts w:ascii="Times New Roman" w:cs="Times New Roman" w:eastAsia="Times New Roman" w:hAnsi="Times New Roman"/>
          <w:sz w:val="16"/>
          <w:szCs w:val="16"/>
          <w:color w:val="auto"/>
        </w:rPr>
        <w:t>” means an Award granted pursuant to Section 7 of the Plan.</w:t>
      </w:r>
    </w:p>
    <w:p>
      <w:pPr>
        <w:spacing w:after="0" w:line="177"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29.15.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any corporation (other than the Company) in an unbroken chain of corporations beginning with the Company if each of the corporations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than the last corporation in the unbroken chain owns stock possessing fifty percent (50%) or more of the total combined voting power of all classes of stock in one of the other</w:t>
      </w:r>
    </w:p>
    <w:p>
      <w:pPr>
        <w:ind w:left="40"/>
        <w:spacing w:after="0"/>
        <w:rPr>
          <w:sz w:val="20"/>
          <w:szCs w:val="20"/>
          <w:color w:val="auto"/>
        </w:rPr>
      </w:pPr>
      <w:r>
        <w:rPr>
          <w:rFonts w:ascii="Times New Roman" w:cs="Times New Roman" w:eastAsia="Times New Roman" w:hAnsi="Times New Roman"/>
          <w:sz w:val="16"/>
          <w:szCs w:val="16"/>
          <w:color w:val="auto"/>
        </w:rPr>
        <w:t>corporations in such chain.</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Treasury Regulations</w:t>
      </w:r>
      <w:r>
        <w:rPr>
          <w:rFonts w:ascii="Times New Roman" w:cs="Times New Roman" w:eastAsia="Times New Roman" w:hAnsi="Times New Roman"/>
          <w:sz w:val="16"/>
          <w:szCs w:val="16"/>
          <w:color w:val="auto"/>
        </w:rPr>
        <w:t>” means regulations promulgated by the United States Treasury Department.</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 xml:space="preserve">29.17.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Unvested Shares</w:t>
      </w:r>
      <w:r>
        <w:rPr>
          <w:rFonts w:ascii="Times New Roman" w:cs="Times New Roman" w:eastAsia="Times New Roman" w:hAnsi="Times New Roman"/>
          <w:sz w:val="16"/>
          <w:szCs w:val="16"/>
          <w:color w:val="auto"/>
        </w:rPr>
        <w:t>” means Shares that have not yet vested or are subject to a right of repurchase in favor of the Company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160"/>
          </w:cols>
          <w:pgMar w:left="340" w:top="1065" w:right="399" w:bottom="1440" w:gutter="0" w:footer="0" w:header="0"/>
        </w:sectPr>
      </w:pPr>
    </w:p>
    <w:bookmarkStart w:id="133" w:name="page134"/>
    <w:bookmarkEnd w:id="133"/>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ADDENDUM</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2019 EQUITY INCENTIVE PLAN - SUB-PLAN FOR UK EMPLOYEES</w:t>
      </w:r>
    </w:p>
    <w:p>
      <w:pPr>
        <w:spacing w:after="0" w:line="166" w:lineRule="exact"/>
        <w:rPr>
          <w:sz w:val="20"/>
          <w:szCs w:val="20"/>
          <w:color w:val="auto"/>
        </w:rPr>
      </w:pPr>
    </w:p>
    <w:p>
      <w:pPr>
        <w:ind w:left="40" w:hanging="4"/>
        <w:spacing w:after="0" w:line="237" w:lineRule="auto"/>
        <w:tabs>
          <w:tab w:leader="none" w:pos="475"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PURPOSE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terms set forth herein shall apply to Awards offered to Employees who are resident in the United Kingdom ("</w:t>
      </w:r>
      <w:r>
        <w:rPr>
          <w:rFonts w:ascii="Times New Roman" w:cs="Times New Roman" w:eastAsia="Times New Roman" w:hAnsi="Times New Roman"/>
          <w:sz w:val="16"/>
          <w:szCs w:val="16"/>
          <w:b w:val="1"/>
          <w:bCs w:val="1"/>
          <w:color w:val="auto"/>
        </w:rPr>
        <w:t>UK Employees</w:t>
      </w:r>
      <w:r>
        <w:rPr>
          <w:rFonts w:ascii="Times New Roman" w:cs="Times New Roman" w:eastAsia="Times New Roman" w:hAnsi="Times New Roman"/>
          <w:sz w:val="16"/>
          <w:szCs w:val="16"/>
          <w:color w:val="auto"/>
        </w:rPr>
        <w:t>"). All capitalized terms used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herein but not otherwise defined shall have the respective meanings set forth in the Plan.</w:t>
      </w:r>
    </w:p>
    <w:p>
      <w:pPr>
        <w:spacing w:after="0" w:line="145" w:lineRule="exact"/>
        <w:rPr>
          <w:rFonts w:ascii="Times New Roman" w:cs="Times New Roman" w:eastAsia="Times New Roman" w:hAnsi="Times New Roman"/>
          <w:sz w:val="16"/>
          <w:szCs w:val="16"/>
          <w:b w:val="1"/>
          <w:bCs w:val="1"/>
          <w:color w:val="auto"/>
        </w:rPr>
      </w:pPr>
    </w:p>
    <w:p>
      <w:pPr>
        <w:ind w:left="480" w:hanging="444"/>
        <w:spacing w:after="0"/>
        <w:tabs>
          <w:tab w:leader="none" w:pos="480"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MODIFICATIONS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rules of the Plan shall apply to all Awards offered, granted or issued to UK Employees, save as modified or augmented below.</w:t>
      </w:r>
    </w:p>
    <w:p>
      <w:pPr>
        <w:spacing w:after="0" w:line="16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2.1. </w:t>
      </w:r>
      <w:r>
        <w:rPr>
          <w:rFonts w:ascii="Times New Roman" w:cs="Times New Roman" w:eastAsia="Times New Roman" w:hAnsi="Times New Roman"/>
          <w:sz w:val="16"/>
          <w:szCs w:val="16"/>
          <w:color w:val="auto"/>
        </w:rPr>
        <w:t>Section 3 shall be replaced by the words “</w:t>
      </w:r>
      <w:r>
        <w:rPr>
          <w:rFonts w:ascii="Times New Roman" w:cs="Times New Roman" w:eastAsia="Times New Roman" w:hAnsi="Times New Roman"/>
          <w:sz w:val="16"/>
          <w:szCs w:val="16"/>
          <w:b w:val="1"/>
          <w:bCs w:val="1"/>
          <w:u w:val="single" w:color="auto"/>
          <w:color w:val="auto"/>
        </w:rPr>
        <w:t>ELIGIBILITY</w:t>
      </w:r>
      <w:r>
        <w:rPr>
          <w:rFonts w:ascii="Times New Roman" w:cs="Times New Roman" w:eastAsia="Times New Roman" w:hAnsi="Times New Roman"/>
          <w:sz w:val="16"/>
          <w:szCs w:val="16"/>
          <w:color w:val="auto"/>
        </w:rPr>
        <w:t>. Awards may only be granted to Employees.”, such that this Sub-Plan shall constitute an “Employee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 scheme” within the meaning of Article 60(2) of the UK Financial Services and Markets Act 2000 (Financial Promotion) Order 2005/1529.</w:t>
      </w:r>
    </w:p>
    <w:p>
      <w:pPr>
        <w:spacing w:after="0" w:line="146" w:lineRule="exact"/>
        <w:rPr>
          <w:sz w:val="20"/>
          <w:szCs w:val="20"/>
          <w:color w:val="auto"/>
        </w:rPr>
      </w:pPr>
    </w:p>
    <w:p>
      <w:pPr>
        <w:ind w:left="40" w:firstLine="509"/>
        <w:spacing w:after="0" w:line="220" w:lineRule="auto"/>
        <w:rPr>
          <w:sz w:val="20"/>
          <w:szCs w:val="20"/>
          <w:color w:val="auto"/>
        </w:rPr>
      </w:pPr>
      <w:r>
        <w:rPr>
          <w:rFonts w:ascii="Times New Roman" w:cs="Times New Roman" w:eastAsia="Times New Roman" w:hAnsi="Times New Roman"/>
          <w:sz w:val="16"/>
          <w:szCs w:val="16"/>
          <w:b w:val="1"/>
          <w:bCs w:val="1"/>
          <w:color w:val="auto"/>
        </w:rPr>
        <w:t xml:space="preserve">2.2. </w:t>
      </w:r>
      <w:r>
        <w:rPr>
          <w:rFonts w:ascii="Times New Roman" w:cs="Times New Roman" w:eastAsia="Times New Roman" w:hAnsi="Times New Roman"/>
          <w:sz w:val="16"/>
          <w:szCs w:val="16"/>
          <w:color w:val="auto"/>
        </w:rPr>
        <w:t>All references to “tax” in the Plan shall be deemed to include UK income tax and national insurance contributions (“</w:t>
      </w:r>
      <w:r>
        <w:rPr>
          <w:rFonts w:ascii="Times New Roman" w:cs="Times New Roman" w:eastAsia="Times New Roman" w:hAnsi="Times New Roman"/>
          <w:sz w:val="16"/>
          <w:szCs w:val="16"/>
          <w:b w:val="1"/>
          <w:bCs w:val="1"/>
          <w:color w:val="auto"/>
        </w:rPr>
        <w:t>NICs</w:t>
      </w:r>
      <w:r>
        <w:rPr>
          <w:rFonts w:ascii="Times New Roman" w:cs="Times New Roman" w:eastAsia="Times New Roman" w:hAnsi="Times New Roman"/>
          <w:sz w:val="16"/>
          <w:szCs w:val="16"/>
          <w:color w:val="auto"/>
        </w:rPr>
        <w:t>”). The Committee may determine that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a condition of the grant of an Award that the Participant enters into an election between the Participant and his employing company pursuant to section 431(1) of the UK</w:t>
      </w:r>
    </w:p>
    <w:p>
      <w:pPr>
        <w:spacing w:after="0" w:line="1" w:lineRule="exact"/>
        <w:rPr>
          <w:sz w:val="20"/>
          <w:szCs w:val="20"/>
          <w:color w:val="auto"/>
        </w:rPr>
      </w:pPr>
    </w:p>
    <w:p>
      <w:pPr>
        <w:ind w:left="40"/>
        <w:spacing w:after="0" w:line="200" w:lineRule="auto"/>
        <w:rPr>
          <w:sz w:val="20"/>
          <w:szCs w:val="20"/>
          <w:color w:val="auto"/>
        </w:rPr>
      </w:pPr>
      <w:r>
        <w:rPr>
          <w:rFonts w:ascii="Times New Roman" w:cs="Times New Roman" w:eastAsia="Times New Roman" w:hAnsi="Times New Roman"/>
          <w:sz w:val="16"/>
          <w:szCs w:val="16"/>
          <w:color w:val="auto"/>
        </w:rPr>
        <w:t>Income Tax (Earnings and Pensions) Act 2003 in respect of the Shares acquired pursuant to his Award. The Committee may determine that it is a condition of the grant of an Award granted in the form of an Option that the exercise of the Option and the issue or transfer of the Shares to the Participant on the exercise of the Option is subject to the</w:t>
      </w:r>
    </w:p>
    <w:p>
      <w:pPr>
        <w:spacing w:after="0" w:line="1" w:lineRule="exact"/>
        <w:rPr>
          <w:sz w:val="20"/>
          <w:szCs w:val="20"/>
          <w:color w:val="auto"/>
        </w:rPr>
      </w:pPr>
    </w:p>
    <w:p>
      <w:pPr>
        <w:ind w:left="40" w:right="20"/>
        <w:spacing w:after="0" w:line="224" w:lineRule="auto"/>
        <w:rPr>
          <w:sz w:val="20"/>
          <w:szCs w:val="20"/>
          <w:color w:val="auto"/>
        </w:rPr>
      </w:pPr>
      <w:r>
        <w:rPr>
          <w:rFonts w:ascii="Times New Roman" w:cs="Times New Roman" w:eastAsia="Times New Roman" w:hAnsi="Times New Roman"/>
          <w:sz w:val="16"/>
          <w:szCs w:val="16"/>
          <w:color w:val="auto"/>
        </w:rPr>
        <w:t>Participant entering into a joint election under the UK Social Security (Contributions and Benefits) Act 1992 with his employing company (in such form as is determined by the Committee) for any liability for employer NICs to be transferred to the Participant.</w:t>
      </w:r>
    </w:p>
    <w:p>
      <w:pPr>
        <w:spacing w:after="0" w:line="141"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4"/>
          <w:szCs w:val="14"/>
          <w:color w:val="auto"/>
        </w:rPr>
        <w:t>In no circumstances shall any UK Employee on ceasing to hold the employment by virtue of which he is or may be eligible to participate in the Plan be entitled to</w:t>
      </w:r>
    </w:p>
    <w:p>
      <w:pPr>
        <w:ind w:left="40"/>
        <w:spacing w:after="0" w:line="229" w:lineRule="auto"/>
        <w:rPr>
          <w:sz w:val="20"/>
          <w:szCs w:val="20"/>
          <w:color w:val="auto"/>
        </w:rPr>
      </w:pPr>
      <w:r>
        <w:rPr>
          <w:rFonts w:ascii="Times New Roman" w:cs="Times New Roman" w:eastAsia="Times New Roman" w:hAnsi="Times New Roman"/>
          <w:sz w:val="14"/>
          <w:szCs w:val="14"/>
          <w:color w:val="auto"/>
        </w:rPr>
        <w:t>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and each UK Employee shall waive all and any</w:t>
      </w:r>
    </w:p>
    <w:p>
      <w:pPr>
        <w:ind w:left="40"/>
        <w:spacing w:after="0" w:line="237" w:lineRule="auto"/>
        <w:rPr>
          <w:sz w:val="20"/>
          <w:szCs w:val="20"/>
          <w:color w:val="auto"/>
        </w:rPr>
      </w:pPr>
      <w:r>
        <w:rPr>
          <w:rFonts w:ascii="Times New Roman" w:cs="Times New Roman" w:eastAsia="Times New Roman" w:hAnsi="Times New Roman"/>
          <w:sz w:val="14"/>
          <w:szCs w:val="14"/>
          <w:color w:val="auto"/>
        </w:rPr>
        <w:t>rights to compensation or damages in consequence of the termination of his office or employment for any reason whatsoever (including, without prejudice to the generality of the</w:t>
      </w:r>
    </w:p>
    <w:p>
      <w:pPr>
        <w:spacing w:after="0" w:line="1" w:lineRule="exact"/>
        <w:rPr>
          <w:sz w:val="20"/>
          <w:szCs w:val="20"/>
          <w:color w:val="auto"/>
        </w:rPr>
      </w:pPr>
    </w:p>
    <w:p>
      <w:pPr>
        <w:ind w:left="40"/>
        <w:spacing w:after="0" w:line="217" w:lineRule="auto"/>
        <w:rPr>
          <w:sz w:val="20"/>
          <w:szCs w:val="20"/>
          <w:color w:val="auto"/>
        </w:rPr>
      </w:pPr>
      <w:r>
        <w:rPr>
          <w:rFonts w:ascii="Times New Roman" w:cs="Times New Roman" w:eastAsia="Times New Roman" w:hAnsi="Times New Roman"/>
          <w:sz w:val="16"/>
          <w:szCs w:val="16"/>
          <w:color w:val="auto"/>
        </w:rPr>
        <w:t>foregoing wrongful dismissal or dismissal in breach of contract) insofar as those rights arise, or may arise, from his ceasing to have rights or any entitlement to Shares under the Plan as a result of such termination, or from the loss or diminution in value of such rights or entitlements.</w:t>
      </w:r>
    </w:p>
    <w:p>
      <w:pPr>
        <w:spacing w:after="0" w:line="157" w:lineRule="exact"/>
        <w:rPr>
          <w:sz w:val="20"/>
          <w:szCs w:val="20"/>
          <w:color w:val="auto"/>
        </w:rPr>
      </w:pPr>
    </w:p>
    <w:p>
      <w:pPr>
        <w:ind w:left="40"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2.4. </w:t>
      </w:r>
      <w:r>
        <w:rPr>
          <w:rFonts w:ascii="Times New Roman" w:cs="Times New Roman" w:eastAsia="Times New Roman" w:hAnsi="Times New Roman"/>
          <w:sz w:val="14"/>
          <w:szCs w:val="14"/>
          <w:color w:val="auto"/>
        </w:rPr>
        <w:t>The Plan shall not form any part of any contract of employment or terms of appointment between the Company or any Parent, Subsidiary or Affiliate and any UK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 and it shall not confer on any UK Employee any legal or equitable rights (other than those constituting an Award) against the Company or any Parent, Subsidiary or</w:t>
      </w:r>
    </w:p>
    <w:p>
      <w:pPr>
        <w:ind w:left="40"/>
        <w:spacing w:after="0"/>
        <w:rPr>
          <w:sz w:val="20"/>
          <w:szCs w:val="20"/>
          <w:color w:val="auto"/>
        </w:rPr>
      </w:pPr>
      <w:r>
        <w:rPr>
          <w:rFonts w:ascii="Times New Roman" w:cs="Times New Roman" w:eastAsia="Times New Roman" w:hAnsi="Times New Roman"/>
          <w:sz w:val="16"/>
          <w:szCs w:val="16"/>
          <w:color w:val="auto"/>
        </w:rPr>
        <w:t>Affiliate, directly or indirectly, or give rise to any cause of action in law or in equity against the Company, or any Parent, Subsidiary or Affiliate.</w:t>
      </w:r>
    </w:p>
    <w:p>
      <w:pPr>
        <w:spacing w:after="0" w:line="14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2.5. </w:t>
      </w:r>
      <w:r>
        <w:rPr>
          <w:rFonts w:ascii="Times New Roman" w:cs="Times New Roman" w:eastAsia="Times New Roman" w:hAnsi="Times New Roman"/>
          <w:sz w:val="16"/>
          <w:szCs w:val="16"/>
          <w:color w:val="auto"/>
        </w:rPr>
        <w:t>The benefits to Participants under the Plan shall not form any part of their pay, wages, remuneration or fees or count as pay, wages, remuneration or fees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pension fund or other purposes.</w:t>
      </w:r>
    </w:p>
    <w:p>
      <w:pPr>
        <w:spacing w:after="0" w:line="14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2.6. </w:t>
      </w:r>
      <w:r>
        <w:rPr>
          <w:rFonts w:ascii="Times New Roman" w:cs="Times New Roman" w:eastAsia="Times New Roman" w:hAnsi="Times New Roman"/>
          <w:sz w:val="16"/>
          <w:szCs w:val="16"/>
          <w:color w:val="auto"/>
        </w:rPr>
        <w:t>The Plan is entirely discretionary. The grant of an Award does not give any Participant an entitlement (or any expectation of an entitlement) to any future grant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Award pursuant to the Plan notwithstanding that other grants are made in a particular year to other Employees.</w:t>
      </w:r>
    </w:p>
    <w:p>
      <w:pPr>
        <w:spacing w:after="0" w:line="3"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2.7.</w:t>
      </w:r>
      <w:r>
        <w:rPr>
          <w:sz w:val="20"/>
          <w:szCs w:val="20"/>
          <w:color w:val="auto"/>
        </w:rPr>
        <w:tab/>
      </w:r>
      <w:r>
        <w:rPr>
          <w:rFonts w:ascii="Times New Roman" w:cs="Times New Roman" w:eastAsia="Times New Roman" w:hAnsi="Times New Roman"/>
          <w:sz w:val="14"/>
          <w:szCs w:val="14"/>
          <w:color w:val="auto"/>
        </w:rPr>
        <w:t>Where the Shares are listed on the NASDAQ (or another a Recognized Stock Exchange as determined in accordance with Section 1005 of the Income Tax Act</w:t>
      </w:r>
    </w:p>
    <w:p>
      <w:pPr>
        <w:ind w:left="40"/>
        <w:spacing w:after="0" w:line="217" w:lineRule="auto"/>
        <w:rPr>
          <w:sz w:val="20"/>
          <w:szCs w:val="20"/>
          <w:color w:val="auto"/>
        </w:rPr>
      </w:pPr>
      <w:r>
        <w:rPr>
          <w:rFonts w:ascii="Times New Roman" w:cs="Times New Roman" w:eastAsia="Times New Roman" w:hAnsi="Times New Roman"/>
          <w:sz w:val="16"/>
          <w:szCs w:val="16"/>
          <w:color w:val="auto"/>
        </w:rPr>
        <w:t>2007), the Company will at its expense make an application for and use its reasonable endeavors to obtain a listing on the relevant Recognized Stock Exchange for all Shares acquired by Participants under this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160"/>
          </w:cols>
          <w:pgMar w:left="340" w:top="1318" w:right="399" w:bottom="1440" w:gutter="0" w:footer="0" w:header="0"/>
        </w:sectPr>
      </w:pPr>
    </w:p>
    <w:bookmarkStart w:id="134" w:name="page135"/>
    <w:bookmarkEnd w:id="134"/>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2.8. </w:t>
      </w:r>
      <w:r>
        <w:rPr>
          <w:rFonts w:ascii="Times New Roman" w:cs="Times New Roman" w:eastAsia="Times New Roman" w:hAnsi="Times New Roman"/>
          <w:sz w:val="16"/>
          <w:szCs w:val="16"/>
          <w:color w:val="auto"/>
        </w:rPr>
        <w:t>For the purposes of administering this Sub-Plan, the Company and any Parent, Subsidiary or Affiliate will collect and process information relating to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in accordance with the privacy notice currently available on the Company’s intranet.</w:t>
      </w:r>
    </w:p>
    <w:p>
      <w:pPr>
        <w:spacing w:after="0" w:line="146" w:lineRule="exact"/>
        <w:rPr>
          <w:sz w:val="20"/>
          <w:szCs w:val="20"/>
          <w:color w:val="auto"/>
        </w:rPr>
      </w:pPr>
    </w:p>
    <w:p>
      <w:pPr>
        <w:ind w:left="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2.9. </w:t>
      </w:r>
      <w:r>
        <w:rPr>
          <w:rFonts w:ascii="Times New Roman" w:cs="Times New Roman" w:eastAsia="Times New Roman" w:hAnsi="Times New Roman"/>
          <w:sz w:val="16"/>
          <w:szCs w:val="16"/>
          <w:color w:val="auto"/>
        </w:rPr>
        <w:t>The Contracts (Rights of Third Parties) Act 1999 shall not apply to this UK Sub-Plan nor to any Award and no person other than parties to an Award shall have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rights under it nor shall it be enforceable under that Act by any person other than the parties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160"/>
          </w:cols>
          <w:pgMar w:left="340" w:top="1063" w:right="399" w:bottom="1440" w:gutter="0" w:footer="0" w:header="0"/>
        </w:sectPr>
      </w:pPr>
    </w:p>
    <w:bookmarkStart w:id="135" w:name="page136"/>
    <w:bookmarkEnd w:id="135"/>
    <w:p>
      <w:pPr>
        <w:ind w:left="4460"/>
        <w:spacing w:after="0"/>
        <w:rPr>
          <w:sz w:val="20"/>
          <w:szCs w:val="20"/>
          <w:color w:val="auto"/>
        </w:rPr>
      </w:pPr>
      <w:r>
        <w:rPr>
          <w:rFonts w:ascii="Times New Roman" w:cs="Times New Roman" w:eastAsia="Times New Roman" w:hAnsi="Times New Roman"/>
          <w:sz w:val="16"/>
          <w:szCs w:val="16"/>
          <w:b w:val="1"/>
          <w:bCs w:val="1"/>
          <w:color w:val="auto"/>
        </w:rPr>
        <w:t>PELOTON INTERACTIVE, INC.</w:t>
      </w:r>
    </w:p>
    <w:p>
      <w:pPr>
        <w:ind w:left="4440"/>
        <w:spacing w:after="0" w:line="207" w:lineRule="auto"/>
        <w:rPr>
          <w:sz w:val="20"/>
          <w:szCs w:val="20"/>
          <w:color w:val="auto"/>
        </w:rPr>
      </w:pPr>
      <w:r>
        <w:rPr>
          <w:rFonts w:ascii="Times New Roman" w:cs="Times New Roman" w:eastAsia="Times New Roman" w:hAnsi="Times New Roman"/>
          <w:sz w:val="16"/>
          <w:szCs w:val="16"/>
          <w:b w:val="1"/>
          <w:bCs w:val="1"/>
          <w:color w:val="auto"/>
        </w:rPr>
        <w:t>2019 EQUITY INCENTIVE PLAN</w:t>
      </w:r>
    </w:p>
    <w:p>
      <w:pPr>
        <w:jc w:val="center"/>
        <w:spacing w:after="0"/>
        <w:rPr>
          <w:sz w:val="20"/>
          <w:szCs w:val="20"/>
          <w:color w:val="auto"/>
        </w:rPr>
      </w:pPr>
      <w:r>
        <w:rPr>
          <w:rFonts w:ascii="Times New Roman" w:cs="Times New Roman" w:eastAsia="Times New Roman" w:hAnsi="Times New Roman"/>
          <w:sz w:val="16"/>
          <w:szCs w:val="16"/>
          <w:b w:val="1"/>
          <w:bCs w:val="1"/>
          <w:color w:val="auto"/>
        </w:rPr>
        <w:t>GLOBAL NOTICE OF STOCK OPTION GRANT</w:t>
      </w:r>
    </w:p>
    <w:p>
      <w:pPr>
        <w:spacing w:after="0" w:line="93" w:lineRule="exact"/>
        <w:rPr>
          <w:sz w:val="20"/>
          <w:szCs w:val="20"/>
          <w:color w:val="auto"/>
        </w:rPr>
      </w:pPr>
    </w:p>
    <w:p>
      <w:pPr>
        <w:jc w:val="both"/>
        <w:ind w:hanging="3"/>
        <w:spacing w:after="0" w:line="236" w:lineRule="auto"/>
        <w:rPr>
          <w:sz w:val="20"/>
          <w:szCs w:val="20"/>
          <w:color w:val="auto"/>
        </w:rPr>
      </w:pPr>
      <w:r>
        <w:rPr>
          <w:rFonts w:ascii="Times New Roman" w:cs="Times New Roman" w:eastAsia="Times New Roman" w:hAnsi="Times New Roman"/>
          <w:sz w:val="16"/>
          <w:szCs w:val="16"/>
          <w:color w:val="auto"/>
        </w:rPr>
        <w:t>Unless otherwise defined herein, the terms defined in the Peloton Interactive,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2019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will have the same meanings in this Global Notice of Stock Option Grant and the electronic representation of this Global Notice of Stock Option Grant established and maintained by the Company or a third party designated by the Company (this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Address</w:t>
      </w:r>
      <w:r>
        <w:rPr>
          <w:rFonts w:ascii="Times New Roman" w:cs="Times New Roman" w:eastAsia="Times New Roman" w:hAnsi="Times New Roman"/>
          <w:sz w:val="16"/>
          <w:szCs w:val="16"/>
          <w:color w:val="auto"/>
        </w:rPr>
        <w:t>:</w:t>
      </w:r>
    </w:p>
    <w:p>
      <w:pPr>
        <w:spacing w:after="0" w:line="1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You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have been granted an option to purchase shares of common stock of the Company (the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under the Plan subject to the terms and conditions of the Plan, this Notice and the attached Global Stock Option Award Agreement (the “</w:t>
      </w:r>
      <w:r>
        <w:rPr>
          <w:rFonts w:ascii="Times New Roman" w:cs="Times New Roman" w:eastAsia="Times New Roman" w:hAnsi="Times New Roman"/>
          <w:sz w:val="16"/>
          <w:szCs w:val="16"/>
          <w:b w:val="1"/>
          <w:bCs w:val="1"/>
          <w:i w:val="1"/>
          <w:iCs w:val="1"/>
          <w:color w:val="auto"/>
        </w:rPr>
        <w:t>Option Agreement</w:t>
      </w:r>
      <w:r>
        <w:rPr>
          <w:rFonts w:ascii="Times New Roman" w:cs="Times New Roman" w:eastAsia="Times New Roman" w:hAnsi="Times New Roman"/>
          <w:sz w:val="16"/>
          <w:szCs w:val="16"/>
          <w:color w:val="auto"/>
        </w:rPr>
        <w:t>”), including any applicable country-specific provisions in the appendix attached hereto (the “</w:t>
      </w:r>
      <w:r>
        <w:rPr>
          <w:rFonts w:ascii="Times New Roman" w:cs="Times New Roman" w:eastAsia="Times New Roman" w:hAnsi="Times New Roman"/>
          <w:sz w:val="16"/>
          <w:szCs w:val="16"/>
          <w:b w:val="1"/>
          <w:bCs w:val="1"/>
          <w:i w:val="1"/>
          <w:iCs w:val="1"/>
          <w:color w:val="auto"/>
        </w:rPr>
        <w:t>Appendix</w:t>
      </w:r>
      <w:r>
        <w:rPr>
          <w:rFonts w:ascii="Times New Roman" w:cs="Times New Roman" w:eastAsia="Times New Roman" w:hAnsi="Times New Roman"/>
          <w:sz w:val="16"/>
          <w:szCs w:val="16"/>
          <w:color w:val="auto"/>
        </w:rPr>
        <w:t>”), which constitutes part of the Option Agreement.</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Grant Number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Date of Grant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Vesting Commencement Date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Exercise Price per Share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Total Number of Shares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Type of Option</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 _______; This Option expires earlier if Participant’s Service terminates earlier, as described in the Option Agreement.</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Vesting Schedule</w:t>
      </w:r>
      <w:r>
        <w:rPr>
          <w:rFonts w:ascii="Times New Roman" w:cs="Times New Roman" w:eastAsia="Times New Roman" w:hAnsi="Times New Roman"/>
          <w:sz w:val="16"/>
          <w:szCs w:val="16"/>
          <w:color w:val="auto"/>
        </w:rPr>
        <w:t>: Subject to the limitations set forth in this Notice, the Plan and the Option Agreement, the Option will vest in accordance with the following schedule: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By accepting (whether in writing, electronically or otherwise) the Option, Participant acknowledges and agrees to the following:</w:t>
      </w:r>
    </w:p>
    <w:p>
      <w:pPr>
        <w:spacing w:after="0" w:line="102" w:lineRule="exact"/>
        <w:rPr>
          <w:sz w:val="20"/>
          <w:szCs w:val="20"/>
          <w:color w:val="auto"/>
        </w:rPr>
      </w:pPr>
    </w:p>
    <w:p>
      <w:pPr>
        <w:jc w:val="both"/>
        <w:ind w:left="480" w:right="60" w:hanging="260"/>
        <w:spacing w:after="0" w:line="242" w:lineRule="auto"/>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understands that Participant’s employment or consulting relationship or Service with the Company or a Parent or Subsidiary or Affiliate is for an unspecified duration, can be terminated at any time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is “at-will”), except where otherwise prohibited by applicable law, and that nothing in this Notice, the Option Agreement or the Plan changes the nature of that relationship. Participant acknowledges that the vesting of the Option pursuant to this Notice is subject to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 to the extent permitted by applicable law. Furthermore, the period during which Participant may exercise the Option after termination of Service, if any, will commence on the Termination Date (as defined in the Option Agreement).</w:t>
      </w:r>
    </w:p>
    <w:p>
      <w:pPr>
        <w:spacing w:after="0" w:line="83" w:lineRule="exact"/>
        <w:rPr>
          <w:rFonts w:ascii="Times New Roman" w:cs="Times New Roman" w:eastAsia="Times New Roman" w:hAnsi="Times New Roman"/>
          <w:sz w:val="14"/>
          <w:szCs w:val="14"/>
          <w:color w:val="auto"/>
        </w:rPr>
      </w:pPr>
    </w:p>
    <w:p>
      <w:pPr>
        <w:ind w:left="480" w:right="60" w:hanging="260"/>
        <w:spacing w:after="0" w:line="229" w:lineRule="auto"/>
        <w:tabs>
          <w:tab w:leader="none" w:pos="4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grant is made under and governed by the Plan, the Option Agreement and this Notice, and this Notice is subject to the terms and conditions of the Option Agreement and the Plan, both of which are incorporated herein by reference. Participant has read the Notice, the Option Agreement and the Plan.</w:t>
      </w:r>
    </w:p>
    <w:p>
      <w:pPr>
        <w:spacing w:after="0" w:line="83" w:lineRule="exact"/>
        <w:rPr>
          <w:rFonts w:ascii="Times New Roman" w:cs="Times New Roman" w:eastAsia="Times New Roman" w:hAnsi="Times New Roman"/>
          <w:sz w:val="16"/>
          <w:szCs w:val="16"/>
          <w:color w:val="auto"/>
        </w:rPr>
      </w:pPr>
    </w:p>
    <w:p>
      <w:pPr>
        <w:ind w:left="480" w:right="60" w:hanging="260"/>
        <w:spacing w:after="0" w:line="235" w:lineRule="auto"/>
        <w:tabs>
          <w:tab w:leader="none" w:pos="4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has read the Company’s Insider Trading Policy, and agrees to comply with such policy, as it may be amended from time to time, whenever Participant acquires or disposes of the Company’s securities.</w:t>
      </w:r>
    </w:p>
    <w:p>
      <w:pPr>
        <w:spacing w:after="0" w:line="78" w:lineRule="exact"/>
        <w:rPr>
          <w:rFonts w:ascii="Times New Roman" w:cs="Times New Roman" w:eastAsia="Times New Roman" w:hAnsi="Times New Roman"/>
          <w:sz w:val="16"/>
          <w:szCs w:val="16"/>
          <w:color w:val="auto"/>
        </w:rPr>
      </w:pPr>
    </w:p>
    <w:p>
      <w:pPr>
        <w:ind w:left="480" w:hanging="260"/>
        <w:spacing w:after="0"/>
        <w:tabs>
          <w:tab w:leader="none" w:pos="4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accepting the Option, Participant consents to electronic delivery and participation as set forth in the Option</w:t>
      </w:r>
    </w:p>
    <w:p>
      <w:pPr>
        <w:ind w:left="420"/>
        <w:spacing w:after="0"/>
        <w:rPr>
          <w:sz w:val="20"/>
          <w:szCs w:val="20"/>
          <w:color w:val="auto"/>
        </w:rPr>
      </w:pPr>
      <w:r>
        <w:rPr>
          <w:rFonts w:ascii="Times New Roman" w:cs="Times New Roman" w:eastAsia="Times New Roman" w:hAnsi="Times New Roman"/>
          <w:sz w:val="16"/>
          <w:szCs w:val="16"/>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PELOTON INTERACTIVE, INC.</w:t>
      </w:r>
    </w:p>
    <w:p>
      <w:pPr>
        <w:ind w:left="4440"/>
        <w:spacing w:after="0"/>
        <w:rPr>
          <w:sz w:val="20"/>
          <w:szCs w:val="20"/>
          <w:color w:val="auto"/>
        </w:rPr>
      </w:pPr>
      <w:r>
        <w:rPr>
          <w:rFonts w:ascii="Times New Roman" w:cs="Times New Roman" w:eastAsia="Times New Roman" w:hAnsi="Times New Roman"/>
          <w:sz w:val="16"/>
          <w:szCs w:val="16"/>
          <w:b w:val="1"/>
          <w:bCs w:val="1"/>
          <w:color w:val="auto"/>
        </w:rPr>
        <w:t>2019 EQUITY INCENTIVE PLAN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40" w:top="44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color w:val="auto"/>
        </w:rPr>
        <w:t>GLOBAL STOCK OPTION AWARD AGREEMENT</w:t>
      </w:r>
    </w:p>
    <w:p>
      <w:pPr>
        <w:spacing w:after="0" w:line="145" w:lineRule="exact"/>
        <w:rPr>
          <w:sz w:val="20"/>
          <w:szCs w:val="20"/>
          <w:color w:val="auto"/>
        </w:rPr>
      </w:pPr>
    </w:p>
    <w:p>
      <w:pPr>
        <w:jc w:val="both"/>
        <w:ind w:right="20" w:firstLine="508"/>
        <w:spacing w:after="0" w:line="248" w:lineRule="auto"/>
        <w:rPr>
          <w:sz w:val="20"/>
          <w:szCs w:val="20"/>
          <w:color w:val="auto"/>
        </w:rPr>
      </w:pPr>
      <w:r>
        <w:rPr>
          <w:rFonts w:ascii="Times New Roman" w:cs="Times New Roman" w:eastAsia="Times New Roman" w:hAnsi="Times New Roman"/>
          <w:sz w:val="16"/>
          <w:szCs w:val="16"/>
          <w:color w:val="auto"/>
        </w:rPr>
        <w:t>Unless otherwise defined in this Global Stock Option Award Agreement (this “</w:t>
      </w:r>
      <w:r>
        <w:rPr>
          <w:rFonts w:ascii="Times New Roman" w:cs="Times New Roman" w:eastAsia="Times New Roman" w:hAnsi="Times New Roman"/>
          <w:sz w:val="16"/>
          <w:szCs w:val="16"/>
          <w:b w:val="1"/>
          <w:bCs w:val="1"/>
          <w:i w:val="1"/>
          <w:iCs w:val="1"/>
          <w:color w:val="auto"/>
        </w:rPr>
        <w:t>Option Agreement</w:t>
      </w:r>
      <w:r>
        <w:rPr>
          <w:rFonts w:ascii="Times New Roman" w:cs="Times New Roman" w:eastAsia="Times New Roman" w:hAnsi="Times New Roman"/>
          <w:sz w:val="16"/>
          <w:szCs w:val="16"/>
          <w:color w:val="auto"/>
        </w:rPr>
        <w:t>”), any capitalized terms used herein will have the meaning ascribed to them in the Peloton Interactive, Inc. 2019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jc w:val="both"/>
        <w:ind w:right="20" w:firstLine="511"/>
        <w:spacing w:after="0" w:line="236" w:lineRule="auto"/>
        <w:rPr>
          <w:sz w:val="20"/>
          <w:szCs w:val="20"/>
          <w:color w:val="auto"/>
        </w:rPr>
      </w:pPr>
      <w:r>
        <w:rPr>
          <w:rFonts w:ascii="Times New Roman" w:cs="Times New Roman" w:eastAsia="Times New Roman" w:hAnsi="Times New Roman"/>
          <w:sz w:val="16"/>
          <w:szCs w:val="16"/>
          <w:color w:val="auto"/>
        </w:rPr>
        <w:t>Participant has been granted an option to purchase Shares (the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of Peloton Interactive,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subject to the terms, restrictions and conditions of the Plan, the Global Notice of Stock Option Grant (the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 and this Option Agreement, including any applicable country-specific provisions in the appendix attached hereto (the “</w:t>
      </w:r>
      <w:r>
        <w:rPr>
          <w:rFonts w:ascii="Times New Roman" w:cs="Times New Roman" w:eastAsia="Times New Roman" w:hAnsi="Times New Roman"/>
          <w:sz w:val="16"/>
          <w:szCs w:val="16"/>
          <w:b w:val="1"/>
          <w:bCs w:val="1"/>
          <w:i w:val="1"/>
          <w:iCs w:val="1"/>
          <w:color w:val="auto"/>
        </w:rPr>
        <w:t>Appendix</w:t>
      </w:r>
      <w:r>
        <w:rPr>
          <w:rFonts w:ascii="Times New Roman" w:cs="Times New Roman" w:eastAsia="Times New Roman" w:hAnsi="Times New Roman"/>
          <w:sz w:val="16"/>
          <w:szCs w:val="16"/>
          <w:color w:val="auto"/>
        </w:rPr>
        <w:t>”), which constitutes part of this Option Agreement.</w:t>
      </w:r>
    </w:p>
    <w:p>
      <w:pPr>
        <w:spacing w:after="0" w:line="136" w:lineRule="exact"/>
        <w:rPr>
          <w:sz w:val="20"/>
          <w:szCs w:val="20"/>
          <w:color w:val="auto"/>
        </w:rPr>
      </w:pPr>
    </w:p>
    <w:p>
      <w:pPr>
        <w:jc w:val="both"/>
        <w:ind w:left="420" w:hanging="198"/>
        <w:spacing w:after="0" w:line="236" w:lineRule="auto"/>
        <w:tabs>
          <w:tab w:leader="none" w:pos="382"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Rights.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applicable provisions of the Plan and this Option Agreement, this Option may be exercised, in whole or in part, in accordance with the Vesting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Schedule set forth in the Notice. Participant acknowledges that the vesting of the Option pursuant to this Notice and Agreement is subject to Participant’s continuing Service as an Employee, Director or Consultant.</w:t>
      </w:r>
    </w:p>
    <w:p>
      <w:pPr>
        <w:spacing w:after="0" w:line="146" w:lineRule="exact"/>
        <w:rPr>
          <w:rFonts w:ascii="Times New Roman" w:cs="Times New Roman" w:eastAsia="Times New Roman" w:hAnsi="Times New Roman"/>
          <w:sz w:val="16"/>
          <w:szCs w:val="16"/>
          <w:color w:val="auto"/>
        </w:rPr>
      </w:pPr>
    </w:p>
    <w:p>
      <w:pPr>
        <w:ind w:left="420" w:hanging="215"/>
        <w:spacing w:after="0" w:line="230" w:lineRule="auto"/>
        <w:tabs>
          <w:tab w:leader="none" w:pos="36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Grant of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has been granted an Option for the number of Shares set forth in the Notice at the exercise price per Share in U.S. Dollars set forth in the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Exercise Price</w:t>
      </w:r>
      <w:r>
        <w:rPr>
          <w:rFonts w:ascii="Times New Roman" w:cs="Times New Roman" w:eastAsia="Times New Roman" w:hAnsi="Times New Roman"/>
          <w:sz w:val="16"/>
          <w:szCs w:val="16"/>
          <w:color w:val="auto"/>
        </w:rPr>
        <w:t>”). In the event of a conflict between the terms and conditions of the Plan and the terms and conditions of this Option Agreement, the terms and conditions of the Plan shall prevail. If designated in the Notice as an Incentive Stock Option (“</w:t>
      </w:r>
      <w:r>
        <w:rPr>
          <w:rFonts w:ascii="Times New Roman" w:cs="Times New Roman" w:eastAsia="Times New Roman" w:hAnsi="Times New Roman"/>
          <w:sz w:val="16"/>
          <w:szCs w:val="16"/>
          <w:b w:val="1"/>
          <w:bCs w:val="1"/>
          <w:i w:val="1"/>
          <w:iCs w:val="1"/>
          <w:color w:val="auto"/>
        </w:rPr>
        <w:t>ISO</w:t>
      </w:r>
      <w:r>
        <w:rPr>
          <w:rFonts w:ascii="Times New Roman" w:cs="Times New Roman" w:eastAsia="Times New Roman" w:hAnsi="Times New Roman"/>
          <w:sz w:val="16"/>
          <w:szCs w:val="16"/>
          <w:color w:val="auto"/>
        </w:rPr>
        <w:t>”), this Option is intended to qualify as an Incentive Stock Option under Section 422 of the Code. However, if this Option is intended to be an ISO, to the extent that it exceeds the U.S. $100,000 rule of Code Section 422(d) it shall be treated as a Nonqualified Stock Option (“</w:t>
      </w:r>
      <w:r>
        <w:rPr>
          <w:rFonts w:ascii="Times New Roman" w:cs="Times New Roman" w:eastAsia="Times New Roman" w:hAnsi="Times New Roman"/>
          <w:sz w:val="16"/>
          <w:szCs w:val="16"/>
          <w:b w:val="1"/>
          <w:bCs w:val="1"/>
          <w:i w:val="1"/>
          <w:iCs w:val="1"/>
          <w:color w:val="auto"/>
        </w:rPr>
        <w:t>NSO</w:t>
      </w: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ind w:left="360" w:hanging="151"/>
        <w:spacing w:after="0"/>
        <w:tabs>
          <w:tab w:leader="none" w:pos="3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Termination Period.</w:t>
      </w:r>
    </w:p>
    <w:p>
      <w:pPr>
        <w:spacing w:after="0" w:line="147" w:lineRule="exact"/>
        <w:rPr>
          <w:sz w:val="20"/>
          <w:szCs w:val="20"/>
          <w:color w:val="auto"/>
        </w:rPr>
      </w:pPr>
    </w:p>
    <w:p>
      <w:pPr>
        <w:jc w:val="both"/>
        <w:ind w:left="480" w:hanging="260"/>
        <w:spacing w:after="0" w:line="232" w:lineRule="auto"/>
        <w:tabs>
          <w:tab w:leader="none" w:pos="472"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Rule</w:t>
      </w:r>
      <w:r>
        <w:rPr>
          <w:rFonts w:ascii="Times New Roman" w:cs="Times New Roman" w:eastAsia="Times New Roman" w:hAnsi="Times New Roman"/>
          <w:sz w:val="16"/>
          <w:szCs w:val="16"/>
          <w:color w:val="auto"/>
        </w:rPr>
        <w:t>. If Participant’s Service terminates for any reason except death or Disability, and other than for Cause, then this Option will expire at the close of business at Company headquarters on the date three (3) months after Participant’s Termination Date (as defined below) (or such shorter time period not less than thirty (30) days or longer time period as may be determined by the Committee, with any exercise beyond three (3) months after the date Participant’s Service terminates deemed to be the exercise of an NSO). The Company determines when Participant’s Service terminates for all purposes under this Option Agreement.</w:t>
      </w:r>
    </w:p>
    <w:p>
      <w:pPr>
        <w:spacing w:after="0" w:line="126" w:lineRule="exact"/>
        <w:rPr>
          <w:rFonts w:ascii="Times New Roman" w:cs="Times New Roman" w:eastAsia="Times New Roman" w:hAnsi="Times New Roman"/>
          <w:sz w:val="16"/>
          <w:szCs w:val="16"/>
          <w:color w:val="auto"/>
        </w:rPr>
      </w:pPr>
    </w:p>
    <w:p>
      <w:pPr>
        <w:jc w:val="both"/>
        <w:ind w:left="480" w:right="20" w:hanging="260"/>
        <w:spacing w:after="0" w:line="265" w:lineRule="auto"/>
        <w:tabs>
          <w:tab w:leader="none" w:pos="47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Death; Disability</w:t>
      </w:r>
      <w:r>
        <w:rPr>
          <w:rFonts w:ascii="Times New Roman" w:cs="Times New Roman" w:eastAsia="Times New Roman" w:hAnsi="Times New Roman"/>
          <w:sz w:val="14"/>
          <w:szCs w:val="14"/>
          <w:color w:val="auto"/>
        </w:rPr>
        <w:t>. If Participant dies before Participant’s Service terminates (or Participant dies within three months of Participant’s termination of Service other than for Cause), then this Option will expire at the close of business at Company headquarters on the date twelve (12) months after the date of death (or such shorter time period not less than six (6) months or longer time period as may be determined by the Committee or a shorter period set forth in the Appendix for a specific jurisdiction, subject to the expiration details in Section 7). If Participant’s Service terminates because of Participant’s Disability, then this Option will expire at the close of business at Company headquarters on the date twelve (12) months after Participant’s Termination Date (or such shorter time period not less than six (6) months or longer time period as may be determined by the Committee or a shorter period set forth in the Appendix for a specific jurisdiction, subject to the expiration details in Section 7).</w:t>
      </w:r>
    </w:p>
    <w:p>
      <w:pPr>
        <w:spacing w:after="0" w:line="111" w:lineRule="exact"/>
        <w:rPr>
          <w:rFonts w:ascii="Times New Roman" w:cs="Times New Roman" w:eastAsia="Times New Roman" w:hAnsi="Times New Roman"/>
          <w:sz w:val="14"/>
          <w:szCs w:val="14"/>
          <w:color w:val="auto"/>
        </w:rPr>
      </w:pPr>
    </w:p>
    <w:p>
      <w:pPr>
        <w:jc w:val="both"/>
        <w:ind w:left="480" w:right="20" w:hanging="260"/>
        <w:spacing w:after="0" w:line="232" w:lineRule="auto"/>
        <w:tabs>
          <w:tab w:leader="none" w:pos="472"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Unless otherwise determined by the Committee, the Option (whether or not vested) will terminate immediately upon the Participant’s cessation of Services if the Company reasonably determines in good faith that such cessation of Services has resulted in connection with an act or failure to act constituting Cause (or the Participant’s Services could have been terminated for Cause (without regard to the lapsing of any required notice or cure periods in connection therewith) at the time the Participant terminated Services).</w:t>
      </w:r>
    </w:p>
    <w:p>
      <w:pPr>
        <w:spacing w:after="0" w:line="126" w:lineRule="exact"/>
        <w:rPr>
          <w:rFonts w:ascii="Times New Roman" w:cs="Times New Roman" w:eastAsia="Times New Roman" w:hAnsi="Times New Roman"/>
          <w:sz w:val="16"/>
          <w:szCs w:val="16"/>
          <w:color w:val="auto"/>
        </w:rPr>
      </w:pPr>
    </w:p>
    <w:p>
      <w:pPr>
        <w:ind w:left="480" w:right="20" w:hanging="260"/>
        <w:spacing w:after="0" w:line="245" w:lineRule="auto"/>
        <w:tabs>
          <w:tab w:leader="none" w:pos="47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Notification of Exercise Periods</w:t>
      </w:r>
      <w:r>
        <w:rPr>
          <w:rFonts w:ascii="Times New Roman" w:cs="Times New Roman" w:eastAsia="Times New Roman" w:hAnsi="Times New Roman"/>
          <w:sz w:val="16"/>
          <w:szCs w:val="16"/>
          <w:color w:val="auto"/>
        </w:rPr>
        <w:t>. Participant is responsible for keeping track of these exercise periods following Participant’s termination of Service for any reason. The Company will not provide further notice of such periods. In no event shall this Option be exercised later than the Expiration Date set forth in the Notice.</w:t>
      </w:r>
    </w:p>
    <w:p>
      <w:pPr>
        <w:spacing w:after="0" w:line="133" w:lineRule="exact"/>
        <w:rPr>
          <w:rFonts w:ascii="Times New Roman" w:cs="Times New Roman" w:eastAsia="Times New Roman" w:hAnsi="Times New Roman"/>
          <w:sz w:val="16"/>
          <w:szCs w:val="16"/>
          <w:color w:val="auto"/>
        </w:rPr>
      </w:pPr>
    </w:p>
    <w:p>
      <w:pPr>
        <w:jc w:val="both"/>
        <w:ind w:left="480" w:hanging="260"/>
        <w:spacing w:after="0" w:line="225" w:lineRule="auto"/>
        <w:tabs>
          <w:tab w:leader="none" w:pos="472"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For purposes of this Option,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to the Company, its Parent or one of its Subsidiaries or Affiliates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w:t>
      </w:r>
      <w:r>
        <w:rPr>
          <w:rFonts w:ascii="Times New Roman" w:cs="Times New Roman" w:eastAsia="Times New Roman" w:hAnsi="Times New Roman"/>
          <w:sz w:val="16"/>
          <w:szCs w:val="16"/>
          <w:b w:val="1"/>
          <w:bCs w:val="1"/>
          <w:i w:val="1"/>
          <w:iCs w:val="1"/>
          <w:color w:val="auto"/>
        </w:rPr>
        <w:t>Termination Date</w:t>
      </w:r>
      <w:r>
        <w:rPr>
          <w:rFonts w:ascii="Times New Roman" w:cs="Times New Roman" w:eastAsia="Times New Roman" w:hAnsi="Times New Roman"/>
          <w:sz w:val="16"/>
          <w:szCs w:val="16"/>
          <w:color w:val="auto"/>
        </w:rPr>
        <w:t>”). Unless otherwise provided in this Option Agreement or determined by the Company, Participant’s right to vest in the Option under the Plan, if any, will terminate as of the Termination Date and Participant’s right to exercise the Option after termination of Service, if any, will be measured from the Termination Date.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40" w:top="458" w:right="339" w:bottom="1440" w:gutter="0" w:footer="0" w:header="0"/>
        </w:sectPr>
      </w:pPr>
    </w:p>
    <w:bookmarkStart w:id="137" w:name="page138"/>
    <w:bookmarkEnd w:id="137"/>
    <w:p>
      <w:pPr>
        <w:jc w:val="both"/>
        <w:ind w:left="500" w:right="20"/>
        <w:spacing w:after="0" w:line="235" w:lineRule="auto"/>
        <w:rPr>
          <w:sz w:val="20"/>
          <w:szCs w:val="20"/>
          <w:color w:val="auto"/>
        </w:rPr>
      </w:pPr>
      <w:r>
        <w:rPr>
          <w:rFonts w:ascii="Times New Roman" w:cs="Times New Roman" w:eastAsia="Times New Roman" w:hAnsi="Times New Roman"/>
          <w:sz w:val="16"/>
          <w:szCs w:val="16"/>
          <w:color w:val="auto"/>
        </w:rPr>
        <w:t>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28" w:lineRule="exact"/>
        <w:rPr>
          <w:sz w:val="20"/>
          <w:szCs w:val="20"/>
          <w:color w:val="auto"/>
        </w:rPr>
      </w:pPr>
    </w:p>
    <w:p>
      <w:pPr>
        <w:jc w:val="both"/>
        <w:ind w:left="500" w:right="20"/>
        <w:spacing w:after="0" w:line="245" w:lineRule="auto"/>
        <w:rPr>
          <w:sz w:val="20"/>
          <w:szCs w:val="20"/>
          <w:color w:val="auto"/>
        </w:rPr>
      </w:pPr>
      <w:r>
        <w:rPr>
          <w:rFonts w:ascii="Times New Roman" w:cs="Times New Roman" w:eastAsia="Times New Roman" w:hAnsi="Times New Roman"/>
          <w:sz w:val="16"/>
          <w:szCs w:val="16"/>
          <w:color w:val="auto"/>
        </w:rPr>
        <w:t>If Participant does not exercise this Option within the termination period set forth in the Notice or the termination periods set forth above, the Option shall terminate in its entirety. In no event, may any Option be exercised after the Expiration Date of the Option as set forth in the Notice.</w:t>
      </w:r>
    </w:p>
    <w:p>
      <w:pPr>
        <w:spacing w:after="0" w:line="121" w:lineRule="exact"/>
        <w:rPr>
          <w:sz w:val="20"/>
          <w:szCs w:val="20"/>
          <w:color w:val="auto"/>
        </w:rPr>
      </w:pPr>
    </w:p>
    <w:p>
      <w:pPr>
        <w:ind w:left="400" w:hanging="158"/>
        <w:spacing w:after="0"/>
        <w:tabs>
          <w:tab w:leader="none" w:pos="4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Exercise of Option.</w:t>
      </w:r>
    </w:p>
    <w:p>
      <w:pPr>
        <w:spacing w:after="0" w:line="147" w:lineRule="exact"/>
        <w:rPr>
          <w:sz w:val="20"/>
          <w:szCs w:val="20"/>
          <w:color w:val="auto"/>
        </w:rPr>
      </w:pPr>
    </w:p>
    <w:p>
      <w:pPr>
        <w:jc w:val="both"/>
        <w:ind w:left="500" w:right="20" w:hanging="260"/>
        <w:spacing w:after="0" w:line="235" w:lineRule="auto"/>
        <w:tabs>
          <w:tab w:leader="none" w:pos="492"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Exercise</w:t>
      </w:r>
      <w:r>
        <w:rPr>
          <w:rFonts w:ascii="Times New Roman" w:cs="Times New Roman" w:eastAsia="Times New Roman" w:hAnsi="Times New Roman"/>
          <w:sz w:val="16"/>
          <w:szCs w:val="16"/>
          <w:color w:val="auto"/>
        </w:rPr>
        <w:t>. This Option is exercisable during its term in accordance with the Vesting Schedule set forth in the Notice and the applicable provisions of the Plan and this Option Agreement. In the event of Participant’s death, Disability, termination for Cause or other cessation of Service, the exercisability of the Option is governed by the applicable provisions of the Plan, the Notice and this Option Agreement. This Option may not be exercised for a fraction of a Share.</w:t>
      </w:r>
    </w:p>
    <w:p>
      <w:pPr>
        <w:spacing w:after="0" w:line="136" w:lineRule="exact"/>
        <w:rPr>
          <w:rFonts w:ascii="Times New Roman" w:cs="Times New Roman" w:eastAsia="Times New Roman" w:hAnsi="Times New Roman"/>
          <w:sz w:val="16"/>
          <w:szCs w:val="16"/>
          <w:color w:val="auto"/>
        </w:rPr>
      </w:pPr>
    </w:p>
    <w:p>
      <w:pPr>
        <w:jc w:val="both"/>
        <w:ind w:left="500" w:hanging="260"/>
        <w:spacing w:after="0" w:line="224" w:lineRule="auto"/>
        <w:tabs>
          <w:tab w:leader="none" w:pos="49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Exercise</w:t>
      </w:r>
      <w:r>
        <w:rPr>
          <w:rFonts w:ascii="Times New Roman" w:cs="Times New Roman" w:eastAsia="Times New Roman" w:hAnsi="Times New Roman"/>
          <w:sz w:val="16"/>
          <w:szCs w:val="16"/>
          <w:color w:val="auto"/>
        </w:rPr>
        <w:t>. This Option is exercisable by delivery of an exercise notice in a form specified by the Company (the “</w:t>
      </w:r>
      <w:r>
        <w:rPr>
          <w:rFonts w:ascii="Times New Roman" w:cs="Times New Roman" w:eastAsia="Times New Roman" w:hAnsi="Times New Roman"/>
          <w:sz w:val="16"/>
          <w:szCs w:val="16"/>
          <w:b w:val="1"/>
          <w:bCs w:val="1"/>
          <w:i w:val="1"/>
          <w:iCs w:val="1"/>
          <w:color w:val="auto"/>
        </w:rPr>
        <w:t>Exercise Notice</w:t>
      </w:r>
      <w:r>
        <w:rPr>
          <w:rFonts w:ascii="Times New Roman" w:cs="Times New Roman" w:eastAsia="Times New Roman" w:hAnsi="Times New Roman"/>
          <w:sz w:val="16"/>
          <w:szCs w:val="16"/>
          <w:color w:val="auto"/>
        </w:rPr>
        <w:t>”), which will state the election to exercise the Option, the number of Shares in respect of which the Option is being exercised (the “</w:t>
      </w:r>
      <w:r>
        <w:rPr>
          <w:rFonts w:ascii="Times New Roman" w:cs="Times New Roman" w:eastAsia="Times New Roman" w:hAnsi="Times New Roman"/>
          <w:sz w:val="16"/>
          <w:szCs w:val="16"/>
          <w:b w:val="1"/>
          <w:bCs w:val="1"/>
          <w:i w:val="1"/>
          <w:iCs w:val="1"/>
          <w:color w:val="auto"/>
        </w:rPr>
        <w:t>Exercised Shares</w:t>
      </w:r>
      <w:r>
        <w:rPr>
          <w:rFonts w:ascii="Times New Roman" w:cs="Times New Roman" w:eastAsia="Times New Roman" w:hAnsi="Times New Roman"/>
          <w:sz w:val="16"/>
          <w:szCs w:val="16"/>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This Option will be deemed to be exercised upon receipt by the Company of such fully executed Exercise Notice accompanied by such aggregate Exercise Price and payment of any applicable Tax-Related Items (as defined below). No Shares will be issued pursuant to the exercise of this Option unless such issuance and exercise complies with all relevant provisions of law and the requirements of any stock exchange or quotation service upon which the Shares are then listed and any exchange control registrations. Assuming such compliance, for United States income tax purposes the Exercised Shares will be considered transferred to Participant on the date the Option is exercised with respect to such Exercised Shares.</w:t>
      </w:r>
    </w:p>
    <w:p>
      <w:pPr>
        <w:spacing w:after="0" w:line="141" w:lineRule="exact"/>
        <w:rPr>
          <w:rFonts w:ascii="Times New Roman" w:cs="Times New Roman" w:eastAsia="Times New Roman" w:hAnsi="Times New Roman"/>
          <w:sz w:val="16"/>
          <w:szCs w:val="16"/>
          <w:color w:val="auto"/>
        </w:rPr>
      </w:pPr>
    </w:p>
    <w:p>
      <w:pPr>
        <w:jc w:val="both"/>
        <w:ind w:left="500" w:hanging="260"/>
        <w:spacing w:after="0" w:line="235" w:lineRule="auto"/>
        <w:tabs>
          <w:tab w:leader="none" w:pos="492"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by Another</w:t>
      </w:r>
      <w:r>
        <w:rPr>
          <w:rFonts w:ascii="Times New Roman" w:cs="Times New Roman" w:eastAsia="Times New Roman" w:hAnsi="Times New Roman"/>
          <w:sz w:val="16"/>
          <w:szCs w:val="16"/>
          <w:color w:val="auto"/>
        </w:rPr>
        <w:t>. If another person wants to exercise this Option after it has been transferred to him or her in compliance with this Option Agreement, that person must prove to the Company’s satisfaction that he or she is entitled to exercise this Option. That person must also complete the proper Exercise Notice form (as described above) and pay the Exercise Price (as described below) and any applicable Tax-Related Items (as described below).</w:t>
      </w:r>
    </w:p>
    <w:p>
      <w:pPr>
        <w:spacing w:after="0" w:line="115" w:lineRule="exact"/>
        <w:rPr>
          <w:rFonts w:ascii="Times New Roman" w:cs="Times New Roman" w:eastAsia="Times New Roman" w:hAnsi="Times New Roman"/>
          <w:sz w:val="16"/>
          <w:szCs w:val="16"/>
          <w:color w:val="auto"/>
        </w:rPr>
      </w:pPr>
    </w:p>
    <w:p>
      <w:pPr>
        <w:ind w:left="440" w:right="80" w:hanging="214"/>
        <w:spacing w:after="0" w:line="248" w:lineRule="auto"/>
        <w:tabs>
          <w:tab w:leader="none" w:pos="38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Method of 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 of the aggregate Exercise Price, and any Tax-Related Items (as defined below) withholding, will be by any of the following, or a combination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at the election of Participant:</w:t>
      </w:r>
    </w:p>
    <w:p>
      <w:pPr>
        <w:spacing w:after="0" w:line="131" w:lineRule="exact"/>
        <w:rPr>
          <w:rFonts w:ascii="Times New Roman" w:cs="Times New Roman" w:eastAsia="Times New Roman" w:hAnsi="Times New Roman"/>
          <w:sz w:val="16"/>
          <w:szCs w:val="16"/>
          <w:color w:val="auto"/>
        </w:rPr>
      </w:pPr>
    </w:p>
    <w:p>
      <w:pPr>
        <w:ind w:left="480" w:hanging="240"/>
        <w:spacing w:after="0"/>
        <w:tabs>
          <w:tab w:leader="none" w:pos="4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Participant’s personal check (representing readily available funds), wire transfer, or a cashier’s check;</w:t>
      </w:r>
    </w:p>
    <w:p>
      <w:pPr>
        <w:spacing w:after="0" w:line="155" w:lineRule="exact"/>
        <w:rPr>
          <w:rFonts w:ascii="Times New Roman" w:cs="Times New Roman" w:eastAsia="Times New Roman" w:hAnsi="Times New Roman"/>
          <w:sz w:val="16"/>
          <w:szCs w:val="16"/>
          <w:color w:val="auto"/>
        </w:rPr>
      </w:pPr>
    </w:p>
    <w:p>
      <w:pPr>
        <w:jc w:val="both"/>
        <w:ind w:left="500" w:hanging="260"/>
        <w:spacing w:after="0" w:line="226" w:lineRule="auto"/>
        <w:tabs>
          <w:tab w:leader="none" w:pos="49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permitted by the Committee, certificates for shares of Company stock that Participant owns, along with any forms needed to effect a transfer of those shares to the Company; the value of the shares, determined as of the effective date of the Option exercise, will be applied to the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this Option for financial reporting purposes;</w:t>
      </w:r>
    </w:p>
    <w:p>
      <w:pPr>
        <w:spacing w:after="0" w:line="148" w:lineRule="exact"/>
        <w:rPr>
          <w:rFonts w:ascii="Times New Roman" w:cs="Times New Roman" w:eastAsia="Times New Roman" w:hAnsi="Times New Roman"/>
          <w:sz w:val="16"/>
          <w:szCs w:val="16"/>
          <w:color w:val="auto"/>
        </w:rPr>
      </w:pPr>
    </w:p>
    <w:p>
      <w:pPr>
        <w:jc w:val="both"/>
        <w:ind w:left="500" w:right="20" w:hanging="260"/>
        <w:spacing w:after="0" w:line="228" w:lineRule="auto"/>
        <w:tabs>
          <w:tab w:leader="none" w:pos="492"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cashless exercise through irrevocable directions to a securities broker approved by the Company to sell all or part of the Shares covered by this Option and to deliver to the Company from the sale proceeds an amount sufficient to pay the Exercise Price and any applicable Tax-Related Items (as defined below) withholding. The balance of the sale proceeds, if any, will be delivered to Participant unless otherwise provided in this Option Agreement. The directions must be given by signing a special notice of exercise form provided by the Company; or</w:t>
      </w:r>
    </w:p>
    <w:p>
      <w:pPr>
        <w:spacing w:after="0" w:line="139" w:lineRule="exact"/>
        <w:rPr>
          <w:rFonts w:ascii="Times New Roman" w:cs="Times New Roman" w:eastAsia="Times New Roman" w:hAnsi="Times New Roman"/>
          <w:sz w:val="16"/>
          <w:szCs w:val="16"/>
          <w:color w:val="auto"/>
        </w:rPr>
      </w:pPr>
    </w:p>
    <w:p>
      <w:pPr>
        <w:ind w:left="480" w:hanging="240"/>
        <w:spacing w:after="0"/>
        <w:tabs>
          <w:tab w:leader="none" w:pos="4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method authorized by the Company;</w:t>
      </w:r>
    </w:p>
    <w:p>
      <w:pPr>
        <w:spacing w:after="0" w:line="156"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14"/>
          <w:szCs w:val="14"/>
          <w:color w:val="auto"/>
        </w:rPr>
        <w:t>provided, however, that the Company may restrict the available methods of payment due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630" w:right="339" w:bottom="1440" w:gutter="0" w:footer="0" w:header="0"/>
        </w:sectPr>
      </w:pPr>
    </w:p>
    <w:bookmarkStart w:id="138" w:name="page139"/>
    <w:bookmarkEnd w:id="138"/>
    <w:p>
      <w:pPr>
        <w:jc w:val="both"/>
        <w:ind w:left="420" w:right="20" w:hanging="198"/>
        <w:spacing w:after="0" w:line="236" w:lineRule="auto"/>
        <w:tabs>
          <w:tab w:leader="none" w:pos="394"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Non-Transferability of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Option may not be sold, assigned, transferred, pledged, hypothecated, or otherwise disposed of other than by will or by the laws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descent or distribution or court order and may be exercised during the lifetime of Participant only by Participant or unless otherwise permitted by the Committee on a case-by-case basis. The terms of the Plan and this Option Agreement will be binding upon the executors, administrators, heirs, successors and assigns of Participant.</w:t>
      </w:r>
    </w:p>
    <w:p>
      <w:pPr>
        <w:spacing w:after="0" w:line="136" w:lineRule="exact"/>
        <w:rPr>
          <w:rFonts w:ascii="Times New Roman" w:cs="Times New Roman" w:eastAsia="Times New Roman" w:hAnsi="Times New Roman"/>
          <w:sz w:val="16"/>
          <w:szCs w:val="16"/>
          <w:color w:val="auto"/>
        </w:rPr>
      </w:pPr>
    </w:p>
    <w:p>
      <w:pPr>
        <w:ind w:left="420" w:hanging="215"/>
        <w:spacing w:after="0" w:line="248" w:lineRule="auto"/>
        <w:tabs>
          <w:tab w:leader="none" w:pos="35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Term of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Option will in any event expire on the expiration date set forth in the Notice, which date is 10 years after the Date of Grant (five years after the Date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 if this option is designated as an ISO in the Notice of Stock Option Grant and Section 5.3 of the Plan applies).</w:t>
      </w:r>
    </w:p>
    <w:p>
      <w:pPr>
        <w:spacing w:after="0" w:line="129" w:lineRule="exact"/>
        <w:rPr>
          <w:rFonts w:ascii="Times New Roman" w:cs="Times New Roman" w:eastAsia="Times New Roman" w:hAnsi="Times New Roman"/>
          <w:sz w:val="16"/>
          <w:szCs w:val="16"/>
          <w:color w:val="auto"/>
        </w:rPr>
      </w:pPr>
    </w:p>
    <w:p>
      <w:pPr>
        <w:ind w:left="360" w:hanging="151"/>
        <w:spacing w:after="0"/>
        <w:tabs>
          <w:tab w:leader="none" w:pos="3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Taxes.</w:t>
      </w:r>
    </w:p>
    <w:p>
      <w:pPr>
        <w:spacing w:after="0" w:line="136" w:lineRule="exact"/>
        <w:rPr>
          <w:sz w:val="20"/>
          <w:szCs w:val="20"/>
          <w:color w:val="auto"/>
        </w:rPr>
      </w:pPr>
    </w:p>
    <w:p>
      <w:pPr>
        <w:jc w:val="both"/>
        <w:ind w:left="480" w:hanging="260"/>
        <w:spacing w:after="0" w:line="259" w:lineRule="auto"/>
        <w:tabs>
          <w:tab w:leader="none" w:pos="47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Responsibility for Taxes</w:t>
      </w:r>
      <w:r>
        <w:rPr>
          <w:rFonts w:ascii="Times New Roman" w:cs="Times New Roman" w:eastAsia="Times New Roman" w:hAnsi="Times New Roman"/>
          <w:sz w:val="14"/>
          <w:szCs w:val="14"/>
          <w:color w:val="auto"/>
        </w:rPr>
        <w:t>. Participant acknowledges that, to the extent permitted by applicable law, regardless of any action taken by the Company or a Parent, Subsidiary or Affiliate employing or retaining Participant (the “</w:t>
      </w:r>
      <w:r>
        <w:rPr>
          <w:rFonts w:ascii="Times New Roman" w:cs="Times New Roman" w:eastAsia="Times New Roman" w:hAnsi="Times New Roman"/>
          <w:sz w:val="14"/>
          <w:szCs w:val="14"/>
          <w:b w:val="1"/>
          <w:bCs w:val="1"/>
          <w:i w:val="1"/>
          <w:iCs w:val="1"/>
          <w:color w:val="auto"/>
        </w:rPr>
        <w:t>Employer</w:t>
      </w:r>
      <w:r>
        <w:rPr>
          <w:rFonts w:ascii="Times New Roman" w:cs="Times New Roman" w:eastAsia="Times New Roman" w:hAnsi="Times New Roman"/>
          <w:sz w:val="14"/>
          <w:szCs w:val="14"/>
          <w:color w:val="auto"/>
        </w:rPr>
        <w:t>”), the ultimate liability for all income tax, social insurance, payroll tax, fringe benefits tax, payment on account or other tax related items related to Participant’s participation in the Plan and legally applicable to Participant (“</w:t>
      </w:r>
      <w:r>
        <w:rPr>
          <w:rFonts w:ascii="Times New Roman" w:cs="Times New Roman" w:eastAsia="Times New Roman" w:hAnsi="Times New Roman"/>
          <w:sz w:val="14"/>
          <w:szCs w:val="14"/>
          <w:b w:val="1"/>
          <w:bCs w:val="1"/>
          <w:i w:val="1"/>
          <w:iCs w:val="1"/>
          <w:color w:val="auto"/>
        </w:rPr>
        <w:t>Tax-Related Items</w:t>
      </w:r>
      <w:r>
        <w:rPr>
          <w:rFonts w:ascii="Times New Roman" w:cs="Times New Roman" w:eastAsia="Times New Roman" w:hAnsi="Times New Roman"/>
          <w:sz w:val="14"/>
          <w:szCs w:val="14"/>
          <w:color w:val="auto"/>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Times New Roman" w:cs="Times New Roman" w:eastAsia="Times New Roman" w:hAnsi="Times New Roman"/>
          <w:sz w:val="14"/>
          <w:szCs w:val="14"/>
          <w:i w:val="1"/>
          <w:iCs w:val="1"/>
          <w:color w:val="auto"/>
        </w:rPr>
        <w:t>PARTICIPANT SHOULD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CONSULT A TAX ADVISER APPROPRIATELY QUALIFIED IN EACH OF THE JURISDICTIONS, INCLUDING COUNTRY OR COUNTRIES IN WHICH PARTICIPANT RESIDES OR IS SUBJECT TO TAXATION BEFORE EXERCISING THE OPTION OR DISPOSING OF THE SHARES.</w:t>
      </w:r>
    </w:p>
    <w:p>
      <w:pPr>
        <w:spacing w:after="0" w:line="299" w:lineRule="exact"/>
        <w:rPr>
          <w:rFonts w:ascii="Times New Roman" w:cs="Times New Roman" w:eastAsia="Times New Roman" w:hAnsi="Times New Roman"/>
          <w:sz w:val="14"/>
          <w:szCs w:val="14"/>
          <w:color w:val="auto"/>
        </w:rPr>
      </w:pPr>
    </w:p>
    <w:p>
      <w:pPr>
        <w:jc w:val="both"/>
        <w:ind w:left="480" w:right="20" w:hanging="260"/>
        <w:spacing w:after="0" w:line="235" w:lineRule="auto"/>
        <w:tabs>
          <w:tab w:leader="none" w:pos="47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xml:space="preserve"> Prior to any relevant taxable or tax withholding event, as applicable, to the extent permitted by applicable law Participant agrees to make arrangements satisfactory to the Company and/or the Employer to fulfill all Tax-Related Items. In this regard, Participant authorizes the Company and/or the Employer, or their respective agents, at their discretion, to satisfy any withholding obligations for Tax-Related Items by one or a combination of the following:</w:t>
      </w:r>
    </w:p>
    <w:p>
      <w:pPr>
        <w:spacing w:after="0" w:line="127" w:lineRule="exact"/>
        <w:rPr>
          <w:rFonts w:ascii="Times New Roman" w:cs="Times New Roman" w:eastAsia="Times New Roman" w:hAnsi="Times New Roman"/>
          <w:sz w:val="16"/>
          <w:szCs w:val="16"/>
          <w:color w:val="auto"/>
        </w:rPr>
      </w:pPr>
    </w:p>
    <w:p>
      <w:pPr>
        <w:ind w:left="980" w:hanging="251"/>
        <w:spacing w:after="0"/>
        <w:tabs>
          <w:tab w:leader="none" w:pos="98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withholding from Participant’s wages or other cash compensation paid to Participant by the Company and/or the Employer or any Parent, Subsidiary or Affiliate; or</w:t>
      </w:r>
    </w:p>
    <w:p>
      <w:pPr>
        <w:spacing w:after="0" w:line="167" w:lineRule="exact"/>
        <w:rPr>
          <w:rFonts w:ascii="Times New Roman" w:cs="Times New Roman" w:eastAsia="Times New Roman" w:hAnsi="Times New Roman"/>
          <w:sz w:val="14"/>
          <w:szCs w:val="14"/>
          <w:color w:val="auto"/>
        </w:rPr>
      </w:pPr>
    </w:p>
    <w:p>
      <w:pPr>
        <w:ind w:left="980" w:hanging="251"/>
        <w:spacing w:after="0" w:line="245" w:lineRule="auto"/>
        <w:tabs>
          <w:tab w:leader="none" w:pos="979"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withholding from proceeds of the sale of Shares acquired at exercise of this Option either through a voluntary sale or through a mandatory sale arranged by the Company (on Participant’s behalf pursuant to this authorization and without further consent); or</w:t>
      </w:r>
    </w:p>
    <w:p>
      <w:pPr>
        <w:spacing w:after="0" w:line="123" w:lineRule="exact"/>
        <w:rPr>
          <w:rFonts w:ascii="Times New Roman" w:cs="Times New Roman" w:eastAsia="Times New Roman" w:hAnsi="Times New Roman"/>
          <w:sz w:val="16"/>
          <w:szCs w:val="16"/>
          <w:color w:val="auto"/>
        </w:rPr>
      </w:pPr>
    </w:p>
    <w:p>
      <w:pPr>
        <w:ind w:left="980" w:right="20" w:hanging="251"/>
        <w:spacing w:after="0" w:line="245" w:lineRule="auto"/>
        <w:tabs>
          <w:tab w:leader="none" w:pos="98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withholding Shares to be issued upon exercise of the Option, provided the Company only withholds the number of Shares necessary to satisfy no more than the maximum statutory withholding amounts;</w:t>
      </w:r>
    </w:p>
    <w:p>
      <w:pPr>
        <w:spacing w:after="0" w:line="123" w:lineRule="exact"/>
        <w:rPr>
          <w:rFonts w:ascii="Times New Roman" w:cs="Times New Roman" w:eastAsia="Times New Roman" w:hAnsi="Times New Roman"/>
          <w:sz w:val="16"/>
          <w:szCs w:val="16"/>
          <w:color w:val="auto"/>
        </w:rPr>
      </w:pPr>
    </w:p>
    <w:p>
      <w:pPr>
        <w:ind w:left="980" w:hanging="251"/>
        <w:spacing w:after="0"/>
        <w:tabs>
          <w:tab w:leader="none" w:pos="98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Participant’s payment of a cash amount (including by check representing readily available funds or a wire transfer); or</w:t>
      </w:r>
    </w:p>
    <w:p>
      <w:pPr>
        <w:spacing w:after="0" w:line="155" w:lineRule="exact"/>
        <w:rPr>
          <w:rFonts w:ascii="Times New Roman" w:cs="Times New Roman" w:eastAsia="Times New Roman" w:hAnsi="Times New Roman"/>
          <w:sz w:val="16"/>
          <w:szCs w:val="16"/>
          <w:color w:val="auto"/>
        </w:rPr>
      </w:pPr>
    </w:p>
    <w:p>
      <w:pPr>
        <w:ind w:left="980" w:hanging="251"/>
        <w:spacing w:after="0"/>
        <w:tabs>
          <w:tab w:leader="none" w:pos="98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arrangement approved by the Committee and permitted under applicable law;</w:t>
      </w:r>
    </w:p>
    <w:p>
      <w:pPr>
        <w:spacing w:after="0" w:line="156" w:lineRule="exact"/>
        <w:rPr>
          <w:sz w:val="20"/>
          <w:szCs w:val="20"/>
          <w:color w:val="auto"/>
        </w:rPr>
      </w:pPr>
    </w:p>
    <w:p>
      <w:pPr>
        <w:jc w:val="both"/>
        <w:ind w:firstLine="1022"/>
        <w:spacing w:after="0" w:line="232" w:lineRule="auto"/>
        <w:rPr>
          <w:sz w:val="20"/>
          <w:szCs w:val="20"/>
          <w:color w:val="auto"/>
        </w:rPr>
      </w:pPr>
      <w:r>
        <w:rPr>
          <w:rFonts w:ascii="Times New Roman" w:cs="Times New Roman" w:eastAsia="Times New Roman" w:hAnsi="Times New Roman"/>
          <w:sz w:val="16"/>
          <w:szCs w:val="16"/>
          <w:color w:val="auto"/>
        </w:rPr>
        <w:t>all under such rules as may be established by the Committee and in compliance with the Company’s Insider Trading Policy and 10b5-1 Trading Plan Policy, if applicable; provided however, that if Participant is a Section 16 officer of the Company under the Exchange Act, then the Committee (as constituted in accordance with Rule 16b-3 under the Exchange Act) shall establish the method of withholding from alternatives (i)-(v) above, and the Committee shall establish the method prior to the Tax-Related Items withholding event.</w:t>
      </w:r>
    </w:p>
    <w:p>
      <w:pPr>
        <w:spacing w:after="0" w:line="137" w:lineRule="exact"/>
        <w:rPr>
          <w:sz w:val="20"/>
          <w:szCs w:val="20"/>
          <w:color w:val="auto"/>
        </w:rPr>
      </w:pPr>
    </w:p>
    <w:p>
      <w:pPr>
        <w:jc w:val="both"/>
        <w:ind w:firstLine="1022"/>
        <w:spacing w:after="0" w:line="230" w:lineRule="auto"/>
        <w:rPr>
          <w:sz w:val="20"/>
          <w:szCs w:val="20"/>
          <w:color w:val="auto"/>
        </w:rPr>
      </w:pPr>
      <w:r>
        <w:rPr>
          <w:rFonts w:ascii="Times New Roman" w:cs="Times New Roman" w:eastAsia="Times New Roman" w:hAnsi="Times New Roman"/>
          <w:sz w:val="16"/>
          <w:szCs w:val="16"/>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40" w:top="639" w:right="339" w:bottom="1440" w:gutter="0" w:footer="0" w:header="0"/>
        </w:sectPr>
      </w:pPr>
    </w:p>
    <w:bookmarkStart w:id="139" w:name="page140"/>
    <w:bookmarkEnd w:id="139"/>
    <w:p>
      <w:pPr>
        <w:jc w:val="both"/>
        <w:ind w:right="20" w:firstLine="1015"/>
        <w:spacing w:after="0" w:line="235" w:lineRule="auto"/>
        <w:rPr>
          <w:sz w:val="20"/>
          <w:szCs w:val="20"/>
          <w:color w:val="auto"/>
        </w:rPr>
      </w:pPr>
      <w:r>
        <w:rPr>
          <w:rFonts w:ascii="Times New Roman" w:cs="Times New Roman" w:eastAsia="Times New Roman" w:hAnsi="Times New Roman"/>
          <w:sz w:val="16"/>
          <w:szCs w:val="16"/>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9" w:lineRule="exact"/>
        <w:rPr>
          <w:sz w:val="20"/>
          <w:szCs w:val="20"/>
          <w:color w:val="auto"/>
        </w:rPr>
      </w:pPr>
    </w:p>
    <w:p>
      <w:pPr>
        <w:jc w:val="both"/>
        <w:ind w:left="480" w:hanging="260"/>
        <w:spacing w:after="0" w:line="230" w:lineRule="auto"/>
        <w:tabs>
          <w:tab w:leader="none" w:pos="47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Disqualifying Disposition of ISO Shares</w:t>
      </w:r>
      <w:r>
        <w:rPr>
          <w:rFonts w:ascii="Times New Roman" w:cs="Times New Roman" w:eastAsia="Times New Roman" w:hAnsi="Times New Roman"/>
          <w:sz w:val="16"/>
          <w:szCs w:val="16"/>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will immediately notify the Company in writing of such disposition. Participant agrees that he or she may be subject to income tax withholding by the Company on the compensation income recognized from such early disposition of ISO Shares by payment in cash or out any wages or other cash compensation paid to Participant by the Company and/or the Employer or any Parent, Subsidiary or Affiliate.</w:t>
      </w:r>
    </w:p>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 xml:space="preserve">9. </w:t>
      </w:r>
      <w:r>
        <w:rPr>
          <w:rFonts w:ascii="Times New Roman" w:cs="Times New Roman" w:eastAsia="Times New Roman" w:hAnsi="Times New Roman"/>
          <w:sz w:val="16"/>
          <w:szCs w:val="16"/>
          <w:b w:val="1"/>
          <w:bCs w:val="1"/>
          <w:u w:val="single" w:color="auto"/>
          <w:color w:val="auto"/>
        </w:rPr>
        <w:t>Nature of Grant.</w:t>
      </w:r>
      <w:r>
        <w:rPr>
          <w:rFonts w:ascii="Times New Roman" w:cs="Times New Roman" w:eastAsia="Times New Roman" w:hAnsi="Times New Roman"/>
          <w:sz w:val="16"/>
          <w:szCs w:val="16"/>
          <w:color w:val="auto"/>
        </w:rPr>
        <w:t xml:space="preserve"> By accepting the Option, Participant acknowledges, understands and agrees that:</w:t>
      </w:r>
    </w:p>
    <w:p>
      <w:pPr>
        <w:spacing w:after="0" w:line="136" w:lineRule="exact"/>
        <w:rPr>
          <w:sz w:val="20"/>
          <w:szCs w:val="20"/>
          <w:color w:val="auto"/>
        </w:rPr>
      </w:pPr>
    </w:p>
    <w:p>
      <w:pPr>
        <w:ind w:left="480" w:right="20" w:hanging="260"/>
        <w:spacing w:after="0" w:line="245" w:lineRule="auto"/>
        <w:tabs>
          <w:tab w:leader="none" w:pos="472"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it may be modified, amended, suspended or terminated by the Company at any time, to the extent permitted by the Plan;</w:t>
      </w:r>
    </w:p>
    <w:p>
      <w:pPr>
        <w:spacing w:after="0" w:line="123" w:lineRule="exact"/>
        <w:rPr>
          <w:rFonts w:ascii="Times New Roman" w:cs="Times New Roman" w:eastAsia="Times New Roman" w:hAnsi="Times New Roman"/>
          <w:sz w:val="16"/>
          <w:szCs w:val="16"/>
          <w:color w:val="auto"/>
        </w:rPr>
      </w:pPr>
    </w:p>
    <w:p>
      <w:pPr>
        <w:ind w:left="480" w:right="20" w:hanging="260"/>
        <w:spacing w:after="0" w:line="245" w:lineRule="auto"/>
        <w:tabs>
          <w:tab w:leader="none" w:pos="47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23" w:lineRule="exact"/>
        <w:rPr>
          <w:rFonts w:ascii="Times New Roman" w:cs="Times New Roman" w:eastAsia="Times New Roman" w:hAnsi="Times New Roman"/>
          <w:sz w:val="16"/>
          <w:szCs w:val="16"/>
          <w:color w:val="auto"/>
        </w:rPr>
      </w:pPr>
    </w:p>
    <w:p>
      <w:pPr>
        <w:ind w:left="460" w:hanging="240"/>
        <w:spacing w:after="0"/>
        <w:tabs>
          <w:tab w:leader="none" w:pos="46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options or other grants, if any, will be at the sole discretion of the Company;</w:t>
      </w:r>
    </w:p>
    <w:p>
      <w:pPr>
        <w:spacing w:after="0" w:line="144" w:lineRule="exact"/>
        <w:rPr>
          <w:rFonts w:ascii="Times New Roman" w:cs="Times New Roman" w:eastAsia="Times New Roman" w:hAnsi="Times New Roman"/>
          <w:sz w:val="16"/>
          <w:szCs w:val="16"/>
          <w:color w:val="auto"/>
        </w:rPr>
      </w:pPr>
    </w:p>
    <w:p>
      <w:pPr>
        <w:ind w:left="460" w:hanging="240"/>
        <w:spacing w:after="0"/>
        <w:tabs>
          <w:tab w:leader="none" w:pos="46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is voluntarily participating in the Plan;</w:t>
      </w:r>
    </w:p>
    <w:p>
      <w:pPr>
        <w:spacing w:after="0" w:line="144" w:lineRule="exact"/>
        <w:rPr>
          <w:rFonts w:ascii="Times New Roman" w:cs="Times New Roman" w:eastAsia="Times New Roman" w:hAnsi="Times New Roman"/>
          <w:sz w:val="16"/>
          <w:szCs w:val="16"/>
          <w:color w:val="auto"/>
        </w:rPr>
      </w:pPr>
    </w:p>
    <w:p>
      <w:pPr>
        <w:jc w:val="both"/>
        <w:ind w:left="480" w:right="20" w:hanging="260"/>
        <w:spacing w:after="0" w:line="235" w:lineRule="auto"/>
        <w:tabs>
          <w:tab w:leader="none" w:pos="472"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Participant’s participation in the Plan will not create a right to employment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employment or service relationship (if any);</w:t>
      </w:r>
    </w:p>
    <w:p>
      <w:pPr>
        <w:spacing w:after="0" w:line="127" w:lineRule="exact"/>
        <w:rPr>
          <w:rFonts w:ascii="Times New Roman" w:cs="Times New Roman" w:eastAsia="Times New Roman" w:hAnsi="Times New Roman"/>
          <w:sz w:val="16"/>
          <w:szCs w:val="16"/>
          <w:color w:val="auto"/>
        </w:rPr>
      </w:pPr>
    </w:p>
    <w:p>
      <w:pPr>
        <w:ind w:left="480" w:hanging="260"/>
        <w:spacing w:after="0"/>
        <w:tabs>
          <w:tab w:leader="none" w:pos="48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the Shares subject to the Option, and the income from and value of same, are not intended to replace any pension rights or compensation;</w:t>
      </w:r>
    </w:p>
    <w:p>
      <w:pPr>
        <w:spacing w:after="0" w:line="144" w:lineRule="exact"/>
        <w:rPr>
          <w:rFonts w:ascii="Times New Roman" w:cs="Times New Roman" w:eastAsia="Times New Roman" w:hAnsi="Times New Roman"/>
          <w:sz w:val="16"/>
          <w:szCs w:val="16"/>
          <w:color w:val="auto"/>
        </w:rPr>
      </w:pPr>
    </w:p>
    <w:p>
      <w:pPr>
        <w:jc w:val="both"/>
        <w:ind w:left="480" w:right="20" w:hanging="260"/>
        <w:spacing w:after="0" w:line="235" w:lineRule="auto"/>
        <w:tabs>
          <w:tab w:leader="none" w:pos="47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the Shares subject to the Option,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27" w:lineRule="exact"/>
        <w:rPr>
          <w:rFonts w:ascii="Times New Roman" w:cs="Times New Roman" w:eastAsia="Times New Roman" w:hAnsi="Times New Roman"/>
          <w:sz w:val="16"/>
          <w:szCs w:val="16"/>
          <w:color w:val="auto"/>
        </w:rPr>
      </w:pPr>
    </w:p>
    <w:p>
      <w:pPr>
        <w:ind w:left="480" w:right="20" w:hanging="260"/>
        <w:spacing w:after="0" w:line="245" w:lineRule="auto"/>
        <w:tabs>
          <w:tab w:leader="none" w:pos="47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with the Company, the Option and the Shares subject to the Option, and the income from and value of same, are not granted as consideration for, or in connection with, the service Participant may provide as a director of a Parent, Subsidiary or Affiliate;</w:t>
      </w:r>
    </w:p>
    <w:p>
      <w:pPr>
        <w:spacing w:after="0" w:line="123" w:lineRule="exact"/>
        <w:rPr>
          <w:rFonts w:ascii="Times New Roman" w:cs="Times New Roman" w:eastAsia="Times New Roman" w:hAnsi="Times New Roman"/>
          <w:sz w:val="16"/>
          <w:szCs w:val="16"/>
          <w:color w:val="auto"/>
        </w:rPr>
      </w:pPr>
    </w:p>
    <w:p>
      <w:pPr>
        <w:ind w:left="480" w:right="20" w:hanging="260"/>
        <w:spacing w:after="0" w:line="315" w:lineRule="auto"/>
        <w:tabs>
          <w:tab w:leader="none" w:pos="478"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value of the Shares underlying the Option is unknown, indeterminable and cannot be predicted with certainty; if the underlying Shares do not increase in value, the Option will have no value; if Participant exercises the Option and acquires Shares, the value of such Shares may increase or decrease, even below the Exercise Price;</w:t>
      </w:r>
    </w:p>
    <w:p>
      <w:pPr>
        <w:spacing w:after="0" w:line="76" w:lineRule="exact"/>
        <w:rPr>
          <w:rFonts w:ascii="Times New Roman" w:cs="Times New Roman" w:eastAsia="Times New Roman" w:hAnsi="Times New Roman"/>
          <w:sz w:val="14"/>
          <w:szCs w:val="14"/>
          <w:color w:val="auto"/>
        </w:rPr>
      </w:pPr>
    </w:p>
    <w:p>
      <w:pPr>
        <w:jc w:val="both"/>
        <w:ind w:left="480" w:right="20" w:hanging="260"/>
        <w:spacing w:after="0" w:line="235" w:lineRule="auto"/>
        <w:tabs>
          <w:tab w:leader="none" w:pos="478"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will arise from forfeiture of the Option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27" w:lineRule="exact"/>
        <w:rPr>
          <w:rFonts w:ascii="Times New Roman" w:cs="Times New Roman" w:eastAsia="Times New Roman" w:hAnsi="Times New Roman"/>
          <w:sz w:val="16"/>
          <w:szCs w:val="16"/>
          <w:color w:val="auto"/>
        </w:rPr>
      </w:pPr>
    </w:p>
    <w:p>
      <w:pPr>
        <w:jc w:val="both"/>
        <w:ind w:left="480" w:right="20" w:hanging="260"/>
        <w:spacing w:after="0" w:line="231" w:lineRule="auto"/>
        <w:tabs>
          <w:tab w:leader="none" w:pos="47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the Employer nor any Parent, Subsidiary or Affiliate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45" w:lineRule="exact"/>
        <w:rPr>
          <w:rFonts w:ascii="Times New Roman" w:cs="Times New Roman" w:eastAsia="Times New Roman" w:hAnsi="Times New Roman"/>
          <w:sz w:val="16"/>
          <w:szCs w:val="16"/>
          <w:color w:val="auto"/>
        </w:rPr>
      </w:pPr>
    </w:p>
    <w:p>
      <w:pPr>
        <w:jc w:val="both"/>
        <w:ind w:left="420" w:hanging="214"/>
        <w:spacing w:after="0" w:line="236" w:lineRule="auto"/>
        <w:tabs>
          <w:tab w:leader="none" w:pos="44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Advice Regarding Grant.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is not providing any tax, legal or financial advice, nor is the Company making any recommendations regarding Participant’s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20"/>
          </w:cols>
          <w:pgMar w:left="340" w:top="640" w:right="339" w:bottom="1440" w:gutter="0" w:footer="0" w:header="0"/>
        </w:sectPr>
      </w:pPr>
    </w:p>
    <w:bookmarkStart w:id="140" w:name="page141"/>
    <w:bookmarkEnd w:id="140"/>
    <w:p>
      <w:pPr>
        <w:jc w:val="both"/>
        <w:ind w:left="440" w:right="40" w:hanging="190"/>
        <w:spacing w:after="0" w:line="225" w:lineRule="auto"/>
        <w:tabs>
          <w:tab w:leader="none" w:pos="471"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Privacy.</w:t>
      </w:r>
      <w:r>
        <w:rPr>
          <w:rFonts w:ascii="Times New Roman" w:cs="Times New Roman" w:eastAsia="Times New Roman" w:hAnsi="Times New Roman"/>
          <w:sz w:val="16"/>
          <w:szCs w:val="16"/>
          <w:b w:val="1"/>
          <w:bCs w:val="1"/>
          <w:i w:val="1"/>
          <w:iCs w:val="1"/>
          <w:color w:val="auto"/>
        </w:rPr>
        <w:t xml:space="preserve"> Participant hereby explicitly and unambiguously consents to the collection, use and transfer, in electronic or other form, of Participant’s personal data as described in this Option Agreement and any other Option grant materials by and among, as applicable, the Employer, the Company and any Parent, Subsidiary or Affiliate for</w:t>
      </w:r>
    </w:p>
    <w:p>
      <w:pPr>
        <w:spacing w:after="0" w:line="1"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the exclusive purpose of implementing, administering and managing Participant’s participation in the Plan.</w:t>
      </w:r>
    </w:p>
    <w:p>
      <w:pPr>
        <w:spacing w:after="0" w:line="125" w:lineRule="exact"/>
        <w:rPr>
          <w:sz w:val="20"/>
          <w:szCs w:val="20"/>
          <w:color w:val="auto"/>
        </w:rPr>
      </w:pPr>
    </w:p>
    <w:p>
      <w:pPr>
        <w:jc w:val="both"/>
        <w:ind w:left="20" w:firstLine="509"/>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Options or any other entitlement to shares of stock awarded, canceled, exercised, vested, unvested or outstanding in Participant’s favor (“Data”), for the exclusive purpose of implementing, administering and managing the Plan.</w:t>
      </w:r>
    </w:p>
    <w:p>
      <w:pPr>
        <w:spacing w:after="0" w:line="114" w:lineRule="exact"/>
        <w:rPr>
          <w:sz w:val="20"/>
          <w:szCs w:val="20"/>
          <w:color w:val="auto"/>
        </w:rPr>
      </w:pPr>
    </w:p>
    <w:p>
      <w:pPr>
        <w:jc w:val="both"/>
        <w:ind w:right="20" w:firstLine="530"/>
        <w:spacing w:after="0" w:line="224" w:lineRule="auto"/>
        <w:rPr>
          <w:sz w:val="20"/>
          <w:szCs w:val="20"/>
          <w:color w:val="auto"/>
        </w:rPr>
      </w:pPr>
      <w:r>
        <w:rPr>
          <w:rFonts w:ascii="Times New Roman" w:cs="Times New Roman" w:eastAsia="Times New Roman" w:hAnsi="Times New Roman"/>
          <w:sz w:val="16"/>
          <w:szCs w:val="16"/>
          <w:b w:val="1"/>
          <w:bCs w:val="1"/>
          <w:i w:val="1"/>
          <w:iCs w:val="1"/>
          <w:color w:val="auto"/>
        </w:rPr>
        <w:t>Participant understands that Data will be transferred to E*TRADE Financial Services, Solium-Shareworks, or other third party (“Online Administrator”) and its affiliated companies or such other stock plan service provider as may be designated by the Company from time to time, which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Solium Shareworks, or such other stock plan service provider as may be designated by the Company from time to time,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would not be able to grant Options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38" w:lineRule="exact"/>
        <w:rPr>
          <w:sz w:val="20"/>
          <w:szCs w:val="20"/>
          <w:color w:val="auto"/>
        </w:rPr>
      </w:pPr>
    </w:p>
    <w:p>
      <w:pPr>
        <w:jc w:val="both"/>
        <w:ind w:left="20" w:right="20" w:firstLine="528"/>
        <w:spacing w:after="0" w:line="232" w:lineRule="auto"/>
        <w:rPr>
          <w:sz w:val="20"/>
          <w:szCs w:val="20"/>
          <w:color w:val="auto"/>
        </w:rPr>
      </w:pPr>
      <w:r>
        <w:rPr>
          <w:rFonts w:ascii="Times New Roman" w:cs="Times New Roman" w:eastAsia="Times New Roman" w:hAnsi="Times New Roman"/>
          <w:sz w:val="16"/>
          <w:szCs w:val="16"/>
          <w:b w:val="1"/>
          <w:bCs w:val="1"/>
          <w:i w:val="1"/>
          <w:iCs w:val="1"/>
          <w:color w:val="auto"/>
        </w:rPr>
        <w:t>Finally, upon request of the Company or the Employer, Participant agrees to provide an executed data privacy consent form (or any other agreements or consents) that the Company 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8" w:lineRule="exact"/>
        <w:rPr>
          <w:sz w:val="20"/>
          <w:szCs w:val="20"/>
          <w:color w:val="auto"/>
        </w:rPr>
      </w:pPr>
    </w:p>
    <w:p>
      <w:pPr>
        <w:jc w:val="both"/>
        <w:ind w:left="460" w:right="40" w:hanging="198"/>
        <w:spacing w:after="0" w:line="236" w:lineRule="auto"/>
        <w:tabs>
          <w:tab w:leader="none" w:pos="5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Language.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acknowledges that he or she is sufficiently proficient in English to understand the terms and conditions of this Option Agreement. Furthermore,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has received this Option Agreement, or any other document related to the Option and/or the Plan translated into a language other than English and if the meaning of the translated version is different than the English version, the English version will control.</w:t>
      </w:r>
    </w:p>
    <w:p>
      <w:pPr>
        <w:spacing w:after="0" w:line="136" w:lineRule="exact"/>
        <w:rPr>
          <w:rFonts w:ascii="Times New Roman" w:cs="Times New Roman" w:eastAsia="Times New Roman" w:hAnsi="Times New Roman"/>
          <w:sz w:val="16"/>
          <w:szCs w:val="16"/>
          <w:color w:val="auto"/>
        </w:rPr>
      </w:pPr>
    </w:p>
    <w:p>
      <w:pPr>
        <w:jc w:val="both"/>
        <w:ind w:left="460" w:hanging="214"/>
        <w:spacing w:after="0" w:line="232" w:lineRule="auto"/>
        <w:tabs>
          <w:tab w:leader="none" w:pos="48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Appendix.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Notwithstanding any provisions in this Option Agreement, the Option will be subject to any special terms and conditions set forth in any appendix to this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Option Agreement.</w:t>
      </w:r>
    </w:p>
    <w:p>
      <w:pPr>
        <w:spacing w:after="0" w:line="137" w:lineRule="exact"/>
        <w:rPr>
          <w:rFonts w:ascii="Times New Roman" w:cs="Times New Roman" w:eastAsia="Times New Roman" w:hAnsi="Times New Roman"/>
          <w:sz w:val="16"/>
          <w:szCs w:val="16"/>
          <w:color w:val="auto"/>
        </w:rPr>
      </w:pPr>
    </w:p>
    <w:p>
      <w:pPr>
        <w:jc w:val="both"/>
        <w:ind w:left="460" w:right="40" w:hanging="211"/>
        <w:spacing w:after="0" w:line="236" w:lineRule="auto"/>
        <w:tabs>
          <w:tab w:leader="none" w:pos="49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Imposition of Other Requirements.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reserves the right to impose other requirements on Participant’s participation in the Plan, on the Option and on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purchased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36" w:lineRule="exact"/>
        <w:rPr>
          <w:rFonts w:ascii="Times New Roman" w:cs="Times New Roman" w:eastAsia="Times New Roman" w:hAnsi="Times New Roman"/>
          <w:sz w:val="16"/>
          <w:szCs w:val="16"/>
          <w:color w:val="auto"/>
        </w:rPr>
      </w:pPr>
    </w:p>
    <w:p>
      <w:pPr>
        <w:ind w:left="460" w:right="100" w:hanging="215"/>
        <w:spacing w:after="0" w:line="237" w:lineRule="auto"/>
        <w:tabs>
          <w:tab w:leader="none" w:pos="486"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Acknowledgement.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and Participant agree that the Option is granted under and governed by the Notice, this Option Agreement and the provisions of the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(incorporated herein by reference). Participant: (a) acknowledges receipt</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639" w:right="319" w:bottom="1440" w:gutter="0" w:footer="0" w:header="0"/>
        </w:sectPr>
      </w:pPr>
    </w:p>
    <w:bookmarkStart w:id="141" w:name="page142"/>
    <w:bookmarkEnd w:id="141"/>
    <w:p>
      <w:pPr>
        <w:ind w:left="420" w:right="40"/>
        <w:spacing w:after="0" w:line="245" w:lineRule="auto"/>
        <w:rPr>
          <w:sz w:val="20"/>
          <w:szCs w:val="20"/>
          <w:color w:val="auto"/>
        </w:rPr>
      </w:pPr>
      <w:r>
        <w:rPr>
          <w:rFonts w:ascii="Times New Roman" w:cs="Times New Roman" w:eastAsia="Times New Roman" w:hAnsi="Times New Roman"/>
          <w:sz w:val="16"/>
          <w:szCs w:val="16"/>
          <w:color w:val="auto"/>
        </w:rPr>
        <w:t>of a copy of the Plan and the Plan prospectus, (b) represents that Participant has carefully read and is familiar with their provisions, and (c) hereby accepts the Option subject to all of the terms and conditions set forth herein and those set forth in the Plan and the Notice.</w:t>
      </w:r>
    </w:p>
    <w:p>
      <w:pPr>
        <w:spacing w:after="0" w:line="142" w:lineRule="exact"/>
        <w:rPr>
          <w:sz w:val="20"/>
          <w:szCs w:val="20"/>
          <w:color w:val="auto"/>
        </w:rPr>
      </w:pPr>
    </w:p>
    <w:p>
      <w:pPr>
        <w:jc w:val="both"/>
        <w:ind w:left="420" w:hanging="210"/>
        <w:spacing w:after="0" w:line="230" w:lineRule="auto"/>
        <w:tabs>
          <w:tab w:leader="none" w:pos="45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Entire Agreement; Enforcement of Rights.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Option Agreement, the Plan and the Notice constitute the entire agreement and understanding of the parties relating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136" w:lineRule="exact"/>
        <w:rPr>
          <w:rFonts w:ascii="Times New Roman" w:cs="Times New Roman" w:eastAsia="Times New Roman" w:hAnsi="Times New Roman"/>
          <w:sz w:val="16"/>
          <w:szCs w:val="16"/>
          <w:color w:val="auto"/>
        </w:rPr>
      </w:pPr>
    </w:p>
    <w:p>
      <w:pPr>
        <w:jc w:val="both"/>
        <w:ind w:left="420" w:hanging="210"/>
        <w:spacing w:after="0" w:line="227" w:lineRule="auto"/>
        <w:tabs>
          <w:tab w:leader="none" w:pos="44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Compliance with Laws and Regulations.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issuance of Shares will be subject to and conditioned upon compliance by the Company and Participant with all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Option Agreement without Participant’s consent to the extent necessary to comply with securities or other laws applicable to issuance of Shares. Finally, the Shares issued pursuant to this Option Agreement shall be endorsed with appropriate legends, if any, determined by the Company.</w:t>
      </w:r>
    </w:p>
    <w:p>
      <w:pPr>
        <w:spacing w:after="0" w:line="139" w:lineRule="exact"/>
        <w:rPr>
          <w:rFonts w:ascii="Times New Roman" w:cs="Times New Roman" w:eastAsia="Times New Roman" w:hAnsi="Times New Roman"/>
          <w:sz w:val="16"/>
          <w:szCs w:val="16"/>
          <w:color w:val="auto"/>
        </w:rPr>
      </w:pPr>
    </w:p>
    <w:p>
      <w:pPr>
        <w:jc w:val="both"/>
        <w:ind w:left="420" w:right="20" w:hanging="211"/>
        <w:spacing w:after="0" w:line="267" w:lineRule="auto"/>
        <w:tabs>
          <w:tab w:leader="none" w:pos="448"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Severability.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one or more provisions of this Option Agreement are held to be unenforceable under applicable law, then such provision will be enforced to the maximum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extent possible given the intent of the parties hereto. If such clause or provision cannot be so enforced, then (a) such provision will be excluded from this Option Agreement,</w:t>
      </w:r>
    </w:p>
    <w:p>
      <w:pPr>
        <w:spacing w:after="0" w:line="1" w:lineRule="exact"/>
        <w:rPr>
          <w:rFonts w:ascii="Times New Roman" w:cs="Times New Roman" w:eastAsia="Times New Roman" w:hAnsi="Times New Roman"/>
          <w:sz w:val="14"/>
          <w:szCs w:val="14"/>
          <w:color w:val="auto"/>
        </w:rPr>
      </w:pPr>
    </w:p>
    <w:p>
      <w:pPr>
        <w:ind w:left="420" w:right="20" w:hanging="6"/>
        <w:spacing w:after="0" w:line="231" w:lineRule="auto"/>
        <w:tabs>
          <w:tab w:leader="none" w:pos="656"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this Option Agreement will be interpreted as if such provision were so excluded and (c) the balance of this Option Agreement will be enforceable in accordance with its terms.</w:t>
      </w:r>
    </w:p>
    <w:p>
      <w:pPr>
        <w:spacing w:after="0" w:line="145" w:lineRule="exact"/>
        <w:rPr>
          <w:rFonts w:ascii="Times New Roman" w:cs="Times New Roman" w:eastAsia="Times New Roman" w:hAnsi="Times New Roman"/>
          <w:sz w:val="16"/>
          <w:szCs w:val="16"/>
          <w:color w:val="auto"/>
        </w:rPr>
      </w:pPr>
    </w:p>
    <w:p>
      <w:pPr>
        <w:ind w:left="420" w:right="20" w:hanging="208"/>
        <w:spacing w:after="0" w:line="248" w:lineRule="auto"/>
        <w:tabs>
          <w:tab w:leader="none" w:pos="45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Governing Law and Venue.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Option Agreement and all acts and transactions pursuant hereto and the rights and obligations of the parties hereto will be governed,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construed and interpreted in accordance with the laws of the State of Delaware, without giving effect to such state’s conflict of laws rules.</w:t>
      </w:r>
    </w:p>
    <w:p>
      <w:pPr>
        <w:spacing w:after="0" w:line="131"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6"/>
          <w:szCs w:val="16"/>
          <w:color w:val="auto"/>
        </w:rPr>
        <w:t>Any and all disputes relating to, concerning or arising from this Option Agreement, or relating to, concerning or arising from the relationship between the parties evidenced by the Plan or this Option Agreement, will be brought and heard exclusively in the United States District Court for the Southern District of New York or, if such court does not have subject matter jurisdiction, the courts of the State of New York sitting in the County of New York,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38" w:lineRule="exact"/>
        <w:rPr>
          <w:sz w:val="20"/>
          <w:szCs w:val="20"/>
          <w:color w:val="auto"/>
        </w:rPr>
      </w:pPr>
    </w:p>
    <w:p>
      <w:pPr>
        <w:ind w:left="420" w:right="20" w:hanging="198"/>
        <w:spacing w:after="0" w:line="248" w:lineRule="auto"/>
        <w:tabs>
          <w:tab w:leader="none" w:pos="460"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Rights as Employee, Director or Consultant.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Nothing in this Option Agreement will affect in any manner whatsoever any right or power of the Company, or a Parent,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Subsidiary or Affiliate, to terminate Participant’s Service, for any reason, with or without Cause.</w:t>
      </w:r>
    </w:p>
    <w:p>
      <w:pPr>
        <w:spacing w:after="0" w:line="129" w:lineRule="exact"/>
        <w:rPr>
          <w:rFonts w:ascii="Times New Roman" w:cs="Times New Roman" w:eastAsia="Times New Roman" w:hAnsi="Times New Roman"/>
          <w:sz w:val="16"/>
          <w:szCs w:val="16"/>
          <w:color w:val="auto"/>
        </w:rPr>
      </w:pPr>
    </w:p>
    <w:p>
      <w:pPr>
        <w:jc w:val="both"/>
        <w:ind w:left="420" w:hanging="214"/>
        <w:spacing w:after="0" w:line="260" w:lineRule="auto"/>
        <w:tabs>
          <w:tab w:leader="none" w:pos="44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Consent to Electronic Delivery of All Plan Documents and Disclosures.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Participant’s acceptance of the Notice (whether in writing or electronically), Participant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agree that this Option is granted under and governed by the terms and conditions of the Plan, the Notice and this Option Agreement. Participant has reviewed the Plan, the Notice and this Option Agreement in their entirety, has had an opportunity to obtain the advice of counsel prior to executing the Notice and Agreement, and fully understands all provisions of the Plan, the Notice and this Option Agreement. Participant hereby agrees to accept as binding, conclusive and final all decisions or interpretations of the Committee upon any questions relating to the Plan, the Notice and this Option Agreement. Participant further agrees to notify the Company upon any change in the residence address. By acceptance of this Option, Participant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40" w:top="630" w:right="339" w:bottom="1440" w:gutter="0" w:footer="0" w:header="0"/>
        </w:sectPr>
      </w:pPr>
    </w:p>
    <w:bookmarkStart w:id="142" w:name="page143"/>
    <w:bookmarkEnd w:id="142"/>
    <w:p>
      <w:pPr>
        <w:jc w:val="both"/>
        <w:ind w:left="420"/>
        <w:spacing w:after="0" w:line="227" w:lineRule="auto"/>
        <w:rPr>
          <w:sz w:val="20"/>
          <w:szCs w:val="20"/>
          <w:color w:val="auto"/>
        </w:rPr>
      </w:pPr>
      <w:r>
        <w:rPr>
          <w:rFonts w:ascii="Times New Roman" w:cs="Times New Roman" w:eastAsia="Times New Roman" w:hAnsi="Times New Roman"/>
          <w:sz w:val="16"/>
          <w:szCs w:val="16"/>
          <w:color w:val="auto"/>
        </w:rPr>
        <w:t>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38" w:lineRule="exact"/>
        <w:rPr>
          <w:sz w:val="20"/>
          <w:szCs w:val="20"/>
          <w:color w:val="auto"/>
        </w:rPr>
      </w:pPr>
    </w:p>
    <w:p>
      <w:pPr>
        <w:jc w:val="both"/>
        <w:ind w:left="420" w:hanging="210"/>
        <w:spacing w:after="0" w:line="225" w:lineRule="auto"/>
        <w:tabs>
          <w:tab w:leader="none" w:pos="44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Insider Trading Restrictions/Market Abuse Laws.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acknowledges that, depending on Participant’s country of residence, the broker’s country, or the country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the Shares are listed, Participant may be subject to insider trading restrictions and/or market abuse laws in applicable jurisdictions, which may affect Participant’s ability to directly or indirectly, accept, acquire, sell or attempt to sell or otherwise dispose of Shares, or rights to Shares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Options),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139" w:lineRule="exact"/>
        <w:rPr>
          <w:rFonts w:ascii="Times New Roman" w:cs="Times New Roman" w:eastAsia="Times New Roman" w:hAnsi="Times New Roman"/>
          <w:sz w:val="16"/>
          <w:szCs w:val="16"/>
          <w:color w:val="auto"/>
        </w:rPr>
      </w:pPr>
    </w:p>
    <w:p>
      <w:pPr>
        <w:jc w:val="both"/>
        <w:ind w:left="420" w:hanging="215"/>
        <w:spacing w:after="0" w:line="269" w:lineRule="auto"/>
        <w:tabs>
          <w:tab w:leader="none" w:pos="44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Foreign Asset/Account, Exchange Control and Tax Reporting</w:t>
      </w:r>
      <w:r>
        <w:rPr>
          <w:rFonts w:ascii="Times New Roman" w:cs="Times New Roman" w:eastAsia="Times New Roman" w:hAnsi="Times New Roman"/>
          <w:sz w:val="14"/>
          <w:szCs w:val="14"/>
          <w:color w:val="auto"/>
        </w:rPr>
        <w:t>. Participant may be subject to foreign asset/account, exchange control and/or tax reporting requirements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26" w:lineRule="exact"/>
        <w:rPr>
          <w:rFonts w:ascii="Times New Roman" w:cs="Times New Roman" w:eastAsia="Times New Roman" w:hAnsi="Times New Roman"/>
          <w:sz w:val="14"/>
          <w:szCs w:val="14"/>
          <w:color w:val="auto"/>
        </w:rPr>
      </w:pPr>
    </w:p>
    <w:p>
      <w:pPr>
        <w:jc w:val="both"/>
        <w:ind w:left="420" w:right="20" w:hanging="209"/>
        <w:spacing w:after="0" w:line="232" w:lineRule="auto"/>
        <w:tabs>
          <w:tab w:leader="none" w:pos="44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Award Subject to Company Clawback or Recoupment.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Option shall be subject to clawback or recoupment pursuant to any compensation clawback or recoupment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policy adopted by the Board or required by law during the term of Participant’s employment or other Service that is applicable to Participant. In addition to any other remedies available under such policy, applicable law may require the cancellation of Participant’s Option (whether vested or unvested) and the recoupment of any gains realized with respect to Participant’s Option.</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BY ACCEPTING THIS OPTION, PARTICIPANT AGREES TO ALL OF THE TERMS AND CONDITIONS DESCRIBED ABOVE AND IN THE PLAN.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20"/>
          </w:cols>
          <w:pgMar w:left="340" w:top="641" w:right="339" w:bottom="1440" w:gutter="0" w:footer="0" w:header="0"/>
        </w:sectPr>
      </w:pPr>
    </w:p>
    <w:bookmarkStart w:id="143" w:name="page144"/>
    <w:bookmarkEnd w:id="143"/>
    <w:p>
      <w:pPr>
        <w:ind w:left="5220"/>
        <w:spacing w:after="0"/>
        <w:rPr>
          <w:sz w:val="20"/>
          <w:szCs w:val="20"/>
          <w:color w:val="auto"/>
        </w:rPr>
      </w:pPr>
      <w:r>
        <w:rPr>
          <w:rFonts w:ascii="Times New Roman" w:cs="Times New Roman" w:eastAsia="Times New Roman" w:hAnsi="Times New Roman"/>
          <w:sz w:val="16"/>
          <w:szCs w:val="16"/>
          <w:b w:val="1"/>
          <w:bCs w:val="1"/>
          <w:color w:val="auto"/>
        </w:rPr>
        <w:t>APPENDIX</w:t>
      </w:r>
    </w:p>
    <w:p>
      <w:pPr>
        <w:spacing w:after="0" w:line="1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PELOTON INTERACTIVE, INC.</w:t>
      </w:r>
    </w:p>
    <w:p>
      <w:pPr>
        <w:jc w:val="center"/>
        <w:spacing w:after="0" w:line="193" w:lineRule="auto"/>
        <w:rPr>
          <w:sz w:val="20"/>
          <w:szCs w:val="20"/>
          <w:color w:val="auto"/>
        </w:rPr>
      </w:pPr>
      <w:r>
        <w:rPr>
          <w:rFonts w:ascii="Times New Roman" w:cs="Times New Roman" w:eastAsia="Times New Roman" w:hAnsi="Times New Roman"/>
          <w:sz w:val="16"/>
          <w:szCs w:val="16"/>
          <w:b w:val="1"/>
          <w:bCs w:val="1"/>
          <w:color w:val="auto"/>
        </w:rPr>
        <w:t>2019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STOCK OPTION AWARD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COUNTRY SPECIFIC PROVISIONS FOR EMPLOYEES OUTSIDE THE U.S.</w:t>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27" w:lineRule="exact"/>
        <w:rPr>
          <w:sz w:val="20"/>
          <w:szCs w:val="20"/>
          <w:color w:val="auto"/>
        </w:rPr>
      </w:pPr>
    </w:p>
    <w:p>
      <w:pPr>
        <w:jc w:val="both"/>
        <w:ind w:left="20" w:firstLine="3"/>
        <w:spacing w:after="0" w:line="235" w:lineRule="auto"/>
        <w:rPr>
          <w:sz w:val="20"/>
          <w:szCs w:val="20"/>
          <w:color w:val="auto"/>
        </w:rPr>
      </w:pPr>
      <w:r>
        <w:rPr>
          <w:rFonts w:ascii="Times New Roman" w:cs="Times New Roman" w:eastAsia="Times New Roman" w:hAnsi="Times New Roman"/>
          <w:sz w:val="16"/>
          <w:szCs w:val="16"/>
          <w:color w:val="auto"/>
        </w:rPr>
        <w:t>This Appendix includes additional terms and conditions that govern the Option granted to Participant under the Plan if Participant resides and/or works in one of the countries below. This Appendix forms part of the Option Agreement. Any capitalized term used in this Appendix without definition will have the meaning ascribed to it in the Notice, the Option Agreement or the Plan, as applicable.</w:t>
      </w:r>
    </w:p>
    <w:p>
      <w:pPr>
        <w:spacing w:after="0" w:line="107" w:lineRule="exact"/>
        <w:rPr>
          <w:sz w:val="20"/>
          <w:szCs w:val="20"/>
          <w:color w:val="auto"/>
        </w:rPr>
      </w:pPr>
    </w:p>
    <w:p>
      <w:pPr>
        <w:jc w:val="both"/>
        <w:ind w:left="20" w:right="20" w:firstLine="1"/>
        <w:spacing w:after="0" w:line="235" w:lineRule="auto"/>
        <w:rPr>
          <w:sz w:val="20"/>
          <w:szCs w:val="20"/>
          <w:color w:val="auto"/>
        </w:rPr>
      </w:pPr>
      <w:r>
        <w:rPr>
          <w:rFonts w:ascii="Times New Roman" w:cs="Times New Roman" w:eastAsia="Times New Roman" w:hAnsi="Times New Roman"/>
          <w:sz w:val="16"/>
          <w:szCs w:val="16"/>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Notifications</w:t>
      </w:r>
    </w:p>
    <w:p>
      <w:pPr>
        <w:spacing w:after="0" w:line="147" w:lineRule="exact"/>
        <w:rPr>
          <w:sz w:val="20"/>
          <w:szCs w:val="20"/>
          <w:color w:val="auto"/>
        </w:rPr>
      </w:pPr>
    </w:p>
    <w:p>
      <w:pPr>
        <w:jc w:val="both"/>
        <w:ind w:left="20" w:firstLine="3"/>
        <w:spacing w:after="0" w:line="230" w:lineRule="auto"/>
        <w:rPr>
          <w:sz w:val="20"/>
          <w:szCs w:val="20"/>
          <w:color w:val="auto"/>
        </w:rPr>
      </w:pPr>
      <w:r>
        <w:rPr>
          <w:rFonts w:ascii="Times New Roman" w:cs="Times New Roman" w:eastAsia="Times New Roman" w:hAnsi="Times New Roman"/>
          <w:sz w:val="16"/>
          <w:szCs w:val="16"/>
          <w:color w:val="auto"/>
        </w:rPr>
        <w:t>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August 2019.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exercises the Option, sells Shares acquired under the Plan or takes any other action in connection with the Plan.</w:t>
      </w:r>
    </w:p>
    <w:p>
      <w:pPr>
        <w:spacing w:after="0" w:line="105" w:lineRule="exact"/>
        <w:rPr>
          <w:sz w:val="20"/>
          <w:szCs w:val="20"/>
          <w:color w:val="auto"/>
        </w:rPr>
      </w:pPr>
    </w:p>
    <w:p>
      <w:pPr>
        <w:jc w:val="both"/>
        <w:ind w:left="20" w:right="20"/>
        <w:spacing w:after="0" w:line="245"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44" w:lineRule="exact"/>
        <w:rPr>
          <w:sz w:val="20"/>
          <w:szCs w:val="20"/>
          <w:color w:val="auto"/>
        </w:rPr>
      </w:pPr>
    </w:p>
    <w:p>
      <w:pPr>
        <w:jc w:val="both"/>
        <w:ind w:left="20" w:right="20" w:firstLine="1"/>
        <w:spacing w:after="0" w:line="245" w:lineRule="auto"/>
        <w:rPr>
          <w:sz w:val="20"/>
          <w:szCs w:val="20"/>
          <w:color w:val="auto"/>
        </w:rPr>
      </w:pPr>
      <w:r>
        <w:rPr>
          <w:rFonts w:ascii="Times New Roman" w:cs="Times New Roman" w:eastAsia="Times New Roman" w:hAnsi="Times New Roman"/>
          <w:sz w:val="16"/>
          <w:szCs w:val="16"/>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Method of 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following provision supplements Section 5 of the Option Agreement:</w:t>
      </w:r>
    </w:p>
    <w:p>
      <w:pPr>
        <w:spacing w:after="0" w:line="158" w:lineRule="exact"/>
        <w:rPr>
          <w:sz w:val="20"/>
          <w:szCs w:val="20"/>
          <w:color w:val="auto"/>
        </w:rPr>
      </w:pPr>
    </w:p>
    <w:p>
      <w:pPr>
        <w:jc w:val="both"/>
        <w:ind w:left="20"/>
        <w:spacing w:after="0" w:line="245" w:lineRule="auto"/>
        <w:rPr>
          <w:sz w:val="20"/>
          <w:szCs w:val="20"/>
          <w:color w:val="auto"/>
        </w:rPr>
      </w:pPr>
      <w:r>
        <w:rPr>
          <w:rFonts w:ascii="Times New Roman" w:cs="Times New Roman" w:eastAsia="Times New Roman" w:hAnsi="Times New Roman"/>
          <w:sz w:val="16"/>
          <w:szCs w:val="16"/>
          <w:color w:val="auto"/>
        </w:rPr>
        <w:t>Due to regulatory considerations in Canada, Participant is prohibited from surrendering Shares that are already owned by Participant or attesting to the ownership of Shares to pay the Exercise Price or any Tax-Related Items in connection with this Option.</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Termination Date</w:t>
      </w:r>
      <w:r>
        <w:rPr>
          <w:rFonts w:ascii="Times New Roman" w:cs="Times New Roman" w:eastAsia="Times New Roman" w:hAnsi="Times New Roman"/>
          <w:sz w:val="16"/>
          <w:szCs w:val="16"/>
          <w:color w:val="auto"/>
        </w:rPr>
        <w:t>. The following provisions replace Section 3(e) of the Option Agreement in its entirety:</w:t>
      </w:r>
    </w:p>
    <w:p>
      <w:pPr>
        <w:spacing w:after="0" w:line="168" w:lineRule="exact"/>
        <w:rPr>
          <w:sz w:val="20"/>
          <w:szCs w:val="20"/>
          <w:color w:val="auto"/>
        </w:rPr>
      </w:pPr>
    </w:p>
    <w:p>
      <w:pPr>
        <w:jc w:val="both"/>
        <w:ind w:left="20" w:firstLine="1"/>
        <w:spacing w:after="0" w:line="230" w:lineRule="auto"/>
        <w:rPr>
          <w:sz w:val="20"/>
          <w:szCs w:val="20"/>
          <w:color w:val="auto"/>
        </w:rPr>
      </w:pPr>
      <w:r>
        <w:rPr>
          <w:rFonts w:ascii="Times New Roman" w:cs="Times New Roman" w:eastAsia="Times New Roman" w:hAnsi="Times New Roman"/>
          <w:sz w:val="16"/>
          <w:szCs w:val="16"/>
          <w:color w:val="auto"/>
        </w:rPr>
        <w:t>For purposes of this Option, Participant’s Service will be considered terminated as of the date that is the earliest of (i) the date on which Participant’s Service is terminated, (ii) the date on which Participant receives notice of termination, and (iii) the date on which Participant is no longer actively providing Services to the Company or the Employer, regardless of any notice period or period of pay in lieu of such notice required under applicable employment law. The Committee shall have the exclusive discretion to determine when Participant’s active provision of services is terminated for purposes of this Option (including whether Participant may still be considered actively employed while on a leave of absence).</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Securities Law Matters</w:t>
      </w:r>
    </w:p>
    <w:p>
      <w:pPr>
        <w:spacing w:after="0" w:line="158" w:lineRule="exact"/>
        <w:rPr>
          <w:sz w:val="20"/>
          <w:szCs w:val="20"/>
          <w:color w:val="auto"/>
        </w:rPr>
      </w:pPr>
    </w:p>
    <w:p>
      <w:pPr>
        <w:jc w:val="both"/>
        <w:ind w:left="20" w:hanging="2"/>
        <w:spacing w:after="0" w:line="226" w:lineRule="auto"/>
        <w:rPr>
          <w:sz w:val="20"/>
          <w:szCs w:val="20"/>
          <w:color w:val="auto"/>
        </w:rPr>
      </w:pPr>
      <w:r>
        <w:rPr>
          <w:rFonts w:ascii="Times New Roman" w:cs="Times New Roman" w:eastAsia="Times New Roman" w:hAnsi="Times New Roman"/>
          <w:sz w:val="16"/>
          <w:szCs w:val="16"/>
          <w:color w:val="auto"/>
        </w:rPr>
        <w:t>Participant is permitted to sell the Shares acquired under the Plan through the designated broker appointed under the Plan, if any, provided the resale of Shares acquired under the Plan takes place outside of Canada through the facilities of a stock exchange on which the Shares are listed (e.g., the Nasdaq).</w:t>
      </w:r>
    </w:p>
    <w:p>
      <w:pPr>
        <w:spacing w:after="0"/>
        <w:rPr>
          <w:sz w:val="20"/>
          <w:szCs w:val="20"/>
          <w:color w:val="auto"/>
        </w:rPr>
      </w:pPr>
      <w:r>
        <w:rPr>
          <w:rFonts w:ascii="Times New Roman" w:cs="Times New Roman" w:eastAsia="Times New Roman" w:hAnsi="Times New Roman"/>
          <w:sz w:val="16"/>
          <w:szCs w:val="16"/>
          <w:b w:val="1"/>
          <w:bCs w:val="1"/>
          <w:i w:val="1"/>
          <w:iCs w:val="1"/>
          <w:color w:val="auto"/>
        </w:rPr>
        <w:t>Notifications; Other</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158" w:right="339" w:bottom="1440" w:gutter="0" w:footer="0" w:header="0"/>
        </w:sectPr>
      </w:pPr>
    </w:p>
    <w:bookmarkStart w:id="144" w:name="page145"/>
    <w:bookmarkEnd w:id="144"/>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Foreign Asset / Account Reporting Notice</w:t>
      </w:r>
    </w:p>
    <w:p>
      <w:pPr>
        <w:spacing w:after="0" w:line="6" w:lineRule="exact"/>
        <w:rPr>
          <w:sz w:val="20"/>
          <w:szCs w:val="20"/>
          <w:color w:val="auto"/>
        </w:rPr>
      </w:pPr>
    </w:p>
    <w:p>
      <w:pPr>
        <w:jc w:val="both"/>
        <w:ind w:firstLine="4"/>
        <w:spacing w:after="0" w:line="221" w:lineRule="auto"/>
        <w:rPr>
          <w:sz w:val="20"/>
          <w:szCs w:val="20"/>
          <w:color w:val="auto"/>
        </w:rPr>
      </w:pPr>
      <w:r>
        <w:rPr>
          <w:rFonts w:ascii="Times New Roman" w:cs="Times New Roman" w:eastAsia="Times New Roman" w:hAnsi="Times New Roman"/>
          <w:sz w:val="16"/>
          <w:szCs w:val="16"/>
          <w:color w:val="auto"/>
        </w:rPr>
        <w:t>If Participant is a Canadian resident, Participant is required to report his or her foreign specified property (including Shares and rights to receive Shares) on Form T1135 (Foreign Income Verification Statement) if the total value of such foreign specified property exceeds C$100,000 at any time during the year. Although what cost should be assigned to the Options may be unclear, such Options must be reported if the CAD 100,000 threshold is exceeded due to other foreign property held by Participant.</w:t>
      </w:r>
    </w:p>
    <w:p>
      <w:pPr>
        <w:spacing w:after="0" w:line="1" w:lineRule="exact"/>
        <w:rPr>
          <w:sz w:val="20"/>
          <w:szCs w:val="20"/>
          <w:color w:val="auto"/>
        </w:rPr>
      </w:pPr>
    </w:p>
    <w:p>
      <w:pPr>
        <w:jc w:val="both"/>
        <w:ind w:left="20" w:right="20" w:firstLine="51"/>
        <w:spacing w:after="0" w:line="231" w:lineRule="auto"/>
        <w:rPr>
          <w:sz w:val="20"/>
          <w:szCs w:val="20"/>
          <w:color w:val="auto"/>
        </w:rPr>
      </w:pPr>
      <w:r>
        <w:rPr>
          <w:rFonts w:ascii="Times New Roman" w:cs="Times New Roman" w:eastAsia="Times New Roman" w:hAnsi="Times New Roman"/>
          <w:sz w:val="16"/>
          <w:szCs w:val="16"/>
          <w:color w:val="auto"/>
        </w:rPr>
        <w:t>When Shares are acquired, their cost generally is the adjusted cost base (“</w:t>
      </w:r>
      <w:r>
        <w:rPr>
          <w:rFonts w:ascii="Times New Roman" w:cs="Times New Roman" w:eastAsia="Times New Roman" w:hAnsi="Times New Roman"/>
          <w:sz w:val="16"/>
          <w:szCs w:val="16"/>
          <w:b w:val="1"/>
          <w:bCs w:val="1"/>
          <w:i w:val="1"/>
          <w:iCs w:val="1"/>
          <w:color w:val="auto"/>
        </w:rPr>
        <w:t>ACB</w:t>
      </w:r>
      <w:r>
        <w:rPr>
          <w:rFonts w:ascii="Times New Roman" w:cs="Times New Roman" w:eastAsia="Times New Roman" w:hAnsi="Times New Roman"/>
          <w:sz w:val="16"/>
          <w:szCs w:val="16"/>
          <w:color w:val="auto"/>
        </w:rPr>
        <w:t>”) of the Shares which would ordinarily equal the fair market value of the Shares at the time of acquisition, but if other Shares are also owned, this ACB may have to be averaged with the ACB of the other Shares.</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u w:val="single" w:color="auto"/>
          <w:color w:val="auto"/>
        </w:rPr>
        <w:t>The following terms and conditions apply to Quebec resident:</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Data Privacy</w:t>
      </w:r>
    </w:p>
    <w:p>
      <w:pPr>
        <w:spacing w:after="0" w:line="158"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any Parent, Subsidiary or Affiliate and the administrator of the Plan to disclose and discuss the Plan with their advisors. Participant further authorizes the Company and any Parent, Subsidiary or Affiliate to record such information and to keep such information in Participant's file.</w:t>
      </w:r>
    </w:p>
    <w:p>
      <w:pPr>
        <w:spacing w:after="0" w:line="157" w:lineRule="exact"/>
        <w:rPr>
          <w:sz w:val="20"/>
          <w:szCs w:val="20"/>
          <w:color w:val="auto"/>
        </w:rPr>
      </w:pPr>
    </w:p>
    <w:p>
      <w:pPr>
        <w:jc w:val="both"/>
        <w:ind w:left="20" w:right="20"/>
        <w:spacing w:after="0" w:line="248" w:lineRule="auto"/>
        <w:rPr>
          <w:sz w:val="20"/>
          <w:szCs w:val="20"/>
          <w:color w:val="auto"/>
        </w:rPr>
      </w:pPr>
      <w:r>
        <w:rPr>
          <w:rFonts w:ascii="Times New Roman" w:cs="Times New Roman" w:eastAsia="Times New Roman" w:hAnsi="Times New Roman"/>
          <w:sz w:val="16"/>
          <w:szCs w:val="16"/>
          <w:b w:val="1"/>
          <w:bCs w:val="1"/>
          <w:u w:val="single" w:color="auto"/>
          <w:color w:val="auto"/>
        </w:rPr>
        <w:t>Language</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parties acknowledge that it is their express wish that the Option Agreement, as well as all documents, notices and legal proceedings entered into, given or instituted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hereto or relating directly or indirectly hereto, be drawn up in English.</w:t>
      </w:r>
    </w:p>
    <w:p>
      <w:pPr>
        <w:spacing w:after="0" w:line="140" w:lineRule="exact"/>
        <w:rPr>
          <w:sz w:val="20"/>
          <w:szCs w:val="20"/>
          <w:color w:val="auto"/>
        </w:rPr>
      </w:pPr>
    </w:p>
    <w:p>
      <w:pPr>
        <w:jc w:val="both"/>
        <w:ind w:left="20" w:right="20" w:hanging="7"/>
        <w:spacing w:after="0" w:line="248" w:lineRule="auto"/>
        <w:rPr>
          <w:sz w:val="20"/>
          <w:szCs w:val="20"/>
          <w:color w:val="auto"/>
        </w:rPr>
      </w:pPr>
      <w:r>
        <w:rPr>
          <w:rFonts w:ascii="Times New Roman" w:cs="Times New Roman" w:eastAsia="Times New Roman" w:hAnsi="Times New Roman"/>
          <w:sz w:val="16"/>
          <w:szCs w:val="16"/>
          <w:i w:val="1"/>
          <w:iCs w:val="1"/>
          <w:color w:val="auto"/>
        </w:rPr>
        <w:t>Les parties reconnaissent avoir expressement souhaité que la convention “Option Agreement”, ainsi que tous les documents, avis et procédures judiciaries, éxecutés, donnés ou intentés en vertu de, ou lié, directement ou indirectement à la présente convention, soient rédigés en langue anglaise.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56" w:lineRule="exact"/>
        <w:rPr>
          <w:sz w:val="20"/>
          <w:szCs w:val="20"/>
          <w:color w:val="auto"/>
        </w:rPr>
      </w:pPr>
    </w:p>
    <w:p>
      <w:pPr>
        <w:jc w:val="both"/>
        <w:ind w:firstLine="6"/>
        <w:spacing w:after="0" w:line="227" w:lineRule="auto"/>
        <w:rPr>
          <w:sz w:val="20"/>
          <w:szCs w:val="20"/>
          <w:color w:val="auto"/>
        </w:rPr>
      </w:pPr>
      <w:r>
        <w:rPr>
          <w:rFonts w:ascii="Times New Roman" w:cs="Times New Roman" w:eastAsia="Times New Roman" w:hAnsi="Times New Roman"/>
          <w:sz w:val="16"/>
          <w:szCs w:val="16"/>
          <w:b w:val="1"/>
          <w:bCs w:val="1"/>
          <w:u w:val="single" w:color="auto"/>
          <w:color w:val="auto"/>
        </w:rPr>
        <w:t>General Matters</w:t>
      </w:r>
      <w:r>
        <w:rPr>
          <w:rFonts w:ascii="Times New Roman" w:cs="Times New Roman" w:eastAsia="Times New Roman" w:hAnsi="Times New Roman"/>
          <w:sz w:val="16"/>
          <w:szCs w:val="16"/>
          <w:color w:val="auto"/>
        </w:rPr>
        <w:t>. Participant acknowledges and agrees that Participant’s sole contact and sole contractual partner regarding the Plan and the Option is the Company and any rights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entitlements pursuant to the Plan are granted to Participant on an exclusively voluntary basis and do not create any claims against the Company, the Employer and/or any of their Subsidiaries, Parents or Affiliates. Even if there is a repeated grant of rights and without express notification that the grant is made voluntarily, Participant has no legal claim for future grants and explicitly acknowledges the voluntary nature of such grants. All grants remain in the complete discretion of the Company. The Company reserves the right to determine the scope of beneficiaries and the conditions of the Plan, to the extent permitted by applicable law. Additionally, the Option does not form part of Participant’s contractual compensation and is not to be considered part of his or her normal or expected compensation for purposes of calculating severance, resignation, redundancy, end of service payments, bonuses, long-service awards, pension or retirement benefits or similar payments.</w:t>
      </w:r>
    </w:p>
    <w:p>
      <w:pPr>
        <w:spacing w:after="0" w:line="161" w:lineRule="exact"/>
        <w:rPr>
          <w:sz w:val="20"/>
          <w:szCs w:val="20"/>
          <w:color w:val="auto"/>
        </w:rPr>
      </w:pPr>
    </w:p>
    <w:p>
      <w:pPr>
        <w:jc w:val="both"/>
        <w:ind w:firstLine="8"/>
        <w:spacing w:after="0" w:line="267" w:lineRule="auto"/>
        <w:rPr>
          <w:sz w:val="20"/>
          <w:szCs w:val="20"/>
          <w:color w:val="auto"/>
        </w:rPr>
      </w:pPr>
      <w:r>
        <w:rPr>
          <w:rFonts w:ascii="Times New Roman" w:cs="Times New Roman" w:eastAsia="Times New Roman" w:hAnsi="Times New Roman"/>
          <w:sz w:val="14"/>
          <w:szCs w:val="14"/>
          <w:b w:val="1"/>
          <w:bCs w:val="1"/>
          <w:u w:val="single" w:color="auto"/>
          <w:color w:val="auto"/>
        </w:rPr>
        <w:t>Securities Law Matters.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Instruments granted under the Plan and the Option may be subject to the Regulation (EU) 2017/1129 of the European Parliament and of the Council of 14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June 2017 on the prospectus to be published when securities are offered to the public or admitted to trading on a regulated market, and repealing Directive 2003/71/EC (the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Prospectus Regulation</w:t>
      </w:r>
      <w:r>
        <w:rPr>
          <w:rFonts w:ascii="Times New Roman" w:cs="Times New Roman" w:eastAsia="Times New Roman" w:hAnsi="Times New Roman"/>
          <w:sz w:val="14"/>
          <w:szCs w:val="14"/>
          <w:color w:val="auto"/>
        </w:rPr>
        <w:t>”) and the German Securities Prospectus Act (</w:t>
      </w:r>
      <w:r>
        <w:rPr>
          <w:rFonts w:ascii="Times New Roman" w:cs="Times New Roman" w:eastAsia="Times New Roman" w:hAnsi="Times New Roman"/>
          <w:sz w:val="14"/>
          <w:szCs w:val="14"/>
          <w:i w:val="1"/>
          <w:iCs w:val="1"/>
          <w:color w:val="auto"/>
        </w:rPr>
        <w:t>Wertpapierprospektgesetz – “</w:t>
      </w:r>
      <w:r>
        <w:rPr>
          <w:rFonts w:ascii="Times New Roman" w:cs="Times New Roman" w:eastAsia="Times New Roman" w:hAnsi="Times New Roman"/>
          <w:sz w:val="14"/>
          <w:szCs w:val="14"/>
          <w:b w:val="1"/>
          <w:bCs w:val="1"/>
          <w:i w:val="1"/>
          <w:iCs w:val="1"/>
          <w:color w:val="auto"/>
        </w:rPr>
        <w:t>WpPG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The Company is of the opinion that the participation in the Plan and the receipt/exercise of the Option by the Participants is exempt from the requirement to approve and publish a prospectus or further documents under the Prospectus Regulation</w:t>
      </w:r>
    </w:p>
    <w:p>
      <w:pPr>
        <w:jc w:val="both"/>
        <w:ind w:right="20"/>
        <w:spacing w:after="0" w:line="231" w:lineRule="auto"/>
        <w:rPr>
          <w:sz w:val="20"/>
          <w:szCs w:val="20"/>
          <w:color w:val="auto"/>
        </w:rPr>
      </w:pPr>
      <w:r>
        <w:rPr>
          <w:rFonts w:ascii="Times New Roman" w:cs="Times New Roman" w:eastAsia="Times New Roman" w:hAnsi="Times New Roman"/>
          <w:sz w:val="16"/>
          <w:szCs w:val="16"/>
          <w:color w:val="auto"/>
        </w:rPr>
        <w:t>and/or WpPG. However, the Company reserve all rights to amend the Plan and/or the Notice at any time to the extent required to be compliant with the Prospectus Regulation, WpPG and/or other laws and regulations applicable in Germany.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Notifications, Other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Exchange Control</w:t>
      </w:r>
      <w:r>
        <w:rPr>
          <w:rFonts w:ascii="Times New Roman" w:cs="Times New Roman" w:eastAsia="Times New Roman" w:hAnsi="Times New Roman"/>
          <w:sz w:val="16"/>
          <w:szCs w:val="16"/>
          <w:color w:val="auto"/>
        </w:rPr>
        <w:t>. Cross-border payments in excess of EUR 12,500 (including transactions made in connection with the sale</w:t>
      </w:r>
    </w:p>
    <w:p>
      <w:pPr>
        <w:jc w:val="both"/>
        <w:ind w:right="20" w:firstLine="5"/>
        <w:spacing w:after="0" w:line="227" w:lineRule="auto"/>
        <w:rPr>
          <w:sz w:val="20"/>
          <w:szCs w:val="20"/>
          <w:color w:val="auto"/>
        </w:rPr>
      </w:pPr>
      <w:r>
        <w:rPr>
          <w:rFonts w:ascii="Times New Roman" w:cs="Times New Roman" w:eastAsia="Times New Roman" w:hAnsi="Times New Roman"/>
          <w:sz w:val="16"/>
          <w:szCs w:val="16"/>
          <w:color w:val="auto"/>
        </w:rPr>
        <w:t>of securities) must be reported monthly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Participant makes or receives a payment in excess of this amount in connection with Participant’s participation in the Plan, Participant must report the payment to Bundesbank electronically, no later than the fifth day of the month following the month in which the payment was received, using the “General Statistics Reporting Portal”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xml:space="preserve">”) available via Bundesbank’s website ( </w:t>
      </w:r>
      <w:r>
        <w:rPr>
          <w:rFonts w:ascii="Times New Roman" w:cs="Times New Roman" w:eastAsia="Times New Roman" w:hAnsi="Times New Roman"/>
          <w:sz w:val="16"/>
          <w:szCs w:val="16"/>
          <w:u w:val="single" w:color="auto"/>
          <w:color w:val="0000EE"/>
        </w:rPr>
        <w:t>www.bundesbank.de</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firstLine="5"/>
        <w:spacing w:after="0" w:line="248" w:lineRule="auto"/>
        <w:rPr>
          <w:sz w:val="20"/>
          <w:szCs w:val="20"/>
          <w:color w:val="auto"/>
        </w:rPr>
      </w:pPr>
      <w:r>
        <w:rPr>
          <w:rFonts w:ascii="Times New Roman" w:cs="Times New Roman" w:eastAsia="Times New Roman" w:hAnsi="Times New Roman"/>
          <w:sz w:val="16"/>
          <w:szCs w:val="16"/>
          <w:b w:val="1"/>
          <w:bCs w:val="1"/>
          <w:u w:val="single" w:color="auto"/>
          <w:color w:val="auto"/>
        </w:rPr>
        <w:t>Tax Matters</w:t>
      </w:r>
      <w:r>
        <w:rPr>
          <w:rFonts w:ascii="Times New Roman" w:cs="Times New Roman" w:eastAsia="Times New Roman" w:hAnsi="Times New Roman"/>
          <w:sz w:val="16"/>
          <w:szCs w:val="16"/>
          <w:color w:val="auto"/>
        </w:rPr>
        <w:t>. Participant acknowledges its legal obligation under German law to inform the Employer of any benefit received from the Company and the Employer´s duty and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comply with that duty without undue delay. Participant acknowledges that in</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628" w:right="339" w:bottom="1440" w:gutter="0" w:footer="0" w:header="0"/>
        </w:sectPr>
      </w:pPr>
    </w:p>
    <w:bookmarkStart w:id="145" w:name="page146"/>
    <w:bookmarkEnd w:id="145"/>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case of non-compliance with such duty, the Employer may inform the competent authority of such non-compliance and that non-compliance may have further legal consequences for the Participant.</w:t>
      </w:r>
    </w:p>
    <w:p>
      <w:pPr>
        <w:spacing w:after="0" w:line="144" w:lineRule="exact"/>
        <w:rPr>
          <w:sz w:val="20"/>
          <w:szCs w:val="20"/>
          <w:color w:val="auto"/>
        </w:rPr>
      </w:pPr>
    </w:p>
    <w:p>
      <w:pPr>
        <w:jc w:val="both"/>
        <w:ind w:right="20" w:firstLine="4"/>
        <w:spacing w:after="0" w:line="226" w:lineRule="auto"/>
        <w:rPr>
          <w:sz w:val="20"/>
          <w:szCs w:val="20"/>
          <w:color w:val="auto"/>
        </w:rPr>
      </w:pPr>
      <w:r>
        <w:rPr>
          <w:rFonts w:ascii="Times New Roman" w:cs="Times New Roman" w:eastAsia="Times New Roman" w:hAnsi="Times New Roman"/>
          <w:sz w:val="16"/>
          <w:szCs w:val="16"/>
          <w:color w:val="auto"/>
        </w:rPr>
        <w:t>If Participant has not paid or provided for Tax-Related Items within 10 days following the end of the month in which the relevant benefit is attributable to the Participant for German wage tax purposes, to the extent permitted by applicable law, the amount of any Tax-Related Items borne by the Company or any subsidiary towards the competent authority shall constitute a loan owed to the Company or, if the Company is not the employer for German wage tax purposes, the Employer, which will bear interest at (i) the relevant reference market rate published by the German Federal Bank as referenced in section 2.1.2 of the Federal Ministry´s published guidance on the tax treatment of employer loans by letter of 19 May 2015 or (ii) the lowest rate deemed acceptable under any Federal Ministry´s successor guidance to the guidance mentioned under (i) above. If Tax-Related Items due are not collected from or paid by Participant by their due date, it is possible that the German tax authorities will qualify the amount of any uncollected Tax-Related Items as a benefit to Participant, on which additional income tax would be payable. In such case, Participant will be responsible for any taxes that may be due on this additional benefit and for reimbursing the Company and/or the Employer for any Tax-Related Items on this additional benefit.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General Matters</w:t>
      </w:r>
    </w:p>
    <w:p>
      <w:pPr>
        <w:spacing w:after="0" w:line="158" w:lineRule="exact"/>
        <w:rPr>
          <w:sz w:val="20"/>
          <w:szCs w:val="20"/>
          <w:color w:val="auto"/>
        </w:rPr>
      </w:pPr>
    </w:p>
    <w:p>
      <w:pPr>
        <w:jc w:val="both"/>
        <w:ind w:left="20" w:firstLine="1"/>
        <w:spacing w:after="0" w:line="232" w:lineRule="auto"/>
        <w:rPr>
          <w:sz w:val="20"/>
          <w:szCs w:val="20"/>
          <w:color w:val="auto"/>
        </w:rPr>
      </w:pPr>
      <w:r>
        <w:rPr>
          <w:rFonts w:ascii="Times New Roman" w:cs="Times New Roman" w:eastAsia="Times New Roman" w:hAnsi="Times New Roman"/>
          <w:sz w:val="16"/>
          <w:szCs w:val="16"/>
          <w:color w:val="auto"/>
        </w:rPr>
        <w:t>Participant acknowledges and agrees that the offer of this Option has not been and will not be registered with the Financial Supervisory Commission of the Republic of China (ROC) pursuant to relevant securities laws and regulations in the ROC, and may not be offered or sold within the ROC through a public offering or in a circumstance which constitutes an offer within the meaning of the Securities and Exchange Act of the ROC that requires a registration or approval of the Financial Supervisory Commission of the ROC.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Notifications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Exchange Control</w:t>
      </w:r>
    </w:p>
    <w:p>
      <w:pPr>
        <w:spacing w:after="0" w:line="158"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According to the current foreign exchange laws and regulations, any inward or outward remittance involving non-New Taiwan Dollar currency will be counted towards the foreign exchange quota, that is, each Taiwan individual has an annual foreign exchange quota of US$5 million for inward and outward remittances</w:t>
      </w:r>
      <w:r>
        <w:rPr>
          <w:rFonts w:ascii="Times New Roman" w:cs="Times New Roman" w:eastAsia="Times New Roman" w:hAnsi="Times New Roman"/>
          <w:sz w:val="16"/>
          <w:szCs w:val="16"/>
          <w:color w:val="00B050"/>
        </w:rPr>
        <w:t>,</w:t>
      </w:r>
      <w:r>
        <w:rPr>
          <w:rFonts w:ascii="Times New Roman" w:cs="Times New Roman" w:eastAsia="Times New Roman" w:hAnsi="Times New Roman"/>
          <w:sz w:val="16"/>
          <w:szCs w:val="16"/>
          <w:color w:val="auto"/>
        </w:rPr>
        <w:t xml:space="preserve"> respectively, without having to obtain any prior approval from the Central Bank of the ROC. The Participant shall be responsible for seeking the special approval for the Central Bank should any inward and outward remittances of foreign exchange that exceed the US$5 million annual quota.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Tax Matters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According to the ruling issued by the Ministry of Finance (“</w:t>
      </w:r>
      <w:r>
        <w:rPr>
          <w:rFonts w:ascii="Times New Roman" w:cs="Times New Roman" w:eastAsia="Times New Roman" w:hAnsi="Times New Roman"/>
          <w:sz w:val="16"/>
          <w:szCs w:val="16"/>
          <w:b w:val="1"/>
          <w:bCs w:val="1"/>
          <w:i w:val="1"/>
          <w:iCs w:val="1"/>
          <w:color w:val="auto"/>
        </w:rPr>
        <w:t>MOF</w:t>
      </w:r>
      <w:r>
        <w:rPr>
          <w:rFonts w:ascii="Times New Roman" w:cs="Times New Roman" w:eastAsia="Times New Roman" w:hAnsi="Times New Roman"/>
          <w:sz w:val="16"/>
          <w:szCs w:val="16"/>
          <w:color w:val="auto"/>
        </w:rPr>
        <w:t>”) (Ref. No.: Tai-Tsai-Shuei-09404527550) in respect of the</w:t>
      </w:r>
    </w:p>
    <w:p>
      <w:pPr>
        <w:spacing w:after="0" w:line="6" w:lineRule="exact"/>
        <w:rPr>
          <w:sz w:val="20"/>
          <w:szCs w:val="20"/>
          <w:color w:val="auto"/>
        </w:rPr>
      </w:pPr>
    </w:p>
    <w:p>
      <w:pPr>
        <w:jc w:val="both"/>
        <w:ind w:right="20" w:firstLine="1"/>
        <w:spacing w:after="0" w:line="226" w:lineRule="auto"/>
        <w:rPr>
          <w:sz w:val="20"/>
          <w:szCs w:val="20"/>
          <w:color w:val="auto"/>
        </w:rPr>
      </w:pPr>
      <w:r>
        <w:rPr>
          <w:rFonts w:ascii="Times New Roman" w:cs="Times New Roman" w:eastAsia="Times New Roman" w:hAnsi="Times New Roman"/>
          <w:sz w:val="16"/>
          <w:szCs w:val="16"/>
          <w:color w:val="auto"/>
        </w:rPr>
        <w:t>taxation of employee stock option offered by foreign companies to the employees of their subsidiaries/branches/representative offices in Taiwan, the difference between the exercise price and the market price of the stocks at the time of exercise (economic benefit) shall be deemed "other income" of the employee and is subject to income tax. Hence, Participant shall be responsible for including such income in his/her annual income tax return and paying applicable income tax thereon for the year in which he/she exercises the Option should any gain is realized therefrom.</w:t>
      </w:r>
    </w:p>
    <w:p>
      <w:pPr>
        <w:spacing w:after="0" w:line="146" w:lineRule="exact"/>
        <w:rPr>
          <w:sz w:val="20"/>
          <w:szCs w:val="20"/>
          <w:color w:val="auto"/>
        </w:rPr>
      </w:pPr>
    </w:p>
    <w:p>
      <w:pPr>
        <w:jc w:val="both"/>
        <w:ind w:right="20" w:firstLine="13"/>
        <w:spacing w:after="0" w:line="236" w:lineRule="auto"/>
        <w:rPr>
          <w:sz w:val="20"/>
          <w:szCs w:val="20"/>
          <w:color w:val="auto"/>
        </w:rPr>
      </w:pPr>
      <w:r>
        <w:rPr>
          <w:rFonts w:ascii="Times New Roman" w:cs="Times New Roman" w:eastAsia="Times New Roman" w:hAnsi="Times New Roman"/>
          <w:sz w:val="16"/>
          <w:szCs w:val="16"/>
          <w:i w:val="1"/>
          <w:iCs w:val="1"/>
          <w:color w:val="auto"/>
        </w:rPr>
        <w:t>Note: The representative office or subsidiary should have no tax-withholding obligation for the employee's other income, but is required to (i) complete non-withholding tax statements and file these, together with other relevant documents, with the competent tax authorities by January 31 of the following year, and (ii) issue a non-withholding tax statement to each of the participating employees on or before February 10 of the following year.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147" w:lineRule="exact"/>
        <w:rPr>
          <w:sz w:val="20"/>
          <w:szCs w:val="20"/>
          <w:color w:val="auto"/>
        </w:rPr>
      </w:pPr>
    </w:p>
    <w:p>
      <w:pPr>
        <w:ind w:left="20" w:right="140"/>
        <w:spacing w:after="0" w:line="245" w:lineRule="auto"/>
        <w:rPr>
          <w:sz w:val="20"/>
          <w:szCs w:val="20"/>
          <w:color w:val="auto"/>
        </w:rPr>
      </w:pPr>
      <w:r>
        <w:rPr>
          <w:rFonts w:ascii="Times New Roman" w:cs="Times New Roman" w:eastAsia="Times New Roman" w:hAnsi="Times New Roman"/>
          <w:sz w:val="16"/>
          <w:szCs w:val="16"/>
          <w:color w:val="auto"/>
        </w:rPr>
        <w:t>Participant acknowledges and agrees to the terms of the UK Sub-Plan in the addendum to the Peloton Interactive, Inc. 2019 Equity Incentive Plan, including but not limited to the provisions of sections 2.2 to 2.5 inclusive.</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All references to Tax-Related Items above shall be deemed to include UK income tax and national insurance contributions (“</w:t>
      </w:r>
      <w:r>
        <w:rPr>
          <w:rFonts w:ascii="Times New Roman" w:cs="Times New Roman" w:eastAsia="Times New Roman" w:hAnsi="Times New Roman"/>
          <w:sz w:val="16"/>
          <w:szCs w:val="16"/>
          <w:b w:val="1"/>
          <w:bCs w:val="1"/>
          <w:i w:val="1"/>
          <w:iCs w:val="1"/>
          <w:color w:val="auto"/>
        </w:rPr>
        <w:t>NICs</w:t>
      </w:r>
      <w:r>
        <w:rPr>
          <w:rFonts w:ascii="Times New Roman" w:cs="Times New Roman" w:eastAsia="Times New Roman" w:hAnsi="Times New Roman"/>
          <w:sz w:val="16"/>
          <w:szCs w:val="16"/>
          <w:color w:val="auto"/>
        </w:rPr>
        <w:t>”).</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471" w:right="339" w:bottom="1440" w:gutter="0" w:footer="0" w:header="0"/>
        </w:sectPr>
      </w:pPr>
    </w:p>
    <w:bookmarkStart w:id="146" w:name="page147"/>
    <w:bookmarkEnd w:id="146"/>
    <w:p>
      <w:pPr>
        <w:jc w:val="both"/>
        <w:ind w:left="20" w:right="20" w:firstLine="1"/>
        <w:spacing w:after="0" w:line="315" w:lineRule="auto"/>
        <w:rPr>
          <w:sz w:val="20"/>
          <w:szCs w:val="20"/>
          <w:color w:val="auto"/>
        </w:rPr>
      </w:pPr>
      <w:r>
        <w:rPr>
          <w:rFonts w:ascii="Times New Roman" w:cs="Times New Roman" w:eastAsia="Times New Roman" w:hAnsi="Times New Roman"/>
          <w:sz w:val="14"/>
          <w:szCs w:val="14"/>
          <w:color w:val="auto"/>
        </w:rPr>
        <w:t>Paragraph 11 above shall not apply to UK Employees. Participant understands that for the purposes of administering this Agreement and the Plan, the Employer, the Company and any Parent or Subsidiary will collect and process information relating to him or her in accordance with the privacy notice currently available on the Company’s intranet.</w:t>
      </w:r>
    </w:p>
    <w:p>
      <w:pPr>
        <w:spacing w:after="0" w:line="85" w:lineRule="exact"/>
        <w:rPr>
          <w:sz w:val="20"/>
          <w:szCs w:val="20"/>
          <w:color w:val="auto"/>
        </w:rPr>
      </w:pPr>
    </w:p>
    <w:p>
      <w:pPr>
        <w:jc w:val="both"/>
        <w:ind w:left="20" w:firstLine="1"/>
        <w:spacing w:after="0" w:line="230" w:lineRule="auto"/>
        <w:rPr>
          <w:sz w:val="20"/>
          <w:szCs w:val="20"/>
          <w:color w:val="auto"/>
        </w:rPr>
      </w:pPr>
      <w:r>
        <w:rPr>
          <w:rFonts w:ascii="Times New Roman" w:cs="Times New Roman" w:eastAsia="Times New Roman" w:hAnsi="Times New Roman"/>
          <w:sz w:val="16"/>
          <w:szCs w:val="16"/>
          <w:color w:val="auto"/>
        </w:rPr>
        <w:t>Participant acknowledges and understands that (a) Data will be transferred to E*TRADE Financial Services, Solium Shareworks, or other third party (“</w:t>
      </w:r>
      <w:r>
        <w:rPr>
          <w:rFonts w:ascii="Times New Roman" w:cs="Times New Roman" w:eastAsia="Times New Roman" w:hAnsi="Times New Roman"/>
          <w:sz w:val="16"/>
          <w:szCs w:val="16"/>
          <w:b w:val="1"/>
          <w:bCs w:val="1"/>
          <w:i w:val="1"/>
          <w:iCs w:val="1"/>
          <w:color w:val="auto"/>
        </w:rPr>
        <w:t>Online Administrator</w:t>
      </w:r>
      <w:r>
        <w:rPr>
          <w:rFonts w:ascii="Times New Roman" w:cs="Times New Roman" w:eastAsia="Times New Roman" w:hAnsi="Times New Roman"/>
          <w:sz w:val="16"/>
          <w:szCs w:val="16"/>
          <w:color w:val="auto"/>
        </w:rPr>
        <w:t>”) and its affiliated companies or such other stock plan service provider as may be designated by the Company from time to time, which is assisting the Company with the implementation, administration and management of the Plan, (b) that the recipients of Data may be located in the United States or elsewhere, and that the recipients’ country may have different data privacy laws and protections than my country and (c) that he may request a list with the names and addresses of any potential recipients of Data by contacting the local human resources representative.</w:t>
      </w:r>
    </w:p>
    <w:p>
      <w:pPr>
        <w:spacing w:after="0" w:line="1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Termination. </w:t>
      </w:r>
      <w:r>
        <w:rPr>
          <w:rFonts w:ascii="Times New Roman" w:cs="Times New Roman" w:eastAsia="Times New Roman" w:hAnsi="Times New Roman"/>
          <w:sz w:val="16"/>
          <w:szCs w:val="16"/>
          <w:color w:val="auto"/>
        </w:rPr>
        <w:t>The following provisions replace Section 3(e) of the Option Agreement in its entirety:</w:t>
      </w:r>
    </w:p>
    <w:p>
      <w:pPr>
        <w:spacing w:after="0" w:line="147" w:lineRule="exact"/>
        <w:rPr>
          <w:sz w:val="20"/>
          <w:szCs w:val="20"/>
          <w:color w:val="auto"/>
        </w:rPr>
      </w:pPr>
    </w:p>
    <w:p>
      <w:pPr>
        <w:ind w:right="60" w:firstLine="2"/>
        <w:spacing w:after="0" w:line="226" w:lineRule="auto"/>
        <w:rPr>
          <w:sz w:val="20"/>
          <w:szCs w:val="20"/>
          <w:color w:val="auto"/>
        </w:rPr>
      </w:pPr>
      <w:r>
        <w:rPr>
          <w:rFonts w:ascii="Times New Roman" w:cs="Times New Roman" w:eastAsia="Times New Roman" w:hAnsi="Times New Roman"/>
          <w:sz w:val="16"/>
          <w:szCs w:val="16"/>
          <w:color w:val="auto"/>
        </w:rPr>
        <w:t>For purposes of this Option, unless otherwise determined by the Committee in its absolute discretion,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Participant’s employment with or service to the Company, its Parent and its Subsidiaries or Affiliates terminates; (the “</w:t>
      </w:r>
      <w:r>
        <w:rPr>
          <w:rFonts w:ascii="Times New Roman" w:cs="Times New Roman" w:eastAsia="Times New Roman" w:hAnsi="Times New Roman"/>
          <w:sz w:val="16"/>
          <w:szCs w:val="16"/>
          <w:b w:val="1"/>
          <w:bCs w:val="1"/>
          <w:i w:val="1"/>
          <w:iCs w:val="1"/>
          <w:color w:val="auto"/>
        </w:rPr>
        <w:t>Termination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Date</w:t>
      </w:r>
      <w:r>
        <w:rPr>
          <w:rFonts w:ascii="Times New Roman" w:cs="Times New Roman" w:eastAsia="Times New Roman" w:hAnsi="Times New Roman"/>
          <w:sz w:val="16"/>
          <w:szCs w:val="16"/>
          <w:color w:val="auto"/>
        </w:rPr>
        <w:t>”); provided that the Committee may provide, in its absolute discretion, that the Termination Date shall occur on any earlier date on which the Participant is no longer actively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providing services to the Company, its Parent and its Subsidiaries or Affiliates (e.g., the Committee may provide that the Participant’s Service will not include any contractual notice period worked by the Participant or any period of “garden leave” served by the Participant or similar period mandated under employment laws in the jurisdiction where Participant is employed or the terms of Participant’s employment agreement, if any). Unless otherwise provided in this Option Agreement or determined by the Company, Participant’s right to vest in the Option under the Plan, if any, will terminate as of the Termination Date and Participant’s right to exercise the Option after termination of Service, if any, will be measured from the Termination Date.</w:t>
      </w:r>
    </w:p>
    <w:p>
      <w:pPr>
        <w:spacing w:after="0" w:line="138" w:lineRule="exact"/>
        <w:rPr>
          <w:sz w:val="20"/>
          <w:szCs w:val="20"/>
          <w:color w:val="auto"/>
        </w:rPr>
      </w:pPr>
    </w:p>
    <w:p>
      <w:pPr>
        <w:jc w:val="both"/>
        <w:ind w:firstLine="2"/>
        <w:spacing w:after="0" w:line="232" w:lineRule="auto"/>
        <w:rPr>
          <w:sz w:val="20"/>
          <w:szCs w:val="20"/>
          <w:color w:val="auto"/>
        </w:rPr>
      </w:pPr>
      <w:r>
        <w:rPr>
          <w:rFonts w:ascii="Times New Roman" w:cs="Times New Roman" w:eastAsia="Times New Roman" w:hAnsi="Times New Roman"/>
          <w:sz w:val="16"/>
          <w:szCs w:val="16"/>
          <w:color w:val="auto"/>
        </w:rPr>
        <w:t>Participant acknowledges and agrees that, to the extent permitted by Law, the Vesting Schedule may change prospectively in the event Participant’s service status changes between full- and part-time and/or in the event Participant is on a leave of absence and/or in the event Participant is on a contractual notice period or any period of “garden leave” or similar period mandated under employment laws in the jurisdiction where Participant is employed or the terms of Participant’s employment agreement, if any, in accordance with Company policies relating to work schedules and vesting of awards or as determined by the Committee.</w:t>
      </w:r>
    </w:p>
    <w:p>
      <w:pPr>
        <w:spacing w:after="0" w:line="137" w:lineRule="exact"/>
        <w:rPr>
          <w:sz w:val="20"/>
          <w:szCs w:val="20"/>
          <w:color w:val="auto"/>
        </w:rPr>
      </w:pPr>
    </w:p>
    <w:p>
      <w:pPr>
        <w:ind w:left="20" w:right="80" w:firstLine="1"/>
        <w:spacing w:after="0" w:line="229" w:lineRule="auto"/>
        <w:rPr>
          <w:sz w:val="20"/>
          <w:szCs w:val="20"/>
          <w:color w:val="auto"/>
        </w:rPr>
      </w:pPr>
      <w:r>
        <w:rPr>
          <w:rFonts w:ascii="Times New Roman" w:cs="Times New Roman" w:eastAsia="Times New Roman" w:hAnsi="Times New Roman"/>
          <w:sz w:val="16"/>
          <w:szCs w:val="16"/>
          <w:color w:val="auto"/>
        </w:rPr>
        <w:t>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 If Participant does not</w:t>
      </w:r>
    </w:p>
    <w:p>
      <w:pPr>
        <w:spacing w:after="0" w:line="1" w:lineRule="exact"/>
        <w:rPr>
          <w:sz w:val="20"/>
          <w:szCs w:val="20"/>
          <w:color w:val="auto"/>
        </w:rPr>
      </w:pPr>
    </w:p>
    <w:p>
      <w:pPr>
        <w:ind w:right="180" w:firstLine="8"/>
        <w:spacing w:after="0" w:line="231" w:lineRule="auto"/>
        <w:rPr>
          <w:sz w:val="20"/>
          <w:szCs w:val="20"/>
          <w:color w:val="auto"/>
        </w:rPr>
      </w:pPr>
      <w:r>
        <w:rPr>
          <w:rFonts w:ascii="Times New Roman" w:cs="Times New Roman" w:eastAsia="Times New Roman" w:hAnsi="Times New Roman"/>
          <w:sz w:val="16"/>
          <w:szCs w:val="16"/>
          <w:color w:val="auto"/>
        </w:rPr>
        <w:t>exercise this Option within the termination period set forth in the Notice or the termination periods set forth above, the Option shall terminate in its entirety. In no event, may any Option be exercised after the Expiration Date of the Option as set forth in the Notice.</w:t>
      </w:r>
    </w:p>
    <w:p>
      <w:pPr>
        <w:spacing w:after="0" w:line="146" w:lineRule="exact"/>
        <w:rPr>
          <w:sz w:val="20"/>
          <w:szCs w:val="20"/>
          <w:color w:val="auto"/>
        </w:rPr>
      </w:pPr>
    </w:p>
    <w:p>
      <w:pPr>
        <w:ind w:left="20" w:right="8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No financial product advice. </w:t>
      </w:r>
      <w:r>
        <w:rPr>
          <w:rFonts w:ascii="Times New Roman" w:cs="Times New Roman" w:eastAsia="Times New Roman" w:hAnsi="Times New Roman"/>
          <w:sz w:val="14"/>
          <w:szCs w:val="14"/>
          <w:color w:val="auto"/>
        </w:rPr>
        <w:t>No financial product advice is provided in this Option Agreement, the Notice or the Plan (the “</w:t>
      </w:r>
      <w:r>
        <w:rPr>
          <w:rFonts w:ascii="Times New Roman" w:cs="Times New Roman" w:eastAsia="Times New Roman" w:hAnsi="Times New Roman"/>
          <w:sz w:val="14"/>
          <w:szCs w:val="14"/>
          <w:b w:val="1"/>
          <w:bCs w:val="1"/>
          <w:i w:val="1"/>
          <w:iCs w:val="1"/>
          <w:color w:val="auto"/>
        </w:rPr>
        <w:t>Plan Documents</w:t>
      </w:r>
      <w:r>
        <w:rPr>
          <w:rFonts w:ascii="Times New Roman" w:cs="Times New Roman" w:eastAsia="Times New Roman" w:hAnsi="Times New Roman"/>
          <w:sz w:val="14"/>
          <w:szCs w:val="14"/>
          <w:color w:val="auto"/>
        </w:rPr>
        <w:t>”) and nothing in the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Documents should be taken to constitute a recommendation or statement of opinion that is intended to influence a person or persons in making a decision to participate in the Plan.</w:t>
      </w:r>
    </w:p>
    <w:p>
      <w:pPr>
        <w:ind w:left="20" w:right="60"/>
        <w:spacing w:after="0" w:line="227" w:lineRule="auto"/>
        <w:rPr>
          <w:sz w:val="20"/>
          <w:szCs w:val="20"/>
          <w:color w:val="auto"/>
        </w:rPr>
      </w:pPr>
      <w:r>
        <w:rPr>
          <w:rFonts w:ascii="Times New Roman" w:cs="Times New Roman" w:eastAsia="Times New Roman" w:hAnsi="Times New Roman"/>
          <w:sz w:val="16"/>
          <w:szCs w:val="16"/>
          <w:color w:val="auto"/>
        </w:rPr>
        <w:t>The Plan Documents do not take into account the objectives, financial situation or needs of any particular person. Before acting on the information contained in the Plan Documents, or making a decision to participate in the Plan, the Participant should seek professional advice from an independent person who is licensed by the Australian Securities and Investments Commission (“</w:t>
      </w:r>
      <w:r>
        <w:rPr>
          <w:rFonts w:ascii="Times New Roman" w:cs="Times New Roman" w:eastAsia="Times New Roman" w:hAnsi="Times New Roman"/>
          <w:sz w:val="16"/>
          <w:szCs w:val="16"/>
          <w:b w:val="1"/>
          <w:bCs w:val="1"/>
          <w:i w:val="1"/>
          <w:iCs w:val="1"/>
          <w:color w:val="auto"/>
        </w:rPr>
        <w:t>ASIC</w:t>
      </w:r>
      <w:r>
        <w:rPr>
          <w:rFonts w:ascii="Times New Roman" w:cs="Times New Roman" w:eastAsia="Times New Roman" w:hAnsi="Times New Roman"/>
          <w:sz w:val="16"/>
          <w:szCs w:val="16"/>
          <w:color w:val="auto"/>
        </w:rPr>
        <w:t>”) to give such advice as to whether participation in the Plan is appropriate in light of the Participant’s own circumstances.</w:t>
      </w:r>
    </w:p>
    <w:p>
      <w:pPr>
        <w:spacing w:after="0" w:line="148" w:lineRule="exact"/>
        <w:rPr>
          <w:sz w:val="20"/>
          <w:szCs w:val="20"/>
          <w:color w:val="auto"/>
        </w:rPr>
      </w:pPr>
    </w:p>
    <w:p>
      <w:pPr>
        <w:ind w:left="20" w:right="420" w:firstLine="1"/>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Offer made without disclosure. </w:t>
      </w:r>
      <w:r>
        <w:rPr>
          <w:rFonts w:ascii="Times New Roman" w:cs="Times New Roman" w:eastAsia="Times New Roman" w:hAnsi="Times New Roman"/>
          <w:sz w:val="16"/>
          <w:szCs w:val="16"/>
          <w:color w:val="auto"/>
        </w:rPr>
        <w:t>An offer to participate in the Plan, if received in Australia, is made without disclosure to investors in reliance on conditional relied 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ASIC.</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Risks. </w:t>
      </w:r>
      <w:r>
        <w:rPr>
          <w:rFonts w:ascii="Times New Roman" w:cs="Times New Roman" w:eastAsia="Times New Roman" w:hAnsi="Times New Roman"/>
          <w:sz w:val="16"/>
          <w:szCs w:val="16"/>
          <w:color w:val="auto"/>
        </w:rPr>
        <w:t>Participation in the Plan involves a number of risks including that:</w:t>
      </w:r>
    </w:p>
    <w:p>
      <w:pPr>
        <w:spacing w:after="0" w:line="147" w:lineRule="exact"/>
        <w:rPr>
          <w:sz w:val="20"/>
          <w:szCs w:val="20"/>
          <w:color w:val="auto"/>
        </w:rPr>
      </w:pPr>
    </w:p>
    <w:p>
      <w:pPr>
        <w:jc w:val="both"/>
        <w:ind w:left="440" w:right="180" w:hanging="198"/>
        <w:spacing w:after="0" w:line="243" w:lineRule="auto"/>
        <w:tabs>
          <w:tab w:leader="none" w:pos="402"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an Option entitles you to purchase Shares on exercise, an Option is not a Share and a Participant will not receive Shares until the Option has vested and is exercised. If an Option expires (for example, because a Participant’s Service is terminated), all of the Participant’s rights under the Plan in respect of that Option (including his or her right to purchase Shares on the exercise of the Option) will be forfeited.</w:t>
      </w:r>
    </w:p>
    <w:p>
      <w:pPr>
        <w:ind w:left="380" w:hanging="154"/>
        <w:spacing w:after="0"/>
        <w:tabs>
          <w:tab w:leader="none" w:pos="3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at which Shares trade on NASDAQ is volatile and moves up and down with market sentiment as well as factors which are specific to the Company.</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640" w:right="339" w:bottom="1440" w:gutter="0" w:footer="0" w:header="0"/>
        </w:sectPr>
      </w:pPr>
    </w:p>
    <w:bookmarkStart w:id="147" w:name="page148"/>
    <w:bookmarkEnd w:id="147"/>
    <w:p>
      <w:pPr>
        <w:ind w:left="380" w:hanging="150"/>
        <w:spacing w:after="0"/>
        <w:tabs>
          <w:tab w:leader="none" w:pos="3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an Option becomes exercisable, the value of a Share may be less than the Exercise Price payable per Share for the exercise of the Option.</w:t>
      </w:r>
    </w:p>
    <w:p>
      <w:pPr>
        <w:ind w:left="380" w:hanging="155"/>
        <w:spacing w:after="0" w:line="221" w:lineRule="auto"/>
        <w:tabs>
          <w:tab w:leader="none" w:pos="3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are not Shares and may be treated differently to Shares in certain corporate actions.</w:t>
      </w:r>
    </w:p>
    <w:p>
      <w:pPr>
        <w:ind w:left="380" w:hanging="149"/>
        <w:spacing w:after="0"/>
        <w:tabs>
          <w:tab w:leader="none" w:pos="3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Participating in the Plan, and holding an Option or Shares may have tax implications for you and the tax regime applying to you may change.</w:t>
      </w:r>
    </w:p>
    <w:p>
      <w:pPr>
        <w:spacing w:after="0" w:line="138" w:lineRule="exact"/>
        <w:rPr>
          <w:sz w:val="20"/>
          <w:szCs w:val="20"/>
          <w:color w:val="auto"/>
        </w:rPr>
      </w:pPr>
    </w:p>
    <w:p>
      <w:pPr>
        <w:ind w:right="720" w:firstLine="5"/>
        <w:spacing w:after="0" w:line="245" w:lineRule="auto"/>
        <w:rPr>
          <w:sz w:val="20"/>
          <w:szCs w:val="20"/>
          <w:color w:val="auto"/>
        </w:rPr>
      </w:pPr>
      <w:r>
        <w:rPr>
          <w:rFonts w:ascii="Times New Roman" w:cs="Times New Roman" w:eastAsia="Times New Roman" w:hAnsi="Times New Roman"/>
          <w:sz w:val="16"/>
          <w:szCs w:val="16"/>
          <w:color w:val="auto"/>
        </w:rPr>
        <w:t>The information above is only general information about the risks of participating in the Plan. There may be other risks of participating in the Plan that are specific to a Participant’s circumstances.</w:t>
      </w:r>
    </w:p>
    <w:p>
      <w:pPr>
        <w:spacing w:after="0" w:line="142" w:lineRule="exact"/>
        <w:rPr>
          <w:sz w:val="20"/>
          <w:szCs w:val="20"/>
          <w:color w:val="auto"/>
        </w:rPr>
      </w:pPr>
    </w:p>
    <w:p>
      <w:pPr>
        <w:ind w:left="20" w:firstLine="7"/>
        <w:spacing w:after="0" w:line="236" w:lineRule="auto"/>
        <w:rPr>
          <w:sz w:val="20"/>
          <w:szCs w:val="20"/>
          <w:color w:val="auto"/>
        </w:rPr>
      </w:pPr>
      <w:r>
        <w:rPr>
          <w:rFonts w:ascii="Times New Roman" w:cs="Times New Roman" w:eastAsia="Times New Roman" w:hAnsi="Times New Roman"/>
          <w:sz w:val="16"/>
          <w:szCs w:val="16"/>
          <w:b w:val="1"/>
          <w:bCs w:val="1"/>
          <w:color w:val="auto"/>
        </w:rPr>
        <w:t xml:space="preserve">Share price. </w:t>
      </w:r>
      <w:r>
        <w:rPr>
          <w:rFonts w:ascii="Times New Roman" w:cs="Times New Roman" w:eastAsia="Times New Roman" w:hAnsi="Times New Roman"/>
          <w:sz w:val="16"/>
          <w:szCs w:val="16"/>
          <w:color w:val="auto"/>
        </w:rPr>
        <w:t>The current and historical market prices of Shares will be available on the NASDAQ website, accessible at www.nasdaq.com, using the Company’s NASDAQ Code: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PTON (quoted in US dollars). If a Participant is unable to locate the current market price of a Share there or would like to know the current market price of Shares in Australian dollars, please make a request to equity@onepeloton.com and the Company will provide this information within a reasonable period of receiving the request.</w:t>
      </w:r>
    </w:p>
    <w:p>
      <w:pPr>
        <w:spacing w:after="0" w:line="136" w:lineRule="exact"/>
        <w:rPr>
          <w:sz w:val="20"/>
          <w:szCs w:val="20"/>
          <w:color w:val="auto"/>
        </w:rPr>
      </w:pPr>
    </w:p>
    <w:p>
      <w:pPr>
        <w:ind w:left="20" w:right="40" w:firstLine="3"/>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Taxation. </w:t>
      </w:r>
      <w:r>
        <w:rPr>
          <w:rFonts w:ascii="Times New Roman" w:cs="Times New Roman" w:eastAsia="Times New Roman" w:hAnsi="Times New Roman"/>
          <w:sz w:val="16"/>
          <w:szCs w:val="16"/>
          <w:color w:val="auto"/>
        </w:rPr>
        <w:t>Participation in the Plan and holding an Option or Shares may have taxation implications. The Participant should consider obtaining independent professional advice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clarify his or her taxation position in relation to his or her participation in the Plan.</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Data privacy. </w:t>
      </w:r>
      <w:r>
        <w:rPr>
          <w:rFonts w:ascii="Times New Roman" w:cs="Times New Roman" w:eastAsia="Times New Roman" w:hAnsi="Times New Roman"/>
          <w:sz w:val="16"/>
          <w:szCs w:val="16"/>
          <w:color w:val="auto"/>
        </w:rPr>
        <w:t>Section 11 of the Option Agreement is supplemented for Australian employees as follows:</w:t>
      </w:r>
    </w:p>
    <w:p>
      <w:pPr>
        <w:spacing w:after="0" w:line="145" w:lineRule="exact"/>
        <w:rPr>
          <w:sz w:val="20"/>
          <w:szCs w:val="20"/>
          <w:color w:val="auto"/>
        </w:rPr>
      </w:pPr>
    </w:p>
    <w:p>
      <w:pPr>
        <w:jc w:val="both"/>
        <w:ind w:right="80" w:firstLine="28"/>
        <w:spacing w:after="0" w:line="236" w:lineRule="auto"/>
        <w:rPr>
          <w:sz w:val="20"/>
          <w:szCs w:val="20"/>
          <w:color w:val="auto"/>
        </w:rPr>
      </w:pPr>
      <w:r>
        <w:rPr>
          <w:rFonts w:ascii="Times New Roman" w:cs="Times New Roman" w:eastAsia="Times New Roman" w:hAnsi="Times New Roman"/>
          <w:sz w:val="16"/>
          <w:szCs w:val="16"/>
          <w:i w:val="1"/>
          <w:iCs w:val="1"/>
          <w:color w:val="auto"/>
        </w:rPr>
        <w:t>The Participant acknowledges that, in addition to the entities specified in the Option Agreement, Data may be provided by the Company to any employee benefit trust, registrars, brokers or third party administrators of the Plan and (if relevant) future purchasers of the Company, or the Subsidiary, Affiliate or business for which the Participant works, and consents to any such disclosure.</w:t>
      </w:r>
    </w:p>
    <w:p>
      <w:pPr>
        <w:spacing w:after="0" w:line="147" w:lineRule="exact"/>
        <w:rPr>
          <w:sz w:val="20"/>
          <w:szCs w:val="20"/>
          <w:color w:val="auto"/>
        </w:rPr>
      </w:pPr>
    </w:p>
    <w:p>
      <w:pPr>
        <w:ind w:left="20" w:right="580" w:firstLine="10"/>
        <w:spacing w:after="0" w:line="248" w:lineRule="auto"/>
        <w:rPr>
          <w:sz w:val="20"/>
          <w:szCs w:val="20"/>
          <w:color w:val="auto"/>
        </w:rPr>
      </w:pPr>
      <w:r>
        <w:rPr>
          <w:rFonts w:ascii="Times New Roman" w:cs="Times New Roman" w:eastAsia="Times New Roman" w:hAnsi="Times New Roman"/>
          <w:sz w:val="16"/>
          <w:szCs w:val="16"/>
          <w:i w:val="1"/>
          <w:iCs w:val="1"/>
          <w:color w:val="auto"/>
        </w:rPr>
        <w:t>The Participant consents to disclosure of Data to the Australian Tax Office, where required in accordance with the relevant Subsidiary or Affiliate’s reporting obligations under Australian tax legislation.</w:t>
      </w:r>
    </w:p>
    <w:p>
      <w:pPr>
        <w:spacing w:after="0" w:line="129" w:lineRule="exact"/>
        <w:rPr>
          <w:sz w:val="20"/>
          <w:szCs w:val="20"/>
          <w:color w:val="auto"/>
        </w:rPr>
      </w:pPr>
    </w:p>
    <w:p>
      <w:pPr>
        <w:ind w:right="260" w:firstLine="14"/>
        <w:spacing w:after="0" w:line="248" w:lineRule="auto"/>
        <w:rPr>
          <w:sz w:val="20"/>
          <w:szCs w:val="20"/>
          <w:color w:val="auto"/>
        </w:rPr>
      </w:pPr>
      <w:r>
        <w:rPr>
          <w:rFonts w:ascii="Times New Roman" w:cs="Times New Roman" w:eastAsia="Times New Roman" w:hAnsi="Times New Roman"/>
          <w:sz w:val="16"/>
          <w:szCs w:val="16"/>
          <w:i w:val="1"/>
          <w:iCs w:val="1"/>
          <w:color w:val="auto"/>
        </w:rPr>
        <w:t>The Participant acknowledges that he or she can access further information regarding data privacy in the Company’s Privacy Policy, including about how the Participant can access and seek correction of his or her personal information and make a complaint if he or she has any concerns regarding the treatment of Data.</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140"/>
          </w:cols>
          <w:pgMar w:left="320" w:top="464" w:right="439" w:bottom="1440" w:gutter="0" w:footer="0" w:header="0"/>
        </w:sectPr>
      </w:pPr>
    </w:p>
    <w:bookmarkStart w:id="148" w:name="page149"/>
    <w:bookmarkEnd w:id="148"/>
    <w:p>
      <w:pPr>
        <w:ind w:left="4240"/>
        <w:spacing w:after="0"/>
        <w:rPr>
          <w:sz w:val="20"/>
          <w:szCs w:val="20"/>
          <w:color w:val="auto"/>
        </w:rPr>
      </w:pPr>
      <w:r>
        <w:rPr>
          <w:rFonts w:ascii="Times New Roman" w:cs="Times New Roman" w:eastAsia="Times New Roman" w:hAnsi="Times New Roman"/>
          <w:sz w:val="16"/>
          <w:szCs w:val="16"/>
          <w:b w:val="1"/>
          <w:bCs w:val="1"/>
          <w:u w:val="single" w:color="auto"/>
          <w:color w:val="auto"/>
        </w:rPr>
        <w:t>PELOTON INTERACTIVE, INC.</w:t>
      </w:r>
    </w:p>
    <w:p>
      <w:pPr>
        <w:ind w:left="4220"/>
        <w:spacing w:after="0" w:line="207" w:lineRule="auto"/>
        <w:rPr>
          <w:sz w:val="20"/>
          <w:szCs w:val="20"/>
          <w:color w:val="auto"/>
        </w:rPr>
      </w:pPr>
      <w:r>
        <w:rPr>
          <w:rFonts w:ascii="Times New Roman" w:cs="Times New Roman" w:eastAsia="Times New Roman" w:hAnsi="Times New Roman"/>
          <w:sz w:val="16"/>
          <w:szCs w:val="16"/>
          <w:b w:val="1"/>
          <w:bCs w:val="1"/>
          <w:u w:val="single" w:color="auto"/>
          <w:color w:val="auto"/>
        </w:rPr>
        <w:t>2019 EQUITY INCENTIVE PLAN</w:t>
      </w:r>
    </w:p>
    <w:p>
      <w:pPr>
        <w:jc w:val="center"/>
        <w:spacing w:after="0"/>
        <w:rPr>
          <w:sz w:val="20"/>
          <w:szCs w:val="20"/>
          <w:color w:val="auto"/>
        </w:rPr>
      </w:pPr>
      <w:r>
        <w:rPr>
          <w:rFonts w:ascii="Times New Roman" w:cs="Times New Roman" w:eastAsia="Times New Roman" w:hAnsi="Times New Roman"/>
          <w:sz w:val="16"/>
          <w:szCs w:val="16"/>
          <w:b w:val="1"/>
          <w:bCs w:val="1"/>
          <w:color w:val="auto"/>
        </w:rPr>
        <w:t>GLOBAL NOTICE OF RESTRICTED STOCK UNIT AWARD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Unless otherwise defined herein, the terms defined in the Peloton Interactive,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2019 Equity Incentive Plan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will have the same meanings in this</w:t>
      </w:r>
    </w:p>
    <w:p>
      <w:pPr>
        <w:spacing w:after="0" w:line="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Global Notice of Restricted Stock Unit Award and the electronic representation of this Global Notice of Restricted Stock Unit Award established and maintained by the Company or a third party designated by the Company (this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Address:</w:t>
      </w:r>
    </w:p>
    <w:p>
      <w:pPr>
        <w:spacing w:after="0" w:line="17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You (“Participant”) have been granted an award of Restricted Stock Units (“RSUs”) under the Plan subject to the terms and conditions of the Plan, this Notice and the attached Global Restricted Stock Unit Award Agreement (the “Agreement”), including any applicable country-specific provisions in the appendix attached hereto (the “Appendix”), which constitutes part of the Agreement.</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Grant Number</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Number of RSUs: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Date of Grant: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Vesting Commencement Date:</w:t>
      </w:r>
    </w:p>
    <w:p>
      <w:pPr>
        <w:spacing w:after="0" w:line="145" w:lineRule="exact"/>
        <w:rPr>
          <w:sz w:val="20"/>
          <w:szCs w:val="20"/>
          <w:color w:val="auto"/>
        </w:rPr>
      </w:pPr>
    </w:p>
    <w:p>
      <w:pPr>
        <w:ind w:left="1780" w:right="160" w:hanging="2227"/>
        <w:spacing w:after="0" w:line="235" w:lineRule="auto"/>
        <w:tabs>
          <w:tab w:leader="none" w:pos="1760" w:val="left"/>
        </w:tabs>
        <w:rPr>
          <w:sz w:val="20"/>
          <w:szCs w:val="20"/>
          <w:color w:val="auto"/>
        </w:rPr>
      </w:pPr>
      <w:r>
        <w:rPr>
          <w:rFonts w:ascii="Times New Roman" w:cs="Times New Roman" w:eastAsia="Times New Roman" w:hAnsi="Times New Roman"/>
          <w:sz w:val="16"/>
          <w:szCs w:val="16"/>
          <w:b w:val="1"/>
          <w:bCs w:val="1"/>
          <w:color w:val="auto"/>
        </w:rPr>
        <w:t>Expiration Date:</w:t>
      </w:r>
      <w:r>
        <w:rPr>
          <w:sz w:val="20"/>
          <w:szCs w:val="20"/>
          <w:color w:val="auto"/>
        </w:rPr>
        <w:tab/>
      </w:r>
      <w:r>
        <w:rPr>
          <w:rFonts w:ascii="Times New Roman" w:cs="Times New Roman" w:eastAsia="Times New Roman" w:hAnsi="Times New Roman"/>
          <w:sz w:val="16"/>
          <w:szCs w:val="16"/>
          <w:color w:val="auto"/>
        </w:rPr>
        <w:t>The earlier to occur of: (a) the date on which settlement of all RSUs granted hereunder occurs and (b) the tenth anniversary of the Date of Grant. This RSU expires earlier if Participant’s Service terminates earlier, as described in the Agreement.</w:t>
      </w:r>
    </w:p>
    <w:p>
      <w:pPr>
        <w:spacing w:after="0" w:line="96" w:lineRule="exact"/>
        <w:rPr>
          <w:sz w:val="20"/>
          <w:szCs w:val="20"/>
          <w:color w:val="auto"/>
        </w:rPr>
      </w:pPr>
    </w:p>
    <w:p>
      <w:pPr>
        <w:ind w:left="520"/>
        <w:spacing w:after="0"/>
        <w:tabs>
          <w:tab w:leader="none" w:pos="1860" w:val="left"/>
        </w:tabs>
        <w:rPr>
          <w:sz w:val="20"/>
          <w:szCs w:val="20"/>
          <w:color w:val="auto"/>
        </w:rPr>
      </w:pPr>
      <w:r>
        <w:rPr>
          <w:rFonts w:ascii="Times New Roman" w:cs="Times New Roman" w:eastAsia="Times New Roman" w:hAnsi="Times New Roman"/>
          <w:sz w:val="16"/>
          <w:szCs w:val="16"/>
          <w:b w:val="1"/>
          <w:bCs w:val="1"/>
          <w:color w:val="auto"/>
        </w:rPr>
        <w:t>Vesting Schedule:</w:t>
      </w:r>
      <w:r>
        <w:rPr>
          <w:sz w:val="20"/>
          <w:szCs w:val="20"/>
          <w:color w:val="auto"/>
        </w:rPr>
        <w:tab/>
      </w:r>
      <w:r>
        <w:rPr>
          <w:rFonts w:ascii="Times New Roman" w:cs="Times New Roman" w:eastAsia="Times New Roman" w:hAnsi="Times New Roman"/>
          <w:sz w:val="14"/>
          <w:szCs w:val="14"/>
          <w:color w:val="auto"/>
        </w:rPr>
        <w:t>Subject to the limitations set forth in this Notice, the Plan and the Agreement, the RSUs will vest in accordance with the following schedule: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accepting (whether in writing, electronically or otherwise) the RSUs, Participant acknowledges and agrees to the following:</w:t>
      </w:r>
    </w:p>
    <w:p>
      <w:pPr>
        <w:spacing w:after="0" w:line="156" w:lineRule="exact"/>
        <w:rPr>
          <w:sz w:val="20"/>
          <w:szCs w:val="20"/>
          <w:color w:val="auto"/>
        </w:rPr>
      </w:pPr>
    </w:p>
    <w:p>
      <w:pPr>
        <w:jc w:val="both"/>
        <w:ind w:left="520" w:hanging="260"/>
        <w:spacing w:after="0" w:line="214" w:lineRule="auto"/>
        <w:tabs>
          <w:tab w:leader="none" w:pos="51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understands that Participant’s employment or consulting relationship or Service with the Company or a Parent or Subsidiary or Affiliate is for an unspecified duration, can be terminated at any time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is “at-will”), except where otherwise prohibited by applicable law, and that nothing in this Notice, the Agreement or the Plan changes the nature of that relationship. Participant acknowledges that the vesting of the RSUs pursuant to this Notice is subject to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97" w:lineRule="exact"/>
        <w:rPr>
          <w:rFonts w:ascii="Times New Roman" w:cs="Times New Roman" w:eastAsia="Times New Roman" w:hAnsi="Times New Roman"/>
          <w:sz w:val="16"/>
          <w:szCs w:val="16"/>
          <w:color w:val="auto"/>
        </w:rPr>
      </w:pPr>
    </w:p>
    <w:p>
      <w:pPr>
        <w:ind w:left="520" w:hanging="260"/>
        <w:spacing w:after="0" w:line="229" w:lineRule="auto"/>
        <w:tabs>
          <w:tab w:leader="none" w:pos="51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pacing w:after="0" w:line="94" w:lineRule="exact"/>
        <w:rPr>
          <w:rFonts w:ascii="Times New Roman" w:cs="Times New Roman" w:eastAsia="Times New Roman" w:hAnsi="Times New Roman"/>
          <w:sz w:val="16"/>
          <w:szCs w:val="16"/>
          <w:color w:val="auto"/>
        </w:rPr>
      </w:pPr>
    </w:p>
    <w:p>
      <w:pPr>
        <w:ind w:left="520" w:hanging="260"/>
        <w:spacing w:after="0" w:line="235" w:lineRule="auto"/>
        <w:tabs>
          <w:tab w:leader="none" w:pos="51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has read the Company’s Insider Trading Policy, and agrees to comply with such policy, as it may be amended from time to time, whenever Participant acquires or disposes of the Company’s securities.</w:t>
      </w:r>
    </w:p>
    <w:p>
      <w:pPr>
        <w:spacing w:after="0" w:line="9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accepting the RSUs, Participant consents to electronic delivery and participation as set forth in the Agreement.</w:t>
      </w:r>
    </w:p>
    <w:p>
      <w:pPr>
        <w:sectPr>
          <w:pgSz w:w="11900" w:h="16838" w:orient="portrait"/>
          <w:cols w:equalWidth="0" w:num="1">
            <w:col w:w="11280"/>
          </w:cols>
          <w:pgMar w:left="300" w:top="973" w:right="319" w:bottom="1440" w:gutter="0" w:footer="0" w:header="0"/>
        </w:sectPr>
      </w:pPr>
    </w:p>
    <w:bookmarkStart w:id="149" w:name="page150"/>
    <w:bookmarkEnd w:id="149"/>
    <w:p>
      <w:pPr>
        <w:ind w:left="4240"/>
        <w:spacing w:after="0"/>
        <w:rPr>
          <w:sz w:val="20"/>
          <w:szCs w:val="20"/>
          <w:color w:val="auto"/>
        </w:rPr>
      </w:pPr>
      <w:r>
        <w:rPr>
          <w:rFonts w:ascii="Times New Roman" w:cs="Times New Roman" w:eastAsia="Times New Roman" w:hAnsi="Times New Roman"/>
          <w:sz w:val="16"/>
          <w:szCs w:val="16"/>
          <w:b w:val="1"/>
          <w:bCs w:val="1"/>
          <w:u w:val="single" w:color="auto"/>
          <w:color w:val="auto"/>
        </w:rPr>
        <w:t>PELOTON INTERACTIVE, INC.</w:t>
      </w:r>
    </w:p>
    <w:p>
      <w:pPr>
        <w:ind w:left="4480"/>
        <w:spacing w:after="0" w:line="193" w:lineRule="auto"/>
        <w:rPr>
          <w:sz w:val="20"/>
          <w:szCs w:val="20"/>
          <w:color w:val="auto"/>
        </w:rPr>
      </w:pPr>
      <w:r>
        <w:rPr>
          <w:rFonts w:ascii="Times New Roman" w:cs="Times New Roman" w:eastAsia="Times New Roman" w:hAnsi="Times New Roman"/>
          <w:sz w:val="16"/>
          <w:szCs w:val="16"/>
          <w:b w:val="1"/>
          <w:bCs w:val="1"/>
          <w:color w:val="auto"/>
        </w:rPr>
        <w:t>2019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AWARD AGREEMENT</w:t>
      </w:r>
    </w:p>
    <w:p>
      <w:pPr>
        <w:spacing w:after="0" w:line="1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Unless otherwise defined in this Global Restricted Stock Unit Award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any capitalized terms used herein will have the same meaning ascribed to them in the Peloton Interactive, Inc. 2019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w:t>
      </w:r>
    </w:p>
    <w:p>
      <w:pPr>
        <w:spacing w:after="0" w:line="22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4"/>
          <w:szCs w:val="14"/>
          <w:color w:val="auto"/>
        </w:rPr>
        <w:t>Participant has been granted Restricted Stock Units (“</w:t>
      </w:r>
      <w:r>
        <w:rPr>
          <w:rFonts w:ascii="Times New Roman" w:cs="Times New Roman" w:eastAsia="Times New Roman" w:hAnsi="Times New Roman"/>
          <w:sz w:val="14"/>
          <w:szCs w:val="14"/>
          <w:b w:val="1"/>
          <w:bCs w:val="1"/>
          <w:i w:val="1"/>
          <w:iCs w:val="1"/>
          <w:color w:val="auto"/>
        </w:rPr>
        <w:t>RSUs</w:t>
      </w:r>
      <w:r>
        <w:rPr>
          <w:rFonts w:ascii="Times New Roman" w:cs="Times New Roman" w:eastAsia="Times New Roman" w:hAnsi="Times New Roman"/>
          <w:sz w:val="14"/>
          <w:szCs w:val="14"/>
          <w:color w:val="auto"/>
        </w:rPr>
        <w:t>”) subject to the terms, restrictions and conditions of the Plan, the Global Notice of Restricted Stock Unit Award (the “</w:t>
      </w:r>
      <w:r>
        <w:rPr>
          <w:rFonts w:ascii="Times New Roman" w:cs="Times New Roman" w:eastAsia="Times New Roman" w:hAnsi="Times New Roman"/>
          <w:sz w:val="14"/>
          <w:szCs w:val="14"/>
          <w:b w:val="1"/>
          <w:bCs w:val="1"/>
          <w:i w:val="1"/>
          <w:iCs w:val="1"/>
          <w:color w:val="auto"/>
        </w:rPr>
        <w:t>Notice</w:t>
      </w:r>
      <w:r>
        <w:rPr>
          <w:rFonts w:ascii="Times New Roman" w:cs="Times New Roman" w:eastAsia="Times New Roman" w:hAnsi="Times New Roman"/>
          <w:sz w:val="14"/>
          <w:szCs w:val="14"/>
          <w:color w:val="auto"/>
        </w:rPr>
        <w:t>”) and this Agreement, including any applicable country-specific provisions in the appendix attached hereto (the “</w:t>
      </w:r>
      <w:r>
        <w:rPr>
          <w:rFonts w:ascii="Times New Roman" w:cs="Times New Roman" w:eastAsia="Times New Roman" w:hAnsi="Times New Roman"/>
          <w:sz w:val="14"/>
          <w:szCs w:val="14"/>
          <w:b w:val="1"/>
          <w:bCs w:val="1"/>
          <w:i w:val="1"/>
          <w:iCs w:val="1"/>
          <w:color w:val="auto"/>
        </w:rPr>
        <w:t>Appendix</w:t>
      </w:r>
      <w:r>
        <w:rPr>
          <w:rFonts w:ascii="Times New Roman" w:cs="Times New Roman" w:eastAsia="Times New Roman" w:hAnsi="Times New Roman"/>
          <w:sz w:val="14"/>
          <w:szCs w:val="14"/>
          <w:color w:val="auto"/>
        </w:rPr>
        <w:t>”), which constitutes part of this Agreement.</w:t>
      </w:r>
    </w:p>
    <w:p>
      <w:pPr>
        <w:spacing w:after="0" w:line="217" w:lineRule="auto"/>
        <w:rPr>
          <w:sz w:val="20"/>
          <w:szCs w:val="20"/>
          <w:color w:val="auto"/>
        </w:rPr>
      </w:pPr>
      <w:r>
        <w:rPr>
          <w:rFonts w:ascii="Times New Roman" w:cs="Times New Roman" w:eastAsia="Times New Roman" w:hAnsi="Times New Roman"/>
          <w:sz w:val="16"/>
          <w:szCs w:val="16"/>
          <w:color w:val="auto"/>
        </w:rPr>
        <w:t>In the event of a conflict between the terms and conditions of the Plan and the terms and conditions of the Notice or this Agreement, the terms and conditions of the Plan shall prevail.</w:t>
      </w:r>
    </w:p>
    <w:p>
      <w:pPr>
        <w:spacing w:after="0" w:line="40" w:lineRule="exact"/>
        <w:rPr>
          <w:sz w:val="20"/>
          <w:szCs w:val="20"/>
          <w:color w:val="auto"/>
        </w:rPr>
      </w:pPr>
    </w:p>
    <w:p>
      <w:pPr>
        <w:ind w:firstLine="5"/>
        <w:spacing w:after="0" w:line="237" w:lineRule="auto"/>
        <w:tabs>
          <w:tab w:leader="none" w:pos="509"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Settlement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Settlement of RSUs will be made within 30 days following the applicable date of vesting under the Vesting Schedule set forth in the Notice. Settlement of RSUs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will be in Shares. No fractional RSUs or rights for fractional Shares shall be created pursuant to this Agreement.</w:t>
      </w:r>
    </w:p>
    <w:p>
      <w:pPr>
        <w:spacing w:after="0" w:line="114" w:lineRule="exact"/>
        <w:rPr>
          <w:rFonts w:ascii="Times New Roman" w:cs="Times New Roman" w:eastAsia="Times New Roman" w:hAnsi="Times New Roman"/>
          <w:sz w:val="16"/>
          <w:szCs w:val="16"/>
          <w:b w:val="1"/>
          <w:bCs w:val="1"/>
          <w:color w:val="auto"/>
        </w:rPr>
      </w:pPr>
    </w:p>
    <w:p>
      <w:pPr>
        <w:ind w:firstLine="5"/>
        <w:spacing w:after="0" w:line="237" w:lineRule="auto"/>
        <w:tabs>
          <w:tab w:leader="none" w:pos="509"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Stockholder Rights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Unless and until such time as Shares are issued in settlement of vested RSUs, Participant will have no ownership of the Shares allocated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RSUs and will have no rights to dividends or to vote such Shares.</w:t>
      </w:r>
    </w:p>
    <w:p>
      <w:pPr>
        <w:spacing w:after="0" w:line="124" w:lineRule="exact"/>
        <w:rPr>
          <w:rFonts w:ascii="Times New Roman" w:cs="Times New Roman" w:eastAsia="Times New Roman" w:hAnsi="Times New Roman"/>
          <w:sz w:val="16"/>
          <w:szCs w:val="16"/>
          <w:b w:val="1"/>
          <w:bCs w:val="1"/>
          <w:color w:val="auto"/>
        </w:rPr>
      </w:pPr>
    </w:p>
    <w:p>
      <w:pPr>
        <w:ind w:left="520" w:hanging="515"/>
        <w:spacing w:after="0"/>
        <w:tabs>
          <w:tab w:leader="none" w:pos="52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Dividend Equivalents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Dividends, if any (whether in cash or Shares), will not be credited to Participant.</w:t>
      </w:r>
    </w:p>
    <w:p>
      <w:pPr>
        <w:spacing w:after="0" w:line="134" w:lineRule="exact"/>
        <w:rPr>
          <w:rFonts w:ascii="Times New Roman" w:cs="Times New Roman" w:eastAsia="Times New Roman" w:hAnsi="Times New Roman"/>
          <w:sz w:val="16"/>
          <w:szCs w:val="16"/>
          <w:b w:val="1"/>
          <w:bCs w:val="1"/>
          <w:color w:val="auto"/>
        </w:rPr>
      </w:pPr>
    </w:p>
    <w:p>
      <w:pPr>
        <w:ind w:firstLine="5"/>
        <w:spacing w:after="0" w:line="237" w:lineRule="auto"/>
        <w:tabs>
          <w:tab w:leader="none" w:pos="509"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Non-Transferability of RSUs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RSUs and any interest therein will not be sold, assigned, transferred, pledged, hypothecated, or otherwise disposed of in any manner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than by will or by the laws of descent or distribution or court order or unless otherwise permitted by the Committee on a case-by-case basis.</w:t>
      </w:r>
    </w:p>
    <w:p>
      <w:pPr>
        <w:spacing w:after="0" w:line="124" w:lineRule="exact"/>
        <w:rPr>
          <w:rFonts w:ascii="Times New Roman" w:cs="Times New Roman" w:eastAsia="Times New Roman" w:hAnsi="Times New Roman"/>
          <w:sz w:val="16"/>
          <w:szCs w:val="16"/>
          <w:b w:val="1"/>
          <w:bCs w:val="1"/>
          <w:color w:val="auto"/>
        </w:rPr>
      </w:pPr>
    </w:p>
    <w:p>
      <w:pPr>
        <w:jc w:val="both"/>
        <w:ind w:firstLine="5"/>
        <w:spacing w:after="0" w:line="239" w:lineRule="auto"/>
        <w:tabs>
          <w:tab w:leader="none" w:pos="509"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Termination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Participant’s Service terminates for any reason, all unvested RSUs will be forfeited to the Company forthwith, and all rights of Participant to such RSUs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immediately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and Participant’s Service will not be extended by any notice period (e.g., Participant’s Service would not include a period of “garden leave” or similar period mandated under employment laws in the jurisdiction where Participant is employed or the terms of Participant’s employment agreement, if any). Participant acknowledges and agrees that the Vesting Schedule may change prospectively in the event Participant’s service status changes between full- and part-time and/or in the event Participant is on a leave of absence, in accordance with Company policies relating to work schedules and vesting of awards or as determined by the Committee.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16" w:lineRule="exact"/>
        <w:rPr>
          <w:rFonts w:ascii="Times New Roman" w:cs="Times New Roman" w:eastAsia="Times New Roman" w:hAnsi="Times New Roman"/>
          <w:sz w:val="14"/>
          <w:szCs w:val="14"/>
          <w:b w:val="1"/>
          <w:bCs w:val="1"/>
          <w:color w:val="auto"/>
        </w:rPr>
      </w:pPr>
    </w:p>
    <w:p>
      <w:pPr>
        <w:ind w:left="520" w:hanging="515"/>
        <w:spacing w:after="0"/>
        <w:tabs>
          <w:tab w:leader="none" w:pos="52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Taxes</w:t>
      </w:r>
      <w:r>
        <w:rPr>
          <w:rFonts w:ascii="Times New Roman" w:cs="Times New Roman" w:eastAsia="Times New Roman" w:hAnsi="Times New Roman"/>
          <w:sz w:val="16"/>
          <w:szCs w:val="16"/>
          <w:b w:val="1"/>
          <w:bCs w:val="1"/>
          <w:color w:val="auto"/>
        </w:rPr>
        <w:t>.</w:t>
      </w:r>
    </w:p>
    <w:p>
      <w:pPr>
        <w:spacing w:after="0" w:line="146" w:lineRule="exact"/>
        <w:rPr>
          <w:rFonts w:ascii="Times New Roman" w:cs="Times New Roman" w:eastAsia="Times New Roman" w:hAnsi="Times New Roman"/>
          <w:sz w:val="16"/>
          <w:szCs w:val="16"/>
          <w:b w:val="1"/>
          <w:bCs w:val="1"/>
          <w:color w:val="auto"/>
        </w:rPr>
      </w:pPr>
    </w:p>
    <w:p>
      <w:pPr>
        <w:jc w:val="both"/>
        <w:ind w:firstLine="514"/>
        <w:spacing w:after="0" w:line="216" w:lineRule="auto"/>
        <w:tabs>
          <w:tab w:leader="none" w:pos="1011"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Participant acknowledges that, to the extent permitted by law, regardless of any action taken by the Company or a Parent, Subsidiary or Affiliate employing or retaining Participant (the “</w:t>
      </w:r>
      <w:r>
        <w:rPr>
          <w:rFonts w:ascii="Times New Roman" w:cs="Times New Roman" w:eastAsia="Times New Roman" w:hAnsi="Times New Roman"/>
          <w:sz w:val="16"/>
          <w:szCs w:val="16"/>
          <w:b w:val="1"/>
          <w:bCs w:val="1"/>
          <w:i w:val="1"/>
          <w:iCs w:val="1"/>
          <w:color w:val="auto"/>
        </w:rPr>
        <w:t>Employer</w:t>
      </w:r>
      <w:r>
        <w:rPr>
          <w:rFonts w:ascii="Times New Roman" w:cs="Times New Roman" w:eastAsia="Times New Roman" w:hAnsi="Times New Roman"/>
          <w:sz w:val="16"/>
          <w:szCs w:val="16"/>
          <w:color w:val="auto"/>
        </w:rPr>
        <w:t>”), the ultimate liability for all income tax, social insurance, payroll tax, fringe benefits tax, payment on account or other tax-related items related to Participant’s participation in the Plan and legally applicable to Participant (“</w:t>
      </w:r>
      <w:r>
        <w:rPr>
          <w:rFonts w:ascii="Times New Roman" w:cs="Times New Roman" w:eastAsia="Times New Roman" w:hAnsi="Times New Roman"/>
          <w:sz w:val="16"/>
          <w:szCs w:val="16"/>
          <w:b w:val="1"/>
          <w:bCs w:val="1"/>
          <w:i w:val="1"/>
          <w:iCs w:val="1"/>
          <w:color w:val="auto"/>
        </w:rPr>
        <w:t>Tax-Related Items</w:t>
      </w:r>
      <w:r>
        <w:rPr>
          <w:rFonts w:ascii="Times New Roman" w:cs="Times New Roman" w:eastAsia="Times New Roman" w:hAnsi="Times New Roman"/>
          <w:sz w:val="16"/>
          <w:szCs w:val="16"/>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w:t>
      </w:r>
    </w:p>
    <w:p>
      <w:pPr>
        <w:sectPr>
          <w:pgSz w:w="11900" w:h="16838" w:orient="portrait"/>
          <w:cols w:equalWidth="0" w:num="1">
            <w:col w:w="11280"/>
          </w:cols>
          <w:pgMar w:left="300" w:top="1122"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color w:val="auto"/>
        </w:rPr>
        <w:t>RSUs, including, but not limited to, the grant, vesting or settlement of the RSUs and the subsequent sale of Shares acquired pursuant to such settlement and the receipt of any</w:t>
      </w:r>
    </w:p>
    <w:p>
      <w:pPr>
        <w:spacing w:after="0" w:line="229" w:lineRule="auto"/>
        <w:rPr>
          <w:sz w:val="20"/>
          <w:szCs w:val="20"/>
          <w:color w:val="auto"/>
        </w:rPr>
      </w:pPr>
      <w:r>
        <w:rPr>
          <w:rFonts w:ascii="Times New Roman" w:cs="Times New Roman" w:eastAsia="Times New Roman" w:hAnsi="Times New Roman"/>
          <w:sz w:val="14"/>
          <w:szCs w:val="14"/>
          <w:color w:val="auto"/>
        </w:rPr>
        <w:t>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w:t>
      </w:r>
    </w:p>
    <w:p>
      <w:pPr>
        <w:spacing w:after="0" w:line="208" w:lineRule="auto"/>
        <w:rPr>
          <w:sz w:val="20"/>
          <w:szCs w:val="20"/>
          <w:color w:val="auto"/>
        </w:rPr>
      </w:pPr>
      <w:r>
        <w:rPr>
          <w:rFonts w:ascii="Times New Roman" w:cs="Times New Roman" w:eastAsia="Times New Roman" w:hAnsi="Times New Roman"/>
          <w:sz w:val="16"/>
          <w:szCs w:val="16"/>
          <w:color w:val="auto"/>
        </w:rPr>
        <w:t xml:space="preserve">and/or the Employer (or former employer, as applicable) may be required to withhold or account for Tax-Related Items in more than one jurisdiction. </w:t>
      </w:r>
      <w:r>
        <w:rPr>
          <w:rFonts w:ascii="Times New Roman" w:cs="Times New Roman" w:eastAsia="Times New Roman" w:hAnsi="Times New Roman"/>
          <w:sz w:val="16"/>
          <w:szCs w:val="16"/>
          <w:i w:val="1"/>
          <w:iCs w:val="1"/>
          <w:color w:val="auto"/>
        </w:rPr>
        <w:t>PARTICIPANT SHOULD</w:t>
      </w:r>
    </w:p>
    <w:p>
      <w:pPr>
        <w:spacing w:after="0" w:line="217" w:lineRule="auto"/>
        <w:rPr>
          <w:sz w:val="20"/>
          <w:szCs w:val="20"/>
          <w:color w:val="auto"/>
        </w:rPr>
      </w:pPr>
      <w:r>
        <w:rPr>
          <w:rFonts w:ascii="Times New Roman" w:cs="Times New Roman" w:eastAsia="Times New Roman" w:hAnsi="Times New Roman"/>
          <w:sz w:val="16"/>
          <w:szCs w:val="16"/>
          <w:i w:val="1"/>
          <w:iCs w:val="1"/>
          <w:color w:val="auto"/>
        </w:rPr>
        <w:t>CONSULT A TAX ADVISER APPROPRIATELY QUALIFIED IN EACH OF THE JURISDICTIONS, INCLUDING COUNTRY OR COUNTRIES IN WHICH PARTICIPANT RESIDES OR IS SUBJECT TO TAXATION.</w:t>
      </w:r>
    </w:p>
    <w:p>
      <w:pPr>
        <w:spacing w:after="0" w:line="127" w:lineRule="exact"/>
        <w:rPr>
          <w:sz w:val="20"/>
          <w:szCs w:val="20"/>
          <w:color w:val="auto"/>
        </w:rPr>
      </w:pPr>
    </w:p>
    <w:p>
      <w:pPr>
        <w:jc w:val="both"/>
        <w:ind w:firstLine="514"/>
        <w:spacing w:after="0" w:line="221" w:lineRule="auto"/>
        <w:tabs>
          <w:tab w:leader="none" w:pos="100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Prior to any relevant taxable or tax withholding event, as applicable, to the extent permitted by applicable law, Participant agrees to make arrangements satisfactory to the Company and/or the Employer to fulfill all Tax-Related Items. In this regard, Participant authorizes the Company and/or the Employer, or their respective agents, at their discretion, to satisfy any withholding obligations for Tax-Related Items by one or a combination of the following:</w:t>
      </w:r>
    </w:p>
    <w:p>
      <w:pPr>
        <w:spacing w:after="0" w:line="128" w:lineRule="exact"/>
        <w:rPr>
          <w:rFonts w:ascii="Times New Roman" w:cs="Times New Roman" w:eastAsia="Times New Roman" w:hAnsi="Times New Roman"/>
          <w:sz w:val="16"/>
          <w:szCs w:val="16"/>
          <w:color w:val="auto"/>
        </w:rPr>
      </w:pPr>
    </w:p>
    <w:p>
      <w:pPr>
        <w:ind w:left="1160" w:hanging="137"/>
        <w:spacing w:after="0" w:line="235" w:lineRule="auto"/>
        <w:tabs>
          <w:tab w:leader="none" w:pos="154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withholding from Participant’s wages or other cash compensation paid to Participant by the Company and/or the Employer or any Parent, Subsidiary or Affiliate; or</w:t>
      </w:r>
    </w:p>
    <w:p>
      <w:pPr>
        <w:spacing w:after="0" w:line="117" w:lineRule="exact"/>
        <w:rPr>
          <w:rFonts w:ascii="Times New Roman" w:cs="Times New Roman" w:eastAsia="Times New Roman" w:hAnsi="Times New Roman"/>
          <w:sz w:val="16"/>
          <w:szCs w:val="16"/>
          <w:color w:val="auto"/>
        </w:rPr>
      </w:pPr>
    </w:p>
    <w:p>
      <w:pPr>
        <w:ind w:left="1160" w:hanging="137"/>
        <w:spacing w:after="0" w:line="235" w:lineRule="auto"/>
        <w:tabs>
          <w:tab w:leader="none" w:pos="1541"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withholding from proceeds of the sale of Shares acquired upon settlement of the RSUs either through a voluntary sale or through a mandatory sale arranged by the Company (on Participant’s behalf pursuant to this authorization and without further consent); or</w:t>
      </w:r>
    </w:p>
    <w:p>
      <w:pPr>
        <w:spacing w:after="0" w:line="127" w:lineRule="exact"/>
        <w:rPr>
          <w:rFonts w:ascii="Times New Roman" w:cs="Times New Roman" w:eastAsia="Times New Roman" w:hAnsi="Times New Roman"/>
          <w:sz w:val="16"/>
          <w:szCs w:val="16"/>
          <w:color w:val="auto"/>
        </w:rPr>
      </w:pPr>
    </w:p>
    <w:p>
      <w:pPr>
        <w:ind w:left="1160" w:hanging="137"/>
        <w:spacing w:after="0" w:line="229" w:lineRule="auto"/>
        <w:tabs>
          <w:tab w:leader="none" w:pos="1542"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withholding Shares to be issued upon settlement of the RSUs, provided the Company only withholds the number of Shares necessary to satisfy no more than the maximum statutory withholding amounts; or</w:t>
      </w:r>
    </w:p>
    <w:p>
      <w:pPr>
        <w:spacing w:after="0" w:line="126"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Participant’s payment of a cash amount (including by check representing readily available funds or a wire transfer); or</w:t>
      </w:r>
    </w:p>
    <w:p>
      <w:pPr>
        <w:spacing w:after="0" w:line="144"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arrangement approved by the Committee and permitted under applicable law;</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under such rules as may be established by the Committee and in compliance with the Company’s Insider Trading Policy and 10b5-1 Trading Plan Policy, if applicable.</w:t>
      </w:r>
    </w:p>
    <w:p>
      <w:pPr>
        <w:spacing w:after="0" w:line="16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w:t>
      </w:r>
    </w:p>
    <w:p>
      <w:pPr>
        <w:spacing w:after="0"/>
        <w:rPr>
          <w:sz w:val="20"/>
          <w:szCs w:val="20"/>
          <w:color w:val="auto"/>
        </w:rPr>
      </w:pPr>
      <w:r>
        <w:rPr>
          <w:rFonts w:ascii="Times New Roman" w:cs="Times New Roman" w:eastAsia="Times New Roman" w:hAnsi="Times New Roman"/>
          <w:sz w:val="14"/>
          <w:szCs w:val="14"/>
          <w:color w:val="auto"/>
        </w:rPr>
        <w:t>equivalent amount in Shares and may receive a refund of any over-withheld amount in cash in accordance with applicable law. If the obligation for Tax-Related Items is satisfied by</w:t>
      </w:r>
    </w:p>
    <w:p>
      <w:pPr>
        <w:spacing w:after="0" w:line="217" w:lineRule="auto"/>
        <w:rPr>
          <w:sz w:val="20"/>
          <w:szCs w:val="20"/>
          <w:color w:val="auto"/>
        </w:rPr>
      </w:pPr>
      <w:r>
        <w:rPr>
          <w:rFonts w:ascii="Times New Roman" w:cs="Times New Roman" w:eastAsia="Times New Roman" w:hAnsi="Times New Roman"/>
          <w:sz w:val="16"/>
          <w:szCs w:val="16"/>
          <w:color w:val="auto"/>
        </w:rPr>
        <w:t>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Finally, Participant agrees to pay to the Company or the Employer any amount of Tax-Related Items that the Company or the Employer may be required to withhold or</w:t>
      </w:r>
    </w:p>
    <w:p>
      <w:pPr>
        <w:spacing w:after="0" w:line="217" w:lineRule="auto"/>
        <w:rPr>
          <w:sz w:val="20"/>
          <w:szCs w:val="20"/>
          <w:color w:val="auto"/>
        </w:rPr>
      </w:pPr>
      <w:r>
        <w:rPr>
          <w:rFonts w:ascii="Times New Roman" w:cs="Times New Roman" w:eastAsia="Times New Roman" w:hAnsi="Times New Roman"/>
          <w:sz w:val="16"/>
          <w:szCs w:val="16"/>
          <w:color w:val="auto"/>
        </w:rPr>
        <w:t>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25" w:lineRule="exact"/>
        <w:rPr>
          <w:sz w:val="20"/>
          <w:szCs w:val="20"/>
          <w:color w:val="auto"/>
        </w:rPr>
      </w:pPr>
    </w:p>
    <w:p>
      <w:pPr>
        <w:ind w:left="520" w:hanging="515"/>
        <w:spacing w:after="0"/>
        <w:tabs>
          <w:tab w:leader="none" w:pos="52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Nature of Grant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accepting the RSUs, Participant acknowledges, understands and agrees that:</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81" w:lineRule="exact"/>
        <w:rPr>
          <w:rFonts w:ascii="Times New Roman" w:cs="Times New Roman" w:eastAsia="Times New Roman" w:hAnsi="Times New Roman"/>
          <w:sz w:val="16"/>
          <w:szCs w:val="16"/>
          <w:b w:val="1"/>
          <w:bCs w:val="1"/>
          <w:color w:val="auto"/>
        </w:rPr>
      </w:pPr>
    </w:p>
    <w:p>
      <w:pPr>
        <w:ind w:left="5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22" w:right="319" w:bottom="1440" w:gutter="0" w:footer="0" w:header="0"/>
        </w:sectPr>
      </w:pPr>
    </w:p>
    <w:bookmarkStart w:id="151" w:name="page152"/>
    <w:bookmarkEnd w:id="151"/>
    <w:p>
      <w:pPr>
        <w:ind w:firstLine="514"/>
        <w:spacing w:after="0" w:line="235" w:lineRule="auto"/>
        <w:tabs>
          <w:tab w:leader="none" w:pos="1011"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it may be modified, amended, suspended or terminated by the Company at any time, to the extent permitted by the Plan;</w:t>
      </w:r>
    </w:p>
    <w:p>
      <w:pPr>
        <w:spacing w:after="0" w:line="117" w:lineRule="exact"/>
        <w:rPr>
          <w:rFonts w:ascii="Times New Roman" w:cs="Times New Roman" w:eastAsia="Times New Roman" w:hAnsi="Times New Roman"/>
          <w:sz w:val="16"/>
          <w:szCs w:val="16"/>
          <w:color w:val="auto"/>
        </w:rPr>
      </w:pPr>
    </w:p>
    <w:p>
      <w:pPr>
        <w:ind w:firstLine="514"/>
        <w:spacing w:after="0" w:line="235" w:lineRule="auto"/>
        <w:tabs>
          <w:tab w:leader="none" w:pos="1009"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2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RSUs or other grants, if any, will be at the sole discretion of the Company;</w:t>
      </w:r>
    </w:p>
    <w:p>
      <w:pPr>
        <w:spacing w:after="0" w:line="134"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is voluntarily participating in the Plan;</w:t>
      </w:r>
    </w:p>
    <w:p>
      <w:pPr>
        <w:spacing w:after="0" w:line="144" w:lineRule="exact"/>
        <w:rPr>
          <w:rFonts w:ascii="Times New Roman" w:cs="Times New Roman" w:eastAsia="Times New Roman" w:hAnsi="Times New Roman"/>
          <w:sz w:val="16"/>
          <w:szCs w:val="16"/>
          <w:color w:val="auto"/>
        </w:rPr>
      </w:pPr>
    </w:p>
    <w:p>
      <w:pPr>
        <w:jc w:val="both"/>
        <w:ind w:firstLine="514"/>
        <w:spacing w:after="0" w:line="221" w:lineRule="auto"/>
        <w:tabs>
          <w:tab w:leader="none" w:pos="1009"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and Participant’s participation in the Plan will not create a right to employment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employment or service relationship (if any);</w:t>
      </w:r>
    </w:p>
    <w:p>
      <w:pPr>
        <w:spacing w:after="0" w:line="128"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and the Shares subject to the RSUs, and the income from and value of same, are not intended to replace any pension rights or compensation;</w:t>
      </w:r>
    </w:p>
    <w:p>
      <w:pPr>
        <w:spacing w:after="0" w:line="144" w:lineRule="exact"/>
        <w:rPr>
          <w:rFonts w:ascii="Times New Roman" w:cs="Times New Roman" w:eastAsia="Times New Roman" w:hAnsi="Times New Roman"/>
          <w:sz w:val="16"/>
          <w:szCs w:val="16"/>
          <w:color w:val="auto"/>
        </w:rPr>
      </w:pPr>
    </w:p>
    <w:p>
      <w:pPr>
        <w:jc w:val="both"/>
        <w:ind w:firstLine="514"/>
        <w:spacing w:after="0" w:line="221" w:lineRule="auto"/>
        <w:tabs>
          <w:tab w:leader="none" w:pos="1017"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and the Shares subject to the RSUs,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28" w:lineRule="exact"/>
        <w:rPr>
          <w:rFonts w:ascii="Times New Roman" w:cs="Times New Roman" w:eastAsia="Times New Roman" w:hAnsi="Times New Roman"/>
          <w:sz w:val="16"/>
          <w:szCs w:val="16"/>
          <w:color w:val="auto"/>
        </w:rPr>
      </w:pPr>
    </w:p>
    <w:p>
      <w:pPr>
        <w:ind w:firstLine="514"/>
        <w:spacing w:after="0" w:line="229" w:lineRule="auto"/>
        <w:tabs>
          <w:tab w:leader="none" w:pos="1017"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with the Company, the RSUs and the Shares subject to the RSUs, and the income from and value of same, are not granted as consideration for, or in connection with, the service Participant may provide as a director of a Parent, Subsidiary or Affiliate;</w:t>
      </w:r>
    </w:p>
    <w:p>
      <w:pPr>
        <w:spacing w:after="0" w:line="12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underlying Shares is unknown, indeterminable and cannot be predicted with certainty;</w:t>
      </w:r>
    </w:p>
    <w:p>
      <w:pPr>
        <w:spacing w:after="0" w:line="144" w:lineRule="exact"/>
        <w:rPr>
          <w:rFonts w:ascii="Times New Roman" w:cs="Times New Roman" w:eastAsia="Times New Roman" w:hAnsi="Times New Roman"/>
          <w:sz w:val="16"/>
          <w:szCs w:val="16"/>
          <w:color w:val="auto"/>
        </w:rPr>
      </w:pPr>
    </w:p>
    <w:p>
      <w:pPr>
        <w:jc w:val="both"/>
        <w:ind w:firstLine="514"/>
        <w:spacing w:after="0" w:line="221" w:lineRule="auto"/>
        <w:tabs>
          <w:tab w:leader="none" w:pos="1017"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17" w:lineRule="exact"/>
        <w:rPr>
          <w:rFonts w:ascii="Times New Roman" w:cs="Times New Roman" w:eastAsia="Times New Roman" w:hAnsi="Times New Roman"/>
          <w:sz w:val="16"/>
          <w:szCs w:val="16"/>
          <w:color w:val="auto"/>
        </w:rPr>
      </w:pPr>
    </w:p>
    <w:p>
      <w:pPr>
        <w:jc w:val="both"/>
        <w:ind w:firstLine="514"/>
        <w:spacing w:after="0" w:line="226" w:lineRule="auto"/>
        <w:tabs>
          <w:tab w:leader="none" w:pos="101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the Employer nor any Parent,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14" w:lineRule="exact"/>
        <w:rPr>
          <w:rFonts w:ascii="Times New Roman" w:cs="Times New Roman" w:eastAsia="Times New Roman" w:hAnsi="Times New Roman"/>
          <w:sz w:val="16"/>
          <w:szCs w:val="16"/>
          <w:color w:val="auto"/>
        </w:rPr>
      </w:pPr>
    </w:p>
    <w:p>
      <w:pPr>
        <w:jc w:val="both"/>
        <w:ind w:firstLine="5"/>
        <w:spacing w:after="0" w:line="227" w:lineRule="auto"/>
        <w:tabs>
          <w:tab w:leader="none" w:pos="509"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Advice Regarding Grant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is not providing any tax, legal or financial advice, nor is the Company making any recommendations regarding Participant’s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b w:val="1"/>
          <w:bCs w:val="1"/>
          <w:color w:val="auto"/>
        </w:rPr>
      </w:pPr>
    </w:p>
    <w:p>
      <w:pPr>
        <w:jc w:val="both"/>
        <w:ind w:firstLine="5"/>
        <w:spacing w:after="0" w:line="227" w:lineRule="auto"/>
        <w:tabs>
          <w:tab w:leader="none" w:pos="509"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Data Privacy</w:t>
      </w:r>
      <w:r>
        <w:rPr>
          <w:rFonts w:ascii="Times New Roman" w:cs="Times New Roman" w:eastAsia="Times New Roman" w:hAnsi="Times New Roman"/>
          <w:sz w:val="16"/>
          <w:szCs w:val="16"/>
          <w:b w:val="1"/>
          <w:bCs w:val="1"/>
          <w:i w:val="1"/>
          <w:iCs w:val="1"/>
          <w:color w:val="auto"/>
        </w:rPr>
        <w:t>. Participant hereby explicitly and unambiguously consents to the collection, use and transfer, in electronic or other form, of Participant’s personal data as described in this Agreement and any other RSU grant materials by and among, as applicable, the Employer, the Company and any Parent, Subsidiary or Affiliate for the exclusive purpose of implementing, administering and managing Participant’s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28" w:right="319" w:bottom="1440" w:gutter="0" w:footer="0" w:header="0"/>
        </w:sectPr>
      </w:pPr>
    </w:p>
    <w:bookmarkStart w:id="152" w:name="page153"/>
    <w:bookmarkEnd w:id="152"/>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Participant understands that the Company and the Employer may hold certain personal information about Participant, including, but not limited to, Participant’s name,</w:t>
      </w:r>
    </w:p>
    <w:p>
      <w:pPr>
        <w:spacing w:after="0" w:line="18"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6"/>
          <w:szCs w:val="16"/>
          <w:b w:val="1"/>
          <w:bCs w:val="1"/>
          <w:i w:val="1"/>
          <w:iCs w:val="1"/>
          <w:color w:val="auto"/>
        </w:rPr>
        <w:t>home address, email address and telephone number, date of birth, social insurance number, passport number or other identification number (e.g., resident registration number), salary, nationality, job title, any shares of stock or directorships held in the Company, details of all RSUs or any other entitlement to shares of stock awarded,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canceled, exercised, vested, unvested or outstanding in Participant’s favor (“Data”), for the exclusive purpose of implementing, administering and managing the Plan.</w:t>
      </w:r>
    </w:p>
    <w:p>
      <w:pPr>
        <w:spacing w:after="0" w:line="125" w:lineRule="exact"/>
        <w:rPr>
          <w:sz w:val="20"/>
          <w:szCs w:val="20"/>
          <w:color w:val="auto"/>
        </w:rPr>
      </w:pPr>
    </w:p>
    <w:p>
      <w:pPr>
        <w:jc w:val="both"/>
        <w:ind w:firstLine="184"/>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Participant understands that Data will be transferred to E*TRADE Financial Services, Solium-Shareworks, or other third party (“Online Administrator”) and its affiliated companies or such other stock plan service provider as may be designated by the Company from time to time, which is assisting the Company with the implementation,</w:t>
      </w:r>
    </w:p>
    <w:p>
      <w:pPr>
        <w:spacing w:after="0" w:line="208" w:lineRule="auto"/>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Participant understands that the recipients of Data may be located in the United States or elsewhere, and that the recipients’</w:t>
      </w:r>
    </w:p>
    <w:p>
      <w:pPr>
        <w:spacing w:after="0" w:line="229" w:lineRule="auto"/>
        <w:rPr>
          <w:sz w:val="20"/>
          <w:szCs w:val="20"/>
          <w:color w:val="auto"/>
        </w:rPr>
      </w:pPr>
      <w:r>
        <w:rPr>
          <w:rFonts w:ascii="Times New Roman" w:cs="Times New Roman" w:eastAsia="Times New Roman" w:hAnsi="Times New Roman"/>
          <w:sz w:val="14"/>
          <w:szCs w:val="14"/>
          <w:b w:val="1"/>
          <w:bCs w:val="1"/>
          <w:i w:val="1"/>
          <w:iCs w:val="1"/>
          <w:color w:val="auto"/>
        </w:rPr>
        <w:t>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w:t>
      </w:r>
    </w:p>
    <w:p>
      <w:pPr>
        <w:spacing w:after="0" w:line="237" w:lineRule="auto"/>
        <w:rPr>
          <w:sz w:val="20"/>
          <w:szCs w:val="20"/>
          <w:color w:val="auto"/>
        </w:rPr>
      </w:pPr>
      <w:r>
        <w:rPr>
          <w:rFonts w:ascii="Times New Roman" w:cs="Times New Roman" w:eastAsia="Times New Roman" w:hAnsi="Times New Roman"/>
          <w:sz w:val="14"/>
          <w:szCs w:val="14"/>
          <w:b w:val="1"/>
          <w:bCs w:val="1"/>
          <w:i w:val="1"/>
          <w:iCs w:val="1"/>
          <w:color w:val="auto"/>
        </w:rPr>
        <w:t>Company, Solium Shareworks, or such other stock plan service provider as may be designated by the Company from time to time, and any other possible recipients which may</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b w:val="1"/>
          <w:bCs w:val="1"/>
          <w:i w:val="1"/>
          <w:iCs w:val="1"/>
          <w:color w:val="auto"/>
        </w:rPr>
        <w:t>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w:t>
      </w:r>
    </w:p>
    <w:p>
      <w:pPr>
        <w:spacing w:after="0" w:line="237" w:lineRule="auto"/>
        <w:rPr>
          <w:sz w:val="20"/>
          <w:szCs w:val="20"/>
          <w:color w:val="auto"/>
        </w:rPr>
      </w:pPr>
      <w:r>
        <w:rPr>
          <w:rFonts w:ascii="Times New Roman" w:cs="Times New Roman" w:eastAsia="Times New Roman" w:hAnsi="Times New Roman"/>
          <w:sz w:val="14"/>
          <w:szCs w:val="14"/>
          <w:b w:val="1"/>
          <w:bCs w:val="1"/>
          <w:i w:val="1"/>
          <w:iCs w:val="1"/>
          <w:color w:val="auto"/>
        </w:rPr>
        <w:t>as is necessary to implement, administer and manage Participant’s participation in the Plan. Participant understands if he or she resides outside the United States, he or she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b w:val="1"/>
          <w:bCs w:val="1"/>
          <w:i w:val="1"/>
          <w:iCs w:val="1"/>
          <w:color w:val="auto"/>
        </w:rPr>
        <w:t>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w:t>
      </w:r>
    </w:p>
    <w:p>
      <w:pPr>
        <w:spacing w:after="0" w:line="237" w:lineRule="auto"/>
        <w:rPr>
          <w:sz w:val="20"/>
          <w:szCs w:val="20"/>
          <w:color w:val="auto"/>
        </w:rPr>
      </w:pPr>
      <w:r>
        <w:rPr>
          <w:rFonts w:ascii="Times New Roman" w:cs="Times New Roman" w:eastAsia="Times New Roman" w:hAnsi="Times New Roman"/>
          <w:sz w:val="14"/>
          <w:szCs w:val="14"/>
          <w:b w:val="1"/>
          <w:bCs w:val="1"/>
          <w:i w:val="1"/>
          <w:iCs w:val="1"/>
          <w:color w:val="auto"/>
        </w:rPr>
        <w:t>on a purely voluntary basis. If Participant does not consent, or if Participant later seeks to revoke his or her consent, his or her employment status or service with the Employer</w:t>
      </w:r>
    </w:p>
    <w:p>
      <w:pPr>
        <w:spacing w:after="0" w:line="1"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6"/>
          <w:szCs w:val="16"/>
          <w:b w:val="1"/>
          <w:bCs w:val="1"/>
          <w:i w:val="1"/>
          <w:iCs w:val="1"/>
          <w:color w:val="auto"/>
        </w:rPr>
        <w:t>will not be affected; the only consequence of refusing or withdrawing Participant’s consent is that the Company would not be able to grant RSUs or other equity awards to Participant or administer or maintain such awards. Therefore, Participant understands that refusing or withdrawing his or her consent may affect Participant’s ability to</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b w:val="1"/>
          <w:bCs w:val="1"/>
          <w:i w:val="1"/>
          <w:iCs w:val="1"/>
          <w:color w:val="auto"/>
        </w:rPr>
        <w:t>participate in the Plan. For more information on the consequences of Participant’s refusal to consent or withdrawal of consent, Participant understands that he or she may contact his or her local human resources representative.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Finally, upon request of the Company or the Employer, Participant agrees to provide an executed data privacy consent form (or any other agreements or consents) that the</w:t>
      </w:r>
    </w:p>
    <w:p>
      <w:pPr>
        <w:spacing w:after="0" w:line="229" w:lineRule="auto"/>
        <w:rPr>
          <w:sz w:val="20"/>
          <w:szCs w:val="20"/>
          <w:color w:val="auto"/>
        </w:rPr>
      </w:pPr>
      <w:r>
        <w:rPr>
          <w:rFonts w:ascii="Times New Roman" w:cs="Times New Roman" w:eastAsia="Times New Roman" w:hAnsi="Times New Roman"/>
          <w:sz w:val="14"/>
          <w:szCs w:val="14"/>
          <w:b w:val="1"/>
          <w:bCs w:val="1"/>
          <w:i w:val="1"/>
          <w:iCs w:val="1"/>
          <w:color w:val="auto"/>
        </w:rPr>
        <w:t>Company 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w:t>
      </w:r>
    </w:p>
    <w:p>
      <w:pPr>
        <w:spacing w:after="0" w:line="208" w:lineRule="auto"/>
        <w:rPr>
          <w:sz w:val="20"/>
          <w:szCs w:val="20"/>
          <w:color w:val="auto"/>
        </w:rPr>
      </w:pPr>
      <w:r>
        <w:rPr>
          <w:rFonts w:ascii="Times New Roman" w:cs="Times New Roman" w:eastAsia="Times New Roman" w:hAnsi="Times New Roman"/>
          <w:sz w:val="16"/>
          <w:szCs w:val="16"/>
          <w:b w:val="1"/>
          <w:bCs w:val="1"/>
          <w:i w:val="1"/>
          <w:iCs w:val="1"/>
          <w:color w:val="auto"/>
        </w:rPr>
        <w:t>fails to provide any such consent or agreement requested by the Company and/or the Employer.</w:t>
      </w:r>
    </w:p>
    <w:p>
      <w:pPr>
        <w:jc w:val="both"/>
        <w:ind w:firstLine="5"/>
        <w:spacing w:after="0" w:line="214" w:lineRule="auto"/>
        <w:tabs>
          <w:tab w:leader="none" w:pos="502"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Language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acknowledges that he or she is sufficiently proficient in English to understand the terms and conditions of this Agreement. Furthermore, if Participant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has received this Agreement or any other document related to the RSU and/or the Plan translated into a language other than English and if the meaning of the translated version is different than the English version, the English version will control.</w:t>
      </w:r>
    </w:p>
    <w:p>
      <w:pPr>
        <w:spacing w:after="0" w:line="124" w:lineRule="exact"/>
        <w:rPr>
          <w:rFonts w:ascii="Times New Roman" w:cs="Times New Roman" w:eastAsia="Times New Roman" w:hAnsi="Times New Roman"/>
          <w:sz w:val="16"/>
          <w:szCs w:val="16"/>
          <w:b w:val="1"/>
          <w:bCs w:val="1"/>
          <w:color w:val="auto"/>
        </w:rPr>
      </w:pPr>
    </w:p>
    <w:p>
      <w:pPr>
        <w:jc w:val="both"/>
        <w:ind w:firstLine="5"/>
        <w:spacing w:after="0" w:line="218" w:lineRule="auto"/>
        <w:tabs>
          <w:tab w:leader="none" w:pos="493"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Appendix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Notwithstanding any provisions in this Agreement, the RSUs will be subject to any special terms and conditions set forth in any appendix to this Agreement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16" w:lineRule="exact"/>
        <w:rPr>
          <w:rFonts w:ascii="Times New Roman" w:cs="Times New Roman" w:eastAsia="Times New Roman" w:hAnsi="Times New Roman"/>
          <w:sz w:val="16"/>
          <w:szCs w:val="16"/>
          <w:b w:val="1"/>
          <w:bCs w:val="1"/>
          <w:color w:val="auto"/>
        </w:rPr>
      </w:pPr>
    </w:p>
    <w:p>
      <w:pPr>
        <w:ind w:firstLine="5"/>
        <w:spacing w:after="0" w:line="237" w:lineRule="auto"/>
        <w:tabs>
          <w:tab w:leader="none" w:pos="502"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Imposition of Other Requirements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reserves the right to impose other requirements on Participant’s participation in the Plan, on the RSUs and on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acquired under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27" w:right="319" w:bottom="1440" w:gutter="0" w:footer="0" w:header="0"/>
        </w:sectPr>
      </w:pPr>
    </w:p>
    <w:bookmarkStart w:id="153" w:name="page154"/>
    <w:bookmarkEnd w:id="153"/>
    <w:p>
      <w:pPr>
        <w:spacing w:after="0" w:line="235" w:lineRule="auto"/>
        <w:rPr>
          <w:sz w:val="20"/>
          <w:szCs w:val="20"/>
          <w:color w:val="auto"/>
        </w:rPr>
      </w:pPr>
      <w:r>
        <w:rPr>
          <w:rFonts w:ascii="Times New Roman" w:cs="Times New Roman" w:eastAsia="Times New Roman" w:hAnsi="Times New Roman"/>
          <w:sz w:val="16"/>
          <w:szCs w:val="16"/>
          <w:color w:val="auto"/>
        </w:rPr>
        <w:t>Plan, to the extent the Company determines it is necessary or advisable for legal or administrative reasons, and to require Participant to sign any additional agreements or undertakings that may be necessary to accomplish the foregoing.</w:t>
      </w:r>
    </w:p>
    <w:p>
      <w:pPr>
        <w:spacing w:after="0" w:line="115" w:lineRule="exact"/>
        <w:rPr>
          <w:sz w:val="20"/>
          <w:szCs w:val="20"/>
          <w:color w:val="auto"/>
        </w:rPr>
      </w:pPr>
    </w:p>
    <w:p>
      <w:pPr>
        <w:jc w:val="both"/>
        <w:ind w:firstLine="5"/>
        <w:spacing w:after="0" w:line="227" w:lineRule="auto"/>
        <w:tabs>
          <w:tab w:leader="none" w:pos="502"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Acknowledgement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and Participant agree that the RSUs are granted under and governed by the Notice, this Agreement and the provisions of the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w:t>
      </w:r>
    </w:p>
    <w:p>
      <w:pPr>
        <w:spacing w:after="0" w:line="114" w:lineRule="exact"/>
        <w:rPr>
          <w:rFonts w:ascii="Times New Roman" w:cs="Times New Roman" w:eastAsia="Times New Roman" w:hAnsi="Times New Roman"/>
          <w:sz w:val="16"/>
          <w:szCs w:val="16"/>
          <w:b w:val="1"/>
          <w:bCs w:val="1"/>
          <w:color w:val="auto"/>
        </w:rPr>
      </w:pPr>
    </w:p>
    <w:p>
      <w:pPr>
        <w:jc w:val="both"/>
        <w:ind w:firstLine="5"/>
        <w:spacing w:after="0" w:line="216" w:lineRule="auto"/>
        <w:tabs>
          <w:tab w:leader="none" w:pos="502"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 Enforcement of Rights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the Plan and the Notice constitute the entire agreement and understanding of the parties relating to the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w:t>
      </w:r>
    </w:p>
    <w:p>
      <w:pPr>
        <w:spacing w:after="0" w:line="317" w:lineRule="exact"/>
        <w:rPr>
          <w:rFonts w:ascii="Times New Roman" w:cs="Times New Roman" w:eastAsia="Times New Roman" w:hAnsi="Times New Roman"/>
          <w:sz w:val="16"/>
          <w:szCs w:val="16"/>
          <w:b w:val="1"/>
          <w:bCs w:val="1"/>
          <w:color w:val="auto"/>
        </w:rPr>
      </w:pPr>
    </w:p>
    <w:p>
      <w:pPr>
        <w:jc w:val="both"/>
        <w:ind w:firstLine="5"/>
        <w:spacing w:after="0" w:line="243" w:lineRule="auto"/>
        <w:tabs>
          <w:tab w:leader="none" w:pos="502"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Compliance with Laws and Regulations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issuance of Shares will be subject to and conditioned upon compliance by the Company and Participant with all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RSU Agreement without Participant’s consent to the extent necessary to comply with securities or other laws applicable to issuance of Shares. Finally, the Shares issued pursuant to this RSU Agreement shall be endorsed with appropriate legends, if any, determined by the Company.</w:t>
      </w:r>
    </w:p>
    <w:p>
      <w:pPr>
        <w:spacing w:after="0" w:line="125" w:lineRule="exact"/>
        <w:rPr>
          <w:rFonts w:ascii="Times New Roman" w:cs="Times New Roman" w:eastAsia="Times New Roman" w:hAnsi="Times New Roman"/>
          <w:sz w:val="14"/>
          <w:szCs w:val="14"/>
          <w:b w:val="1"/>
          <w:bCs w:val="1"/>
          <w:color w:val="auto"/>
        </w:rPr>
      </w:pPr>
    </w:p>
    <w:p>
      <w:pPr>
        <w:jc w:val="both"/>
        <w:ind w:firstLine="5"/>
        <w:spacing w:after="0" w:line="222" w:lineRule="auto"/>
        <w:tabs>
          <w:tab w:leader="none" w:pos="502"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one or more provisions of this Agreement are held to be unenforceable under applicable law, then such provision will be enforced to the maximum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possible given the intent of the parties hereto. If such clause or provision cannot be so enforced, then (a) such provision will be excluded from this Agreement, (b) the balance of this Agreement will be interpreted as if such provision were so excluded and (c) the balance of this Agreement will be enforceable in accordance with its terms.</w:t>
      </w:r>
    </w:p>
    <w:p>
      <w:pPr>
        <w:spacing w:after="0" w:line="115" w:lineRule="exact"/>
        <w:rPr>
          <w:rFonts w:ascii="Times New Roman" w:cs="Times New Roman" w:eastAsia="Times New Roman" w:hAnsi="Times New Roman"/>
          <w:sz w:val="16"/>
          <w:szCs w:val="16"/>
          <w:b w:val="1"/>
          <w:bCs w:val="1"/>
          <w:color w:val="auto"/>
        </w:rPr>
      </w:pPr>
    </w:p>
    <w:p>
      <w:pPr>
        <w:ind w:right="200" w:firstLine="5"/>
        <w:spacing w:after="0" w:line="237" w:lineRule="auto"/>
        <w:tabs>
          <w:tab w:leader="none" w:pos="502"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and Venue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and all acts and transactions pursuant hereto and the rights and obligations of the parties hereto will be governed, construed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interpreted in accordance with the laws of the State of Delaware, without giving effect to such state’s conflict of laws rules.</w:t>
      </w:r>
    </w:p>
    <w:p>
      <w:pPr>
        <w:spacing w:after="0" w:line="14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Any and all disputes relating to, concerning or arising from this Agreement, or relating to, concerning or arising from the relationship between the parties evidenced by the Plan or this Agreement, will be brought and heard exclusively in the United States District Court for the Southern District of New York or, if such court does not have subject matter</w:t>
      </w:r>
    </w:p>
    <w:p>
      <w:pPr>
        <w:spacing w:after="0"/>
        <w:rPr>
          <w:sz w:val="20"/>
          <w:szCs w:val="20"/>
          <w:color w:val="auto"/>
        </w:rPr>
      </w:pPr>
      <w:r>
        <w:rPr>
          <w:rFonts w:ascii="Times New Roman" w:cs="Times New Roman" w:eastAsia="Times New Roman" w:hAnsi="Times New Roman"/>
          <w:sz w:val="14"/>
          <w:szCs w:val="14"/>
          <w:color w:val="auto"/>
        </w:rPr>
        <w:t>jurisdiction, the courts of the State of New York sitting in the County of New York, and any appellate courts thereof. Each of the parties hereby represents and agrees that such party</w:t>
      </w:r>
    </w:p>
    <w:p>
      <w:pPr>
        <w:spacing w:after="0" w:line="229" w:lineRule="auto"/>
        <w:rPr>
          <w:sz w:val="20"/>
          <w:szCs w:val="20"/>
          <w:color w:val="auto"/>
        </w:rPr>
      </w:pPr>
      <w:r>
        <w:rPr>
          <w:rFonts w:ascii="Times New Roman" w:cs="Times New Roman" w:eastAsia="Times New Roman" w:hAnsi="Times New Roman"/>
          <w:sz w:val="14"/>
          <w:szCs w:val="14"/>
          <w:color w:val="auto"/>
        </w:rPr>
        <w:t>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w:t>
      </w:r>
    </w:p>
    <w:p>
      <w:pPr>
        <w:spacing w:after="0" w:line="224" w:lineRule="auto"/>
        <w:rPr>
          <w:sz w:val="20"/>
          <w:szCs w:val="20"/>
          <w:color w:val="auto"/>
        </w:rPr>
      </w:pPr>
      <w:r>
        <w:rPr>
          <w:rFonts w:ascii="Times New Roman" w:cs="Times New Roman" w:eastAsia="Times New Roman" w:hAnsi="Times New Roman"/>
          <w:sz w:val="16"/>
          <w:szCs w:val="16"/>
          <w:color w:val="auto"/>
        </w:rPr>
        <w:t>equitable proceedings related to, concerning or arising from such dispute which is brought in such courts is improper or that such proceedings have been brought in an inconvenient forum.</w:t>
      </w:r>
    </w:p>
    <w:p>
      <w:pPr>
        <w:spacing w:after="0" w:line="114" w:lineRule="exact"/>
        <w:rPr>
          <w:sz w:val="20"/>
          <w:szCs w:val="20"/>
          <w:color w:val="auto"/>
        </w:rPr>
      </w:pPr>
    </w:p>
    <w:p>
      <w:pPr>
        <w:ind w:right="540" w:firstLine="5"/>
        <w:spacing w:after="0" w:line="237" w:lineRule="auto"/>
        <w:tabs>
          <w:tab w:leader="none" w:pos="502"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Rights as Employee, Director or Consultant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Nothing in this Agreement will affect in any manner whatsoever any right or power of the Company, or a Parent,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29" w:right="319" w:bottom="1440" w:gutter="0" w:footer="0" w:header="0"/>
        </w:sectPr>
      </w:pPr>
    </w:p>
    <w:bookmarkStart w:id="154" w:name="page155"/>
    <w:bookmarkEnd w:id="154"/>
    <w:p>
      <w:pPr>
        <w:jc w:val="both"/>
        <w:ind w:firstLine="5"/>
        <w:spacing w:after="0" w:line="206" w:lineRule="auto"/>
        <w:tabs>
          <w:tab w:leader="none" w:pos="502"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Consent to Electronic Delivery of All Plan Documents and Disclosures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Participant’s acceptance of the Notice (whether in writing or electronically), Participant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agree that the RSUs are granted under and governed by the terms and conditions of the Plan, the Notice and this Agreement. Participant has reviewed the Plan, the Notice and this Agreement in their entirety, has had an opportunity to obtain the advice of counsel prior to executing this Notice and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36" w:lineRule="exact"/>
        <w:rPr>
          <w:rFonts w:ascii="Times New Roman" w:cs="Times New Roman" w:eastAsia="Times New Roman" w:hAnsi="Times New Roman"/>
          <w:sz w:val="16"/>
          <w:szCs w:val="16"/>
          <w:b w:val="1"/>
          <w:bCs w:val="1"/>
          <w:color w:val="auto"/>
        </w:rPr>
      </w:pPr>
    </w:p>
    <w:p>
      <w:pPr>
        <w:jc w:val="both"/>
        <w:ind w:firstLine="5"/>
        <w:spacing w:after="0"/>
        <w:tabs>
          <w:tab w:leader="none" w:pos="502"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Insider Trading Restrictions/Market Abuse Laws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Participant acknowledges that, depending on Participant’s country of residence, the broker’s country, or the country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the Shares are listed, Participant may be subject to insider trading restrictions and/or market abuse laws in applicable jurisdictions, which may affect Participant’s ability to directly or indirectly, accept, acquire, sell or attempt to sell or otherwise dispose of Shares, or rights to Shares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RSUs),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269" w:lineRule="exact"/>
        <w:rPr>
          <w:rFonts w:ascii="Times New Roman" w:cs="Times New Roman" w:eastAsia="Times New Roman" w:hAnsi="Times New Roman"/>
          <w:sz w:val="14"/>
          <w:szCs w:val="14"/>
          <w:b w:val="1"/>
          <w:bCs w:val="1"/>
          <w:color w:val="auto"/>
        </w:rPr>
      </w:pPr>
    </w:p>
    <w:p>
      <w:pPr>
        <w:jc w:val="both"/>
        <w:ind w:firstLine="5"/>
        <w:spacing w:after="0" w:line="249" w:lineRule="auto"/>
        <w:tabs>
          <w:tab w:leader="none" w:pos="502"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Foreign Asset/Account, Exchange Control and Tax Reporting</w:t>
      </w:r>
      <w:r>
        <w:rPr>
          <w:rFonts w:ascii="Times New Roman" w:cs="Times New Roman" w:eastAsia="Times New Roman" w:hAnsi="Times New Roman"/>
          <w:sz w:val="14"/>
          <w:szCs w:val="14"/>
          <w:color w:val="auto"/>
        </w:rPr>
        <w:t>. Participant may be subject to foreign asset/account, exchange control and/or tax reporting requirements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27" w:right="319" w:bottom="1440" w:gutter="0" w:footer="0" w:header="0"/>
        </w:sectPr>
      </w:pPr>
    </w:p>
    <w:bookmarkStart w:id="155" w:name="page156"/>
    <w:bookmarkEnd w:id="155"/>
    <w:p>
      <w:pPr>
        <w:jc w:val="both"/>
        <w:ind w:firstLine="5"/>
        <w:spacing w:after="0" w:line="209" w:lineRule="auto"/>
        <w:tabs>
          <w:tab w:leader="none" w:pos="502"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Code Section 409A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purposes of this Agreement, a termination of employment will be determined consistent with the rules relating to a “separation from service”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in Section 409A of the Internal Revenue Code and the regulations thereunder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Notwithstanding anything else provided herein, to the extent any payments provided under this RSU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27" w:lineRule="exact"/>
        <w:rPr>
          <w:rFonts w:ascii="Times New Roman" w:cs="Times New Roman" w:eastAsia="Times New Roman" w:hAnsi="Times New Roman"/>
          <w:sz w:val="16"/>
          <w:szCs w:val="16"/>
          <w:b w:val="1"/>
          <w:bCs w:val="1"/>
          <w:color w:val="auto"/>
        </w:rPr>
      </w:pPr>
    </w:p>
    <w:p>
      <w:pPr>
        <w:jc w:val="both"/>
        <w:ind w:firstLine="5"/>
        <w:spacing w:after="0" w:line="218" w:lineRule="auto"/>
        <w:tabs>
          <w:tab w:leader="none" w:pos="502"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Award Subject to Company Clawback or Recoupment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RSUs shall be subject to clawback or recoupment pursuant to any compensation clawback or recoupment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policy adopted by the Board or required by law during the term of Participant’s employment or other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BY ACCEPTING THIS AWARD OF RSUS, PARTICIPANT AGREES TO ALL OF THE TERMS AND CONDITIONS DESCRIBED ABOVE AND IN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27" w:right="319" w:bottom="1440" w:gutter="0" w:footer="0" w:header="0"/>
        </w:sectPr>
      </w:pPr>
    </w:p>
    <w:bookmarkStart w:id="156" w:name="page157"/>
    <w:bookmarkEnd w:id="156"/>
    <w:p>
      <w:pPr>
        <w:jc w:val="center"/>
        <w:ind w:right="500"/>
        <w:spacing w:after="0"/>
        <w:rPr>
          <w:sz w:val="20"/>
          <w:szCs w:val="20"/>
          <w:color w:val="auto"/>
        </w:rPr>
      </w:pPr>
      <w:r>
        <w:rPr>
          <w:rFonts w:ascii="Times New Roman" w:cs="Times New Roman" w:eastAsia="Times New Roman" w:hAnsi="Times New Roman"/>
          <w:sz w:val="16"/>
          <w:szCs w:val="16"/>
          <w:b w:val="1"/>
          <w:bCs w:val="1"/>
          <w:u w:val="single" w:color="auto"/>
          <w:color w:val="auto"/>
        </w:rPr>
        <w:t>APPENDIX</w:t>
      </w:r>
    </w:p>
    <w:p>
      <w:pPr>
        <w:spacing w:after="0" w:line="1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u w:val="single" w:color="auto"/>
          <w:color w:val="auto"/>
        </w:rPr>
        <w:t>PELOTON INTERACTIVE, INC.</w:t>
      </w:r>
    </w:p>
    <w:p>
      <w:pPr>
        <w:ind w:left="4480"/>
        <w:spacing w:after="0" w:line="207" w:lineRule="auto"/>
        <w:rPr>
          <w:sz w:val="20"/>
          <w:szCs w:val="20"/>
          <w:color w:val="auto"/>
        </w:rPr>
      </w:pPr>
      <w:r>
        <w:rPr>
          <w:rFonts w:ascii="Times New Roman" w:cs="Times New Roman" w:eastAsia="Times New Roman" w:hAnsi="Times New Roman"/>
          <w:sz w:val="16"/>
          <w:szCs w:val="16"/>
          <w:b w:val="1"/>
          <w:bCs w:val="1"/>
          <w:color w:val="auto"/>
        </w:rPr>
        <w:t>2019 EQUITY INCENTIVE PLAN</w:t>
      </w: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AWARD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COUNTRY SPECIFIC PROVISIONS FOR EMPLOYEES OUTSIDE THE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This Appendix includes additional terms and conditions that govern the RSUs granted to Participant under the Plan if Participant resides and/or works in one of the countries below. This Appendix forms part of the Agreement. Any capitalized term used in this Appendix without definition will have the meaning ascribed to it in the Notice, the Agreement or the Plan, as applicable.</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Notifications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Appendix also includes information relating to exchange control, securities laws, foreign asset/account reporting and other issues of which Participant should be aware with</w:t>
      </w:r>
    </w:p>
    <w:p>
      <w:pPr>
        <w:spacing w:after="0" w:line="16"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6"/>
          <w:szCs w:val="16"/>
          <w:color w:val="auto"/>
        </w:rPr>
        <w:t>respect to Participant’s participation in the Plan. The information is based on the securities, exchange control, foreign asset/account reporting and other laws in effect in the respective countries as of August 2019. Such laws are complex and change frequently. As a result, Participant should not rely on the information herein as the only source of</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information relating to the consequences of Participant’s participation in the Plan because the information may be out of date at the time that Participant vests in the RSUs, sells Shares acquired under the Plan or takes any other action in connection with the Plan.</w:t>
      </w:r>
    </w:p>
    <w:p>
      <w:pPr>
        <w:spacing w:after="0" w:line="1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4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193" w:lineRule="auto"/>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Settlement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provision supplements Section 1 of the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Notwithstanding any discretion in the Plan, the Notice or the Agreement to the contrary, settlement of the RSUs shall be in Shares and not, in whole or in part, in the form of cash.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Termination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provision replaces Section 5 of the Agreement:</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Participant’s Service is terminated for any reason, all unvested RSUs shall be forfeited to the Company forthwith, and all rights of Participant to such RSUs shall immediately terminate. For the avoidance of doubt, it is noted that, except as may be agreed to in the sole discretion of the Company, if Participant’s Service is terminated by his/her employer for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any reason or if Participant’s Service is terminated due to his/her voluntary resignation, all unvested RSUs shall be forfeited as of the date that is the earlier of: (i) the date Participant’s employment is terminated, and (ii) the date Participant is no longer actively providing services to the Company or any of its Subsidiaries (regardless of the reason for</w:t>
      </w:r>
    </w:p>
    <w:p>
      <w:pPr>
        <w:jc w:val="both"/>
        <w:spacing w:after="0" w:line="224" w:lineRule="auto"/>
        <w:rPr>
          <w:sz w:val="20"/>
          <w:szCs w:val="20"/>
          <w:color w:val="auto"/>
        </w:rPr>
      </w:pPr>
      <w:r>
        <w:rPr>
          <w:rFonts w:ascii="Times New Roman" w:cs="Times New Roman" w:eastAsia="Times New Roman" w:hAnsi="Times New Roman"/>
          <w:sz w:val="16"/>
          <w:szCs w:val="16"/>
          <w:color w:val="auto"/>
        </w:rPr>
        <w:t>such termination of Service and whether or not later found to be invalid or in breach of employment laws in the jurisdiction where Participant is employed or the terms of Participant’s employment agreement, if any),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734" w:right="319" w:bottom="1440" w:gutter="0" w:footer="0" w:header="0"/>
        </w:sectPr>
      </w:pPr>
    </w:p>
    <w:bookmarkStart w:id="157" w:name="page158"/>
    <w:bookmarkEnd w:id="157"/>
    <w:p>
      <w:pPr>
        <w:spacing w:after="0" w:line="212" w:lineRule="auto"/>
        <w:rPr>
          <w:sz w:val="20"/>
          <w:szCs w:val="20"/>
          <w:color w:val="auto"/>
        </w:rPr>
      </w:pPr>
      <w:r>
        <w:rPr>
          <w:rFonts w:ascii="Times New Roman" w:cs="Times New Roman" w:eastAsia="Times New Roman" w:hAnsi="Times New Roman"/>
          <w:sz w:val="16"/>
          <w:szCs w:val="16"/>
          <w:color w:val="auto"/>
        </w:rPr>
        <w:t>and no vesting shall continue during any notice period in relation to his/her termination of Service, whether specified under contract or statutory, regulatory or common law, including any “garden leave” or similar period. In case of any dispute as to whether a termination of Service has occurred, the Company shall have sole discretion to determine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whether such termination has occurred and the effective date of such termination of Service for purposes of the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Securities Law Matters</w:t>
      </w:r>
    </w:p>
    <w:p>
      <w:pPr>
        <w:spacing w:after="0" w:line="15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Participant is permitted to sell the Shares acquired under the Plan through the designated broker appointed under the Plan, if any, provided the resale of Shares acquired under the Plan takes place outside of Canada through the facilities of a stock exchange on which the Shares are listed (e.g., the Nasdaq).</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Notifications; Other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Foreign Asset / Account Reporting Notice</w:t>
      </w:r>
    </w:p>
    <w:p>
      <w:pPr>
        <w:spacing w:after="0" w:line="200" w:lineRule="auto"/>
        <w:rPr>
          <w:sz w:val="20"/>
          <w:szCs w:val="20"/>
          <w:color w:val="auto"/>
        </w:rPr>
      </w:pPr>
      <w:r>
        <w:rPr>
          <w:rFonts w:ascii="Times New Roman" w:cs="Times New Roman" w:eastAsia="Times New Roman" w:hAnsi="Times New Roman"/>
          <w:sz w:val="16"/>
          <w:szCs w:val="16"/>
          <w:color w:val="auto"/>
        </w:rPr>
        <w:t>If Participant is a Canadian resident, Participant is required to report his or her foreign specified property (including Shares and rights to receive Shares such as RSUs) on Form T1135 (Foreign Income Verification Statement) if the total value of such foreign specified property exceeds C$100,000 at any time during the year. RSUs must be reported</w:t>
      </w:r>
    </w:p>
    <w:p>
      <w:pPr>
        <w:spacing w:after="0"/>
        <w:rPr>
          <w:sz w:val="20"/>
          <w:szCs w:val="20"/>
          <w:color w:val="auto"/>
        </w:rPr>
      </w:pPr>
      <w:r>
        <w:rPr>
          <w:rFonts w:ascii="Times New Roman" w:cs="Times New Roman" w:eastAsia="Times New Roman" w:hAnsi="Times New Roman"/>
          <w:sz w:val="14"/>
          <w:szCs w:val="14"/>
          <w:color w:val="auto"/>
        </w:rPr>
        <w:t>(generally at nil cost) if the C$100,000 cost threshold is exceeded because of other foreign property he or she holds. When Shares are acquired, their cost generally is the adjusted</w:t>
      </w:r>
    </w:p>
    <w:p>
      <w:pPr>
        <w:spacing w:after="0" w:line="217" w:lineRule="auto"/>
        <w:rPr>
          <w:sz w:val="20"/>
          <w:szCs w:val="20"/>
          <w:color w:val="auto"/>
        </w:rPr>
      </w:pPr>
      <w:r>
        <w:rPr>
          <w:rFonts w:ascii="Times New Roman" w:cs="Times New Roman" w:eastAsia="Times New Roman" w:hAnsi="Times New Roman"/>
          <w:sz w:val="16"/>
          <w:szCs w:val="16"/>
          <w:color w:val="auto"/>
        </w:rPr>
        <w:t>cost base (“</w:t>
      </w:r>
      <w:r>
        <w:rPr>
          <w:rFonts w:ascii="Times New Roman" w:cs="Times New Roman" w:eastAsia="Times New Roman" w:hAnsi="Times New Roman"/>
          <w:sz w:val="16"/>
          <w:szCs w:val="16"/>
          <w:b w:val="1"/>
          <w:bCs w:val="1"/>
          <w:i w:val="1"/>
          <w:iCs w:val="1"/>
          <w:color w:val="auto"/>
        </w:rPr>
        <w:t>ACB</w:t>
      </w:r>
      <w:r>
        <w:rPr>
          <w:rFonts w:ascii="Times New Roman" w:cs="Times New Roman" w:eastAsia="Times New Roman" w:hAnsi="Times New Roman"/>
          <w:sz w:val="16"/>
          <w:szCs w:val="16"/>
          <w:color w:val="auto"/>
        </w:rPr>
        <w:t>”) of the Shares which would ordinarily equal the fair market value of the Shares at the time of acquisition, but if other Shares are also owned, this ACB may have to be averaged with the ACB of the other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following provisions apply to Participants who are residents of Quebec: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Data Privacy</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any Parent, Subsidiary or Affiliate and the administrator of the Plan to disclose and</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discuss the Plan with their advisors. Participant further authorizes the Company and any Parent, Subsidiary or Affiliate to record such information and to keep such information in Participant's file.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Language Consent</w:t>
      </w:r>
    </w:p>
    <w:p>
      <w:pPr>
        <w:spacing w:after="0" w:line="217" w:lineRule="auto"/>
        <w:rPr>
          <w:sz w:val="20"/>
          <w:szCs w:val="20"/>
          <w:color w:val="auto"/>
        </w:rPr>
      </w:pPr>
      <w:r>
        <w:rPr>
          <w:rFonts w:ascii="Times New Roman" w:cs="Times New Roman" w:eastAsia="Times New Roman" w:hAnsi="Times New Roman"/>
          <w:sz w:val="16"/>
          <w:szCs w:val="16"/>
          <w:color w:val="auto"/>
        </w:rPr>
        <w:t>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Consentement Relatif à la Langue Utilisée</w:t>
      </w:r>
    </w:p>
    <w:p>
      <w:pPr>
        <w:spacing w:after="0" w:line="217" w:lineRule="auto"/>
        <w:rPr>
          <w:sz w:val="20"/>
          <w:szCs w:val="20"/>
          <w:color w:val="auto"/>
        </w:rPr>
      </w:pPr>
      <w:r>
        <w:rPr>
          <w:rFonts w:ascii="Times New Roman" w:cs="Times New Roman" w:eastAsia="Times New Roman" w:hAnsi="Times New Roman"/>
          <w:sz w:val="16"/>
          <w:szCs w:val="16"/>
          <w:i w:val="1"/>
          <w:iCs w:val="1"/>
          <w:color w:val="auto"/>
        </w:rPr>
        <w:t>Les parties reconnaissent avoir expressément souhaité que la convention («Agreement»), ainsi que tous les documents, avis et procédures judiciares, éxécutés, donnés ou intentés en vertu de, ou liés directement ou indirectement à la présente convention, soient rédigés en langue anglaise.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b w:val="1"/>
          <w:bCs w:val="1"/>
          <w:u w:val="single" w:color="auto"/>
          <w:color w:val="auto"/>
        </w:rPr>
        <w:t>General Matters</w:t>
      </w:r>
      <w:r>
        <w:rPr>
          <w:rFonts w:ascii="Times New Roman" w:cs="Times New Roman" w:eastAsia="Times New Roman" w:hAnsi="Times New Roman"/>
          <w:sz w:val="14"/>
          <w:szCs w:val="14"/>
          <w:color w:val="auto"/>
        </w:rPr>
        <w:t>. Participant acknowledges and agrees that Participant’s sole contact and sole contractual partner regarding the Plan and the RSU is the Company and any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entitlements pursuant to the Plan are granted to Participant on an exclusively voluntary basis and do not create any claims against the Company, the Employer and/or any of</w:t>
      </w:r>
    </w:p>
    <w:p>
      <w:pPr>
        <w:spacing w:after="0" w:line="229" w:lineRule="auto"/>
        <w:rPr>
          <w:sz w:val="20"/>
          <w:szCs w:val="20"/>
          <w:color w:val="auto"/>
        </w:rPr>
      </w:pPr>
      <w:r>
        <w:rPr>
          <w:rFonts w:ascii="Times New Roman" w:cs="Times New Roman" w:eastAsia="Times New Roman" w:hAnsi="Times New Roman"/>
          <w:sz w:val="14"/>
          <w:szCs w:val="14"/>
          <w:color w:val="auto"/>
        </w:rPr>
        <w:t>their Subsidiaries, Parents or Affiliates. Even if there is a repeated grant of rights and without express notification that the grant is made voluntarily, Participant has no legal claim for future grants and explicitly acknowledges the voluntary nature of such grants. All grants remain in the complete discretion of the Company. The Company reserves the right to</w:t>
      </w:r>
    </w:p>
    <w:p>
      <w:pPr>
        <w:spacing w:after="0" w:line="237" w:lineRule="auto"/>
        <w:rPr>
          <w:sz w:val="20"/>
          <w:szCs w:val="20"/>
          <w:color w:val="auto"/>
        </w:rPr>
      </w:pPr>
      <w:r>
        <w:rPr>
          <w:rFonts w:ascii="Times New Roman" w:cs="Times New Roman" w:eastAsia="Times New Roman" w:hAnsi="Times New Roman"/>
          <w:sz w:val="14"/>
          <w:szCs w:val="14"/>
          <w:color w:val="auto"/>
        </w:rPr>
        <w:t>determine the scope of beneficiaries and the conditions of the Plan, to the extent permitted by applicable law. Additionally, the RSU does not form part of Participant’s contractual</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compensation and is not to be considered part of his or her normal or expected compensation for purposes of calculating severance, resignation, redundancy, end of service payments, bonuses, long-service awards, pension or retirement benefits or similar payments.</w:t>
      </w:r>
    </w:p>
    <w:p>
      <w:pPr>
        <w:spacing w:after="0" w:line="1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b w:val="1"/>
          <w:bCs w:val="1"/>
          <w:u w:val="single" w:color="auto"/>
          <w:color w:val="auto"/>
        </w:rPr>
        <w:t>Securities Law Matters.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Instruments granted under the Plan and the RSU may be subject to the Regulation (EU) 2017/1129 of the European Parliament and of the Council of 14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June 2017 on the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736" w:right="319" w:bottom="1440" w:gutter="0" w:footer="0" w:header="0"/>
        </w:sectPr>
      </w:pPr>
    </w:p>
    <w:bookmarkStart w:id="158" w:name="page159"/>
    <w:bookmarkEnd w:id="158"/>
    <w:p>
      <w:pPr>
        <w:jc w:val="both"/>
        <w:spacing w:after="0" w:line="213" w:lineRule="auto"/>
        <w:rPr>
          <w:sz w:val="20"/>
          <w:szCs w:val="20"/>
          <w:color w:val="auto"/>
        </w:rPr>
      </w:pPr>
      <w:r>
        <w:rPr>
          <w:rFonts w:ascii="Times New Roman" w:cs="Times New Roman" w:eastAsia="Times New Roman" w:hAnsi="Times New Roman"/>
          <w:sz w:val="16"/>
          <w:szCs w:val="16"/>
          <w:color w:val="auto"/>
        </w:rPr>
        <w:t>prospectus to be published when securities are offered to the public or admitted to trading on a regulated market, and repealing Directive 2003/71/EC (the “</w:t>
      </w: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Regulation</w:t>
      </w:r>
      <w:r>
        <w:rPr>
          <w:rFonts w:ascii="Times New Roman" w:cs="Times New Roman" w:eastAsia="Times New Roman" w:hAnsi="Times New Roman"/>
          <w:sz w:val="16"/>
          <w:szCs w:val="16"/>
          <w:color w:val="auto"/>
        </w:rPr>
        <w:t>”) and the German Securities Prospectus Act (</w:t>
      </w:r>
      <w:r>
        <w:rPr>
          <w:rFonts w:ascii="Times New Roman" w:cs="Times New Roman" w:eastAsia="Times New Roman" w:hAnsi="Times New Roman"/>
          <w:sz w:val="16"/>
          <w:szCs w:val="16"/>
          <w:i w:val="1"/>
          <w:iCs w:val="1"/>
          <w:color w:val="auto"/>
        </w:rPr>
        <w:t>Wertpapierprospektgesetz</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WpPG</w:t>
      </w:r>
      <w:r>
        <w:rPr>
          <w:rFonts w:ascii="Times New Roman" w:cs="Times New Roman" w:eastAsia="Times New Roman" w:hAnsi="Times New Roman"/>
          <w:sz w:val="16"/>
          <w:szCs w:val="16"/>
          <w:color w:val="auto"/>
        </w:rPr>
        <w:t>”). The Company is of the opinion that the participation in the Plan and the</w:t>
      </w:r>
    </w:p>
    <w:p>
      <w:pPr>
        <w:spacing w:after="0"/>
        <w:rPr>
          <w:sz w:val="20"/>
          <w:szCs w:val="20"/>
          <w:color w:val="auto"/>
        </w:rPr>
      </w:pPr>
      <w:r>
        <w:rPr>
          <w:rFonts w:ascii="Times New Roman" w:cs="Times New Roman" w:eastAsia="Times New Roman" w:hAnsi="Times New Roman"/>
          <w:sz w:val="14"/>
          <w:szCs w:val="14"/>
          <w:color w:val="auto"/>
        </w:rPr>
        <w:t>receipt/exercise of the RSU by the Participants is exempt from the requirement to approve and publish a prospectus or further documents under the Prospectus Regulation and/or</w:t>
      </w:r>
    </w:p>
    <w:p>
      <w:pPr>
        <w:jc w:val="both"/>
        <w:spacing w:after="0" w:line="217" w:lineRule="auto"/>
        <w:rPr>
          <w:sz w:val="20"/>
          <w:szCs w:val="20"/>
          <w:color w:val="auto"/>
        </w:rPr>
      </w:pPr>
      <w:r>
        <w:rPr>
          <w:rFonts w:ascii="Times New Roman" w:cs="Times New Roman" w:eastAsia="Times New Roman" w:hAnsi="Times New Roman"/>
          <w:sz w:val="16"/>
          <w:szCs w:val="16"/>
          <w:color w:val="auto"/>
        </w:rPr>
        <w:t>WpPG. However, the Company reserve all rights to amend the Plan and/or the Notice at any time to the extent required to be compliant with the Prospectus Regulation, WpPG and/or other laws and regulations applicable in Germany.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Notifications, Other</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u w:val="single" w:color="auto"/>
          <w:color w:val="auto"/>
        </w:rPr>
        <w:t>Exchange Control</w:t>
      </w:r>
      <w:r>
        <w:rPr>
          <w:rFonts w:ascii="Times New Roman" w:cs="Times New Roman" w:eastAsia="Times New Roman" w:hAnsi="Times New Roman"/>
          <w:sz w:val="14"/>
          <w:szCs w:val="14"/>
          <w:color w:val="auto"/>
        </w:rPr>
        <w:t>. Cross-border payments in excess of EUR 12,500 (including transactions made in connection with the sale of securities) must be reported monthly to the German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Federal Bank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If Participant makes or receives a payment in excess of this amount in connection with Participant’s participation in the Plan, Participant must report</w:t>
      </w:r>
    </w:p>
    <w:p>
      <w:pPr>
        <w:jc w:val="both"/>
        <w:spacing w:after="0" w:line="217" w:lineRule="auto"/>
        <w:rPr>
          <w:sz w:val="20"/>
          <w:szCs w:val="20"/>
          <w:color w:val="auto"/>
        </w:rPr>
      </w:pPr>
      <w:r>
        <w:rPr>
          <w:rFonts w:ascii="Times New Roman" w:cs="Times New Roman" w:eastAsia="Times New Roman" w:hAnsi="Times New Roman"/>
          <w:sz w:val="16"/>
          <w:szCs w:val="16"/>
          <w:color w:val="auto"/>
        </w:rPr>
        <w:t>the payment to Bundesbank electronically, no later than the fifth day of the month following the month in which the payment was received, using the “General Statistics Reporting Portal”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available via Bundesbank’s website (</w:t>
      </w:r>
      <w:r>
        <w:rPr>
          <w:rFonts w:ascii="Times New Roman" w:cs="Times New Roman" w:eastAsia="Times New Roman" w:hAnsi="Times New Roman"/>
          <w:sz w:val="16"/>
          <w:szCs w:val="16"/>
          <w:u w:val="single" w:color="auto"/>
          <w:color w:val="0563C1"/>
        </w:rPr>
        <w:t>www.bundesbank.de</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Tax Matters</w:t>
      </w:r>
      <w:r>
        <w:rPr>
          <w:rFonts w:ascii="Times New Roman" w:cs="Times New Roman" w:eastAsia="Times New Roman" w:hAnsi="Times New Roman"/>
          <w:sz w:val="14"/>
          <w:szCs w:val="14"/>
          <w:color w:val="auto"/>
        </w:rPr>
        <w:t>. Participant acknowledges its legal obligation under German law to inform the Employer of any benefit received from the Company and the Employer´s duty and will</w:t>
      </w:r>
    </w:p>
    <w:p>
      <w:pPr>
        <w:spacing w:after="0" w:line="1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comply with that duty without undue delay. Participant acknowledges that in case of non-compliance with such duty, the Employer may inform the competent authority of such non-compliance and that non-compliance may have further legal consequences for the Participant.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Participant has not paid or provided for Tax-Related Items within 10 days following the end of the month in which the relevant benefit is attributable to the Participant for German</w:t>
      </w:r>
    </w:p>
    <w:p>
      <w:pPr>
        <w:spacing w:after="0" w:line="1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wage tax purposes, to the extent permitted by applicable law, the amount of any Tax-Related Items borne by the Company or any subsidiary towards the competent authority shall constitute a loan owed to the Company or, if the Company is not the employer for German wage tax purposes, the Employer, which will bear interest at (i) the relevant reference</w:t>
      </w:r>
    </w:p>
    <w:p>
      <w:pPr>
        <w:spacing w:after="0" w:line="237" w:lineRule="auto"/>
        <w:rPr>
          <w:sz w:val="20"/>
          <w:szCs w:val="20"/>
          <w:color w:val="auto"/>
        </w:rPr>
      </w:pPr>
      <w:r>
        <w:rPr>
          <w:rFonts w:ascii="Times New Roman" w:cs="Times New Roman" w:eastAsia="Times New Roman" w:hAnsi="Times New Roman"/>
          <w:sz w:val="14"/>
          <w:szCs w:val="14"/>
          <w:color w:val="auto"/>
        </w:rPr>
        <w:t>market rate published by the German Federal Bank as referenced in section 2.1.2 of the Federal Ministry´s published guidance on the tax treatment of employer loans by letter of 19</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May 2015 or (ii) the lowest rate deemed acceptable under any Federal Ministry´s successor guidance to the guidance mentioned under (i) above. If Tax-Related Items due are not collected from or paid by Participant by their due date, it is possible that the German tax authorities will qualify the amount of any uncollected Tax-Related Items as a benefit to</w:t>
      </w:r>
    </w:p>
    <w:p>
      <w:pPr>
        <w:jc w:val="both"/>
        <w:spacing w:after="0" w:line="224" w:lineRule="auto"/>
        <w:rPr>
          <w:sz w:val="20"/>
          <w:szCs w:val="20"/>
          <w:color w:val="auto"/>
        </w:rPr>
      </w:pPr>
      <w:r>
        <w:rPr>
          <w:rFonts w:ascii="Times New Roman" w:cs="Times New Roman" w:eastAsia="Times New Roman" w:hAnsi="Times New Roman"/>
          <w:sz w:val="16"/>
          <w:szCs w:val="16"/>
          <w:color w:val="auto"/>
        </w:rPr>
        <w:t>Participant, on which additional income tax would be payable. In such case, Participant will be responsible for any taxes that may be due on this additional benefit and for reimbursing the Company and/or the Employer for any Tax-Related Items on this additional benefit.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General Matters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Participant acknowledges and agrees that the offer of this RSU has not been and will not be registered with the Financial Supervisory Commission of the Republic of China (ROC) pursuant to relevant securities laws and regulations in the ROC, and may not be offered or sold within the ROC through a public offering or in a circumstance which constitutes an offer within the meaning of the Securities and Exchange Act of the ROC that requires a registration or approval of the Financial Supervisory Commission of the ROC.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Notifications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Exchange Control</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According to the current foreign exchange laws and regulations, any inward or outward remittance involving non-New Taiwan Dollar currency will be counted towards the foreign exchange quota, that is, each Taiwan individual has an annual foreign exchange quota of US$5 million for inward and outward remittances</w:t>
      </w:r>
      <w:r>
        <w:rPr>
          <w:rFonts w:ascii="Times New Roman" w:cs="Times New Roman" w:eastAsia="Times New Roman" w:hAnsi="Times New Roman"/>
          <w:sz w:val="14"/>
          <w:szCs w:val="14"/>
          <w:color w:val="00B050"/>
        </w:rPr>
        <w:t>,</w:t>
      </w:r>
      <w:r>
        <w:rPr>
          <w:rFonts w:ascii="Times New Roman" w:cs="Times New Roman" w:eastAsia="Times New Roman" w:hAnsi="Times New Roman"/>
          <w:sz w:val="14"/>
          <w:szCs w:val="14"/>
          <w:color w:val="auto"/>
        </w:rPr>
        <w:t xml:space="preserve"> respectively, without having to obtain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prior approval from the Central Bank of the ROC.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734" w:right="319" w:bottom="1440" w:gutter="0" w:footer="0" w:header="0"/>
        </w:sectPr>
      </w:pPr>
    </w:p>
    <w:bookmarkStart w:id="159" w:name="page160"/>
    <w:bookmarkEnd w:id="159"/>
    <w:p>
      <w:pPr>
        <w:spacing w:after="0" w:line="229" w:lineRule="auto"/>
        <w:rPr>
          <w:sz w:val="20"/>
          <w:szCs w:val="20"/>
          <w:color w:val="auto"/>
        </w:rPr>
      </w:pPr>
      <w:r>
        <w:rPr>
          <w:rFonts w:ascii="Times New Roman" w:cs="Times New Roman" w:eastAsia="Times New Roman" w:hAnsi="Times New Roman"/>
          <w:sz w:val="16"/>
          <w:szCs w:val="16"/>
          <w:color w:val="auto"/>
        </w:rPr>
        <w:t>The Participant shall be responsible for seeking the special approval for the Central Bank should any inward and outward remittances of foreign exchange that exceed the US$5 million annual quota.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Tax Matters</w:t>
      </w:r>
    </w:p>
    <w:p>
      <w:pPr>
        <w:spacing w:after="0" w:line="16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According to the ruling issued by the Ministry of Finance (“</w:t>
      </w:r>
      <w:r>
        <w:rPr>
          <w:rFonts w:ascii="Times New Roman" w:cs="Times New Roman" w:eastAsia="Times New Roman" w:hAnsi="Times New Roman"/>
          <w:sz w:val="14"/>
          <w:szCs w:val="14"/>
          <w:b w:val="1"/>
          <w:bCs w:val="1"/>
          <w:i w:val="1"/>
          <w:iCs w:val="1"/>
          <w:color w:val="auto"/>
        </w:rPr>
        <w:t>MOF</w:t>
      </w:r>
      <w:r>
        <w:rPr>
          <w:rFonts w:ascii="Times New Roman" w:cs="Times New Roman" w:eastAsia="Times New Roman" w:hAnsi="Times New Roman"/>
          <w:sz w:val="14"/>
          <w:szCs w:val="14"/>
          <w:color w:val="auto"/>
        </w:rPr>
        <w:t>”) (Ref. No.: Tai-Tsai-Shuei-09404527550) in respect of the taxation of employee stock option offered by foreign companies to the employees of their subsidiaries/branches/representative offices in Taiwan, the difference between the exercise price and the market price of the stocks at the time of</w:t>
      </w:r>
    </w:p>
    <w:p>
      <w:pPr>
        <w:spacing w:after="0" w:line="217" w:lineRule="auto"/>
        <w:rPr>
          <w:sz w:val="20"/>
          <w:szCs w:val="20"/>
          <w:color w:val="auto"/>
        </w:rPr>
      </w:pPr>
      <w:r>
        <w:rPr>
          <w:rFonts w:ascii="Times New Roman" w:cs="Times New Roman" w:eastAsia="Times New Roman" w:hAnsi="Times New Roman"/>
          <w:sz w:val="16"/>
          <w:szCs w:val="16"/>
          <w:color w:val="auto"/>
        </w:rPr>
        <w:t>exercise (economic benefit) shall be deemed "other income" of the employee and is subject to income tax. Hence, Participant shall be responsible for including such income in his/her annual income tax return and paying applicable income tax thereon for the year in which he/she exercises the Option should any gain is realized therefrom.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The representative office or subsidiary should have no tax-withholding obligation for the employee's other income, but is required to (i) complete non-withholding tax</w:t>
      </w:r>
    </w:p>
    <w:p>
      <w:pPr>
        <w:spacing w:after="0" w:line="217" w:lineRule="auto"/>
        <w:rPr>
          <w:sz w:val="20"/>
          <w:szCs w:val="20"/>
          <w:color w:val="auto"/>
        </w:rPr>
      </w:pPr>
      <w:r>
        <w:rPr>
          <w:rFonts w:ascii="Times New Roman" w:cs="Times New Roman" w:eastAsia="Times New Roman" w:hAnsi="Times New Roman"/>
          <w:sz w:val="16"/>
          <w:szCs w:val="16"/>
          <w:i w:val="1"/>
          <w:iCs w:val="1"/>
          <w:color w:val="auto"/>
        </w:rPr>
        <w:t>statements and file these, together with other relevant documents, with the competent tax authorities by January 31 of the following year, and (ii) issue a non-withholding tax statement to each of the participating employees on or before February 10 of the following year.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147"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6"/>
          <w:szCs w:val="16"/>
          <w:color w:val="auto"/>
        </w:rPr>
        <w:t>Participant acknowledges and agrees to the terms of the UK Sub-Plan in the addendum to the Peloton Interactive, Inc. 2019 Equity Incentive Plan, including but not limited to the provisions of sections 2.2 to 2.5 inclusive.</w:t>
      </w:r>
    </w:p>
    <w:p>
      <w:pPr>
        <w:spacing w:after="0" w:line="208" w:lineRule="auto"/>
        <w:rPr>
          <w:sz w:val="20"/>
          <w:szCs w:val="20"/>
          <w:color w:val="auto"/>
        </w:rPr>
      </w:pPr>
      <w:r>
        <w:rPr>
          <w:rFonts w:ascii="Times New Roman" w:cs="Times New Roman" w:eastAsia="Times New Roman" w:hAnsi="Times New Roman"/>
          <w:sz w:val="16"/>
          <w:szCs w:val="16"/>
          <w:color w:val="auto"/>
        </w:rPr>
        <w:t>All references to Tax-Related Items above shall be deemed to include UK income tax and national insurance contributions (“</w:t>
      </w:r>
      <w:r>
        <w:rPr>
          <w:rFonts w:ascii="Times New Roman" w:cs="Times New Roman" w:eastAsia="Times New Roman" w:hAnsi="Times New Roman"/>
          <w:sz w:val="16"/>
          <w:szCs w:val="16"/>
          <w:b w:val="1"/>
          <w:bCs w:val="1"/>
          <w:i w:val="1"/>
          <w:iCs w:val="1"/>
          <w:color w:val="auto"/>
        </w:rPr>
        <w:t>NICs</w:t>
      </w:r>
      <w:r>
        <w:rPr>
          <w:rFonts w:ascii="Times New Roman" w:cs="Times New Roman" w:eastAsia="Times New Roman" w:hAnsi="Times New Roman"/>
          <w:sz w:val="16"/>
          <w:szCs w:val="16"/>
          <w:color w:val="auto"/>
        </w:rPr>
        <w:t>”).</w:t>
      </w:r>
    </w:p>
    <w:p>
      <w:pPr>
        <w:spacing w:after="0" w:line="217" w:lineRule="auto"/>
        <w:rPr>
          <w:sz w:val="20"/>
          <w:szCs w:val="20"/>
          <w:color w:val="auto"/>
        </w:rPr>
      </w:pPr>
      <w:r>
        <w:rPr>
          <w:rFonts w:ascii="Times New Roman" w:cs="Times New Roman" w:eastAsia="Times New Roman" w:hAnsi="Times New Roman"/>
          <w:sz w:val="16"/>
          <w:szCs w:val="16"/>
          <w:color w:val="auto"/>
        </w:rPr>
        <w:t>Paragraph 11 above shall not apply to UK Employees. Participant understands that for the purposes of administering this Agreement and the Plan, the Employer, the Company and any Parent or Subsidiary will collect and process information relating to him or her in accordance with the privacy notice currently available on the Company’s intranet.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Participant acknowledges and understands that (a) Data will be transferred to E*TRADE Financial Services, Solium-Shareworks, or other third party (“</w:t>
      </w:r>
      <w:r>
        <w:rPr>
          <w:rFonts w:ascii="Times New Roman" w:cs="Times New Roman" w:eastAsia="Times New Roman" w:hAnsi="Times New Roman"/>
          <w:sz w:val="14"/>
          <w:szCs w:val="14"/>
          <w:b w:val="1"/>
          <w:bCs w:val="1"/>
          <w:i w:val="1"/>
          <w:iCs w:val="1"/>
          <w:color w:val="auto"/>
        </w:rPr>
        <w:t>Online Administrator</w:t>
      </w:r>
      <w:r>
        <w:rPr>
          <w:rFonts w:ascii="Times New Roman" w:cs="Times New Roman" w:eastAsia="Times New Roman" w:hAnsi="Times New Roman"/>
          <w:sz w:val="14"/>
          <w:szCs w:val="14"/>
          <w:color w:val="auto"/>
        </w:rPr>
        <w:t>”) and</w:t>
      </w:r>
    </w:p>
    <w:p>
      <w:pPr>
        <w:spacing w:after="0" w:line="1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its affiliated companies or such other stock plan service provider as may be designated by the Company from time to time, which is assisting the Company with the implementation, administration and management of the Plan, (b) that the recipients of Data may be located in the United States or elsewhere, and that the recipients’ country may have different data</w:t>
      </w:r>
    </w:p>
    <w:p>
      <w:pPr>
        <w:spacing w:after="0" w:line="224" w:lineRule="auto"/>
        <w:rPr>
          <w:sz w:val="20"/>
          <w:szCs w:val="20"/>
          <w:color w:val="auto"/>
        </w:rPr>
      </w:pPr>
      <w:r>
        <w:rPr>
          <w:rFonts w:ascii="Times New Roman" w:cs="Times New Roman" w:eastAsia="Times New Roman" w:hAnsi="Times New Roman"/>
          <w:sz w:val="16"/>
          <w:szCs w:val="16"/>
          <w:color w:val="auto"/>
        </w:rPr>
        <w:t>privacy laws and protections than my country and (c) that he may request a list with the names and addresses of any potential recipients of Data by contacting the local human resources representative.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following provisions replace Section 5 of the Agreement in its entirety:</w:t>
      </w:r>
    </w:p>
    <w:p>
      <w:pPr>
        <w:spacing w:after="0" w:line="147"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4"/>
          <w:szCs w:val="14"/>
          <w:color w:val="auto"/>
        </w:rPr>
        <w:t>If Participant’s Service terminates for any reason, all unvested RSUs will be forfeited to the Company forthwith, and all rights of Participant to such RSUs will immediately terminate without payment of any consideration to Participant. Unless otherwise determined by the Committee in its absolute discretion, Participant’s Service will be considered</w:t>
      </w:r>
    </w:p>
    <w:p>
      <w:pPr>
        <w:spacing w:after="0" w:line="208" w:lineRule="auto"/>
        <w:rPr>
          <w:sz w:val="20"/>
          <w:szCs w:val="20"/>
          <w:color w:val="auto"/>
        </w:rPr>
      </w:pPr>
      <w:r>
        <w:rPr>
          <w:rFonts w:ascii="Times New Roman" w:cs="Times New Roman" w:eastAsia="Times New Roman" w:hAnsi="Times New Roman"/>
          <w:sz w:val="16"/>
          <w:szCs w:val="16"/>
          <w:color w:val="auto"/>
        </w:rPr>
        <w:t>terminated (regardless of the reason for such termination and whether or not later found to be invalid or in breach of employment laws in the jurisdiction where Participant is</w:t>
      </w:r>
    </w:p>
    <w:p>
      <w:pPr>
        <w:spacing w:after="0" w:line="1"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4"/>
          <w:szCs w:val="14"/>
          <w:color w:val="auto"/>
        </w:rPr>
        <w:t>employed or the terms of Participant’s employment agreement, if any) as of the date Participant’s employment with or service to the Company, its Parent and its Subsidiaries or Affiliates terminates (the “</w:t>
      </w:r>
      <w:r>
        <w:rPr>
          <w:rFonts w:ascii="Times New Roman" w:cs="Times New Roman" w:eastAsia="Times New Roman" w:hAnsi="Times New Roman"/>
          <w:sz w:val="14"/>
          <w:szCs w:val="14"/>
          <w:b w:val="1"/>
          <w:bCs w:val="1"/>
          <w:i w:val="1"/>
          <w:iCs w:val="1"/>
          <w:color w:val="auto"/>
        </w:rPr>
        <w:t>Termination Date</w:t>
      </w:r>
      <w:r>
        <w:rPr>
          <w:rFonts w:ascii="Times New Roman" w:cs="Times New Roman" w:eastAsia="Times New Roman" w:hAnsi="Times New Roman"/>
          <w:sz w:val="14"/>
          <w:szCs w:val="14"/>
          <w:color w:val="auto"/>
        </w:rPr>
        <w:t>”); provided that the Committee may provide, in its absolute discretion, that the Termination Date shall occur on any earlier date on</w:t>
      </w:r>
    </w:p>
    <w:p>
      <w:pPr>
        <w:spacing w:after="0" w:line="237" w:lineRule="auto"/>
        <w:rPr>
          <w:sz w:val="20"/>
          <w:szCs w:val="20"/>
          <w:color w:val="auto"/>
        </w:rPr>
      </w:pPr>
      <w:r>
        <w:rPr>
          <w:rFonts w:ascii="Times New Roman" w:cs="Times New Roman" w:eastAsia="Times New Roman" w:hAnsi="Times New Roman"/>
          <w:sz w:val="14"/>
          <w:szCs w:val="14"/>
          <w:color w:val="auto"/>
        </w:rPr>
        <w:t>which the Participant is no longer actively providing services to the Company, its Parent and its Subsidiaries or Affiliates (e.g., the Committee may provide that the Participant’s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Service will not include any contractual notice period worked by Participant or any period of “garden leave” served by Participant or similar period mandated under employment laws in the jurisdiction where Participant is employed or the terms of Participant’s employment agreement, if any). Participant acknowledges and agrees that, to the extent permitted</w:t>
      </w:r>
    </w:p>
    <w:p>
      <w:pPr>
        <w:ind w:right="140"/>
        <w:spacing w:after="0" w:line="224" w:lineRule="auto"/>
        <w:rPr>
          <w:sz w:val="20"/>
          <w:szCs w:val="20"/>
          <w:color w:val="auto"/>
        </w:rPr>
      </w:pPr>
      <w:r>
        <w:rPr>
          <w:rFonts w:ascii="Times New Roman" w:cs="Times New Roman" w:eastAsia="Times New Roman" w:hAnsi="Times New Roman"/>
          <w:sz w:val="16"/>
          <w:szCs w:val="16"/>
          <w:color w:val="auto"/>
        </w:rPr>
        <w:t>by Law, the Vesting Schedule may change prospectively in the event Participant’s service status changes between full- and part-time and/or in the event Participant is on a leave of absence and/or in the event Participant is on a contractual notice period or any period of “garden leave” or similar period mandated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736" w:right="319" w:bottom="1440" w:gutter="0" w:footer="0" w:header="0"/>
        </w:sectPr>
      </w:pPr>
    </w:p>
    <w:bookmarkStart w:id="160" w:name="page161"/>
    <w:bookmarkEnd w:id="160"/>
    <w:p>
      <w:pPr>
        <w:ind w:right="100"/>
        <w:spacing w:after="0" w:line="242" w:lineRule="auto"/>
        <w:rPr>
          <w:sz w:val="20"/>
          <w:szCs w:val="20"/>
          <w:color w:val="auto"/>
        </w:rPr>
      </w:pPr>
      <w:r>
        <w:rPr>
          <w:rFonts w:ascii="Times New Roman" w:cs="Times New Roman" w:eastAsia="Times New Roman" w:hAnsi="Times New Roman"/>
          <w:sz w:val="14"/>
          <w:szCs w:val="14"/>
          <w:color w:val="auto"/>
        </w:rPr>
        <w:t>under employment laws in the jurisdiction where Participant is employed or the terms of Participant’s employment agreement, if any, in accordance with Company policies relating to work schedules and vesting of awards or as determined by the Committee. In case of any dispute as to whether and when a termination of Service has occurred, the Committee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 have sole discretion to determine whether such termination of Service has occurred and the effective date of such termination for the purposes of the Plan.</w:t>
      </w:r>
    </w:p>
    <w:p>
      <w:pPr>
        <w:spacing w:after="0" w:line="146"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4"/>
          <w:szCs w:val="14"/>
          <w:b w:val="1"/>
          <w:bCs w:val="1"/>
          <w:u w:val="single" w:color="auto"/>
          <w:color w:val="auto"/>
        </w:rPr>
        <w:t>No financial product advice.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 financial product advice is provided in this Agreement, the Notice or the Plan (the “</w:t>
      </w:r>
      <w:r>
        <w:rPr>
          <w:rFonts w:ascii="Times New Roman" w:cs="Times New Roman" w:eastAsia="Times New Roman" w:hAnsi="Times New Roman"/>
          <w:sz w:val="14"/>
          <w:szCs w:val="14"/>
          <w:b w:val="1"/>
          <w:bCs w:val="1"/>
          <w:i w:val="1"/>
          <w:iCs w:val="1"/>
          <w:color w:val="auto"/>
        </w:rPr>
        <w:t>Plan Documents</w:t>
      </w:r>
      <w:r>
        <w:rPr>
          <w:rFonts w:ascii="Times New Roman" w:cs="Times New Roman" w:eastAsia="Times New Roman" w:hAnsi="Times New Roman"/>
          <w:sz w:val="14"/>
          <w:szCs w:val="14"/>
          <w:color w:val="auto"/>
        </w:rPr>
        <w:t>”) and nothing in the Plan Documents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should be taken to constitute a recommendation or statement of opinion that is intended to influence a person or persons in making a decision to participate in the Plan. The Plan</w:t>
      </w:r>
    </w:p>
    <w:p>
      <w:pPr>
        <w:spacing w:after="0" w:line="229" w:lineRule="auto"/>
        <w:rPr>
          <w:sz w:val="20"/>
          <w:szCs w:val="20"/>
          <w:color w:val="auto"/>
        </w:rPr>
      </w:pPr>
      <w:r>
        <w:rPr>
          <w:rFonts w:ascii="Times New Roman" w:cs="Times New Roman" w:eastAsia="Times New Roman" w:hAnsi="Times New Roman"/>
          <w:sz w:val="14"/>
          <w:szCs w:val="14"/>
          <w:color w:val="auto"/>
        </w:rPr>
        <w:t>Documents do not take into account the objectives, financial situation or needs of any particular person. Before acting on the information contained in the Plan Documents, or making a decision to participate in the Plan, the Participant should seek professional advice from an independent person who is licensed by the Australian Securities and Investments</w:t>
      </w:r>
    </w:p>
    <w:p>
      <w:pPr>
        <w:spacing w:after="0"/>
        <w:rPr>
          <w:sz w:val="20"/>
          <w:szCs w:val="20"/>
          <w:color w:val="auto"/>
        </w:rPr>
      </w:pPr>
      <w:r>
        <w:rPr>
          <w:rFonts w:ascii="Times New Roman" w:cs="Times New Roman" w:eastAsia="Times New Roman" w:hAnsi="Times New Roman"/>
          <w:sz w:val="16"/>
          <w:szCs w:val="16"/>
          <w:color w:val="auto"/>
        </w:rPr>
        <w:t>Commission (“</w:t>
      </w:r>
      <w:r>
        <w:rPr>
          <w:rFonts w:ascii="Times New Roman" w:cs="Times New Roman" w:eastAsia="Times New Roman" w:hAnsi="Times New Roman"/>
          <w:sz w:val="16"/>
          <w:szCs w:val="16"/>
          <w:b w:val="1"/>
          <w:bCs w:val="1"/>
          <w:i w:val="1"/>
          <w:iCs w:val="1"/>
          <w:color w:val="auto"/>
        </w:rPr>
        <w:t>ASIC</w:t>
      </w:r>
      <w:r>
        <w:rPr>
          <w:rFonts w:ascii="Times New Roman" w:cs="Times New Roman" w:eastAsia="Times New Roman" w:hAnsi="Times New Roman"/>
          <w:sz w:val="16"/>
          <w:szCs w:val="16"/>
          <w:color w:val="auto"/>
        </w:rPr>
        <w:t>”) to give such advice as to whether participation in the Plan is appropriate in light of the Participant’s own circumstances.</w:t>
      </w:r>
    </w:p>
    <w:p>
      <w:pPr>
        <w:spacing w:after="0" w:line="125"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6"/>
          <w:szCs w:val="16"/>
          <w:b w:val="1"/>
          <w:bCs w:val="1"/>
          <w:u w:val="single" w:color="auto"/>
          <w:color w:val="auto"/>
        </w:rPr>
        <w:t>Offer made without disclosure.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offer to participate in the Plan, if received in Australia, is made without disclosure to investors in reliance on conditional relied provided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ASIC.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Participation in the Plan involves a number of risks including that:</w:t>
      </w:r>
    </w:p>
    <w:p>
      <w:pPr>
        <w:spacing w:after="0" w:line="168" w:lineRule="exact"/>
        <w:rPr>
          <w:sz w:val="20"/>
          <w:szCs w:val="20"/>
          <w:color w:val="auto"/>
        </w:rPr>
      </w:pPr>
    </w:p>
    <w:p>
      <w:pPr>
        <w:ind w:left="500" w:right="40" w:hanging="254"/>
        <w:spacing w:after="0" w:line="253" w:lineRule="auto"/>
        <w:tabs>
          <w:tab w:leader="none" w:pos="480" w:val="left"/>
        </w:tabs>
        <w:rPr>
          <w:sz w:val="20"/>
          <w:szCs w:val="20"/>
          <w:color w:val="auto"/>
        </w:rPr>
      </w:pPr>
      <w:r>
        <w:rPr>
          <w:rFonts w:ascii="Times New Roman" w:cs="Times New Roman" w:eastAsia="Times New Roman" w:hAnsi="Times New Roman"/>
          <w:sz w:val="16"/>
          <w:szCs w:val="16"/>
          <w:color w:val="auto"/>
        </w:rPr>
        <w:t>a)</w:t>
        <w:tab/>
        <w:t>An RSU may be forfeited under the Plan (for example, because a Participant’s Service is terminated), in which case all of the Participant’s rights under the Plan in respect of that RSU (including his or her right to receive Shares, cash or other property on the settlement of the RSU) will be forfeited.</w:t>
      </w:r>
    </w:p>
    <w:p>
      <w:pPr>
        <w:ind w:left="520" w:hanging="260"/>
        <w:spacing w:after="0" w:line="209" w:lineRule="auto"/>
        <w:tabs>
          <w:tab w:leader="none" w:pos="5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at which Shares trade on NASDAQ is volatile and moves up and down with market sentiment as well as factors which are specific to the Company.</w:t>
      </w:r>
    </w:p>
    <w:p>
      <w:pPr>
        <w:ind w:left="500" w:hanging="240"/>
        <w:spacing w:after="0"/>
        <w:tabs>
          <w:tab w:leader="none" w:pos="5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are not Shares and may be treated differently to Shares in certain corporate actions.</w:t>
      </w:r>
    </w:p>
    <w:p>
      <w:pPr>
        <w:spacing w:after="0" w:line="137"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Participating in the Plan, and holding RSUs or Shares may have tax implications for you and the tax regime applying to you may change.</w:t>
      </w:r>
    </w:p>
    <w:p>
      <w:pPr>
        <w:spacing w:after="0" w:line="14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6"/>
          <w:szCs w:val="16"/>
          <w:color w:val="auto"/>
        </w:rPr>
        <w:t>The information above is only general information about the risks of participating in the Plan. There may be other risks of participating in the Plan that are specific to a Participant’s circumstances.</w:t>
      </w:r>
    </w:p>
    <w:p>
      <w:pPr>
        <w:spacing w:after="0" w:line="115"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6"/>
          <w:szCs w:val="16"/>
          <w:b w:val="1"/>
          <w:bCs w:val="1"/>
          <w:u w:val="single" w:color="auto"/>
          <w:color w:val="auto"/>
        </w:rPr>
        <w:t>Share price.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current and historical market prices of Shares will be available on the NASDAQ website, accessible at www.nasdaq.com, using the Company’s NASDAQ Code: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PTON (quoted in US dollars). If a Participant is unable to locate the current market price of a Share there or would like to know the current market price of Shares in Australian dollars, please make a request to equity@onepeloton.com and the Company will provide this information within a reasonable period of receiving the request.</w:t>
      </w:r>
    </w:p>
    <w:p>
      <w:pPr>
        <w:spacing w:after="0" w:line="115"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6"/>
          <w:szCs w:val="16"/>
          <w:b w:val="1"/>
          <w:bCs w:val="1"/>
          <w:u w:val="single" w:color="auto"/>
          <w:color w:val="auto"/>
        </w:rPr>
        <w:t>Taxation.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Participation in the Plan and holding RSUs or Shares may have taxation implications. The Participant should consider obtaining independent professional advice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clarify his or her taxation position in relation to his or her participation in the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Data privacy.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Section 9 of the Agreement is supplemented for Australian employees as follows:</w:t>
      </w:r>
    </w:p>
    <w:p>
      <w:pPr>
        <w:spacing w:after="0" w:line="134"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6"/>
          <w:szCs w:val="16"/>
          <w:i w:val="1"/>
          <w:iCs w:val="1"/>
          <w:color w:val="auto"/>
        </w:rPr>
        <w:t>The Participant acknowledges that, in addition to the entities specified in the Agreement, Data may be provided by the Company to any employee benefit trust, registrars, brokers or third party administrators of the Plan and (if relevant) future purchasers of the Company, or the Subsidiary, Affiliate or business for which the Participant works, and consents to any such disclosure.</w:t>
      </w:r>
    </w:p>
    <w:p>
      <w:pPr>
        <w:spacing w:after="0" w:line="115"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6"/>
          <w:szCs w:val="16"/>
          <w:i w:val="1"/>
          <w:iCs w:val="1"/>
          <w:color w:val="auto"/>
        </w:rPr>
        <w:t>The Participant consents to disclosure of Data to the Australian Tax Office, where required in accordance with the relevant Subsidiary or Affiliate’s reporting obligations under Australian tax legislation.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736" w:right="319" w:bottom="1440" w:gutter="0" w:footer="0" w:header="0"/>
        </w:sectPr>
      </w:pPr>
    </w:p>
    <w:bookmarkStart w:id="161" w:name="page162"/>
    <w:bookmarkEnd w:id="161"/>
    <w:p>
      <w:pPr>
        <w:spacing w:after="0" w:line="230" w:lineRule="auto"/>
        <w:rPr>
          <w:sz w:val="20"/>
          <w:szCs w:val="20"/>
          <w:color w:val="auto"/>
        </w:rPr>
      </w:pPr>
      <w:r>
        <w:rPr>
          <w:rFonts w:ascii="Times New Roman" w:cs="Times New Roman" w:eastAsia="Times New Roman" w:hAnsi="Times New Roman"/>
          <w:sz w:val="16"/>
          <w:szCs w:val="16"/>
          <w:i w:val="1"/>
          <w:iCs w:val="1"/>
          <w:color w:val="auto"/>
        </w:rPr>
        <w:t>The Participant acknowledges that he or she can access further information regarding data privacy in the Company’s Privacy Policy, including about how the Participant can access and seek correction of his or her personal information and make a complaint if he or she has any concerns regarding the treatment of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860"/>
          </w:cols>
          <w:pgMar w:left="300" w:top="734" w:right="739" w:bottom="1440"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304165</wp:posOffset>
            </wp:positionV>
            <wp:extent cx="5585460" cy="10300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1032510</wp:posOffset>
            </wp:positionH>
            <wp:positionV relativeFrom="page">
              <wp:posOffset>88900</wp:posOffset>
            </wp:positionV>
            <wp:extent cx="5591175" cy="55880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5591175" cy="558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425450</wp:posOffset>
            </wp:positionV>
            <wp:extent cx="5585460" cy="1017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1032510</wp:posOffset>
            </wp:positionH>
            <wp:positionV relativeFrom="page">
              <wp:posOffset>88900</wp:posOffset>
            </wp:positionV>
            <wp:extent cx="5591175" cy="5729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5591175"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426085</wp:posOffset>
            </wp:positionV>
            <wp:extent cx="5585460" cy="1017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1032510</wp:posOffset>
            </wp:positionH>
            <wp:positionV relativeFrom="page">
              <wp:posOffset>88900</wp:posOffset>
            </wp:positionV>
            <wp:extent cx="5591175" cy="5729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5591175"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426085</wp:posOffset>
            </wp:positionV>
            <wp:extent cx="5585460" cy="1017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1032510</wp:posOffset>
            </wp:positionH>
            <wp:positionV relativeFrom="page">
              <wp:posOffset>88900</wp:posOffset>
            </wp:positionV>
            <wp:extent cx="5591175" cy="5722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5591175"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426085</wp:posOffset>
            </wp:positionV>
            <wp:extent cx="5585460" cy="1017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1032510</wp:posOffset>
            </wp:positionH>
            <wp:positionV relativeFrom="page">
              <wp:posOffset>88900</wp:posOffset>
            </wp:positionV>
            <wp:extent cx="5591175" cy="5735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5591175"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426085</wp:posOffset>
            </wp:positionV>
            <wp:extent cx="5585460" cy="1017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88900</wp:posOffset>
            </wp:positionV>
            <wp:extent cx="5585460"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1032510</wp:posOffset>
            </wp:positionH>
            <wp:positionV relativeFrom="page">
              <wp:posOffset>88900</wp:posOffset>
            </wp:positionV>
            <wp:extent cx="5591175" cy="70300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5591175" cy="7030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1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05650" cy="560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9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05650" cy="5702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5792470</wp:posOffset>
            </wp:positionV>
            <wp:extent cx="7105650" cy="19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5785485</wp:posOffset>
            </wp:positionV>
            <wp:extent cx="7105650"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89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0565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89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710565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89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710565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56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105650" cy="5715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89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7105650" cy="568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70091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7105650" cy="7009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54" w:name="page355"/>
    <w:bookmarkEnd w:id="354"/>
    <w:p>
      <w:pPr>
        <w:jc w:val="center"/>
        <w:ind w:right="100"/>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(Form S-8 Nos. 333-259099, 333-248724, 333-233941) pertaining to the 2015 Stock Plan, 2019 Equity Incentive Plan and 2019 Employee Stock Purchase Plan of Peloton Interactive, Inc. of our reports dated September 6, 2022, with respect to the consolidated financial statements of Peloton Interactive, Inc. and the effectiveness of internal control over financial reporting of Peloton Interactive, Inc. included in its Annual Report (Form 10-K) for the year ended June 30, 2022, filed with the Securities and Exchange Commission.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6, 2022</w:t>
      </w:r>
    </w:p>
    <w:p>
      <w:pPr>
        <w:sectPr>
          <w:pgSz w:w="11900" w:h="16838" w:orient="portrait"/>
          <w:cols w:equalWidth="0" w:num="1">
            <w:col w:w="10960"/>
          </w:cols>
          <w:pgMar w:left="520" w:top="1143" w:right="419" w:bottom="1440" w:gutter="0" w:footer="0" w:header="0"/>
        </w:sectPr>
      </w:pPr>
    </w:p>
    <w:bookmarkStart w:id="355" w:name="page356"/>
    <w:bookmarkEnd w:id="355"/>
    <w:p>
      <w:pPr>
        <w:jc w:val="center"/>
        <w:spacing w:after="0" w:line="269" w:lineRule="auto"/>
        <w:rPr>
          <w:sz w:val="20"/>
          <w:szCs w:val="20"/>
          <w:color w:val="auto"/>
        </w:rPr>
      </w:pPr>
      <w:r>
        <w:rPr>
          <w:rFonts w:ascii="Arial" w:cs="Arial" w:eastAsia="Arial" w:hAnsi="Arial"/>
          <w:sz w:val="17"/>
          <w:szCs w:val="17"/>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I, Barry McCarthy, certify that:</w:t>
      </w:r>
    </w:p>
    <w:p>
      <w:pPr>
        <w:spacing w:after="0" w:line="190" w:lineRule="exact"/>
        <w:rPr>
          <w:sz w:val="20"/>
          <w:szCs w:val="20"/>
          <w:color w:val="auto"/>
        </w:rPr>
      </w:pPr>
    </w:p>
    <w:p>
      <w:pPr>
        <w:ind w:left="520" w:hanging="515"/>
        <w:spacing w:after="0"/>
        <w:tabs>
          <w:tab w:leader="none" w:pos="52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Peloton Interactive, Inc.;</w:t>
      </w:r>
    </w:p>
    <w:p>
      <w:pPr>
        <w:spacing w:after="0" w:line="200" w:lineRule="exact"/>
        <w:rPr>
          <w:rFonts w:ascii="Arial" w:cs="Arial" w:eastAsia="Arial" w:hAnsi="Arial"/>
          <w:sz w:val="13"/>
          <w:szCs w:val="13"/>
          <w:color w:val="auto"/>
        </w:rPr>
      </w:pPr>
    </w:p>
    <w:p>
      <w:pPr>
        <w:ind w:firstLine="5"/>
        <w:spacing w:after="0" w:line="266" w:lineRule="auto"/>
        <w:tabs>
          <w:tab w:leader="none" w:pos="509" w:val="left"/>
        </w:tabs>
        <w:numPr>
          <w:ilvl w:val="0"/>
          <w:numId w:val="12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3"/>
          <w:szCs w:val="13"/>
          <w:color w:val="auto"/>
        </w:rPr>
      </w:pPr>
    </w:p>
    <w:p>
      <w:pPr>
        <w:ind w:firstLine="5"/>
        <w:spacing w:after="0" w:line="266" w:lineRule="auto"/>
        <w:tabs>
          <w:tab w:leader="none" w:pos="509" w:val="left"/>
        </w:tabs>
        <w:numPr>
          <w:ilvl w:val="0"/>
          <w:numId w:val="12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3"/>
          <w:szCs w:val="13"/>
          <w:color w:val="auto"/>
        </w:rPr>
      </w:pPr>
    </w:p>
    <w:p>
      <w:pPr>
        <w:ind w:firstLine="5"/>
        <w:spacing w:after="0" w:line="283" w:lineRule="auto"/>
        <w:tabs>
          <w:tab w:leader="none" w:pos="509"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3"/>
          <w:szCs w:val="13"/>
          <w:color w:val="auto"/>
        </w:rPr>
      </w:pPr>
    </w:p>
    <w:p>
      <w:pPr>
        <w:ind w:left="520" w:hanging="260"/>
        <w:spacing w:after="0" w:line="283" w:lineRule="auto"/>
        <w:tabs>
          <w:tab w:leader="none" w:pos="52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3"/>
          <w:szCs w:val="13"/>
          <w:color w:val="auto"/>
        </w:rPr>
      </w:pPr>
    </w:p>
    <w:p>
      <w:pPr>
        <w:ind w:left="520" w:hanging="260"/>
        <w:spacing w:after="0" w:line="266" w:lineRule="auto"/>
        <w:tabs>
          <w:tab w:leader="none" w:pos="52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520" w:hanging="260"/>
        <w:spacing w:after="0" w:line="266" w:lineRule="auto"/>
        <w:tabs>
          <w:tab w:leader="none" w:pos="513" w:val="left"/>
        </w:tabs>
        <w:numPr>
          <w:ilvl w:val="1"/>
          <w:numId w:val="12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3"/>
          <w:szCs w:val="13"/>
          <w:color w:val="auto"/>
        </w:rPr>
      </w:pPr>
    </w:p>
    <w:p>
      <w:pPr>
        <w:ind w:left="520" w:hanging="260"/>
        <w:spacing w:after="0" w:line="283" w:lineRule="auto"/>
        <w:tabs>
          <w:tab w:leader="none" w:pos="52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3"/>
          <w:szCs w:val="13"/>
          <w:color w:val="auto"/>
        </w:rPr>
      </w:pPr>
    </w:p>
    <w:p>
      <w:pPr>
        <w:ind w:firstLine="5"/>
        <w:spacing w:after="0" w:line="256" w:lineRule="auto"/>
        <w:tabs>
          <w:tab w:leader="none" w:pos="509"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20" w:hanging="260"/>
        <w:spacing w:after="0" w:line="247" w:lineRule="auto"/>
        <w:tabs>
          <w:tab w:leader="none" w:pos="52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3"/>
          <w:szCs w:val="13"/>
          <w:color w:val="auto"/>
        </w:rPr>
      </w:pPr>
    </w:p>
    <w:p>
      <w:pPr>
        <w:ind w:left="520" w:hanging="260"/>
        <w:spacing w:after="0"/>
        <w:tabs>
          <w:tab w:leader="none" w:pos="52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6, 2022</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By: /s/ Barry McCarthy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Barry McCarthy</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8" w:right="319" w:bottom="1440" w:gutter="0" w:footer="0" w:header="0"/>
        </w:sectPr>
      </w:pPr>
    </w:p>
    <w:bookmarkStart w:id="356" w:name="page357"/>
    <w:bookmarkEnd w:id="356"/>
    <w:p>
      <w:pPr>
        <w:jc w:val="center"/>
        <w:spacing w:after="0" w:line="269" w:lineRule="auto"/>
        <w:rPr>
          <w:sz w:val="20"/>
          <w:szCs w:val="20"/>
          <w:color w:val="auto"/>
        </w:rPr>
      </w:pPr>
      <w:r>
        <w:rPr>
          <w:rFonts w:ascii="Arial" w:cs="Arial" w:eastAsia="Arial" w:hAnsi="Arial"/>
          <w:sz w:val="17"/>
          <w:szCs w:val="17"/>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I, Elizabeth F Coddington, certify that:</w:t>
      </w:r>
    </w:p>
    <w:p>
      <w:pPr>
        <w:spacing w:after="0" w:line="190" w:lineRule="exact"/>
        <w:rPr>
          <w:sz w:val="20"/>
          <w:szCs w:val="20"/>
          <w:color w:val="auto"/>
        </w:rPr>
      </w:pPr>
    </w:p>
    <w:p>
      <w:pPr>
        <w:ind w:left="520" w:hanging="515"/>
        <w:spacing w:after="0"/>
        <w:tabs>
          <w:tab w:leader="none" w:pos="5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Peloton Interactive, Inc.;</w:t>
      </w:r>
    </w:p>
    <w:p>
      <w:pPr>
        <w:spacing w:after="0" w:line="200" w:lineRule="exact"/>
        <w:rPr>
          <w:rFonts w:ascii="Arial" w:cs="Arial" w:eastAsia="Arial" w:hAnsi="Arial"/>
          <w:sz w:val="13"/>
          <w:szCs w:val="13"/>
          <w:color w:val="auto"/>
        </w:rPr>
      </w:pPr>
    </w:p>
    <w:p>
      <w:pPr>
        <w:ind w:firstLine="5"/>
        <w:spacing w:after="0" w:line="266" w:lineRule="auto"/>
        <w:tabs>
          <w:tab w:leader="none" w:pos="50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3"/>
          <w:szCs w:val="13"/>
          <w:color w:val="auto"/>
        </w:rPr>
      </w:pPr>
    </w:p>
    <w:p>
      <w:pPr>
        <w:ind w:firstLine="5"/>
        <w:spacing w:after="0" w:line="266" w:lineRule="auto"/>
        <w:tabs>
          <w:tab w:leader="none" w:pos="50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3"/>
          <w:szCs w:val="13"/>
          <w:color w:val="auto"/>
        </w:rPr>
      </w:pPr>
    </w:p>
    <w:p>
      <w:pPr>
        <w:ind w:firstLine="5"/>
        <w:spacing w:after="0" w:line="283" w:lineRule="auto"/>
        <w:tabs>
          <w:tab w:leader="none" w:pos="50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 for the registrant and have:</w:t>
      </w:r>
    </w:p>
    <w:p>
      <w:pPr>
        <w:spacing w:after="0" w:line="146" w:lineRule="exact"/>
        <w:rPr>
          <w:rFonts w:ascii="Arial" w:cs="Arial" w:eastAsia="Arial" w:hAnsi="Arial"/>
          <w:sz w:val="13"/>
          <w:szCs w:val="13"/>
          <w:color w:val="auto"/>
        </w:rPr>
      </w:pPr>
    </w:p>
    <w:p>
      <w:pPr>
        <w:ind w:left="520" w:hanging="260"/>
        <w:spacing w:after="0" w:line="283" w:lineRule="auto"/>
        <w:tabs>
          <w:tab w:leader="none" w:pos="5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3"/>
          <w:szCs w:val="13"/>
          <w:color w:val="auto"/>
        </w:rPr>
      </w:pPr>
    </w:p>
    <w:p>
      <w:pPr>
        <w:ind w:left="520" w:hanging="260"/>
        <w:spacing w:after="0" w:line="266" w:lineRule="auto"/>
        <w:tabs>
          <w:tab w:leader="none" w:pos="5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520" w:hanging="260"/>
        <w:spacing w:after="0" w:line="266" w:lineRule="auto"/>
        <w:tabs>
          <w:tab w:leader="none" w:pos="513" w:val="left"/>
        </w:tabs>
        <w:numPr>
          <w:ilvl w:val="1"/>
          <w:numId w:val="12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3"/>
          <w:szCs w:val="13"/>
          <w:color w:val="auto"/>
        </w:rPr>
      </w:pPr>
    </w:p>
    <w:p>
      <w:pPr>
        <w:ind w:left="520" w:hanging="260"/>
        <w:spacing w:after="0" w:line="283" w:lineRule="auto"/>
        <w:tabs>
          <w:tab w:leader="none" w:pos="5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3"/>
          <w:szCs w:val="13"/>
          <w:color w:val="auto"/>
        </w:rPr>
      </w:pPr>
    </w:p>
    <w:p>
      <w:pPr>
        <w:ind w:firstLine="5"/>
        <w:spacing w:after="0" w:line="256" w:lineRule="auto"/>
        <w:tabs>
          <w:tab w:leader="none" w:pos="50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20" w:hanging="260"/>
        <w:spacing w:after="0" w:line="247" w:lineRule="auto"/>
        <w:tabs>
          <w:tab w:leader="none" w:pos="5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3"/>
          <w:szCs w:val="13"/>
          <w:color w:val="auto"/>
        </w:rPr>
      </w:pPr>
    </w:p>
    <w:p>
      <w:pPr>
        <w:ind w:left="520" w:hanging="260"/>
        <w:spacing w:after="0"/>
        <w:tabs>
          <w:tab w:leader="none" w:pos="5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6, 2022</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By: /s/ Elizabeth F Coddington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Elizabeth F Coddington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11280"/>
          </w:cols>
          <w:pgMar w:left="300" w:top="129" w:right="31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7"/>
          <w:szCs w:val="17"/>
          <w:b w:val="1"/>
          <w:bCs w:val="1"/>
          <w:color w:val="auto"/>
        </w:rPr>
        <w:t>CERTIFICATION OF PRINCIPAL EXECUTIVE OFFICER PURSUANT TO</w:t>
      </w:r>
    </w:p>
    <w:p>
      <w:pPr>
        <w:spacing w:after="0" w:line="22"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3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 Barry McCarthy, Chief Executive Officer of Peloton Interactive, Inc. (the “Company”), do hereby certify, pursuant to 18 U.S.C. Section 1350, as adopted pursuant to Section 906 of the Sarbanes-Oxley Act of 2002, that to the best of my knowledge:</w:t>
      </w:r>
    </w:p>
    <w:p>
      <w:pPr>
        <w:spacing w:after="0" w:line="167" w:lineRule="exact"/>
        <w:rPr>
          <w:sz w:val="20"/>
          <w:szCs w:val="20"/>
          <w:color w:val="auto"/>
        </w:rPr>
      </w:pPr>
    </w:p>
    <w:p>
      <w:pPr>
        <w:ind w:left="520" w:hanging="260"/>
        <w:spacing w:after="0" w:line="266" w:lineRule="auto"/>
        <w:tabs>
          <w:tab w:leader="none" w:pos="5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fiscal year ended June 30, 2022 (the “Report”) fully complies with the requirements of Section 13(a) or 15(d) of the Securities Exchange Act of 1934, as amended; and</w:t>
      </w:r>
    </w:p>
    <w:p>
      <w:pPr>
        <w:spacing w:after="0" w:line="167" w:lineRule="exact"/>
        <w:rPr>
          <w:rFonts w:ascii="Arial" w:cs="Arial" w:eastAsia="Arial" w:hAnsi="Arial"/>
          <w:sz w:val="13"/>
          <w:szCs w:val="13"/>
          <w:color w:val="auto"/>
        </w:rPr>
      </w:pPr>
    </w:p>
    <w:p>
      <w:pPr>
        <w:ind w:left="520" w:hanging="260"/>
        <w:spacing w:after="0"/>
        <w:tabs>
          <w:tab w:leader="none" w:pos="5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6, 2022</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By: /s/ Barry McCarthy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Barry McCarthy</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8" w:right="31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w:t>
      </w:r>
    </w:p>
    <w:p>
      <w:pPr>
        <w:spacing w:after="0" w:line="22"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I, Elizabeth F Coddington, Chief Financial Officer of Peloton Interactive, Inc. (the “Company”), do hereby certify, pursuant to 18 U.S.C. Section 1350, as adopted pursuant to Section 906 of the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Sarbanes-Oxley Act of 2002, that to the best of my knowledge:</w:t>
      </w:r>
    </w:p>
    <w:p>
      <w:pPr>
        <w:spacing w:after="0" w:line="189" w:lineRule="exact"/>
        <w:rPr>
          <w:sz w:val="20"/>
          <w:szCs w:val="20"/>
          <w:color w:val="auto"/>
        </w:rPr>
      </w:pPr>
    </w:p>
    <w:p>
      <w:pPr>
        <w:ind w:left="520" w:hanging="260"/>
        <w:spacing w:after="0" w:line="266" w:lineRule="auto"/>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fiscal year ended June 30, 2022 (the “Report”) fully complies with the requirements of Section 13(a) or 15(d) of the Securities Exchange Act of 1934, as amended; and</w:t>
      </w:r>
    </w:p>
    <w:p>
      <w:pPr>
        <w:spacing w:after="0" w:line="167" w:lineRule="exact"/>
        <w:rPr>
          <w:rFonts w:ascii="Arial" w:cs="Arial" w:eastAsia="Arial" w:hAnsi="Arial"/>
          <w:sz w:val="13"/>
          <w:szCs w:val="13"/>
          <w:color w:val="auto"/>
        </w:rPr>
      </w:pPr>
    </w:p>
    <w:p>
      <w:pPr>
        <w:ind w:left="520" w:hanging="260"/>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6, 2022</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By: /s/ Elizabeth F Coddington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Elizabeth F Coddington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11280"/>
      </w:cols>
      <w:pgMar w:left="300" w:top="1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1)"/>
      <w:numFmt w:val="decimal"/>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1)"/>
      <w:numFmt w:val="decimal"/>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1."/>
      <w:numFmt w:val="decimal"/>
      <w:start w:val="20"/>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3"/>
    </w:lvl>
  </w:abstractNum>
  <w:abstractNum w:abstractNumId="51">
    <w:nsid w:val="4C04A8AF"/>
    <w:multiLevelType w:val="hybridMultilevel"/>
    <w:lvl w:ilvl="0">
      <w:lvlJc w:val="left"/>
      <w:lvlText w:val="(%1)"/>
      <w:numFmt w:val="lowerLetter"/>
      <w:start w:val="1"/>
    </w:lvl>
  </w:abstractNum>
  <w:abstractNum w:abstractNumId="52">
    <w:nsid w:val="1716703B"/>
    <w:multiLevelType w:val="hybridMultilevel"/>
    <w:lvl w:ilvl="0">
      <w:lvlJc w:val="left"/>
      <w:lvlText w:val="(%1)"/>
      <w:numFmt w:val="lowerLetter"/>
      <w:start w:val="3"/>
    </w:lvl>
  </w:abstractNum>
  <w:abstractNum w:abstractNumId="53">
    <w:nsid w:val="14E17E33"/>
    <w:multiLevelType w:val="hybridMultilevel"/>
    <w:lvl w:ilvl="0">
      <w:lvlJc w:val="left"/>
      <w:lvlText w:val="(%1)"/>
      <w:numFmt w:val="lowerLetter"/>
      <w:start w:val="11"/>
    </w:lvl>
  </w:abstractNum>
  <w:abstractNum w:abstractNumId="54">
    <w:nsid w:val="3222E7CD"/>
    <w:multiLevelType w:val="hybridMultilevel"/>
    <w:lvl w:ilvl="0">
      <w:lvlJc w:val="left"/>
      <w:lvlText w:val="(%1)"/>
      <w:numFmt w:val="lowerLetter"/>
      <w:start w:val="13"/>
    </w:lvl>
  </w:abstractNum>
  <w:abstractNum w:abstractNumId="55">
    <w:nsid w:val="74DE0EE3"/>
    <w:multiLevelType w:val="hybridMultilevel"/>
    <w:lvl w:ilvl="0">
      <w:lvlJc w:val="left"/>
      <w:lvlText w:val="(%1)"/>
      <w:numFmt w:val="lowerLetter"/>
      <w:start w:val="18"/>
    </w:lvl>
  </w:abstractNum>
  <w:abstractNum w:abstractNumId="56">
    <w:nsid w:val="68EBC550"/>
    <w:multiLevelType w:val="hybridMultilevel"/>
    <w:lvl w:ilvl="0">
      <w:lvlJc w:val="left"/>
      <w:lvlText w:val="%1."/>
      <w:numFmt w:val="decimal"/>
      <w:start w:val="5"/>
    </w:lvl>
  </w:abstractNum>
  <w:abstractNum w:abstractNumId="57">
    <w:nsid w:val="2DF6D648"/>
    <w:multiLevelType w:val="hybridMultilevel"/>
    <w:lvl w:ilvl="0">
      <w:lvlJc w:val="left"/>
      <w:lvlText w:val="(%1)"/>
      <w:numFmt w:val="lowerLetter"/>
      <w:start w:val="1"/>
    </w:lvl>
  </w:abstractNum>
  <w:abstractNum w:abstractNumId="58">
    <w:nsid w:val="46B7D447"/>
    <w:multiLevelType w:val="hybridMultilevel"/>
    <w:lvl w:ilvl="0">
      <w:lvlJc w:val="left"/>
      <w:lvlText w:val="%1."/>
      <w:numFmt w:val="decimal"/>
      <w:start w:val="6"/>
    </w:lvl>
  </w:abstractNum>
  <w:abstractNum w:abstractNumId="59">
    <w:nsid w:val="4A2AC315"/>
    <w:multiLevelType w:val="hybridMultilevel"/>
    <w:lvl w:ilvl="0">
      <w:lvlJc w:val="left"/>
      <w:lvlText w:val="%1."/>
      <w:numFmt w:val="decimal"/>
      <w:start w:val="8"/>
    </w:lvl>
  </w:abstractNum>
  <w:abstractNum w:abstractNumId="60">
    <w:nsid w:val="39EE015C"/>
    <w:multiLevelType w:val="hybridMultilevel"/>
    <w:lvl w:ilvl="0">
      <w:lvlJc w:val="left"/>
      <w:lvlText w:val="%1."/>
      <w:numFmt w:val="decimal"/>
      <w:start w:val="9"/>
    </w:lvl>
  </w:abstractNum>
  <w:abstractNum w:abstractNumId="61">
    <w:nsid w:val="57FC4FBB"/>
    <w:multiLevelType w:val="hybridMultilevel"/>
    <w:lvl w:ilvl="0">
      <w:lvlJc w:val="left"/>
      <w:lvlText w:val="%1."/>
      <w:numFmt w:val="decimal"/>
      <w:start w:val="10"/>
    </w:lvl>
  </w:abstractNum>
  <w:abstractNum w:abstractNumId="62">
    <w:nsid w:val="CC1016F"/>
    <w:multiLevelType w:val="hybridMultilevel"/>
    <w:lvl w:ilvl="0">
      <w:lvlJc w:val="left"/>
      <w:lvlText w:val="%1."/>
      <w:numFmt w:val="decimal"/>
      <w:start w:val="11"/>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26"/>
    </w:lvl>
  </w:abstractNum>
  <w:abstractNum w:abstractNumId="65">
    <w:nsid w:val="26F324BA"/>
    <w:multiLevelType w:val="hybridMultilevel"/>
    <w:lvl w:ilvl="0">
      <w:lvlJc w:val="left"/>
      <w:lvlText w:val="%1."/>
      <w:numFmt w:val="decimal"/>
      <w:start w:val="12"/>
    </w:lvl>
    <w:lvl w:ilvl="1">
      <w:lvlJc w:val="left"/>
      <w:lvlText w:val="(%2)"/>
      <w:numFmt w:val="lowerLetter"/>
      <w:start w:val="1"/>
    </w:lvl>
  </w:abstractNum>
  <w:abstractNum w:abstractNumId="66">
    <w:nsid w:val="7F01579B"/>
    <w:multiLevelType w:val="hybridMultilevel"/>
    <w:lvl w:ilvl="0">
      <w:lvlJc w:val="left"/>
      <w:lvlText w:val="%1."/>
      <w:numFmt w:val="decimal"/>
      <w:start w:val="14"/>
    </w:lvl>
  </w:abstractNum>
  <w:abstractNum w:abstractNumId="67">
    <w:nsid w:val="49DA307D"/>
    <w:multiLevelType w:val="hybridMultilevel"/>
    <w:lvl w:ilvl="0">
      <w:lvlJc w:val="left"/>
      <w:lvlText w:val="%1."/>
      <w:numFmt w:val="decimal"/>
      <w:start w:val="15"/>
    </w:lvl>
  </w:abstractNum>
  <w:abstractNum w:abstractNumId="68">
    <w:nsid w:val="7055A5F5"/>
    <w:multiLevelType w:val="hybridMultilevel"/>
    <w:lvl w:ilvl="0">
      <w:lvlJc w:val="left"/>
      <w:lvlText w:val="%1."/>
      <w:numFmt w:val="decimal"/>
      <w:start w:val="17"/>
    </w:lvl>
  </w:abstractNum>
  <w:abstractNum w:abstractNumId="69">
    <w:nsid w:val="5FB8370B"/>
    <w:multiLevelType w:val="hybridMultilevel"/>
    <w:lvl w:ilvl="0">
      <w:lvlJc w:val="left"/>
      <w:lvlText w:val="(%1)"/>
      <w:numFmt w:val="lowerLetter"/>
      <w:start w:val="2"/>
    </w:lvl>
  </w:abstractNum>
  <w:abstractNum w:abstractNumId="70">
    <w:nsid w:val="50801EE1"/>
    <w:multiLevelType w:val="hybridMultilevel"/>
    <w:lvl w:ilvl="0">
      <w:lvlJc w:val="left"/>
      <w:lvlText w:val="%1."/>
      <w:numFmt w:val="decimal"/>
      <w:start w:val="21"/>
    </w:lvl>
  </w:abstractNum>
  <w:abstractNum w:abstractNumId="71">
    <w:nsid w:val="488AC1A"/>
    <w:multiLevelType w:val="hybridMultilevel"/>
    <w:lvl w:ilvl="0">
      <w:lvlJc w:val="left"/>
      <w:lvlText w:val="%1."/>
      <w:numFmt w:val="decimal"/>
      <w:start w:val="22"/>
    </w:lvl>
  </w:abstractNum>
  <w:abstractNum w:abstractNumId="72">
    <w:nsid w:val="5FB8011C"/>
    <w:multiLevelType w:val="hybridMultilevel"/>
    <w:lvl w:ilvl="0">
      <w:lvlJc w:val="left"/>
      <w:lvlText w:val="(%1)"/>
      <w:numFmt w:val="lowerLetter"/>
      <w:start w:val="2"/>
    </w:lvl>
  </w:abstractNum>
  <w:abstractNum w:abstractNumId="73">
    <w:nsid w:val="6AA78F7F"/>
    <w:multiLevelType w:val="hybridMultilevel"/>
    <w:lvl w:ilvl="0">
      <w:lvlJc w:val="left"/>
      <w:lvlText w:val="%1."/>
      <w:numFmt w:val="decimal"/>
      <w:start w:val="23"/>
    </w:lvl>
  </w:abstractNum>
  <w:abstractNum w:abstractNumId="74">
    <w:nsid w:val="7672BD23"/>
    <w:multiLevelType w:val="hybridMultilevel"/>
    <w:lvl w:ilvl="0">
      <w:lvlJc w:val="left"/>
      <w:lvlText w:val="%1."/>
      <w:numFmt w:val="decimal"/>
      <w:start w:val="26"/>
    </w:lvl>
  </w:abstractNum>
  <w:abstractNum w:abstractNumId="75">
    <w:nsid w:val="6FC75AF8"/>
    <w:multiLevelType w:val="hybridMultilevel"/>
    <w:lvl w:ilvl="0">
      <w:lvlJc w:val="left"/>
      <w:lvlText w:val="%1."/>
      <w:numFmt w:val="decimal"/>
      <w:start w:val="29"/>
    </w:lvl>
  </w:abstractNum>
  <w:abstractNum w:abstractNumId="76">
    <w:nsid w:val="6A5F7029"/>
    <w:multiLevelType w:val="hybridMultilevel"/>
    <w:lvl w:ilvl="0">
      <w:lvlJc w:val="left"/>
      <w:lvlText w:val="(%1)"/>
      <w:numFmt w:val="lowerLetter"/>
      <w:start w:val="2"/>
    </w:lvl>
  </w:abstractNum>
  <w:abstractNum w:abstractNumId="77">
    <w:nsid w:val="7D5E18F8"/>
    <w:multiLevelType w:val="hybridMultilevel"/>
    <w:lvl w:ilvl="0">
      <w:lvlJc w:val="left"/>
      <w:lvlText w:val="(%1)"/>
      <w:numFmt w:val="lowerLetter"/>
      <w:start w:val="1"/>
    </w:lvl>
  </w:abstractNum>
  <w:abstractNum w:abstractNumId="78">
    <w:nsid w:val="5F3534A4"/>
    <w:multiLevelType w:val="hybridMultilevel"/>
    <w:lvl w:ilvl="0">
      <w:lvlJc w:val="left"/>
      <w:lvlText w:val="(%1)"/>
      <w:numFmt w:val="lowerLetter"/>
      <w:start w:val="5"/>
    </w:lvl>
  </w:abstractNum>
  <w:abstractNum w:abstractNumId="79">
    <w:nsid w:val="73A1821B"/>
    <w:multiLevelType w:val="hybridMultilevel"/>
    <w:lvl w:ilvl="0">
      <w:lvlJc w:val="left"/>
      <w:lvlText w:val="(%1)"/>
      <w:numFmt w:val="lowerLetter"/>
      <w:start w:val="26"/>
    </w:lvl>
  </w:abstractNum>
  <w:abstractNum w:abstractNumId="80">
    <w:nsid w:val="7DE67713"/>
    <w:multiLevelType w:val="hybridMultilevel"/>
    <w:lvl w:ilvl="0">
      <w:lvlJc w:val="left"/>
      <w:lvlText w:val="(%1)"/>
      <w:numFmt w:val="lowerLetter"/>
      <w:start w:val="27"/>
    </w:lvl>
  </w:abstractNum>
  <w:abstractNum w:abstractNumId="81">
    <w:nsid w:val="555C55B5"/>
    <w:multiLevelType w:val="hybridMultilevel"/>
    <w:lvl w:ilvl="0">
      <w:lvlJc w:val="left"/>
      <w:lvlText w:val="(%1)"/>
      <w:numFmt w:val="lowerLetter"/>
      <w:start w:val="27"/>
    </w:lvl>
  </w:abstractNum>
  <w:abstractNum w:abstractNumId="82">
    <w:nsid w:val="3FA62ACA"/>
    <w:multiLevelType w:val="hybridMultilevel"/>
    <w:lvl w:ilvl="0">
      <w:lvlJc w:val="left"/>
      <w:lvlText w:val="(%1)"/>
      <w:numFmt w:val="lowerLetter"/>
      <w:start w:val="42"/>
    </w:lvl>
  </w:abstractNum>
  <w:abstractNum w:abstractNumId="83">
    <w:nsid w:val="14FCE74E"/>
    <w:multiLevelType w:val="hybridMultilevel"/>
    <w:lvl w:ilvl="0">
      <w:lvlJc w:val="left"/>
      <w:lvlText w:val="%1."/>
      <w:numFmt w:val="decimal"/>
      <w:start w:val="1"/>
    </w:lvl>
  </w:abstractNum>
  <w:abstractNum w:abstractNumId="84">
    <w:nsid w:val="6A3DD3E8"/>
    <w:multiLevelType w:val="hybridMultilevel"/>
    <w:lvl w:ilvl="0">
      <w:lvlJc w:val="left"/>
      <w:lvlText w:val="%1."/>
      <w:numFmt w:val="decimal"/>
      <w:start w:val="1"/>
    </w:lvl>
  </w:abstractNum>
  <w:abstractNum w:abstractNumId="85">
    <w:nsid w:val="71C91298"/>
    <w:multiLevelType w:val="hybridMultilevel"/>
    <w:lvl w:ilvl="0">
      <w:lvlJc w:val="left"/>
      <w:lvlText w:val="%1"/>
      <w:numFmt w:val="decimal"/>
      <w:start w:val="1"/>
    </w:lvl>
    <w:lvl w:ilvl="1">
      <w:lvlJc w:val="left"/>
      <w:lvlText w:val="%2."/>
      <w:numFmt w:val="decimal"/>
      <w:start w:val="1"/>
    </w:lvl>
  </w:abstractNum>
  <w:abstractNum w:abstractNumId="86">
    <w:nsid w:val="9DAF632"/>
    <w:multiLevelType w:val="hybridMultilevel"/>
    <w:lvl w:ilvl="0">
      <w:lvlJc w:val="left"/>
      <w:lvlText w:val="%1."/>
      <w:numFmt w:val="decimal"/>
      <w:start w:val="2"/>
    </w:lvl>
    <w:lvl w:ilvl="1">
      <w:lvlJc w:val="left"/>
      <w:lvlText w:val="%2"/>
      <w:numFmt w:val="decimal"/>
      <w:start w:val="1"/>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decimal"/>
      <w:start w:val="4"/>
    </w:lvl>
  </w:abstractNum>
  <w:abstractNum w:abstractNumId="89">
    <w:nsid w:val="5092CA79"/>
    <w:multiLevelType w:val="hybridMultilevel"/>
    <w:lvl w:ilvl="0">
      <w:lvlJc w:val="left"/>
      <w:lvlText w:val="%1"/>
      <w:numFmt w:val="decimal"/>
      <w:start w:val="1"/>
    </w:lvl>
    <w:lvl w:ilvl="1">
      <w:lvlJc w:val="left"/>
      <w:lvlText w:val="(%2)"/>
      <w:numFmt w:val="lowerLetter"/>
      <w:start w:val="1"/>
    </w:lvl>
  </w:abstractNum>
  <w:abstractNum w:abstractNumId="90">
    <w:nsid w:val="1D545C4D"/>
    <w:multiLevelType w:val="hybridMultilevel"/>
    <w:lvl w:ilvl="0">
      <w:lvlJc w:val="left"/>
      <w:lvlText w:val="%1."/>
      <w:numFmt w:val="decimal"/>
      <w:start w:val="5"/>
    </w:lvl>
    <w:lvl w:ilvl="1">
      <w:lvlJc w:val="left"/>
      <w:lvlText w:val="(%2)"/>
      <w:numFmt w:val="lowerLetter"/>
      <w:start w:val="1"/>
    </w:lvl>
  </w:abstractNum>
  <w:abstractNum w:abstractNumId="91">
    <w:nsid w:val="59ADEA3D"/>
    <w:multiLevelType w:val="hybridMultilevel"/>
    <w:lvl w:ilvl="0">
      <w:lvlJc w:val="left"/>
      <w:lvlText w:val="%1"/>
      <w:numFmt w:val="decimal"/>
      <w:start w:val="1"/>
    </w:lvl>
    <w:lvl w:ilvl="1">
      <w:lvlJc w:val="left"/>
      <w:lvlText w:val="%2."/>
      <w:numFmt w:val="decimal"/>
      <w:start w:val="6"/>
    </w:lvl>
  </w:abstractNum>
  <w:abstractNum w:abstractNumId="92">
    <w:nsid w:val="288F1A34"/>
    <w:multiLevelType w:val="hybridMultilevel"/>
    <w:lvl w:ilvl="0">
      <w:lvlJc w:val="left"/>
      <w:lvlText w:val="%1."/>
      <w:numFmt w:val="decimal"/>
      <w:start w:val="7"/>
    </w:lvl>
    <w:lvl w:ilvl="1">
      <w:lvlJc w:val="left"/>
      <w:lvlText w:val="%2"/>
      <w:numFmt w:val="decimal"/>
      <w:start w:val="1"/>
    </w:lvl>
  </w:abstractNum>
  <w:abstractNum w:abstractNumId="93">
    <w:nsid w:val="2A155DBC"/>
    <w:multiLevelType w:val="hybridMultilevel"/>
    <w:lvl w:ilvl="0">
      <w:lvlJc w:val="left"/>
      <w:lvlText w:val="(%1)"/>
      <w:numFmt w:val="lowerLetter"/>
      <w:start w:val="1"/>
    </w:lvl>
    <w:lvl w:ilvl="1">
      <w:lvlJc w:val="left"/>
      <w:lvlText w:val="(%2)"/>
      <w:numFmt w:val="lowerRoman"/>
      <w:start w:val="1"/>
    </w:lvl>
  </w:abstractNum>
  <w:abstractNum w:abstractNumId="94">
    <w:nsid w:val="1D9F6E5F"/>
    <w:multiLevelType w:val="hybridMultilevel"/>
    <w:lvl w:ilvl="0">
      <w:lvlJc w:val="left"/>
      <w:lvlText w:val="(%1)"/>
      <w:numFmt w:val="lowerLetter"/>
      <w:start w:val="3"/>
    </w:lvl>
  </w:abstractNum>
  <w:abstractNum w:abstractNumId="95">
    <w:nsid w:val="97E1B4E"/>
    <w:multiLevelType w:val="hybridMultilevel"/>
    <w:lvl w:ilvl="0">
      <w:lvlJc w:val="left"/>
      <w:lvlText w:val="%1"/>
      <w:numFmt w:val="decimal"/>
      <w:start w:val="1"/>
    </w:lvl>
    <w:lvl w:ilvl="1">
      <w:lvlJc w:val="left"/>
      <w:lvlText w:val="(%2)"/>
      <w:numFmt w:val="lowerLetter"/>
      <w:start w:val="1"/>
    </w:lvl>
  </w:abstractNum>
  <w:abstractNum w:abstractNumId="96">
    <w:nsid w:val="51088277"/>
    <w:multiLevelType w:val="hybridMultilevel"/>
    <w:lvl w:ilvl="0">
      <w:lvlJc w:val="left"/>
      <w:lvlText w:val="%1."/>
      <w:numFmt w:val="decimal"/>
      <w:start w:val="10"/>
    </w:lvl>
    <w:lvl w:ilvl="1">
      <w:lvlJc w:val="left"/>
      <w:lvlText w:val="%2"/>
      <w:numFmt w:val="lowerLetter"/>
      <w:start w:val="1"/>
    </w:lvl>
  </w:abstractNum>
  <w:abstractNum w:abstractNumId="97">
    <w:nsid w:val="1CA0C5FA"/>
    <w:multiLevelType w:val="hybridMultilevel"/>
    <w:lvl w:ilvl="0">
      <w:lvlJc w:val="left"/>
      <w:lvlText w:val="%1."/>
      <w:numFmt w:val="decimal"/>
      <w:start w:val="11"/>
    </w:lvl>
  </w:abstractNum>
  <w:abstractNum w:abstractNumId="98">
    <w:nsid w:val="53584BCB"/>
    <w:multiLevelType w:val="hybridMultilevel"/>
    <w:lvl w:ilvl="0">
      <w:lvlJc w:val="left"/>
      <w:lvlText w:val="%1"/>
      <w:numFmt w:val="decimal"/>
      <w:start w:val="1"/>
    </w:lvl>
    <w:lvl w:ilvl="1">
      <w:lvlJc w:val="left"/>
      <w:lvlText w:val="%2."/>
      <w:numFmt w:val="decimal"/>
      <w:start w:val="12"/>
    </w:lvl>
  </w:abstractNum>
  <w:abstractNum w:abstractNumId="99">
    <w:nsid w:val="415E286C"/>
    <w:multiLevelType w:val="hybridMultilevel"/>
    <w:lvl w:ilvl="0">
      <w:lvlJc w:val="left"/>
      <w:lvlText w:val="%1."/>
      <w:numFmt w:val="decimal"/>
      <w:start w:val="13"/>
    </w:lvl>
    <w:lvl w:ilvl="1">
      <w:lvlJc w:val="left"/>
      <w:lvlText w:val="%2"/>
      <w:numFmt w:val="decimal"/>
      <w:start w:val="1"/>
    </w:lvl>
  </w:abstractNum>
  <w:abstractNum w:abstractNumId="100">
    <w:nsid w:val="7C58FD05"/>
    <w:multiLevelType w:val="hybridMultilevel"/>
    <w:lvl w:ilvl="0">
      <w:lvlJc w:val="left"/>
      <w:lvlText w:val="%1."/>
      <w:numFmt w:val="decimal"/>
      <w:start w:val="16"/>
    </w:lvl>
    <w:lvl w:ilvl="1">
      <w:lvlJc w:val="left"/>
      <w:lvlText w:val="(%2)"/>
      <w:numFmt w:val="lowerLetter"/>
      <w:start w:val="2"/>
    </w:lvl>
  </w:abstractNum>
  <w:abstractNum w:abstractNumId="101">
    <w:nsid w:val="23D86AAC"/>
    <w:multiLevelType w:val="hybridMultilevel"/>
    <w:lvl w:ilvl="0">
      <w:lvlJc w:val="left"/>
      <w:lvlText w:val="%1"/>
      <w:numFmt w:val="decimal"/>
      <w:start w:val="1"/>
    </w:lvl>
    <w:lvl w:ilvl="1">
      <w:lvlJc w:val="left"/>
      <w:lvlText w:val="%2."/>
      <w:numFmt w:val="decimal"/>
      <w:start w:val="20"/>
    </w:lvl>
  </w:abstractNum>
  <w:abstractNum w:abstractNumId="102">
    <w:nsid w:val="45E6D486"/>
    <w:multiLevelType w:val="hybridMultilevel"/>
    <w:lvl w:ilvl="0">
      <w:lvlJc w:val="left"/>
      <w:lvlText w:val="%1."/>
      <w:numFmt w:val="decimal"/>
      <w:start w:val="21"/>
    </w:lvl>
    <w:lvl w:ilvl="1">
      <w:lvlJc w:val="left"/>
      <w:lvlText w:val="%2"/>
      <w:numFmt w:val="decimal"/>
      <w:start w:val="1"/>
    </w:lvl>
  </w:abstractNum>
  <w:abstractNum w:abstractNumId="103">
    <w:nsid w:val="5C10FE21"/>
    <w:multiLevelType w:val="hybridMultilevel"/>
    <w:lvl w:ilvl="0">
      <w:lvlJc w:val="left"/>
      <w:lvlText w:val="%1."/>
      <w:numFmt w:val="decimal"/>
      <w:start w:val="22"/>
    </w:lvl>
  </w:abstractNum>
  <w:abstractNum w:abstractNumId="104">
    <w:nsid w:val="E7FFA2B"/>
    <w:multiLevelType w:val="hybridMultilevel"/>
    <w:lvl w:ilvl="0">
      <w:lvlJc w:val="left"/>
      <w:lvlText w:val="%1"/>
      <w:numFmt w:val="decimal"/>
      <w:start w:val="1"/>
    </w:lvl>
    <w:lvl w:ilvl="1">
      <w:lvlJc w:val="left"/>
      <w:lvlText w:val="%2."/>
      <w:numFmt w:val="decimal"/>
      <w:start w:val="1"/>
    </w:lvl>
  </w:abstractNum>
  <w:abstractNum w:abstractNumId="105">
    <w:nsid w:val="3C5991AA"/>
    <w:multiLevelType w:val="hybridMultilevel"/>
    <w:lvl w:ilvl="0">
      <w:lvlJc w:val="left"/>
      <w:lvlText w:val="%1."/>
      <w:numFmt w:val="decimal"/>
      <w:start w:val="2"/>
    </w:lvl>
    <w:lvl w:ilvl="1">
      <w:lvlJc w:val="left"/>
      <w:lvlText w:val="%2"/>
      <w:numFmt w:val="decimal"/>
      <w:start w:val="1"/>
    </w:lvl>
  </w:abstractNum>
  <w:abstractNum w:abstractNumId="106">
    <w:nsid w:val="4BD8591A"/>
    <w:multiLevelType w:val="hybridMultilevel"/>
    <w:lvl w:ilvl="0">
      <w:lvlJc w:val="left"/>
      <w:lvlText w:val="%1."/>
      <w:numFmt w:val="decimal"/>
      <w:start w:val="3"/>
    </w:lvl>
  </w:abstractNum>
  <w:abstractNum w:abstractNumId="107">
    <w:nsid w:val="78DF6A55"/>
    <w:multiLevelType w:val="hybridMultilevel"/>
    <w:lvl w:ilvl="0">
      <w:lvlJc w:val="left"/>
      <w:lvlText w:val="%1)"/>
      <w:numFmt w:val="decimal"/>
      <w:start w:val="1"/>
    </w:lvl>
  </w:abstractNum>
  <w:abstractNum w:abstractNumId="108">
    <w:nsid w:val="39B7AAA2"/>
    <w:multiLevelType w:val="hybridMultilevel"/>
    <w:lvl w:ilvl="0">
      <w:lvlJc w:val="left"/>
      <w:lvlText w:val="%1."/>
      <w:numFmt w:val="decimal"/>
      <w:start w:val="1"/>
    </w:lvl>
    <w:lvl w:ilvl="1">
      <w:lvlJc w:val="left"/>
      <w:lvlText w:val="(%2)"/>
      <w:numFmt w:val="lowerLetter"/>
      <w:start w:val="1"/>
    </w:lvl>
  </w:abstractNum>
  <w:abstractNum w:abstractNumId="109">
    <w:nsid w:val="2B0D8DBE"/>
    <w:multiLevelType w:val="hybridMultilevel"/>
    <w:lvl w:ilvl="0">
      <w:lvlJc w:val="left"/>
      <w:lvlText w:val="(%1)"/>
      <w:numFmt w:val="lowerLetter"/>
      <w:start w:val="2"/>
    </w:lvl>
    <w:lvl w:ilvl="1">
      <w:lvlJc w:val="left"/>
      <w:lvlText w:val="(%2)"/>
      <w:numFmt w:val="lowerRoman"/>
      <w:start w:val="1"/>
    </w:lvl>
  </w:abstractNum>
  <w:abstractNum w:abstractNumId="110">
    <w:nsid w:val="6C80EC70"/>
    <w:multiLevelType w:val="hybridMultilevel"/>
    <w:lvl w:ilvl="0">
      <w:lvlJc w:val="left"/>
      <w:lvlText w:val="%1."/>
      <w:numFmt w:val="decimal"/>
      <w:start w:val="7"/>
    </w:lvl>
  </w:abstractNum>
  <w:abstractNum w:abstractNumId="111">
    <w:nsid w:val="379E21B5"/>
    <w:multiLevelType w:val="hybridMultilevel"/>
    <w:lvl w:ilvl="0">
      <w:lvlJc w:val="left"/>
      <w:lvlText w:val="%1"/>
      <w:numFmt w:val="decimal"/>
      <w:start w:val="1"/>
    </w:lvl>
    <w:lvl w:ilvl="1">
      <w:lvlJc w:val="left"/>
      <w:lvlText w:val="(%2)"/>
      <w:numFmt w:val="lowerLetter"/>
      <w:start w:val="3"/>
    </w:lvl>
  </w:abstractNum>
  <w:abstractNum w:abstractNumId="112">
    <w:nsid w:val="69E373"/>
    <w:multiLevelType w:val="hybridMultilevel"/>
    <w:lvl w:ilvl="0">
      <w:lvlJc w:val="left"/>
      <w:lvlText w:val="%1."/>
      <w:numFmt w:val="decimal"/>
      <w:start w:val="8"/>
    </w:lvl>
    <w:lvl w:ilvl="1">
      <w:lvlJc w:val="left"/>
      <w:lvlText w:val="%2"/>
      <w:numFmt w:val="lowerLetter"/>
      <w:start w:val="1"/>
    </w:lvl>
  </w:abstractNum>
  <w:abstractNum w:abstractNumId="113">
    <w:nsid w:val="2C27173B"/>
    <w:multiLevelType w:val="hybridMultilevel"/>
    <w:lvl w:ilvl="0">
      <w:lvlJc w:val="left"/>
      <w:lvlText w:val="%1."/>
      <w:numFmt w:val="decimal"/>
      <w:start w:val="10"/>
    </w:lvl>
  </w:abstractNum>
  <w:abstractNum w:abstractNumId="114">
    <w:nsid w:val="4C9B0904"/>
    <w:multiLevelType w:val="hybridMultilevel"/>
    <w:lvl w:ilvl="0">
      <w:lvlJc w:val="left"/>
      <w:lvlText w:val="%1."/>
      <w:numFmt w:val="decimal"/>
      <w:start w:val="13"/>
    </w:lvl>
  </w:abstractNum>
  <w:abstractNum w:abstractNumId="115">
    <w:nsid w:val="6AA7B75C"/>
    <w:multiLevelType w:val="hybridMultilevel"/>
    <w:lvl w:ilvl="0">
      <w:lvlJc w:val="left"/>
      <w:lvlText w:val="%1."/>
      <w:numFmt w:val="decimal"/>
      <w:start w:val="18"/>
    </w:lvl>
  </w:abstractNum>
  <w:abstractNum w:abstractNumId="116">
    <w:nsid w:val="1DF029D3"/>
    <w:multiLevelType w:val="hybridMultilevel"/>
    <w:lvl w:ilvl="0">
      <w:lvlJc w:val="left"/>
      <w:lvlText w:val="%1."/>
      <w:numFmt w:val="decimal"/>
      <w:start w:val="19"/>
    </w:lvl>
  </w:abstractNum>
  <w:abstractNum w:abstractNumId="117">
    <w:nsid w:val="5675FF36"/>
    <w:multiLevelType w:val="hybridMultilevel"/>
    <w:lvl w:ilvl="0">
      <w:lvlJc w:val="left"/>
      <w:lvlText w:val="%1."/>
      <w:numFmt w:val="decimal"/>
      <w:start w:val="22"/>
    </w:lvl>
  </w:abstractNum>
  <w:abstractNum w:abstractNumId="118">
    <w:nsid w:val="3DD15094"/>
    <w:multiLevelType w:val="hybridMultilevel"/>
    <w:lvl w:ilvl="0">
      <w:lvlJc w:val="left"/>
      <w:lvlText w:val="%1."/>
      <w:numFmt w:val="lowerLetter"/>
      <w:start w:val="2"/>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76"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jpeg"/><Relationship Id="rId182" Type="http://schemas.openxmlformats.org/officeDocument/2006/relationships/image" Target="media/image152.jpeg"/><Relationship Id="rId183" Type="http://schemas.openxmlformats.org/officeDocument/2006/relationships/image" Target="media/image153.jpeg"/><Relationship Id="rId184" Type="http://schemas.openxmlformats.org/officeDocument/2006/relationships/image" Target="media/image154.jpeg"/><Relationship Id="rId185" Type="http://schemas.openxmlformats.org/officeDocument/2006/relationships/image" Target="media/image155.png"/><Relationship Id="rId186" Type="http://schemas.openxmlformats.org/officeDocument/2006/relationships/image" Target="media/image156.jpeg"/><Relationship Id="rId187" Type="http://schemas.openxmlformats.org/officeDocument/2006/relationships/image" Target="media/image157.jpeg"/><Relationship Id="rId188" Type="http://schemas.openxmlformats.org/officeDocument/2006/relationships/image" Target="media/image158.jpeg"/><Relationship Id="rId189" Type="http://schemas.openxmlformats.org/officeDocument/2006/relationships/image" Target="media/image159.png"/><Relationship Id="rId190" Type="http://schemas.openxmlformats.org/officeDocument/2006/relationships/image" Target="media/image160.jpeg"/><Relationship Id="rId191" Type="http://schemas.openxmlformats.org/officeDocument/2006/relationships/image" Target="media/image161.jpeg"/><Relationship Id="rId192" Type="http://schemas.openxmlformats.org/officeDocument/2006/relationships/image" Target="media/image162.jpeg"/><Relationship Id="rId193" Type="http://schemas.openxmlformats.org/officeDocument/2006/relationships/image" Target="media/image163.png"/><Relationship Id="rId194" Type="http://schemas.openxmlformats.org/officeDocument/2006/relationships/image" Target="media/image164.jpeg"/><Relationship Id="rId195" Type="http://schemas.openxmlformats.org/officeDocument/2006/relationships/image" Target="media/image165.jpeg"/><Relationship Id="rId196" Type="http://schemas.openxmlformats.org/officeDocument/2006/relationships/image" Target="media/image166.jpeg"/><Relationship Id="rId197" Type="http://schemas.openxmlformats.org/officeDocument/2006/relationships/image" Target="media/image167.png"/><Relationship Id="rId198" Type="http://schemas.openxmlformats.org/officeDocument/2006/relationships/image" Target="media/image168.jpeg"/><Relationship Id="rId199" Type="http://schemas.openxmlformats.org/officeDocument/2006/relationships/image" Target="media/image169.jpeg"/><Relationship Id="rId200" Type="http://schemas.openxmlformats.org/officeDocument/2006/relationships/image" Target="media/image170.jpeg"/><Relationship Id="rId201" Type="http://schemas.openxmlformats.org/officeDocument/2006/relationships/image" Target="media/image171.png"/><Relationship Id="rId202" Type="http://schemas.openxmlformats.org/officeDocument/2006/relationships/image" Target="media/image172.jpeg"/><Relationship Id="rId203" Type="http://schemas.openxmlformats.org/officeDocument/2006/relationships/image" Target="media/image173.jpeg"/><Relationship Id="rId204" Type="http://schemas.openxmlformats.org/officeDocument/2006/relationships/image" Target="media/image174.png"/><Relationship Id="rId205" Type="http://schemas.openxmlformats.org/officeDocument/2006/relationships/image" Target="media/image175.jpeg"/><Relationship Id="rId206" Type="http://schemas.openxmlformats.org/officeDocument/2006/relationships/image" Target="media/image176.jpeg"/><Relationship Id="rId207" Type="http://schemas.openxmlformats.org/officeDocument/2006/relationships/image" Target="media/image177.jpeg"/><Relationship Id="rId208" Type="http://schemas.openxmlformats.org/officeDocument/2006/relationships/image" Target="media/image178.png"/><Relationship Id="rId209" Type="http://schemas.openxmlformats.org/officeDocument/2006/relationships/image" Target="media/image179.jpeg"/><Relationship Id="rId210" Type="http://schemas.openxmlformats.org/officeDocument/2006/relationships/image" Target="media/image180.jpeg"/><Relationship Id="rId211" Type="http://schemas.openxmlformats.org/officeDocument/2006/relationships/image" Target="media/image181.jpeg"/><Relationship Id="rId212" Type="http://schemas.openxmlformats.org/officeDocument/2006/relationships/image" Target="media/image182.png"/><Relationship Id="rId213" Type="http://schemas.openxmlformats.org/officeDocument/2006/relationships/image" Target="media/image183.jpeg"/><Relationship Id="rId214" Type="http://schemas.openxmlformats.org/officeDocument/2006/relationships/image" Target="media/image184.jpeg"/><Relationship Id="rId215" Type="http://schemas.openxmlformats.org/officeDocument/2006/relationships/image" Target="media/image185.jpeg"/><Relationship Id="rId216" Type="http://schemas.openxmlformats.org/officeDocument/2006/relationships/image" Target="media/image186.png"/><Relationship Id="rId217" Type="http://schemas.openxmlformats.org/officeDocument/2006/relationships/image" Target="media/image187.jpeg"/><Relationship Id="rId218" Type="http://schemas.openxmlformats.org/officeDocument/2006/relationships/image" Target="media/image188.jpeg"/><Relationship Id="rId219" Type="http://schemas.openxmlformats.org/officeDocument/2006/relationships/image" Target="media/image189.jpe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jpeg"/><Relationship Id="rId223" Type="http://schemas.openxmlformats.org/officeDocument/2006/relationships/image" Target="media/image193.jpeg"/><Relationship Id="rId224" Type="http://schemas.openxmlformats.org/officeDocument/2006/relationships/image" Target="media/image194.jpeg"/><Relationship Id="rId225" Type="http://schemas.openxmlformats.org/officeDocument/2006/relationships/image" Target="media/image195.png"/><Relationship Id="rId226" Type="http://schemas.openxmlformats.org/officeDocument/2006/relationships/image" Target="media/image196.jpeg"/><Relationship Id="rId227" Type="http://schemas.openxmlformats.org/officeDocument/2006/relationships/image" Target="media/image197.jpeg"/><Relationship Id="rId228" Type="http://schemas.openxmlformats.org/officeDocument/2006/relationships/image" Target="media/image198.jpeg"/><Relationship Id="rId229" Type="http://schemas.openxmlformats.org/officeDocument/2006/relationships/image" Target="media/image199.png"/><Relationship Id="rId230" Type="http://schemas.openxmlformats.org/officeDocument/2006/relationships/image" Target="media/image200.jpeg"/><Relationship Id="rId231" Type="http://schemas.openxmlformats.org/officeDocument/2006/relationships/image" Target="media/image201.jpeg"/><Relationship Id="rId232" Type="http://schemas.openxmlformats.org/officeDocument/2006/relationships/image" Target="media/image202.jpeg"/><Relationship Id="rId233" Type="http://schemas.openxmlformats.org/officeDocument/2006/relationships/image" Target="media/image203.png"/><Relationship Id="rId234" Type="http://schemas.openxmlformats.org/officeDocument/2006/relationships/image" Target="media/image204.jpeg"/><Relationship Id="rId235" Type="http://schemas.openxmlformats.org/officeDocument/2006/relationships/image" Target="media/image205.jpeg"/><Relationship Id="rId236" Type="http://schemas.openxmlformats.org/officeDocument/2006/relationships/image" Target="media/image206.jpe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jpeg"/><Relationship Id="rId240" Type="http://schemas.openxmlformats.org/officeDocument/2006/relationships/image" Target="media/image210.jpeg"/><Relationship Id="rId241" Type="http://schemas.openxmlformats.org/officeDocument/2006/relationships/image" Target="media/image211.jpeg"/><Relationship Id="rId242" Type="http://schemas.openxmlformats.org/officeDocument/2006/relationships/image" Target="media/image212.png"/><Relationship Id="rId243" Type="http://schemas.openxmlformats.org/officeDocument/2006/relationships/image" Target="media/image213.jpeg"/><Relationship Id="rId244" Type="http://schemas.openxmlformats.org/officeDocument/2006/relationships/image" Target="media/image214.jpeg"/><Relationship Id="rId245" Type="http://schemas.openxmlformats.org/officeDocument/2006/relationships/image" Target="media/image215.jpeg"/><Relationship Id="rId246" Type="http://schemas.openxmlformats.org/officeDocument/2006/relationships/image" Target="media/image216.png"/><Relationship Id="rId247" Type="http://schemas.openxmlformats.org/officeDocument/2006/relationships/image" Target="media/image217.jpeg"/><Relationship Id="rId248" Type="http://schemas.openxmlformats.org/officeDocument/2006/relationships/image" Target="media/image218.jpeg"/><Relationship Id="rId249" Type="http://schemas.openxmlformats.org/officeDocument/2006/relationships/image" Target="media/image219.jpeg"/><Relationship Id="rId250" Type="http://schemas.openxmlformats.org/officeDocument/2006/relationships/image" Target="media/image220.png"/><Relationship Id="rId251" Type="http://schemas.openxmlformats.org/officeDocument/2006/relationships/image" Target="media/image221.jpeg"/><Relationship Id="rId252" Type="http://schemas.openxmlformats.org/officeDocument/2006/relationships/image" Target="media/image222.jpeg"/><Relationship Id="rId253" Type="http://schemas.openxmlformats.org/officeDocument/2006/relationships/image" Target="media/image223.jpeg"/><Relationship Id="rId254" Type="http://schemas.openxmlformats.org/officeDocument/2006/relationships/image" Target="media/image224.png"/><Relationship Id="rId255" Type="http://schemas.openxmlformats.org/officeDocument/2006/relationships/image" Target="media/image225.jpeg"/><Relationship Id="rId256" Type="http://schemas.openxmlformats.org/officeDocument/2006/relationships/image" Target="media/image226.jpeg"/><Relationship Id="rId257" Type="http://schemas.openxmlformats.org/officeDocument/2006/relationships/image" Target="media/image227.jpeg"/><Relationship Id="rId258" Type="http://schemas.openxmlformats.org/officeDocument/2006/relationships/image" Target="media/image228.png"/><Relationship Id="rId259" Type="http://schemas.openxmlformats.org/officeDocument/2006/relationships/image" Target="media/image229.jpeg"/><Relationship Id="rId260" Type="http://schemas.openxmlformats.org/officeDocument/2006/relationships/image" Target="media/image230.jpeg"/><Relationship Id="rId261" Type="http://schemas.openxmlformats.org/officeDocument/2006/relationships/image" Target="media/image231.jpeg"/><Relationship Id="rId262" Type="http://schemas.openxmlformats.org/officeDocument/2006/relationships/image" Target="media/image232.png"/><Relationship Id="rId263" Type="http://schemas.openxmlformats.org/officeDocument/2006/relationships/image" Target="media/image233.jpeg"/><Relationship Id="rId264" Type="http://schemas.openxmlformats.org/officeDocument/2006/relationships/image" Target="media/image234.jpeg"/><Relationship Id="rId265" Type="http://schemas.openxmlformats.org/officeDocument/2006/relationships/image" Target="media/image235.jpeg"/><Relationship Id="rId266" Type="http://schemas.openxmlformats.org/officeDocument/2006/relationships/image" Target="media/image236.png"/><Relationship Id="rId267" Type="http://schemas.openxmlformats.org/officeDocument/2006/relationships/image" Target="media/image237.jpeg"/><Relationship Id="rId268" Type="http://schemas.openxmlformats.org/officeDocument/2006/relationships/image" Target="media/image238.jpeg"/><Relationship Id="rId269" Type="http://schemas.openxmlformats.org/officeDocument/2006/relationships/image" Target="media/image239.jpeg"/><Relationship Id="rId270" Type="http://schemas.openxmlformats.org/officeDocument/2006/relationships/image" Target="media/image240.png"/><Relationship Id="rId271" Type="http://schemas.openxmlformats.org/officeDocument/2006/relationships/image" Target="media/image241.jpeg"/><Relationship Id="rId272" Type="http://schemas.openxmlformats.org/officeDocument/2006/relationships/image" Target="media/image242.jpeg"/><Relationship Id="rId273" Type="http://schemas.openxmlformats.org/officeDocument/2006/relationships/image" Target="media/image243.jpeg"/><Relationship Id="rId274" Type="http://schemas.openxmlformats.org/officeDocument/2006/relationships/image" Target="media/image244.png"/><Relationship Id="rId275" Type="http://schemas.openxmlformats.org/officeDocument/2006/relationships/image" Target="media/image245.jpeg"/><Relationship Id="rId276" Type="http://schemas.openxmlformats.org/officeDocument/2006/relationships/image" Target="media/image246.jpeg"/><Relationship Id="rId277" Type="http://schemas.openxmlformats.org/officeDocument/2006/relationships/image" Target="media/image247.jpeg"/><Relationship Id="rId278" Type="http://schemas.openxmlformats.org/officeDocument/2006/relationships/image" Target="media/image248.png"/><Relationship Id="rId279" Type="http://schemas.openxmlformats.org/officeDocument/2006/relationships/image" Target="media/image249.jpeg"/><Relationship Id="rId280" Type="http://schemas.openxmlformats.org/officeDocument/2006/relationships/image" Target="media/image250.jpeg"/><Relationship Id="rId281" Type="http://schemas.openxmlformats.org/officeDocument/2006/relationships/image" Target="media/image251.jpeg"/><Relationship Id="rId282" Type="http://schemas.openxmlformats.org/officeDocument/2006/relationships/image" Target="media/image252.png"/><Relationship Id="rId283" Type="http://schemas.openxmlformats.org/officeDocument/2006/relationships/image" Target="media/image253.jpeg"/><Relationship Id="rId284" Type="http://schemas.openxmlformats.org/officeDocument/2006/relationships/image" Target="media/image254.jpeg"/><Relationship Id="rId285" Type="http://schemas.openxmlformats.org/officeDocument/2006/relationships/image" Target="media/image255.jpeg"/><Relationship Id="rId286" Type="http://schemas.openxmlformats.org/officeDocument/2006/relationships/image" Target="media/image256.png"/><Relationship Id="rId287" Type="http://schemas.openxmlformats.org/officeDocument/2006/relationships/image" Target="media/image257.jpeg"/><Relationship Id="rId288" Type="http://schemas.openxmlformats.org/officeDocument/2006/relationships/image" Target="media/image258.jpeg"/><Relationship Id="rId289" Type="http://schemas.openxmlformats.org/officeDocument/2006/relationships/image" Target="media/image259.jpeg"/><Relationship Id="rId290" Type="http://schemas.openxmlformats.org/officeDocument/2006/relationships/image" Target="media/image260.png"/><Relationship Id="rId291" Type="http://schemas.openxmlformats.org/officeDocument/2006/relationships/image" Target="media/image261.jpeg"/><Relationship Id="rId292" Type="http://schemas.openxmlformats.org/officeDocument/2006/relationships/image" Target="media/image262.jpeg"/><Relationship Id="rId293" Type="http://schemas.openxmlformats.org/officeDocument/2006/relationships/image" Target="media/image263.jpeg"/><Relationship Id="rId294" Type="http://schemas.openxmlformats.org/officeDocument/2006/relationships/image" Target="media/image264.png"/><Relationship Id="rId295" Type="http://schemas.openxmlformats.org/officeDocument/2006/relationships/image" Target="media/image265.jpeg"/><Relationship Id="rId296" Type="http://schemas.openxmlformats.org/officeDocument/2006/relationships/image" Target="media/image266.jpeg"/><Relationship Id="rId297" Type="http://schemas.openxmlformats.org/officeDocument/2006/relationships/image" Target="media/image267.jpeg"/><Relationship Id="rId298" Type="http://schemas.openxmlformats.org/officeDocument/2006/relationships/image" Target="media/image268.png"/><Relationship Id="rId299" Type="http://schemas.openxmlformats.org/officeDocument/2006/relationships/image" Target="media/image269.jpeg"/><Relationship Id="rId300" Type="http://schemas.openxmlformats.org/officeDocument/2006/relationships/image" Target="media/image270.jpeg"/><Relationship Id="rId301" Type="http://schemas.openxmlformats.org/officeDocument/2006/relationships/image" Target="media/image271.jpeg"/><Relationship Id="rId302" Type="http://schemas.openxmlformats.org/officeDocument/2006/relationships/image" Target="media/image272.png"/><Relationship Id="rId303" Type="http://schemas.openxmlformats.org/officeDocument/2006/relationships/image" Target="media/image273.jpeg"/><Relationship Id="rId304" Type="http://schemas.openxmlformats.org/officeDocument/2006/relationships/image" Target="media/image274.jpeg"/><Relationship Id="rId305" Type="http://schemas.openxmlformats.org/officeDocument/2006/relationships/image" Target="media/image275.jpeg"/><Relationship Id="rId306" Type="http://schemas.openxmlformats.org/officeDocument/2006/relationships/image" Target="media/image276.png"/><Relationship Id="rId307" Type="http://schemas.openxmlformats.org/officeDocument/2006/relationships/image" Target="media/image277.jpeg"/><Relationship Id="rId308" Type="http://schemas.openxmlformats.org/officeDocument/2006/relationships/image" Target="media/image278.jpeg"/><Relationship Id="rId309" Type="http://schemas.openxmlformats.org/officeDocument/2006/relationships/image" Target="media/image279.jpeg"/><Relationship Id="rId310" Type="http://schemas.openxmlformats.org/officeDocument/2006/relationships/image" Target="media/image280.png"/><Relationship Id="rId311" Type="http://schemas.openxmlformats.org/officeDocument/2006/relationships/image" Target="media/image281.jpeg"/><Relationship Id="rId312" Type="http://schemas.openxmlformats.org/officeDocument/2006/relationships/image" Target="media/image282.jpeg"/><Relationship Id="rId313" Type="http://schemas.openxmlformats.org/officeDocument/2006/relationships/image" Target="media/image283.jpeg"/><Relationship Id="rId314" Type="http://schemas.openxmlformats.org/officeDocument/2006/relationships/image" Target="media/image284.png"/><Relationship Id="rId315" Type="http://schemas.openxmlformats.org/officeDocument/2006/relationships/image" Target="media/image285.jpeg"/><Relationship Id="rId316" Type="http://schemas.openxmlformats.org/officeDocument/2006/relationships/image" Target="media/image286.jpeg"/><Relationship Id="rId317" Type="http://schemas.openxmlformats.org/officeDocument/2006/relationships/image" Target="media/image287.jpeg"/><Relationship Id="rId318" Type="http://schemas.openxmlformats.org/officeDocument/2006/relationships/image" Target="media/image288.png"/><Relationship Id="rId319" Type="http://schemas.openxmlformats.org/officeDocument/2006/relationships/image" Target="media/image289.jpeg"/><Relationship Id="rId320" Type="http://schemas.openxmlformats.org/officeDocument/2006/relationships/image" Target="media/image290.jpeg"/><Relationship Id="rId321" Type="http://schemas.openxmlformats.org/officeDocument/2006/relationships/image" Target="media/image291.jpeg"/><Relationship Id="rId322" Type="http://schemas.openxmlformats.org/officeDocument/2006/relationships/image" Target="media/image292.png"/><Relationship Id="rId323" Type="http://schemas.openxmlformats.org/officeDocument/2006/relationships/image" Target="media/image293.jpeg"/><Relationship Id="rId324" Type="http://schemas.openxmlformats.org/officeDocument/2006/relationships/image" Target="media/image294.jpeg"/><Relationship Id="rId325" Type="http://schemas.openxmlformats.org/officeDocument/2006/relationships/image" Target="media/image295.jpeg"/><Relationship Id="rId326" Type="http://schemas.openxmlformats.org/officeDocument/2006/relationships/image" Target="media/image296.png"/><Relationship Id="rId327" Type="http://schemas.openxmlformats.org/officeDocument/2006/relationships/image" Target="media/image297.jpeg"/><Relationship Id="rId328" Type="http://schemas.openxmlformats.org/officeDocument/2006/relationships/image" Target="media/image298.jpeg"/><Relationship Id="rId329" Type="http://schemas.openxmlformats.org/officeDocument/2006/relationships/image" Target="media/image299.jpeg"/><Relationship Id="rId330" Type="http://schemas.openxmlformats.org/officeDocument/2006/relationships/image" Target="media/image300.png"/><Relationship Id="rId331" Type="http://schemas.openxmlformats.org/officeDocument/2006/relationships/image" Target="media/image301.jpeg"/><Relationship Id="rId332" Type="http://schemas.openxmlformats.org/officeDocument/2006/relationships/image" Target="media/image302.jpeg"/><Relationship Id="rId333" Type="http://schemas.openxmlformats.org/officeDocument/2006/relationships/image" Target="media/image303.jpeg"/><Relationship Id="rId334" Type="http://schemas.openxmlformats.org/officeDocument/2006/relationships/image" Target="media/image304.png"/><Relationship Id="rId335" Type="http://schemas.openxmlformats.org/officeDocument/2006/relationships/image" Target="media/image305.jpeg"/><Relationship Id="rId336" Type="http://schemas.openxmlformats.org/officeDocument/2006/relationships/image" Target="media/image306.jpeg"/><Relationship Id="rId337" Type="http://schemas.openxmlformats.org/officeDocument/2006/relationships/image" Target="media/image307.jpeg"/><Relationship Id="rId338" Type="http://schemas.openxmlformats.org/officeDocument/2006/relationships/image" Target="media/image308.png"/><Relationship Id="rId339" Type="http://schemas.openxmlformats.org/officeDocument/2006/relationships/image" Target="media/image309.jpeg"/><Relationship Id="rId340" Type="http://schemas.openxmlformats.org/officeDocument/2006/relationships/image" Target="media/image310.jpeg"/><Relationship Id="rId341" Type="http://schemas.openxmlformats.org/officeDocument/2006/relationships/image" Target="media/image311.jpeg"/><Relationship Id="rId342" Type="http://schemas.openxmlformats.org/officeDocument/2006/relationships/image" Target="media/image312.png"/><Relationship Id="rId343" Type="http://schemas.openxmlformats.org/officeDocument/2006/relationships/image" Target="media/image313.jpeg"/><Relationship Id="rId344" Type="http://schemas.openxmlformats.org/officeDocument/2006/relationships/image" Target="media/image314.jpeg"/><Relationship Id="rId345" Type="http://schemas.openxmlformats.org/officeDocument/2006/relationships/image" Target="media/image315.jpeg"/><Relationship Id="rId346" Type="http://schemas.openxmlformats.org/officeDocument/2006/relationships/image" Target="media/image316.png"/><Relationship Id="rId347" Type="http://schemas.openxmlformats.org/officeDocument/2006/relationships/image" Target="media/image317.jpeg"/><Relationship Id="rId348" Type="http://schemas.openxmlformats.org/officeDocument/2006/relationships/image" Target="media/image318.jpeg"/><Relationship Id="rId349" Type="http://schemas.openxmlformats.org/officeDocument/2006/relationships/image" Target="media/image319.jpeg"/><Relationship Id="rId350" Type="http://schemas.openxmlformats.org/officeDocument/2006/relationships/image" Target="media/image320.png"/><Relationship Id="rId351" Type="http://schemas.openxmlformats.org/officeDocument/2006/relationships/image" Target="media/image321.jpeg"/><Relationship Id="rId352" Type="http://schemas.openxmlformats.org/officeDocument/2006/relationships/image" Target="media/image322.jpeg"/><Relationship Id="rId353" Type="http://schemas.openxmlformats.org/officeDocument/2006/relationships/image" Target="media/image323.jpeg"/><Relationship Id="rId354" Type="http://schemas.openxmlformats.org/officeDocument/2006/relationships/image" Target="media/image324.png"/><Relationship Id="rId355" Type="http://schemas.openxmlformats.org/officeDocument/2006/relationships/image" Target="media/image325.jpeg"/><Relationship Id="rId356" Type="http://schemas.openxmlformats.org/officeDocument/2006/relationships/image" Target="media/image326.jpeg"/><Relationship Id="rId357" Type="http://schemas.openxmlformats.org/officeDocument/2006/relationships/image" Target="media/image327.jpeg"/><Relationship Id="rId358" Type="http://schemas.openxmlformats.org/officeDocument/2006/relationships/image" Target="media/image328.png"/><Relationship Id="rId359" Type="http://schemas.openxmlformats.org/officeDocument/2006/relationships/image" Target="media/image329.jpeg"/><Relationship Id="rId360" Type="http://schemas.openxmlformats.org/officeDocument/2006/relationships/image" Target="media/image330.jpeg"/><Relationship Id="rId361" Type="http://schemas.openxmlformats.org/officeDocument/2006/relationships/image" Target="media/image331.jpeg"/><Relationship Id="rId362" Type="http://schemas.openxmlformats.org/officeDocument/2006/relationships/image" Target="media/image332.png"/><Relationship Id="rId363" Type="http://schemas.openxmlformats.org/officeDocument/2006/relationships/image" Target="media/image333.jpeg"/><Relationship Id="rId364" Type="http://schemas.openxmlformats.org/officeDocument/2006/relationships/image" Target="media/image334.jpeg"/><Relationship Id="rId365" Type="http://schemas.openxmlformats.org/officeDocument/2006/relationships/image" Target="media/image335.png"/><Relationship Id="rId152" Type="http://schemas.openxmlformats.org/officeDocument/2006/relationships/hyperlink" Target="https://www.sec.gov/Archives/edgar/data/1639825/000163982521000022/projectpegasus-stockasse.htm" TargetMode="External"/><Relationship Id="rId153" Type="http://schemas.openxmlformats.org/officeDocument/2006/relationships/hyperlink" Target="https://www.sec.gov/Archives/edgar/data/1639825/000163982519000018/exhibit31restatedcertifi.htm" TargetMode="External"/><Relationship Id="rId154" Type="http://schemas.openxmlformats.org/officeDocument/2006/relationships/hyperlink" Target="https://www.sec.gov/Archives/edgar/data/1639825/000163982520000054/amendedandrestatedbyla.htm" TargetMode="External"/><Relationship Id="rId155" Type="http://schemas.openxmlformats.org/officeDocument/2006/relationships/hyperlink" Target="https://www.sec.gov/Archives/edgar/data/1639825/000119312519242158/d738839dex41.htm" TargetMode="External"/><Relationship Id="rId156" Type="http://schemas.openxmlformats.org/officeDocument/2006/relationships/hyperlink" Target="https://www.sec.gov/Archives/edgar/data/1639825/000119312519230923/d738839dex42.htm" TargetMode="External"/><Relationship Id="rId157" Type="http://schemas.openxmlformats.org/officeDocument/2006/relationships/hyperlink" Target="https://www.sec.gov/Archives/edgar/data/1639825/000162828021001968/exhibit41-8xkclosing.htm" TargetMode="External"/><Relationship Id="rId158" Type="http://schemas.openxmlformats.org/officeDocument/2006/relationships/hyperlink" Target="https://www.sec.gov/Archives/edgar/data/1639825/000163982520000122/fy202010-kexhibit43des.htm" TargetMode="External"/><Relationship Id="rId159" Type="http://schemas.openxmlformats.org/officeDocument/2006/relationships/hyperlink" Target="https://www.sec.gov/Archives/edgar/data/1639825/000119312519230923/d738839dex101.htm" TargetMode="External"/><Relationship Id="rId160" Type="http://schemas.openxmlformats.org/officeDocument/2006/relationships/hyperlink" Target="https://www.sec.gov/Archives/edgar/data/1639825/000119312519230923/d738839dex102.htm" TargetMode="External"/><Relationship Id="rId163" Type="http://schemas.openxmlformats.org/officeDocument/2006/relationships/hyperlink" Target="https://www.sec.gov/Archives/edgar/data/1639825/000119312519255141/d807881dex48.htm" TargetMode="External"/><Relationship Id="rId164" Type="http://schemas.openxmlformats.org/officeDocument/2006/relationships/hyperlink" Target="https://www.sec.gov/Archives/edgar/data/1639825/000119312519242158/d738839dex105.htm" TargetMode="External"/><Relationship Id="rId165" Type="http://schemas.openxmlformats.org/officeDocument/2006/relationships/hyperlink" Target="https://www.sec.gov/Archives/edgar/data/1639825/000119312519242158/d738839dex106.htm" TargetMode="External"/><Relationship Id="rId166" Type="http://schemas.openxmlformats.org/officeDocument/2006/relationships/hyperlink" Target="https://www.sec.gov/Archives/edgar/data/1639825/000119312519242158/d738839dex107.htm" TargetMode="External"/><Relationship Id="rId167" Type="http://schemas.openxmlformats.org/officeDocument/2006/relationships/hyperlink" Target="https://www.sec.gov/Archives/edgar/data/1639825/000163982520000122/fy202010-kexhibit108th.htm" TargetMode="External"/><Relationship Id="rId168" Type="http://schemas.openxmlformats.org/officeDocument/2006/relationships/hyperlink" Target="https://www.sec.gov/Archives/edgar/data/1639825/000163982522000014/peloton-mccarthyemployment.htm" TargetMode="External"/><Relationship Id="rId169" Type="http://schemas.openxmlformats.org/officeDocument/2006/relationships/hyperlink" Target="https://www.sec.gov/Archives/edgar/data/1639825/000119312522168349/d100730dex102.htm" TargetMode="External"/><Relationship Id="rId170" Type="http://schemas.openxmlformats.org/officeDocument/2006/relationships/hyperlink" Target="https://www.sec.gov/Archives/edgar/data/1639825/000119312522168349/d100730dex101.htm" TargetMode="External"/><Relationship Id="rId171" Type="http://schemas.openxmlformats.org/officeDocument/2006/relationships/hyperlink" Target="https://www.sec.gov/Archives/edgar/data/1639825/000163982520000122/fy202010-kexhibit109se.htm" TargetMode="External"/><Relationship Id="rId172" Type="http://schemas.openxmlformats.org/officeDocument/2006/relationships/hyperlink" Target="https://www.sec.gov/Archives/edgar/data/1639825/000119312519242158/d738839dex109.htm" TargetMode="External"/><Relationship Id="rId173" Type="http://schemas.openxmlformats.org/officeDocument/2006/relationships/hyperlink" Target="https://www.sec.gov/Archives/edgar/data/1639825/000119312519242158/d738839dex1010.htm" TargetMode="External"/><Relationship Id="rId174" Type="http://schemas.openxmlformats.org/officeDocument/2006/relationships/hyperlink" Target="https://www.sec.gov/Archives/edgar/data/1639825/000162828021001968/exhibit101-8xkclosing.htm" TargetMode="External"/><Relationship Id="rId175" Type="http://schemas.openxmlformats.org/officeDocument/2006/relationships/hyperlink" Target="https://www.sec.gov/Archives/edgar/data/1639825/000162828021001968/exhibit102-8xkclosing.htm" TargetMode="External"/><Relationship Id="rId177" Type="http://schemas.openxmlformats.org/officeDocument/2006/relationships/hyperlink" Target="https://www.sec.gov/Archives/edgar/data/1639825/000119312519230923/d73883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2022-09-07T05:29:15Z</dcterms:created>
  <dcterms:modified xsi:type="dcterms:W3CDTF">2022-09-07T05:29:15Z</dcterms:modified>
</cp:coreProperties>
</file>