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8803.xml.htm"/>
      <w:bookmarkStart w:id="1" w:name="kswkform4_17889888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Stern Peter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2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8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0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196,328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196,328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196,328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664,015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664,015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664,015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1,290,878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1,290,878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1,290,878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Acquired upon the satisfaction of performance criteria underlying an award of performance stock units granted to the Reporting Person on September 14,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100% of the total shares on September 15, 2026, subject to the Reporting Person's provision of service to the Issuer on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as to 31.25% of the total shares on November 15, 2026, then 6.25% of the total shares vest quarterly thereafter, with 100% of the total shares vested on August 15, 2029,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as to 6.25% of the total shares on November 15, 2026, then 6.25% of the total shares vest quarterly thereafter, with 100% of the total shares vested on August 15, 2030,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Peter C. Stern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1302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795</Words>
  <Characters>4180</Characters>
  <CharactersWithSpaces>4874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