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945.xml.htm"/>
      <w:bookmarkStart w:id="1" w:name="kswkform4_17896779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Caldwell Nick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9TH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115,741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1,176,253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61,969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4.85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1,114,284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115,741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462,963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as to 25% of the total shares on November 1, 2024, then 6.25% of the total shares vest quarterly, commencing December 15, 2024, with 100% of the total shares vested on September 15, 2027,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Nick V. Caldwell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934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3622</Characters>
  <CharactersWithSpaces>4212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