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45" w:before="0" w:after="0"/>
        <w:jc w:val="center"/>
        <w:rPr>
          <w:rFonts w:ascii="Roboto;sans-serif" w:hAnsi="Roboto;sans-serif"/>
          <w:b/>
          <w:color w:val="000000"/>
          <w:sz w:val="36"/>
        </w:rPr>
      </w:pPr>
      <w:r>
        <w:rPr>
          <w:rFonts w:ascii="Roboto;sans-serif" w:hAnsi="Roboto;sans-serif"/>
          <w:b/>
          <w:color w:val="000000"/>
          <w:sz w:val="36"/>
        </w:rPr>
        <w:t>FORM 10-Q</w:t>
      </w:r>
    </w:p>
    <w:p>
      <w:pPr>
        <w:pStyle w:val="TextBody"/>
        <w:bidi w:val="0"/>
        <w:spacing w:lineRule="auto" w:line="345" w:before="0" w:after="0"/>
        <w:jc w:val="left"/>
        <w:rPr>
          <w:rFonts w:ascii="Roboto;sans-serif" w:hAnsi="Roboto;sans-serif"/>
          <w:b/>
          <w:color w:val="000000"/>
          <w:sz w:val="20"/>
        </w:rPr>
      </w:pPr>
      <w:r>
        <w:rPr>
          <w:rFonts w:ascii="Roboto;sans-serif" w:hAnsi="Roboto;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QUARTERLY REPORT PURSUANT TO SECTION 13 OR 15(d) OF THE SECURITIES EXCHANGE ACT OF 1934</w:t>
            </w:r>
          </w:p>
        </w:tc>
      </w:tr>
    </w:tbl>
    <w:p>
      <w:pPr>
        <w:pStyle w:val="TextBody"/>
        <w:bidi w:val="0"/>
        <w:spacing w:lineRule="auto" w:line="264" w:before="0" w:after="0"/>
        <w:jc w:val="center"/>
        <w:rPr>
          <w:rFonts w:ascii="Roboto;sans-serif" w:hAnsi="Roboto;sans-serif"/>
          <w:b/>
          <w:color w:val="000000"/>
          <w:sz w:val="20"/>
        </w:rPr>
      </w:pPr>
      <w:r>
        <w:rPr>
          <w:rFonts w:ascii="Roboto;sans-serif" w:hAnsi="Roboto;sans-serif"/>
          <w:b/>
          <w:color w:val="000000"/>
          <w:sz w:val="20"/>
        </w:rPr>
        <w:t>For the quarterly period ended September 30, 2025</w:t>
      </w:r>
    </w:p>
    <w:p>
      <w:pPr>
        <w:pStyle w:val="TextBody"/>
        <w:bidi w:val="0"/>
        <w:spacing w:lineRule="auto" w:line="345" w:before="0" w:after="0"/>
        <w:jc w:val="center"/>
        <w:rPr>
          <w:rFonts w:ascii="Roboto;sans-serif" w:hAnsi="Roboto;sans-serif"/>
          <w:b/>
          <w:color w:val="000000"/>
          <w:sz w:val="16"/>
        </w:rPr>
      </w:pPr>
      <w:r>
        <w:rPr>
          <w:rFonts w:ascii="Roboto;sans-serif" w:hAnsi="Roboto;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Roboto;sans-serif" w:hAnsi="Roboto;sans-serif"/>
                <w:b/>
                <w:color w:val="000000"/>
                <w:sz w:val="20"/>
              </w:rPr>
            </w:pPr>
            <w:r>
              <w:rPr>
                <w:rFonts w:ascii="Roboto;sans-serif" w:hAnsi="Roboto;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For the transition period from to</w:t>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Commission File Number: 001-39058</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36"/>
        </w:rPr>
      </w:pPr>
      <w:r>
        <w:rPr>
          <w:rFonts w:ascii="Roboto;sans-serif" w:hAnsi="Roboto;sans-serif"/>
          <w:b/>
          <w:color w:val="000000"/>
          <w:sz w:val="36"/>
        </w:rPr>
        <w:t>Peloton Interactive, Inc.</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(Exact name of registrant as specified in its charter)</w:t>
      </w:r>
    </w:p>
    <w:tbl>
      <w:tblPr>
        <w:tblW w:w="5320" w:type="dxa"/>
        <w:jc w:val="center"/>
        <w:tblInd w:w="0" w:type="dxa"/>
        <w:tblLayout w:type="fixed"/>
        <w:tblCellMar>
          <w:top w:w="28" w:type="dxa"/>
          <w:left w:w="28" w:type="dxa"/>
          <w:bottom w:w="28" w:type="dxa"/>
          <w:right w:w="28" w:type="dxa"/>
        </w:tblCellMar>
      </w:tblPr>
      <w:tblGrid>
        <w:gridCol w:w="1227"/>
        <w:gridCol w:w="1077"/>
        <w:gridCol w:w="1085"/>
        <w:gridCol w:w="109"/>
        <w:gridCol w:w="109"/>
        <w:gridCol w:w="109"/>
        <w:gridCol w:w="470"/>
        <w:gridCol w:w="470"/>
        <w:gridCol w:w="66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47-3533761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(State or other jurisdiction of</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(I.R.S. Employer</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Identification No.)</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441 Ninth Avenue, Sixth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(Zip Code)</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ableContents"/>
              <w:bidi w:val="0"/>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(Registrant’s telephone number, including area code)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19"/>
        <w:gridCol w:w="1437"/>
        <w:gridCol w:w="1455"/>
        <w:gridCol w:w="569"/>
        <w:gridCol w:w="569"/>
        <w:gridCol w:w="571"/>
        <w:gridCol w:w="1136"/>
        <w:gridCol w:w="1136"/>
        <w:gridCol w:w="1613"/>
      </w:tblGrid>
      <w:tr>
        <w:trPr/>
        <w:tc>
          <w:tcPr>
            <w:tcW w:w="17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rFonts w:ascii="Roboto;sans-serif" w:hAnsi="Roboto;sans-serif"/>
          <w:b w:val="false"/>
          <w:color w:val="000000"/>
          <w:sz w:val="20"/>
        </w:rPr>
      </w:pPr>
      <w:r>
        <w:rPr>
          <w:rFonts w:ascii="Roboto;sans-serif" w:hAnsi="Roboto;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center"/>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2880"/>
        <w:jc w:val="center"/>
        <w:rPr/>
      </w:pPr>
      <w:r>
        <w:rPr/>
      </w:r>
    </w:p>
    <w:p>
      <w:pPr>
        <w:pStyle w:val="TextBody"/>
        <w:bidi w:val="0"/>
        <w:spacing w:lineRule="auto" w:line="240" w:before="0" w:after="0"/>
        <w:jc w:val="left"/>
        <w:rPr/>
      </w:pPr>
      <w:r>
        <w:rPr>
          <w:rFonts w:ascii="Roboto;sans-serif" w:hAnsi="Roboto;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20"/>
        </w:rPr>
        <w:t>Indicate by check mark whether the registrant is a shell company (as defined in Rule 12b-2 of the Exchange Act).     Yes  </w:t>
      </w:r>
      <w:r>
        <w:rPr>
          <w:color w:val="000000"/>
        </w:rPr>
        <w:t>☐     </w:t>
      </w:r>
      <w:r>
        <w:rPr>
          <w:rFonts w:ascii="Roboto;sans-serif" w:hAnsi="Roboto;sans-serif"/>
          <w:b w:val="false"/>
          <w:color w:val="000000"/>
          <w:sz w:val="20"/>
        </w:rPr>
        <w:t>No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As of November 3, 2025, the number of shares of the registrant’s Class A common stock outstanding was 401,969,748, and the number of shares of the registrant’s Class B common stock outstanding was 15,836,724.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180"/>
        <w:jc w:val="center"/>
        <w:rPr/>
      </w:pPr>
      <w:r>
        <w:rPr/>
      </w:r>
    </w:p>
    <w:tbl>
      <w:tblPr>
        <w:tblW w:w="10205" w:type="dxa"/>
        <w:jc w:val="center"/>
        <w:tblInd w:w="0" w:type="dxa"/>
        <w:tblLayout w:type="fixed"/>
        <w:tblCellMar>
          <w:top w:w="28" w:type="dxa"/>
          <w:left w:w="28" w:type="dxa"/>
          <w:bottom w:w="28" w:type="dxa"/>
          <w:right w:w="28" w:type="dxa"/>
        </w:tblCellMar>
      </w:tblPr>
      <w:tblGrid>
        <w:gridCol w:w="268"/>
        <w:gridCol w:w="235"/>
        <w:gridCol w:w="236"/>
        <w:gridCol w:w="3020"/>
        <w:gridCol w:w="2905"/>
        <w:gridCol w:w="2877"/>
        <w:gridCol w:w="193"/>
        <w:gridCol w:w="193"/>
        <w:gridCol w:w="278"/>
      </w:tblGrid>
      <w:tr>
        <w:trPr/>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TABLE OF CONTENTS</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0">
              <w:r>
                <w:rPr>
                  <w:rStyle w:val="InternetLink"/>
                  <w:rFonts w:ascii="Roboto;sans-serif" w:hAnsi="Roboto;sans-serif"/>
                  <w:b w:val="false"/>
                  <w:color w:val="0000FF"/>
                  <w:sz w:val="18"/>
                  <w:u w:val="single"/>
                </w:rPr>
                <w:t>Special Note Regarding Forward-Looking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0">
              <w:r>
                <w:rPr>
                  <w:rStyle w:val="InternetLink"/>
                  <w:rFonts w:ascii="Roboto;sans-serif" w:hAnsi="Roboto;sans-serif"/>
                  <w:b w:val="false"/>
                  <w:color w:val="0000FF"/>
                  <w:sz w:val="18"/>
                  <w:u w:val="single"/>
                </w:rPr>
                <w:t>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 Financial Information</w:t>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6">
              <w:r>
                <w:rPr>
                  <w:rStyle w:val="InternetLink"/>
                  <w:rFonts w:ascii="Roboto;sans-serif" w:hAnsi="Roboto;sans-serif"/>
                  <w:b w:val="false"/>
                  <w:color w:val="0000FF"/>
                  <w:sz w:val="18"/>
                  <w:u w:val="single"/>
                </w:rPr>
                <w:t>Item 1.</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6">
              <w:r>
                <w:rPr>
                  <w:rStyle w:val="InternetLink"/>
                  <w:rFonts w:ascii="Roboto;sans-serif" w:hAnsi="Roboto;sans-serif"/>
                  <w:b w:val="false"/>
                  <w:color w:val="0000FF"/>
                  <w:sz w:val="18"/>
                  <w:u w:val="single"/>
                </w:rPr>
                <w:t>Financial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6">
              <w:r>
                <w:rPr>
                  <w:rStyle w:val="InternetLink"/>
                  <w:rFonts w:ascii="Roboto;sans-serif" w:hAnsi="Roboto;sans-serif"/>
                  <w:b w:val="false"/>
                  <w:color w:val="0000FF"/>
                  <w:sz w:val="18"/>
                  <w:u w:val="single"/>
                </w:rPr>
                <w:t>4</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9">
              <w:r>
                <w:rPr>
                  <w:rStyle w:val="InternetLink"/>
                  <w:rFonts w:ascii="Roboto;sans-serif" w:hAnsi="Roboto;sans-serif"/>
                  <w:b w:val="false"/>
                  <w:color w:val="0000FF"/>
                  <w:sz w:val="18"/>
                  <w:u w:val="single"/>
                </w:rPr>
                <w:t>Condensed Consolidated Balance Sheets as of September 30, 2025 (unaudited) and June 30, 2025</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9">
              <w:r>
                <w:rPr>
                  <w:rStyle w:val="InternetLink"/>
                  <w:rFonts w:ascii="Roboto;sans-serif" w:hAnsi="Roboto;sans-serif"/>
                  <w:b w:val="false"/>
                  <w:color w:val="0000FF"/>
                  <w:sz w:val="18"/>
                  <w:u w:val="single"/>
                </w:rPr>
                <w:t>4</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22">
              <w:r>
                <w:rPr>
                  <w:rStyle w:val="InternetLink"/>
                  <w:rFonts w:ascii="Roboto;sans-serif" w:hAnsi="Roboto;sans-serif"/>
                  <w:b w:val="false"/>
                  <w:color w:val="000080"/>
                  <w:sz w:val="18"/>
                  <w:u w:val="single"/>
                </w:rPr>
                <w:t xml:space="preserve">Condensed Consolidated Statements of Operations and Comprehensive </w:t>
              </w:r>
            </w:hyperlink>
            <w:hyperlink w:anchor="i9f50c69738c246ee9a166075a0c8bdaa_22">
              <w:r>
                <w:rPr>
                  <w:rStyle w:val="InternetLink"/>
                  <w:rFonts w:ascii="Roboto;sans-serif" w:hAnsi="Roboto;sans-serif"/>
                  <w:b w:val="false"/>
                  <w:color w:val="000080"/>
                  <w:sz w:val="18"/>
                  <w:u w:val="single"/>
                </w:rPr>
                <w:t>Income (</w:t>
              </w:r>
            </w:hyperlink>
            <w:hyperlink w:anchor="i9f50c69738c246ee9a166075a0c8bdaa_22">
              <w:r>
                <w:rPr>
                  <w:rStyle w:val="InternetLink"/>
                  <w:rFonts w:ascii="Roboto;sans-serif" w:hAnsi="Roboto;sans-serif"/>
                  <w:b w:val="false"/>
                  <w:color w:val="000080"/>
                  <w:sz w:val="18"/>
                  <w:u w:val="single"/>
                </w:rPr>
                <w:t>Loss</w:t>
              </w:r>
            </w:hyperlink>
            <w:hyperlink w:anchor="i9f50c69738c246ee9a166075a0c8bdaa_22">
              <w:r>
                <w:rPr>
                  <w:rStyle w:val="InternetLink"/>
                  <w:rFonts w:ascii="Roboto;sans-serif" w:hAnsi="Roboto;sans-serif"/>
                  <w:b w:val="false"/>
                  <w:color w:val="000080"/>
                  <w:sz w:val="18"/>
                  <w:u w:val="single"/>
                </w:rPr>
                <w:t>)</w:t>
              </w:r>
            </w:hyperlink>
            <w:hyperlink w:anchor="i9f50c69738c246ee9a166075a0c8bdaa_22">
              <w:r>
                <w:rPr>
                  <w:rStyle w:val="InternetLink"/>
                  <w:rFonts w:ascii="Roboto;sans-serif" w:hAnsi="Roboto;sans-serif"/>
                  <w:b w:val="false"/>
                  <w:color w:val="000080"/>
                  <w:sz w:val="18"/>
                  <w:u w:val="single"/>
                </w:rPr>
                <w:t xml:space="preserve"> for the Three Months Ended September 30, 2025 and 2024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22">
              <w:r>
                <w:rPr>
                  <w:rStyle w:val="InternetLink"/>
                  <w:rFonts w:ascii="Roboto;sans-serif" w:hAnsi="Roboto;sans-serif"/>
                  <w:b w:val="false"/>
                  <w:color w:val="0000FF"/>
                  <w:sz w:val="18"/>
                  <w:u w:val="single"/>
                </w:rPr>
                <w:t>5</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25">
              <w:r>
                <w:rPr>
                  <w:rStyle w:val="InternetLink"/>
                  <w:rFonts w:ascii="Roboto;sans-serif" w:hAnsi="Roboto;sans-serif"/>
                  <w:b w:val="false"/>
                  <w:color w:val="0000FF"/>
                  <w:sz w:val="18"/>
                  <w:u w:val="single"/>
                </w:rPr>
                <w:t>Condensed Consolidated Statements of Cash Flows for the Three Months Ended September 30, 2025 and 2024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25">
              <w:r>
                <w:rPr>
                  <w:rStyle w:val="InternetLink"/>
                  <w:rFonts w:ascii="Roboto;sans-serif" w:hAnsi="Roboto;sans-serif"/>
                  <w:b w:val="false"/>
                  <w:color w:val="0000FF"/>
                  <w:sz w:val="18"/>
                  <w:u w:val="single"/>
                </w:rPr>
                <w:t>6</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28">
              <w:r>
                <w:rPr>
                  <w:rStyle w:val="InternetLink"/>
                  <w:rFonts w:ascii="Roboto;sans-serif" w:hAnsi="Roboto;sans-serif"/>
                  <w:b w:val="false"/>
                  <w:color w:val="0000FF"/>
                  <w:sz w:val="18"/>
                  <w:u w:val="single"/>
                </w:rPr>
                <w:t>Condensed Consolidated Statements of Stockholders' Deficit for the Three Months Ended September 30, 2025 and 2024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28">
              <w:r>
                <w:rPr>
                  <w:rStyle w:val="InternetLink"/>
                  <w:rFonts w:ascii="Roboto;sans-serif" w:hAnsi="Roboto;sans-serif"/>
                  <w:b w:val="false"/>
                  <w:color w:val="0000FF"/>
                  <w:sz w:val="18"/>
                  <w:u w:val="single"/>
                </w:rPr>
                <w:t>7</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31">
              <w:r>
                <w:rPr>
                  <w:rStyle w:val="InternetLink"/>
                  <w:rFonts w:ascii="Roboto;sans-serif" w:hAnsi="Roboto;sans-serif"/>
                  <w:b w:val="false"/>
                  <w:color w:val="0000FF"/>
                  <w:sz w:val="18"/>
                  <w:u w:val="single"/>
                </w:rPr>
                <w:t>Notes to Condensed Consolidated Financial Statements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31">
              <w:r>
                <w:rPr>
                  <w:rStyle w:val="InternetLink"/>
                  <w:rFonts w:ascii="Roboto;sans-serif" w:hAnsi="Roboto;sans-serif"/>
                  <w:b w:val="false"/>
                  <w:color w:val="0000FF"/>
                  <w:sz w:val="18"/>
                  <w:u w:val="single"/>
                </w:rPr>
                <w:t>8</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85">
              <w:r>
                <w:rPr>
                  <w:rStyle w:val="InternetLink"/>
                  <w:rFonts w:ascii="Roboto;sans-serif" w:hAnsi="Roboto;sans-serif"/>
                  <w:b w:val="false"/>
                  <w:color w:val="0000FF"/>
                  <w:sz w:val="18"/>
                  <w:u w:val="single"/>
                </w:rPr>
                <w:t>Item 2.</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85">
              <w:r>
                <w:rPr>
                  <w:rStyle w:val="InternetLink"/>
                  <w:rFonts w:ascii="Roboto;sans-serif" w:hAnsi="Roboto;sans-serif"/>
                  <w:b w:val="false"/>
                  <w:color w:val="0000FF"/>
                  <w:sz w:val="18"/>
                  <w:u w:val="single"/>
                </w:rPr>
                <w:t>Management’s Discussion and Analysis of Financial Condition and Results of Operations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85">
              <w:r>
                <w:rPr>
                  <w:rStyle w:val="InternetLink"/>
                  <w:rFonts w:ascii="Roboto;sans-serif" w:hAnsi="Roboto;sans-serif"/>
                  <w:b w:val="false"/>
                  <w:color w:val="0000FF"/>
                  <w:sz w:val="18"/>
                  <w:u w:val="single"/>
                </w:rPr>
                <w:t>22</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15">
              <w:r>
                <w:rPr>
                  <w:rStyle w:val="InternetLink"/>
                  <w:rFonts w:ascii="Roboto;sans-serif" w:hAnsi="Roboto;sans-serif"/>
                  <w:b w:val="false"/>
                  <w:color w:val="0000FF"/>
                  <w:sz w:val="18"/>
                  <w:u w:val="single"/>
                </w:rPr>
                <w:t>Item 3.</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15">
              <w:r>
                <w:rPr>
                  <w:rStyle w:val="InternetLink"/>
                  <w:rFonts w:ascii="Roboto;sans-serif" w:hAnsi="Roboto;sans-serif"/>
                  <w:b w:val="false"/>
                  <w:color w:val="0000FF"/>
                  <w:sz w:val="18"/>
                  <w:u w:val="single"/>
                </w:rPr>
                <w:t>Quantitative and Qualitative Disclosures About Market Risk</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15">
              <w:r>
                <w:rPr>
                  <w:rStyle w:val="InternetLink"/>
                  <w:rFonts w:ascii="Roboto;sans-serif" w:hAnsi="Roboto;sans-serif"/>
                  <w:b w:val="false"/>
                  <w:color w:val="0000FF"/>
                  <w:sz w:val="18"/>
                  <w:u w:val="single"/>
                </w:rPr>
                <w:t>36</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18">
              <w:r>
                <w:rPr>
                  <w:rStyle w:val="InternetLink"/>
                  <w:rFonts w:ascii="Roboto;sans-serif" w:hAnsi="Roboto;sans-serif"/>
                  <w:b w:val="false"/>
                  <w:color w:val="0000FF"/>
                  <w:sz w:val="18"/>
                  <w:u w:val="single"/>
                </w:rPr>
                <w:t>Item 4.</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18">
              <w:r>
                <w:rPr>
                  <w:rStyle w:val="InternetLink"/>
                  <w:rFonts w:ascii="Roboto;sans-serif" w:hAnsi="Roboto;sans-serif"/>
                  <w:b w:val="false"/>
                  <w:color w:val="0000FF"/>
                  <w:sz w:val="18"/>
                  <w:u w:val="single"/>
                </w:rPr>
                <w:t>Controls and Procedures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18">
              <w:r>
                <w:rPr>
                  <w:rStyle w:val="InternetLink"/>
                  <w:rFonts w:ascii="Roboto;sans-serif" w:hAnsi="Roboto;sans-serif"/>
                  <w:b w:val="false"/>
                  <w:color w:val="0000FF"/>
                  <w:sz w:val="18"/>
                  <w:u w:val="single"/>
                </w:rPr>
                <w:t>37</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II. Other Information</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24">
              <w:r>
                <w:rPr>
                  <w:rStyle w:val="InternetLink"/>
                  <w:rFonts w:ascii="Roboto;sans-serif" w:hAnsi="Roboto;sans-serif"/>
                  <w:b w:val="false"/>
                  <w:color w:val="0000FF"/>
                  <w:sz w:val="18"/>
                  <w:u w:val="single"/>
                </w:rPr>
                <w:t>Item 1.</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24">
              <w:r>
                <w:rPr>
                  <w:rStyle w:val="InternetLink"/>
                  <w:rFonts w:ascii="Roboto;sans-serif" w:hAnsi="Roboto;sans-serif"/>
                  <w:b w:val="false"/>
                  <w:color w:val="0000FF"/>
                  <w:sz w:val="18"/>
                  <w:u w:val="single"/>
                </w:rPr>
                <w:t>Legal Proceedings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24">
              <w:r>
                <w:rPr>
                  <w:rStyle w:val="InternetLink"/>
                  <w:rFonts w:ascii="Roboto;sans-serif" w:hAnsi="Roboto;sans-serif"/>
                  <w:b w:val="false"/>
                  <w:color w:val="0000FF"/>
                  <w:sz w:val="18"/>
                  <w:u w:val="single"/>
                </w:rPr>
                <w:t>37</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27">
              <w:r>
                <w:rPr>
                  <w:rStyle w:val="InternetLink"/>
                  <w:rFonts w:ascii="Roboto;sans-serif" w:hAnsi="Roboto;sans-serif"/>
                  <w:b w:val="false"/>
                  <w:color w:val="0000FF"/>
                  <w:sz w:val="18"/>
                  <w:u w:val="single"/>
                </w:rPr>
                <w:t>Item 1A.</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27">
              <w:r>
                <w:rPr>
                  <w:rStyle w:val="InternetLink"/>
                  <w:rFonts w:ascii="Roboto;sans-serif" w:hAnsi="Roboto;sans-serif"/>
                  <w:b w:val="false"/>
                  <w:color w:val="0000FF"/>
                  <w:sz w:val="18"/>
                  <w:u w:val="single"/>
                </w:rPr>
                <w:t>Risk Factors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27">
              <w:r>
                <w:rPr>
                  <w:rStyle w:val="InternetLink"/>
                  <w:rFonts w:ascii="Roboto;sans-serif" w:hAnsi="Roboto;sans-serif"/>
                  <w:b w:val="false"/>
                  <w:color w:val="0000FF"/>
                  <w:sz w:val="18"/>
                  <w:u w:val="single"/>
                </w:rPr>
                <w:t>37</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30">
              <w:r>
                <w:rPr>
                  <w:rStyle w:val="InternetLink"/>
                  <w:rFonts w:ascii="Roboto;sans-serif" w:hAnsi="Roboto;sans-serif"/>
                  <w:b w:val="false"/>
                  <w:color w:val="0000FF"/>
                  <w:sz w:val="18"/>
                  <w:u w:val="single"/>
                </w:rPr>
                <w:t>Item 2.</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30">
              <w:r>
                <w:rPr>
                  <w:rStyle w:val="InternetLink"/>
                  <w:rFonts w:ascii="Roboto;sans-serif" w:hAnsi="Roboto;sans-serif"/>
                  <w:b w:val="false"/>
                  <w:color w:val="0000FF"/>
                  <w:sz w:val="18"/>
                  <w:u w:val="single"/>
                </w:rPr>
                <w:t>Unregistered Sales of Equity Securities and Use of Proceeds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30">
              <w:r>
                <w:rPr>
                  <w:rStyle w:val="InternetLink"/>
                  <w:rFonts w:ascii="Roboto;sans-serif" w:hAnsi="Roboto;sans-serif"/>
                  <w:b w:val="false"/>
                  <w:color w:val="0000FF"/>
                  <w:sz w:val="18"/>
                  <w:u w:val="single"/>
                </w:rPr>
                <w:t>37</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33">
              <w:r>
                <w:rPr>
                  <w:rStyle w:val="InternetLink"/>
                  <w:rFonts w:ascii="Roboto;sans-serif" w:hAnsi="Roboto;sans-serif"/>
                  <w:b w:val="false"/>
                  <w:color w:val="0000FF"/>
                  <w:sz w:val="18"/>
                  <w:u w:val="single"/>
                </w:rPr>
                <w:t>Item 3.</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33">
              <w:r>
                <w:rPr>
                  <w:rStyle w:val="InternetLink"/>
                  <w:rFonts w:ascii="Roboto;sans-serif" w:hAnsi="Roboto;sans-serif"/>
                  <w:b w:val="false"/>
                  <w:color w:val="0000FF"/>
                  <w:sz w:val="18"/>
                  <w:u w:val="single"/>
                </w:rPr>
                <w:t>Defaults Upon Senior Securities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33">
              <w:r>
                <w:rPr>
                  <w:rStyle w:val="InternetLink"/>
                  <w:rFonts w:ascii="Roboto;sans-serif" w:hAnsi="Roboto;sans-serif"/>
                  <w:b w:val="false"/>
                  <w:color w:val="0000FF"/>
                  <w:sz w:val="18"/>
                  <w:u w:val="single"/>
                </w:rPr>
                <w:t>37</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36">
              <w:r>
                <w:rPr>
                  <w:rStyle w:val="InternetLink"/>
                  <w:rFonts w:ascii="Roboto;sans-serif" w:hAnsi="Roboto;sans-serif"/>
                  <w:b w:val="false"/>
                  <w:color w:val="0000FF"/>
                  <w:sz w:val="18"/>
                  <w:u w:val="single"/>
                </w:rPr>
                <w:t>Item 4.</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36">
              <w:r>
                <w:rPr>
                  <w:rStyle w:val="InternetLink"/>
                  <w:rFonts w:ascii="Roboto;sans-serif" w:hAnsi="Roboto;sans-serif"/>
                  <w:b w:val="false"/>
                  <w:color w:val="0000FF"/>
                  <w:sz w:val="18"/>
                  <w:u w:val="single"/>
                </w:rPr>
                <w:t>Mine Safety Disclosures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36">
              <w:r>
                <w:rPr>
                  <w:rStyle w:val="InternetLink"/>
                  <w:rFonts w:ascii="Roboto;sans-serif" w:hAnsi="Roboto;sans-serif"/>
                  <w:b w:val="false"/>
                  <w:color w:val="0000FF"/>
                  <w:sz w:val="18"/>
                  <w:u w:val="single"/>
                </w:rPr>
                <w:t>37</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39">
              <w:r>
                <w:rPr>
                  <w:rStyle w:val="InternetLink"/>
                  <w:rFonts w:ascii="Roboto;sans-serif" w:hAnsi="Roboto;sans-serif"/>
                  <w:b w:val="false"/>
                  <w:color w:val="0000FF"/>
                  <w:sz w:val="18"/>
                  <w:u w:val="single"/>
                </w:rPr>
                <w:t>Item 5.</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39">
              <w:r>
                <w:rPr>
                  <w:rStyle w:val="InternetLink"/>
                  <w:rFonts w:ascii="Roboto;sans-serif" w:hAnsi="Roboto;sans-serif"/>
                  <w:b w:val="false"/>
                  <w:color w:val="0000FF"/>
                  <w:sz w:val="18"/>
                  <w:u w:val="single"/>
                </w:rPr>
                <w:t>Other Information</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39">
              <w:r>
                <w:rPr>
                  <w:rStyle w:val="InternetLink"/>
                  <w:rFonts w:ascii="Roboto;sans-serif" w:hAnsi="Roboto;sans-serif"/>
                  <w:b w:val="false"/>
                  <w:color w:val="0000FF"/>
                  <w:sz w:val="18"/>
                  <w:u w:val="single"/>
                </w:rPr>
                <w:t>38</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45">
              <w:r>
                <w:rPr>
                  <w:rStyle w:val="InternetLink"/>
                  <w:rFonts w:ascii="Roboto;sans-serif" w:hAnsi="Roboto;sans-serif"/>
                  <w:b w:val="false"/>
                  <w:color w:val="0000FF"/>
                  <w:sz w:val="18"/>
                  <w:u w:val="single"/>
                </w:rPr>
                <w:t>Item 6.</w:t>
              </w:r>
            </w:hyperlink>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45">
              <w:r>
                <w:rPr>
                  <w:rStyle w:val="InternetLink"/>
                  <w:rFonts w:ascii="Roboto;sans-serif" w:hAnsi="Roboto;sans-serif"/>
                  <w:b w:val="false"/>
                  <w:color w:val="0000FF"/>
                  <w:sz w:val="18"/>
                  <w:u w:val="single"/>
                </w:rPr>
                <w:t>Exhibits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45">
              <w:r>
                <w:rPr>
                  <w:rStyle w:val="InternetLink"/>
                  <w:rFonts w:ascii="Roboto;sans-serif" w:hAnsi="Roboto;sans-serif"/>
                  <w:b w:val="false"/>
                  <w:color w:val="0000FF"/>
                  <w:sz w:val="18"/>
                  <w:u w:val="single"/>
                </w:rPr>
                <w:t>39</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f50c69738c246ee9a166075a0c8bdaa_148">
              <w:r>
                <w:rPr>
                  <w:rStyle w:val="InternetLink"/>
                  <w:rFonts w:ascii="Roboto;sans-serif" w:hAnsi="Roboto;sans-serif"/>
                  <w:b w:val="false"/>
                  <w:color w:val="0000FF"/>
                  <w:sz w:val="18"/>
                  <w:u w:val="single"/>
                </w:rPr>
                <w:t>SIGNATURES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50c69738c246ee9a166075a0c8bdaa_148">
              <w:r>
                <w:rPr>
                  <w:rStyle w:val="InternetLink"/>
                  <w:rFonts w:ascii="Roboto;sans-serif" w:hAnsi="Roboto;sans-serif"/>
                  <w:b w:val="false"/>
                  <w:color w:val="0000FF"/>
                  <w:sz w:val="18"/>
                  <w:u w:val="singl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showroom footprint, the prices of our products and services,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pStyle w:val="TextBody"/>
        <w:bidi w:val="0"/>
        <w:spacing w:before="0" w:after="0"/>
        <w:jc w:val="both"/>
        <w:rPr/>
      </w:pPr>
      <w:r>
        <w:rPr/>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successfully execute our business strategy;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achieve and maintain profitability and positive free cash flow;</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maintain Subscribers;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accurately forecast consumer demand for our products and services and adequately manage our inventory;</w:t>
      </w:r>
    </w:p>
    <w:p>
      <w:pPr>
        <w:pStyle w:val="TextBody"/>
        <w:bidi w:val="0"/>
        <w:spacing w:lineRule="auto" w:line="288" w:before="60" w:after="60"/>
        <w:ind w:left="0" w:right="0" w:hanging="360"/>
        <w:jc w:val="left"/>
        <w:rPr/>
      </w:pPr>
      <w:r>
        <w:rPr>
          <w:color w:val="000000"/>
        </w:rPr>
        <w:t>•</w:t>
      </w:r>
      <w:r>
        <w:rPr>
          <w:rFonts w:ascii="Roboto;sans-serif" w:hAnsi="Roboto;sans-serif"/>
          <w:b w:val="false"/>
          <w:color w:val="000000"/>
          <w:sz w:val="18"/>
        </w:rPr>
        <w:t>our ability to execute and achieve the expected benefits of our restructuring initiatives and other cost-saving measures on our anticipated timetable or at all, and whether our efforts will result in further actions or additional asset impairment charges that adversely affect our business;</w:t>
      </w:r>
    </w:p>
    <w:p>
      <w:pPr>
        <w:pStyle w:val="TextBody"/>
        <w:bidi w:val="0"/>
        <w:spacing w:lineRule="auto" w:line="288" w:before="60" w:after="60"/>
        <w:ind w:left="0" w:right="0" w:hanging="360"/>
        <w:jc w:val="left"/>
        <w:rPr/>
      </w:pPr>
      <w:r>
        <w:rPr>
          <w:color w:val="000000"/>
        </w:rPr>
        <w:t>•</w:t>
      </w:r>
      <w:r>
        <w:rPr>
          <w:rFonts w:ascii="Roboto;sans-serif" w:hAnsi="Roboto;sans-serif"/>
          <w:b w:val="false"/>
          <w:color w:val="000000"/>
          <w:sz w:val="18"/>
        </w:rPr>
        <w:t xml:space="preserve">our ability to effectively manage our growth and costs;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anticipate consumer preferences and successfully develop and offer new products and services in a timely manner, and effectively manage the introduction of new or enhanced products and services;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demand for our products and services and growth of the connected fitness and wellness market;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the value and reputation of the Peloton brand;</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disruptions or failures of our information technology systems, or websites, or those of third parties on whom we rely;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a limited number of suppliers, contract manufacturers, and logistics partners for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lack of control over suppliers, contract manufacturers and logistics partners for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predict our long-term performance and changes to our revenue as our business matures;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declines in sales of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the effects of increased competition in our markets and our ability to compete effectively;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dependence on third-party licenses for use of music in our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actual or perceived defects in, or safety of, our products, including any impact of the Original Series Bike+ recall, other product recalls, quality improvement or similar programs or legal or regulatory claims, proceedings or investigations involving our products;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increases in component costs, long lead times, supply shortages or other supply chain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accidents, safety incidents or workforce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seasonality or other fluctuations in our quarterly results;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generate class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acquisitions or dispositions and our ability to integrate any such acquired companies into our operations and control environment, including Precor;</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expansion into international markets;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payment processing, cybersecurity, or data privacy;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artificial intelligence (“AI”) and our integration of AI into our products, services and business operations;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our Peloton Apps (as defined below) and their ability to work with a range of mobile and streaming technologies, systems, networks, and standards;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effectively price and market our Connected Fitness Products and subscriptions and our limited operating history with which to predict the profitability of our subscription model;</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inaccuracies in, or failure to achieve, operational and business metrics or forecasts of market growth;</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effective internal control over financial reporting and our financial and management systems;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impacts from warranty claims or product returns;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protect, and enhance our intellectual property;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our ability to comply with laws and regulations that currently apply or become applicable to our business both in the United States and internationally;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changes in global trade policies, including our ability to mitigate the effects of tariffs and other non-tariff restrictions, such as taxes, quotas, local content rules, customs detentions and other protectionist measures;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third parties for computing, storage, processing and similar services and delivery and installation of our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retain highly skilled personnel and maintain our culture;</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risks related to our common stock and indebtedness; and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2025, as such factors may be updated in our filings with the Securities and Exchange Commission (the “SEC”).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our forward-looking statements may not be achieved or occur. Although we believe that the expectations reflected in our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this Quarterly Report on Form 10-Q, the words “we,” “us,” “our,” and “Peloton” refer to Peloton Interactive, Inc. and its wholly owned subsidiaries, unless the context requires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BALANCE SHEETS</w:t>
      </w:r>
    </w:p>
    <w:p>
      <w:pPr>
        <w:pStyle w:val="TextBody"/>
        <w:bidi w:val="0"/>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30"/>
        <w:gridCol w:w="2156"/>
        <w:gridCol w:w="2031"/>
        <w:gridCol w:w="238"/>
        <w:gridCol w:w="938"/>
        <w:gridCol w:w="116"/>
        <w:gridCol w:w="109"/>
        <w:gridCol w:w="109"/>
        <w:gridCol w:w="109"/>
        <w:gridCol w:w="226"/>
        <w:gridCol w:w="886"/>
        <w:gridCol w:w="157"/>
      </w:tblGrid>
      <w:tr>
        <w:trPr/>
        <w:tc>
          <w:tcPr>
            <w:tcW w:w="3130"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17" w:type="dxa"/>
            <w:gridSpan w:val="3"/>
            <w:vMerge w:val="continue"/>
            <w:tcBorders/>
            <w:tcMar>
              <w:top w:w="0" w:type="dxa"/>
              <w:left w:w="0" w:type="dxa"/>
              <w:bottom w:w="0" w:type="dxa"/>
              <w:right w:w="0" w:type="dxa"/>
            </w:tcMar>
            <w:vAlign w:val="center"/>
          </w:tcPr>
          <w:p>
            <w:pPr>
              <w:pStyle w:val="Normal"/>
              <w:bidi w:val="0"/>
              <w:jc w:val="left"/>
              <w:rPr/>
            </w:pPr>
            <w:r>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7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8"/>
              </w:rPr>
            </w:pPr>
            <w:r>
              <w:rPr>
                <w:rFonts w:ascii="Roboto;sans-serif" w:hAnsi="Roboto;sans-serif"/>
                <w:b/>
                <w:color w:val="000000"/>
                <w:sz w:val="18"/>
              </w:rPr>
              <w:t>ASSETS</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Property and equipment, net of accumulated depreciation and amortization of $287.4 and $298.3, respectively</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w:t>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debt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of current portion</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 of current portion</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2,517.2 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Commitments and contingencies (Note 8)</w:t>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Stockholders’ deficit</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shares of Class A common stock authorized, 401,756,597 and 390,579,270 shares of Class A common stock issued and outstanding as of September 30, 2025 and June 30, 2025, respectively; 2,500,000,000 and 2,500,000,000 shares of Class B common stock authorized, 15,836,724 and 15,837,270 shares of Class B common stock issued and outstanding as of September 30, 2025 and June 30, 2025, respectively.</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(5,588.7)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2,170.1 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Roboto;sans-serif" w:hAnsi="Roboto;sans-serif"/>
          <w:b w:val="false"/>
          <w:i/>
          <w:color w:val="000000"/>
          <w:sz w:val="18"/>
        </w:rPr>
        <w:t>See accompanying notes to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INCOME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74"/>
        <w:gridCol w:w="1870"/>
        <w:gridCol w:w="1875"/>
        <w:gridCol w:w="356"/>
        <w:gridCol w:w="1094"/>
        <w:gridCol w:w="160"/>
        <w:gridCol w:w="160"/>
        <w:gridCol w:w="160"/>
        <w:gridCol w:w="160"/>
        <w:gridCol w:w="356"/>
        <w:gridCol w:w="1094"/>
        <w:gridCol w:w="160"/>
        <w:gridCol w:w="109"/>
        <w:gridCol w:w="109"/>
        <w:gridCol w:w="109"/>
        <w:gridCol w:w="159"/>
      </w:tblGrid>
      <w:tr>
        <w:trPr/>
        <w:tc>
          <w:tcPr>
            <w:tcW w:w="227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revenue</w:t>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586.0 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Sales and marketing </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General and administrative </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Income from operations </w:t>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 gain</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expense, net </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Income (loss) before income taxes</w:t>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attributable to Class A and Class B common stockholders</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Earnings (loss) per share:</w:t>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Basic</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Diluted</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Basic</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413,108,105 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378,776,423 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Diluted</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430,004,926 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378,776,423 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Other comprehensive income (loss):</w:t>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other comprehensive income (loss)</w:t>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Comprehensive income (loss)</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96"/>
        <w:gridCol w:w="2025"/>
        <w:gridCol w:w="2030"/>
        <w:gridCol w:w="321"/>
        <w:gridCol w:w="1262"/>
        <w:gridCol w:w="155"/>
        <w:gridCol w:w="155"/>
        <w:gridCol w:w="155"/>
        <w:gridCol w:w="155"/>
        <w:gridCol w:w="321"/>
        <w:gridCol w:w="1005"/>
        <w:gridCol w:w="225"/>
      </w:tblGrid>
      <w:tr>
        <w:trPr/>
        <w:tc>
          <w:tcPr>
            <w:tcW w:w="2396"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Three Months Ended September 30,</w:t>
            </w:r>
          </w:p>
        </w:tc>
      </w:tr>
      <w:tr>
        <w:trPr/>
        <w:tc>
          <w:tcPr>
            <w:tcW w:w="6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Adjustments to reconcile net income (loss) to net cash provided by operating activities:</w:t>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Prepaid expenses and other assets, current and non-current</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Business combinations</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 of Peloton Output Park</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7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from employee stock purchase plan withholdings</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from employee stock plans</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772.1 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7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17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STOCKHOLDERS' DEFICIT</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1190" w:type="dxa"/>
        <w:jc w:val="center"/>
        <w:tblInd w:w="0" w:type="dxa"/>
        <w:tblLayout w:type="fixed"/>
        <w:tblCellMar>
          <w:top w:w="28" w:type="dxa"/>
          <w:left w:w="28" w:type="dxa"/>
          <w:bottom w:w="28" w:type="dxa"/>
          <w:right w:w="28" w:type="dxa"/>
        </w:tblCellMar>
      </w:tblPr>
      <w:tblGrid>
        <w:gridCol w:w="1081"/>
        <w:gridCol w:w="344"/>
        <w:gridCol w:w="346"/>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10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Deficit</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2024</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(5,483.7)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(519.1)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September 30, 2024</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381.3 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(5,484.6)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(480.3)</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2025</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406.4 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September 30, 2025</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417.6 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(5,588.7)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(347.0)</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4" w:type="dxa"/>
            <w:gridSpan w:val="2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1. Description of Business and Basis of Presentation</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Description and Organization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Peloton Interactive, Inc. (“Peloton” or the “Company”) is a leading global fitness and wellness company that empowers its Members to live fit, strong, long, and happy by providing fitness and wellness products and services they can use anytime, anywhere. Peloton has a highly engaged community of Members, which the Company defines as any individual who has a Peloton account through a Paid Connected Fitness Subscription or a Paid App Subscription, inclusive of the Peloton App+, App One, Strength+, and Breathwrk Memberships (the “Peloton Apps”), and engages in one or more workouts in the trailing 12-month period. As a category innovator at the nexus of fitness and wellness, technology, and media, the Company delivers experiences through Peloton’s world-renowned Instructors, premium hardware and innovative software, personalization, and extensive modalities and content formats.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During the three months ended September 30, 2025, the Company’s Connected Fitness Products portfolio included the Original Series Peloton Bike, Bike+, Tread, Tread+, Row, Guide (discontinued as of July 2025), and various Precor products. In October 2025, the Company launched a refreshed portfolio of Connected Fitness Products called the Cross Training Series, including the Cross Training Bike, Bike+, Tread, Tread+, and Row+. The Company continues to sell the refurbished Original Series Peloton Bike and Bike+. Additionally, the Company launched the Peloton Pro Series, a refresh of its portfolio of commercial-certified Peloton-branded products, which now include the Bike+ Pro, Tread+ Pro, and Row+ Pro.</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revenue is generated primarily from recurring Subscription revenue and the sale of its Connected Fitness Products. The Company defines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App+, App One, Strength+, or Breathwrk subscriptions for which the Company currently receives payment.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Basis of Presentation and Consolidation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2025,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2025 (the "Form 10-K"). However, the Company believes that the disclosures provided herein are adequate to prevent the information presented from being misleading.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condensed consolidated financial statements include the accounts of Peloton Interactive, Inc. and its subsidiaries in which the Company has a controlling financial interest. All significant intercompany balances and transactions have been eliminated.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the opinion of management, the accompanying unaudited interim condensed consolidated financial statements reflect all normal recurring adjustments necessary to present fairly the financial position, results of operations, cash flows, and the changes in stockholders’ deficit for the interim periods. The results for the three months ended September 30, 2025 are not necessarily indicative of the results to be expected for any subsequent quarter, the fiscal year ending June 30, 2026, or any other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immaterial amounts from the prior year have been reclassified to conform with current-year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2. Summary of Significant Accounting Policies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Use of Estimates</w:t>
      </w:r>
    </w:p>
    <w:p>
      <w:pPr>
        <w:pStyle w:val="TextBody"/>
        <w:bidi w:val="0"/>
        <w:spacing w:lineRule="auto" w:line="268" w:before="0" w:after="240"/>
        <w:jc w:val="both"/>
        <w:rPr>
          <w:rFonts w:ascii="Roboto;sans-serif" w:hAnsi="Roboto;sans-serif"/>
          <w:b w:val="false"/>
          <w:color w:val="000000"/>
          <w:sz w:val="18"/>
        </w:rPr>
      </w:pPr>
      <w:r>
        <w:rPr>
          <w:rFonts w:ascii="Roboto;sans-serif" w:hAnsi="Roboto;sans-serif"/>
          <w:b w:val="false"/>
          <w:color w:val="000000"/>
          <w:sz w:val="18"/>
        </w:rPr>
        <w:t>The preparation of these financial statements in conformity with GAAP requires the Company to make estimates and judgments that affect the reported amounts of assets, liabilities, revenue, expenses, and related disclosures. On an ongoing basis, the Company evaluates its estimates, including, but not limited to, those related to product warranty and recall related provisions, inventory valuation and reserves, revenue recognition and related reserves, music royalty fees, valuation of long-lived assets and their associated useful lives, valuation of goodwill, fair value measurements, stock-based compensation, income taxes, future restructuring charges, and commitments and contingencies. Actual results may differ from these estimates.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There have been no material changes to the Company’s significant accounting policies from its Annual Report on Form 10-K for the fiscal year ended June 30, 2025.</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Recently Issued Accounting Pronouncements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Accounting Pronouncements Not Yet Adopted</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2023-09</w:t>
      </w:r>
    </w:p>
    <w:p>
      <w:pPr>
        <w:pStyle w:val="TextBody"/>
        <w:bidi w:val="0"/>
        <w:spacing w:lineRule="auto" w:line="288" w:before="0" w:after="240"/>
        <w:jc w:val="both"/>
        <w:rPr/>
      </w:pPr>
      <w:r>
        <w:rPr>
          <w:rFonts w:ascii="Roboto;sans-serif" w:hAnsi="Roboto;sans-serif"/>
          <w:b w:val="false"/>
          <w:color w:val="000000"/>
          <w:sz w:val="18"/>
        </w:rPr>
        <w:t xml:space="preserve">In December 2023, the Financial Accounting Standards Board (“FASB”) issued ASU 2023-09, </w:t>
      </w:r>
      <w:r>
        <w:rPr>
          <w:rFonts w:ascii="Roboto;sans-serif" w:hAnsi="Roboto;sans-serif"/>
          <w:b w:val="false"/>
          <w:i/>
          <w:color w:val="000000"/>
          <w:sz w:val="18"/>
        </w:rPr>
        <w:t>Income Taxes (Topic 740):</w:t>
      </w:r>
      <w:r>
        <w:rPr>
          <w:color w:val="000000"/>
        </w:rPr>
        <w:t xml:space="preserve"> </w:t>
      </w:r>
      <w:r>
        <w:rPr>
          <w:rFonts w:ascii="Roboto;sans-serif" w:hAnsi="Roboto;sans-serif"/>
          <w:b w:val="false"/>
          <w:i/>
          <w:color w:val="000000"/>
          <w:sz w:val="18"/>
        </w:rPr>
        <w:t xml:space="preserve">Improvements to Income Tax Disclosures. </w:t>
      </w:r>
      <w:r>
        <w:rPr>
          <w:rFonts w:ascii="Roboto;sans-serif" w:hAnsi="Roboto;sans-serif"/>
          <w:b w:val="false"/>
          <w:color w:val="000000"/>
          <w:sz w:val="18"/>
        </w:rPr>
        <w:t>This ASU enhances income tax information primarily through changes in the rate reconciliation and income taxes paid information. It is effective for fiscal years beginning after December 15, 2024, and should be applied on a prospective basis, however retrospective application is permitted.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2024-03</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2024-03, </w:t>
      </w:r>
      <w:r>
        <w:rPr>
          <w:rFonts w:ascii="Roboto;sans-serif" w:hAnsi="Roboto;sans-serif"/>
          <w:b w:val="false"/>
          <w:i/>
          <w:color w:val="000000"/>
          <w:sz w:val="18"/>
        </w:rPr>
        <w:t xml:space="preserve">Income Statement-Reporting Comprehensive Income-Expense Disaggregation Disclosures (Subtopic 220-40). </w:t>
      </w:r>
      <w:r>
        <w:rPr>
          <w:rFonts w:ascii="Roboto;sans-serif" w:hAnsi="Roboto;sans-serif"/>
          <w:b w:val="false"/>
          <w:color w:val="000000"/>
          <w:sz w:val="18"/>
        </w:rPr>
        <w:t>This ASU requires the disaggregation of certain expense captions on the face of the income statement into specified categories in disclosures within the footnotes to the financial statements. It is effective for fiscal years beginning after December 15, 2026, and for interim periods within fiscal years beginning after December 15, 2027, and is permitted on either a prospective or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2024-04</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2024-04, </w:t>
      </w:r>
      <w:r>
        <w:rPr>
          <w:rFonts w:ascii="Roboto;sans-serif" w:hAnsi="Roboto;sans-serif"/>
          <w:b w:val="false"/>
          <w:i/>
          <w:color w:val="000000"/>
          <w:sz w:val="18"/>
        </w:rPr>
        <w:t xml:space="preserve">Debt—Debt with Conversion and Other Options (Subtopic 470-20): Induced Conversions of Convertible Debt Instruments. </w:t>
      </w:r>
      <w:r>
        <w:rPr>
          <w:rFonts w:ascii="Roboto;sans-serif" w:hAnsi="Roboto;sans-serif"/>
          <w:b w:val="false"/>
          <w:color w:val="000000"/>
          <w:sz w:val="18"/>
        </w:rPr>
        <w:t>This ASU clarifies the requirements for determining whether certain settlements of convertible debt instruments should be accounted for as an induced conversion. It is effective for fiscal years beginning after December 15, 2025 and interim reporting periods within those annual reporting periods, and is permitted on either a prospective or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2025-03</w:t>
      </w:r>
    </w:p>
    <w:p>
      <w:pPr>
        <w:pStyle w:val="TextBody"/>
        <w:bidi w:val="0"/>
        <w:spacing w:lineRule="auto" w:line="288" w:before="0" w:after="240"/>
        <w:jc w:val="both"/>
        <w:rPr/>
      </w:pPr>
      <w:r>
        <w:rPr>
          <w:rFonts w:ascii="Roboto;sans-serif" w:hAnsi="Roboto;sans-serif"/>
          <w:b w:val="false"/>
          <w:color w:val="000000"/>
          <w:sz w:val="18"/>
        </w:rPr>
        <w:t xml:space="preserve">In May 2025, the FASB issued ASU 2025-03, </w:t>
      </w:r>
      <w:r>
        <w:rPr>
          <w:rFonts w:ascii="Roboto;sans-serif" w:hAnsi="Roboto;sans-serif"/>
          <w:b w:val="false"/>
          <w:i/>
          <w:color w:val="000000"/>
          <w:sz w:val="18"/>
        </w:rPr>
        <w:t>Business Combinations (Topic 805) and Consolidation (Topic 810): Determining the Accounting Acquirer in the Acquisition of a Variable Interest Entity</w:t>
      </w:r>
      <w:r>
        <w:rPr>
          <w:rFonts w:ascii="Roboto;sans-serif" w:hAnsi="Roboto;sans-serif"/>
          <w:b w:val="false"/>
          <w:color w:val="000000"/>
          <w:sz w:val="18"/>
        </w:rPr>
        <w:t>. This ASU improves the requirements for identifying the accounting acquirer in a business combination that is effected primarily by exchanging equity interests in which a variable interest entity is acquired. It is effective for fiscal years beginning after December 15, 2026 and interim reporting periods within those annual reporting periods, and is required to be applied prospectively to acquisitions occurring on or after the effective date. The Company will continue to evaluate the impact of this guidance, which will depend on the legal acquiree in future business combinations.</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2025-05</w:t>
      </w:r>
    </w:p>
    <w:p>
      <w:pPr>
        <w:pStyle w:val="TextBody"/>
        <w:bidi w:val="0"/>
        <w:spacing w:lineRule="auto" w:line="288" w:before="0" w:after="240"/>
        <w:jc w:val="both"/>
        <w:rPr/>
      </w:pPr>
      <w:r>
        <w:rPr>
          <w:rFonts w:ascii="Roboto;sans-serif" w:hAnsi="Roboto;sans-serif"/>
          <w:b w:val="false"/>
          <w:color w:val="000000"/>
          <w:sz w:val="18"/>
        </w:rPr>
        <w:t xml:space="preserve">In July 2025, the FASB issued ASU 2025-05, </w:t>
      </w:r>
      <w:r>
        <w:rPr>
          <w:rFonts w:ascii="Roboto;sans-serif" w:hAnsi="Roboto;sans-serif"/>
          <w:b w:val="false"/>
          <w:i/>
          <w:color w:val="000000"/>
          <w:sz w:val="18"/>
        </w:rPr>
        <w:t>Financial Instruments—Credit Losses (Topic 326): Measurement of Credit Losses for Accounts Receivable and Contract Assets</w:t>
      </w:r>
      <w:r>
        <w:rPr>
          <w:rFonts w:ascii="Roboto;sans-serif" w:hAnsi="Roboto;sans-serif"/>
          <w:b w:val="false"/>
          <w:color w:val="000000"/>
          <w:sz w:val="18"/>
        </w:rPr>
        <w:t>. This ASU provides a practical expedient when estimating expected credit losses for current accounts receivable and current contract assets arising from transactions accounted for under Topic 606. It is effective for fiscal years beginning after December 15, 2025 and interim reporting periods within those annual reporting periods, and should be applied prospectively.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2025-06</w:t>
      </w:r>
    </w:p>
    <w:p>
      <w:pPr>
        <w:pStyle w:val="TextBody"/>
        <w:bidi w:val="0"/>
        <w:spacing w:lineRule="auto" w:line="288" w:before="0" w:after="0"/>
        <w:jc w:val="both"/>
        <w:rPr/>
      </w:pPr>
      <w:r>
        <w:rPr>
          <w:rFonts w:ascii="Roboto;sans-serif" w:hAnsi="Roboto;sans-serif"/>
          <w:b w:val="false"/>
          <w:color w:val="000000"/>
          <w:sz w:val="18"/>
        </w:rPr>
        <w:t xml:space="preserve">In September 2025, the FASB issued ASU 2025-06, </w:t>
      </w:r>
      <w:r>
        <w:rPr>
          <w:rFonts w:ascii="Roboto;sans-serif" w:hAnsi="Roboto;sans-serif"/>
          <w:b w:val="false"/>
          <w:i/>
          <w:color w:val="000000"/>
          <w:sz w:val="18"/>
        </w:rPr>
        <w:t>Intangibles—Goodwill and Other—Internal-Use Software (Subtopic 350-40): Targeted Improvements to the Accounting for Internal-Use Software</w:t>
      </w:r>
      <w:r>
        <w:rPr>
          <w:color w:val="000000"/>
        </w:rPr>
        <w:t xml:space="preserve"> </w:t>
      </w:r>
      <w:r>
        <w:rPr>
          <w:rFonts w:ascii="Roboto;sans-serif" w:hAnsi="Roboto;sans-serif"/>
          <w:b w:val="false"/>
          <w:color w:val="000000"/>
          <w:sz w:val="18"/>
        </w:rPr>
        <w:t>to clarify and modernize the accounting for costs related to internal-use software. This ASU is effective for fiscal years beginning after December 15, 2027 and interim reporting periods within those annual reporting periods, and is permitted to be applied using a prospective, modified, or retrospective transition approach. The Company is currently evaluating the impact of adopting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3. Revenue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Disaggregation of Revenue</w:t>
      </w:r>
    </w:p>
    <w:p>
      <w:pPr>
        <w:pStyle w:val="TextBody"/>
        <w:bidi w:val="0"/>
        <w:spacing w:lineRule="auto" w:line="288" w:before="0" w:after="200"/>
        <w:jc w:val="both"/>
        <w:rPr/>
      </w:pPr>
      <w:r>
        <w:rPr>
          <w:rFonts w:ascii="Roboto;sans-serif" w:hAnsi="Roboto;sans-serif"/>
          <w:b w:val="false"/>
          <w:color w:val="000000"/>
          <w:sz w:val="18"/>
        </w:rPr>
        <w:t xml:space="preserve">The Company’s revenue disaggregated by segment, excluding sales-based taxes, is included in </w:t>
      </w:r>
      <w:r>
        <w:rPr>
          <w:rFonts w:ascii="Roboto;sans-serif" w:hAnsi="Roboto;sans-serif"/>
          <w:b w:val="false"/>
          <w:i/>
          <w:color w:val="000000"/>
          <w:sz w:val="18"/>
        </w:rPr>
        <w:t>Note 11, Segment Information</w:t>
      </w:r>
      <w:r>
        <w:rPr>
          <w:rFonts w:ascii="Roboto;sans-serif" w:hAnsi="Roboto;sans-serif"/>
          <w:b w:val="false"/>
          <w:color w:val="000000"/>
          <w:sz w:val="18"/>
        </w:rPr>
        <w:t>. The Company’s revenue disaggregated by geographic region was as follows:</w:t>
      </w:r>
    </w:p>
    <w:tbl>
      <w:tblPr>
        <w:tblW w:w="5697" w:type="dxa"/>
        <w:jc w:val="left"/>
        <w:tblInd w:w="0" w:type="dxa"/>
        <w:tblLayout w:type="fixed"/>
        <w:tblCellMar>
          <w:top w:w="28" w:type="dxa"/>
          <w:left w:w="28" w:type="dxa"/>
          <w:bottom w:w="28" w:type="dxa"/>
          <w:right w:w="28" w:type="dxa"/>
        </w:tblCellMar>
      </w:tblPr>
      <w:tblGrid>
        <w:gridCol w:w="516"/>
        <w:gridCol w:w="453"/>
        <w:gridCol w:w="456"/>
        <w:gridCol w:w="356"/>
        <w:gridCol w:w="1112"/>
        <w:gridCol w:w="171"/>
        <w:gridCol w:w="171"/>
        <w:gridCol w:w="171"/>
        <w:gridCol w:w="171"/>
        <w:gridCol w:w="356"/>
        <w:gridCol w:w="1112"/>
        <w:gridCol w:w="171"/>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North America</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International</w:t>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586.0 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During the three months ended September 30, 2025 and 2024, the Company’s revenue attributable to the United States, included within North America above, was $475.3 million and $515.4 million, or 86% and 88% of total revenue, respectively.</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Deferred Revenue and Customer Deposits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September 30, 2025 and June 30, 2025, deferred revenue of $86.9 million and $91.7 million, respectively, and customer deposits of $53.7 million and $59.0 million, respectively, were included in Deferred revenue and customer deposits on the Company’s Condensed Consolidated Balance Sheets.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the three months ended September 30, 2025 and 2024, the Company recognized revenue of $75.6 million and $80.6 million, respectively, that was included in the deferred revenue balance as of June 30, 2025 and 2024, respectively.</w:t>
      </w:r>
    </w:p>
    <w:p>
      <w:pPr>
        <w:pStyle w:val="TextBody"/>
        <w:bidi w:val="0"/>
        <w:spacing w:lineRule="auto" w:line="288" w:before="0" w:after="240"/>
        <w:jc w:val="both"/>
        <w:rPr/>
      </w:pPr>
      <w:r>
        <w:rPr>
          <w:rFonts w:ascii="Roboto;sans-serif" w:hAnsi="Roboto;sans-serif"/>
          <w:b w:val="false"/>
          <w:color w:val="000000"/>
          <w:sz w:val="18"/>
        </w:rPr>
        <w:t xml:space="preserve">The Company applies the practical expedient as per ASC 606-10-50-14, </w:t>
      </w:r>
      <w:r>
        <w:rPr>
          <w:rFonts w:ascii="Roboto;sans-serif" w:hAnsi="Roboto;sans-serif"/>
          <w:b w:val="false"/>
          <w:i/>
          <w:color w:val="000000"/>
          <w:sz w:val="18"/>
        </w:rPr>
        <w:t>Revenue from Contracts with Customers</w:t>
      </w:r>
      <w:r>
        <w:rPr>
          <w:color w:val="000000"/>
        </w:rPr>
        <w:t xml:space="preserve"> </w:t>
      </w:r>
      <w:r>
        <w:rPr>
          <w:rFonts w:ascii="Roboto;sans-serif" w:hAnsi="Roboto;sans-serif"/>
          <w:b w:val="false"/>
          <w:color w:val="000000"/>
          <w:sz w:val="18"/>
        </w:rPr>
        <w:t>and does not disclose information related to remaining performance obligations due to their original expected terms being one year or less.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Product Warranty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offers a standard product warranty that its Connected Fitness Products will operate under normal, non-commercial use covering the touchscreen and most original Bike, Bike+, Tread, Tread+, Row,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pStyle w:val="TextBody"/>
        <w:bidi w:val="0"/>
        <w:spacing w:lineRule="auto" w:line="288" w:before="0" w:after="20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Activity related to the Company’s accrual for its estimated future product warranty obligation was as follows:</w:t>
      </w:r>
    </w:p>
    <w:tbl>
      <w:tblPr>
        <w:tblW w:w="7166" w:type="dxa"/>
        <w:jc w:val="left"/>
        <w:tblInd w:w="0" w:type="dxa"/>
        <w:tblLayout w:type="fixed"/>
        <w:tblCellMar>
          <w:top w:w="28" w:type="dxa"/>
          <w:left w:w="28" w:type="dxa"/>
          <w:bottom w:w="28" w:type="dxa"/>
          <w:right w:w="28" w:type="dxa"/>
        </w:tblCellMar>
      </w:tblPr>
      <w:tblGrid>
        <w:gridCol w:w="1048"/>
        <w:gridCol w:w="922"/>
        <w:gridCol w:w="925"/>
        <w:gridCol w:w="395"/>
        <w:gridCol w:w="1025"/>
        <w:gridCol w:w="190"/>
        <w:gridCol w:w="190"/>
        <w:gridCol w:w="190"/>
        <w:gridCol w:w="190"/>
        <w:gridCol w:w="395"/>
        <w:gridCol w:w="1025"/>
        <w:gridCol w:w="190"/>
        <w:gridCol w:w="109"/>
        <w:gridCol w:w="109"/>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Provision for warranty accrual</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claims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23.1 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Extended warranty revenue is recognized ratably over the extended warranty coverage period and is included in Connected Fitness Products Revenue in the Condensed Consolidated Statements of Operations and Comprehensive Income (Loss). The Company’s revenue attributable to extended warranty was $4.0 million and $6.1 million, representing 1% of total revenue during each of the three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Lessor arrangements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leases Peloton Bike portfolio products under the Peloton Rental program. Lease revenue is recognized on a straight-line basis over the term of the lease within Connected Fitness Products Revenue and was $9.2 million and $12.5 million for the three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4. Restructuring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February 2022, the Company announced and began implementing a restructuring plan (the “2022 Restructuring Plan”) and in April 2024, the Company’s Board of Directors approved a new restructuring plan to expand upon its 2022 Restructuring Plan (as expanded and collectively with the 2022 Restructuring Plan, the “2024 Restructuring Plan”).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August 2025, the Company announced a new restructuring plan (the “2025 Restructuring Plan”), which includes a reduction in global headcount and is intended to continue to improve the Company’s cost structure, operating efficiency, and profitability, while providing the opportunity to return to growth by reinvesting savings into Peloton’s differentiating capabilities. Our actions under our previous restructuring plans announced in February 2022 (the “2022 Restructuring Plan”) and in May 2024 (the “2024 Restructuring Plan”) have been substantially completed. As such, any remaining charges under these plans are included within the 2025 Restructuring Plan. The 2022, 2024, and 2025 plans, taken together, are referred to as the “Restructuring Plans.” The Company expects the Restructuring Plans to be substantially implemented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2025 Restructuring Plan, the Company estimates that it will incur additional cash restructuring charges of approximately $40.0 million, primarily comprised of location strategy costs, lease termination costs, and other exit costs. Additionally, the Company expects to recognize additional non-cash restructuring charges of approximately $5.0 million, primarily comprised of asset write-downs and write-offs, in connection with the continued exit of the Company’s retail and other leased locations. The Company expects these charges to be substantially incurred by the end of fiscal year 2026, which is subject to change.</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Due to the actions taken pursuant to the Restructuring Plans,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months ended September 30, 2025 and 2024,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As a result of these restructuring initiatives, the Company incurred the charges shown in the following table. Asset write-downs and write-offs are included within Impairment expense, and the remaining charges incurred during the relevant periods are included within Restructuring expense, in the Condensed Consolidated Statements of Operations and Comprehensive Income (Loss):</w:t>
      </w:r>
    </w:p>
    <w:tbl>
      <w:tblPr>
        <w:tblW w:w="8398" w:type="dxa"/>
        <w:jc w:val="left"/>
        <w:tblInd w:w="0" w:type="dxa"/>
        <w:tblLayout w:type="fixed"/>
        <w:tblCellMar>
          <w:top w:w="28" w:type="dxa"/>
          <w:left w:w="28" w:type="dxa"/>
          <w:bottom w:w="28" w:type="dxa"/>
          <w:right w:w="28" w:type="dxa"/>
        </w:tblCellMar>
      </w:tblPr>
      <w:tblGrid>
        <w:gridCol w:w="1495"/>
        <w:gridCol w:w="1314"/>
        <w:gridCol w:w="1316"/>
        <w:gridCol w:w="401"/>
        <w:gridCol w:w="1039"/>
        <w:gridCol w:w="193"/>
        <w:gridCol w:w="193"/>
        <w:gridCol w:w="193"/>
        <w:gridCol w:w="193"/>
        <w:gridCol w:w="401"/>
        <w:gridCol w:w="986"/>
        <w:gridCol w:w="193"/>
        <w:gridCol w:w="109"/>
        <w:gridCol w:w="109"/>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Cash restructuring charges:</w:t>
            </w:r>
            <w:r>
              <w:rPr>
                <w:rFonts w:ascii="Roboto;sans-serif" w:hAnsi="Roboto;sans-serif"/>
                <w:b/>
                <w:color w:val="000000"/>
                <w:sz w:val="12"/>
              </w:rPr>
              <w:t>(1)</w:t>
            </w:r>
          </w:p>
        </w:tc>
        <w:tc>
          <w:tcPr>
            <w:tcW w:w="3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Severance and other personnel costs</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Exit and disposal costs and professional fees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cash restructuring charges</w:t>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Non-cash restructuring charges:</w:t>
            </w:r>
            <w:r>
              <w:rPr>
                <w:rFonts w:ascii="Roboto;sans-serif" w:hAnsi="Roboto;sans-serif"/>
                <w:b/>
                <w:color w:val="000000"/>
                <w:sz w:val="12"/>
              </w:rPr>
              <w:t>(1)</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Asset write-downs and write-offs</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restructuring charges</w:t>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 xml:space="preserve">(1) All cash and non-cash restructuring charges for the three months ended September 30, 2025 related to the 2025 Restructuring Plan. All cash and non-cash restructuring charges for the three months ended September 30, 2024 related to the 2024 Restructuring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presents a roll-forward of cash restructuring-related liabilities, which are included within Accounts payable and accrued expenses in the Condensed Consolidated Balance Sheets:</w:t>
      </w:r>
    </w:p>
    <w:tbl>
      <w:tblPr>
        <w:tblW w:w="10205" w:type="dxa"/>
        <w:jc w:val="left"/>
        <w:tblInd w:w="0" w:type="dxa"/>
        <w:tblLayout w:type="fixed"/>
        <w:tblCellMar>
          <w:top w:w="28" w:type="dxa"/>
          <w:left w:w="28" w:type="dxa"/>
          <w:bottom w:w="28" w:type="dxa"/>
          <w:right w:w="28" w:type="dxa"/>
        </w:tblCellMar>
      </w:tblPr>
      <w:tblGrid>
        <w:gridCol w:w="1074"/>
        <w:gridCol w:w="725"/>
        <w:gridCol w:w="728"/>
        <w:gridCol w:w="678"/>
        <w:gridCol w:w="1760"/>
        <w:gridCol w:w="328"/>
        <w:gridCol w:w="109"/>
        <w:gridCol w:w="109"/>
        <w:gridCol w:w="109"/>
        <w:gridCol w:w="927"/>
        <w:gridCol w:w="1911"/>
        <w:gridCol w:w="449"/>
        <w:gridCol w:w="109"/>
        <w:gridCol w:w="109"/>
        <w:gridCol w:w="109"/>
        <w:gridCol w:w="226"/>
        <w:gridCol w:w="586"/>
        <w:gridCol w:w="159"/>
      </w:tblGrid>
      <w:tr>
        <w:trPr/>
        <w:tc>
          <w:tcPr>
            <w:tcW w:w="107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2024</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September 30, 2024</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2025</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September 30, 2025</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18.6 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 xml:space="preserve">(1) All cash restructuring charges for the three months ended September 30, 2025 related to the 2025 Restructuring Plan. All cash restructuring charges for the three months ended September 30, 2024 related to the 2024 Restructuring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5. Fair Value Measurements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Fair Value Measurements of Other Financial Instruments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presents the estimated fair values and carrying amounts of the Company’s financial instruments that are not recorded at fair value on the Condensed Consolidated Balance Sheets. All of these liabilities’ fair value are considered Level 2:</w:t>
      </w:r>
    </w:p>
    <w:tbl>
      <w:tblPr>
        <w:tblW w:w="10205" w:type="dxa"/>
        <w:jc w:val="left"/>
        <w:tblInd w:w="0" w:type="dxa"/>
        <w:tblLayout w:type="fixed"/>
        <w:tblCellMar>
          <w:top w:w="28" w:type="dxa"/>
          <w:left w:w="28" w:type="dxa"/>
          <w:bottom w:w="28" w:type="dxa"/>
          <w:right w:w="28" w:type="dxa"/>
        </w:tblCellMar>
      </w:tblPr>
      <w:tblGrid>
        <w:gridCol w:w="1161"/>
        <w:gridCol w:w="990"/>
        <w:gridCol w:w="995"/>
        <w:gridCol w:w="332"/>
        <w:gridCol w:w="1302"/>
        <w:gridCol w:w="159"/>
        <w:gridCol w:w="109"/>
        <w:gridCol w:w="109"/>
        <w:gridCol w:w="109"/>
        <w:gridCol w:w="226"/>
        <w:gridCol w:w="886"/>
        <w:gridCol w:w="109"/>
        <w:gridCol w:w="109"/>
        <w:gridCol w:w="109"/>
        <w:gridCol w:w="109"/>
        <w:gridCol w:w="332"/>
        <w:gridCol w:w="1302"/>
        <w:gridCol w:w="159"/>
        <w:gridCol w:w="109"/>
        <w:gridCol w:w="109"/>
        <w:gridCol w:w="109"/>
        <w:gridCol w:w="226"/>
        <w:gridCol w:w="886"/>
        <w:gridCol w:w="159"/>
      </w:tblGrid>
      <w:tr>
        <w:trPr/>
        <w:tc>
          <w:tcPr>
            <w:tcW w:w="116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0.00% Convertible Senior Notes due 2026</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5.50% Convertible Senior Notes due 2029</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due and payable on May 30, 2029</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1,536.5 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1,539.0 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1,818.1 </w:t>
            </w:r>
          </w:p>
        </w:tc>
        <w:tc>
          <w:tcPr>
            <w:tcW w:w="159"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(1) Carrying Amount excludes unamortized debt discount and issuance costs of $21.5 million and $16.3 million, respectively, as of September 30, 2025, and unamortized debt discount and issuance costs of $22.7 million and $17.4 million, respectively, as of June 30, 2025.</w:t>
      </w:r>
    </w:p>
    <w:p>
      <w:pPr>
        <w:pStyle w:val="TextBody"/>
        <w:bidi w:val="0"/>
        <w:spacing w:lineRule="auto" w:line="288" w:before="240" w:after="240"/>
        <w:jc w:val="left"/>
        <w:rPr/>
      </w:pPr>
      <w:r>
        <w:rPr>
          <w:rFonts w:ascii="Roboto;sans-serif" w:hAnsi="Roboto;sans-serif"/>
          <w:b w:val="false"/>
          <w:color w:val="000000"/>
          <w:sz w:val="18"/>
        </w:rPr>
        <w:t xml:space="preserve">The estimated fair value of the 2026 Notes and the estimated fair value of the 2029 Notes (each as defined in </w:t>
      </w:r>
      <w:r>
        <w:rPr>
          <w:rFonts w:ascii="Roboto;sans-serif" w:hAnsi="Roboto;sans-serif"/>
          <w:b w:val="false"/>
          <w:i/>
          <w:color w:val="000000"/>
          <w:sz w:val="18"/>
        </w:rPr>
        <w:t>Note 7, Debt</w:t>
      </w:r>
      <w:r>
        <w:rPr>
          <w:rFonts w:ascii="Roboto;sans-serif" w:hAnsi="Roboto;sans-serif"/>
          <w:b w:val="false"/>
          <w:color w:val="000000"/>
          <w:sz w:val="18"/>
        </w:rPr>
        <w:t>) are determined based on the respective closing prices on the last trading day of the reporting period.</w:t>
      </w:r>
    </w:p>
    <w:p>
      <w:pPr>
        <w:pStyle w:val="TextBody"/>
        <w:bidi w:val="0"/>
        <w:spacing w:lineRule="auto" w:line="288" w:before="0" w:after="0"/>
        <w:jc w:val="both"/>
        <w:rPr/>
      </w:pPr>
      <w:r>
        <w:rPr>
          <w:rFonts w:ascii="Roboto;sans-serif" w:hAnsi="Roboto;sans-serif"/>
          <w:b w:val="false"/>
          <w:color w:val="000000"/>
          <w:sz w:val="18"/>
        </w:rPr>
        <w:t xml:space="preserve">The carrying value of the Term Loan (as defined in </w:t>
      </w:r>
      <w:r>
        <w:rPr>
          <w:rFonts w:ascii="Roboto;sans-serif" w:hAnsi="Roboto;sans-serif"/>
          <w:b w:val="false"/>
          <w:i/>
          <w:color w:val="000000"/>
          <w:sz w:val="18"/>
        </w:rPr>
        <w:t>Note 7, Debt</w:t>
      </w:r>
      <w:r>
        <w:rPr>
          <w:rFonts w:ascii="Roboto;sans-serif" w:hAnsi="Roboto;sans-serif"/>
          <w:b w:val="false"/>
          <w:color w:val="000000"/>
          <w:sz w:val="18"/>
        </w:rPr>
        <w:t>) approximates the fair value of the Term Loan as of September 30, 2025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6. Inventories</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Inventories, net consisted of the following:</w:t>
      </w:r>
    </w:p>
    <w:tbl>
      <w:tblPr>
        <w:tblW w:w="6025" w:type="dxa"/>
        <w:jc w:val="left"/>
        <w:tblInd w:w="0" w:type="dxa"/>
        <w:tblLayout w:type="fixed"/>
        <w:tblCellMar>
          <w:top w:w="28" w:type="dxa"/>
          <w:left w:w="28" w:type="dxa"/>
          <w:bottom w:w="28" w:type="dxa"/>
          <w:right w:w="28" w:type="dxa"/>
        </w:tblCellMar>
      </w:tblPr>
      <w:tblGrid>
        <w:gridCol w:w="732"/>
        <w:gridCol w:w="644"/>
        <w:gridCol w:w="648"/>
        <w:gridCol w:w="468"/>
        <w:gridCol w:w="1465"/>
        <w:gridCol w:w="227"/>
        <w:gridCol w:w="109"/>
        <w:gridCol w:w="109"/>
        <w:gridCol w:w="109"/>
        <w:gridCol w:w="315"/>
        <w:gridCol w:w="985"/>
        <w:gridCol w:w="21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Raw materials</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Finished products</w:t>
            </w:r>
            <w:r>
              <w:rPr>
                <w:rFonts w:ascii="Roboto;sans-serif" w:hAnsi="Roboto;sans-serif"/>
                <w:b w:val="false"/>
                <w:color w:val="000000"/>
                <w:sz w:val="12"/>
              </w:rPr>
              <w:t>(1)</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inventories</w:t>
            </w:r>
            <w:r>
              <w:rPr>
                <w:rFonts w:ascii="Roboto;sans-serif" w:hAnsi="Roboto;sans-serif"/>
                <w:b w:val="false"/>
                <w:color w:val="000000"/>
                <w:sz w:val="12"/>
              </w:rPr>
              <w:t>(2)</w:t>
            </w:r>
          </w:p>
        </w:tc>
        <w:tc>
          <w:tcPr>
            <w:tcW w:w="1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Reserves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 net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237.7 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(1) Includes $42.9 million and $40.3 million of finished goods inventory in transit, products owned by the Company that have not yet been received at a Company distribution center, as of September 30, 2025 and June 30, 2025, respectively.</w:t>
      </w:r>
    </w:p>
    <w:p>
      <w:pPr>
        <w:pStyle w:val="TextBody"/>
        <w:bidi w:val="0"/>
        <w:spacing w:lineRule="auto" w:line="288" w:before="0" w:after="240"/>
        <w:jc w:val="left"/>
        <w:rPr>
          <w:rFonts w:ascii="Roboto;sans-serif" w:hAnsi="Roboto;sans-serif"/>
          <w:b w:val="false"/>
          <w:color w:val="000000"/>
          <w:sz w:val="14"/>
        </w:rPr>
      </w:pPr>
      <w:r>
        <w:rPr>
          <w:rFonts w:ascii="Roboto;sans-serif" w:hAnsi="Roboto;sans-serif"/>
          <w:b w:val="false"/>
          <w:color w:val="000000"/>
          <w:sz w:val="14"/>
        </w:rPr>
        <w:t>(2) As of September 30, 2025 and June 30, 2025, there was no work-in-process within inventories.</w:t>
      </w:r>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The Company periodically assesses and adjusts the value of inventory for estimated excess and obsolete inventory based upon estimates of future demand and market conditions, as well as damaged or otherwise impaired goods. The Company’s recorded inventory reserves as of September 30, 2025 primarily consisted of $63.6 million related to excess accessories and apparel inventory and $33.7 million related to excess Connected Fitness Products. The Company’s recorded inventory reserves as of June 30, 2025 primarily consisted of $66.8 million related to excess accessories and apparel inventory and $64.9 million related excess returned Connected Fitness Products, including Guide.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7. Debt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due 2029</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May 2024, the Company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The net proceeds from this offering of 2029 Notes were approximately $342.3 million, after deducting the initial purchasers' discounts and commissions of $7.7 million.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2029 Notes is initially convertible into 218.4360 shares of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if the last reported sale price per share of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Class A common stock exceeded 130% of the conversion price of the 2029 Notes for more than 20 trading days during the 30 consecutive trading days, including the last trading day, ended September 30, 2025. Accordingly, as of October 1, 2025, the 2029 Notes may be converted at the option of the applicable holder through December 31,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or after September 1, 2029, until the close of business on the second scheduled trading day immediately preceding the maturity date, holders may convert all or any portion of their 2029 Notes, in multiples of $1,000 principal amount, at the option of the applicable holder.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may satisfy any conversion obligation under the 2029 Notes by paying and/or delivering, as the case may be, cash, shares of the Class A common stock or a combination of cash and shares of Class A common stock, at the Company’s election, in the manner and subject to the terms and conditions provided in the 2029 Notes Indenture. If all of the 2029 Notes were to be converted prior to December 31, 2025, the Company’s current intention would be to settle such conversion in shares of Class A common stock.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2029 Notes was 5.97%, which is the effective interest rate as of September 30, 2025.</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The net carrying amount of the 2029 Notes was as follows:</w:t>
      </w:r>
    </w:p>
    <w:tbl>
      <w:tblPr>
        <w:tblW w:w="7121" w:type="dxa"/>
        <w:jc w:val="left"/>
        <w:tblInd w:w="0" w:type="dxa"/>
        <w:tblLayout w:type="fixed"/>
        <w:tblCellMar>
          <w:top w:w="28" w:type="dxa"/>
          <w:left w:w="28" w:type="dxa"/>
          <w:bottom w:w="28" w:type="dxa"/>
          <w:right w:w="28" w:type="dxa"/>
        </w:tblCellMar>
      </w:tblPr>
      <w:tblGrid>
        <w:gridCol w:w="1130"/>
        <w:gridCol w:w="993"/>
        <w:gridCol w:w="997"/>
        <w:gridCol w:w="468"/>
        <w:gridCol w:w="1465"/>
        <w:gridCol w:w="227"/>
        <w:gridCol w:w="109"/>
        <w:gridCol w:w="109"/>
        <w:gridCol w:w="109"/>
        <w:gridCol w:w="315"/>
        <w:gridCol w:w="985"/>
        <w:gridCol w:w="21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343.9 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2029 Notes:</w:t>
      </w:r>
    </w:p>
    <w:tbl>
      <w:tblPr>
        <w:tblW w:w="9454" w:type="dxa"/>
        <w:jc w:val="left"/>
        <w:tblInd w:w="0" w:type="dxa"/>
        <w:tblLayout w:type="fixed"/>
        <w:tblCellMar>
          <w:top w:w="28" w:type="dxa"/>
          <w:left w:w="28" w:type="dxa"/>
          <w:bottom w:w="28" w:type="dxa"/>
          <w:right w:w="28" w:type="dxa"/>
        </w:tblCellMar>
      </w:tblPr>
      <w:tblGrid>
        <w:gridCol w:w="1957"/>
        <w:gridCol w:w="1717"/>
        <w:gridCol w:w="1725"/>
        <w:gridCol w:w="444"/>
        <w:gridCol w:w="917"/>
        <w:gridCol w:w="214"/>
        <w:gridCol w:w="214"/>
        <w:gridCol w:w="214"/>
        <w:gridCol w:w="214"/>
        <w:gridCol w:w="444"/>
        <w:gridCol w:w="917"/>
        <w:gridCol w:w="214"/>
        <w:gridCol w:w="109"/>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2029 Notes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2029 Notes</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Convertible Notes due 2026</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February 2021, the Company issued $1.0 billion aggregate principal amount of 0.00% Convertible Senior Notes due 2026 (the “2026 Notes”) in a private offering, including the exercise in full of the option granted to the initial purchasers to purchase $125.0 million of the 2026 Notes. The 2026 Notes were issued pursuant to an Indenture (the “2026 Notes Indenture”) between the Company and U.S. Bank National Association, as trustee. The net proceeds from the offering were approximately $977.2 million, after deducting the initial purchasers’ discounts and commissions and the Company’s offering expenses. The 2026 Notes do not bear regular interest, and the principal amount of the 2026 Notes does not accrete.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Each $1,000 principal amount of the 2026 Notes is initially convertible into 4.1800 shares of Class A common stock, which is equivalent to an initial conversion price of approximately $239.23 per share. The conversion rate is subject to customary adjustments under certain circumstances in accordance with the terms of the 2026 Notes Indenture. In addition, if certain corporate events that constitute a make-whole fundamental change occur or the Company elects to redeem the 2026 Notes, then the conversion rate will, in certain circumstances, be increased for a specified period of time.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2026 Notes will mature on February 15, 2026, unless earlier converted, redeemed, or repurchased. The 2026 Notes will be convertible at the option of the holders at certain times and upon the occurrence of certain events. As of September 30, 2025, the 2026 Notes are classified as Current portion of debt on the Condensed Consolidated Balance Sheets due to their upcoming maturity date.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or after August 15, 2025, until the close of business on the second scheduled trading day immediately preceding the maturity date, holders may convert all or any portion of their 2026 Notes, in multiples of $1,000 principal amount, at the option of the holder. Upon conversion, the Company may satisfy its conversion obligation by paying and/or delivering, as the case may be, cash, shares of Class A common stock or a combination of cash and shares of Class A common stock, at the Company’s election, in the manner and subject to the terms and conditions provided in the 2026 Notes Indenture.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Company may redeem for cash all or any portion (subject to the partial redemption limitation described in the 2026 Notes Indenture) of the 2026 Notes, at its option, on or before the 20th scheduled trading day immediately before the maturity date, if the last reported sale price per share of the Class A common stock exceeds 130% of the conversion price then in effect on (1) each of at least 20 trading days (whether or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2026 Notes to be redeemed, plus any accrued and unpaid special interest, if any, to, but excluding, the redemption date. No sinking fund is provided for the 2026 Notes, which means that the Company is not required to redeem or retire the 2026 Notes periodically.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2026 Notes Indenture), subject to certain conditions,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2026 Notes are senior unsecured obligations of the Company and rank senior in right of payment to any of the Company’s future indebtedness that is expressly subordinated in right of payment to the 2026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Repurchase of a Portion of the 2026 Convertible Notes</w:t>
      </w:r>
    </w:p>
    <w:p>
      <w:pPr>
        <w:pStyle w:val="TextBody"/>
        <w:bidi w:val="0"/>
        <w:spacing w:lineRule="auto" w:line="288" w:before="0" w:after="240"/>
        <w:jc w:val="both"/>
        <w:rPr/>
      </w:pPr>
      <w:r>
        <w:rPr>
          <w:rFonts w:ascii="Roboto;sans-serif" w:hAnsi="Roboto;sans-serif"/>
          <w:b w:val="false"/>
          <w:color w:val="000000"/>
          <w:sz w:val="18"/>
        </w:rPr>
        <w:t xml:space="preserve">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w:t>
      </w:r>
      <w:r>
        <w:rPr>
          <w:rFonts w:ascii="Roboto;sans-serif" w:hAnsi="Roboto;sans-serif"/>
          <w:b w:val="false"/>
          <w:i/>
          <w:color w:val="000000"/>
          <w:sz w:val="18"/>
        </w:rPr>
        <w:t>Debt – Modifications and Extinguishments</w:t>
      </w:r>
      <w:r>
        <w:rPr>
          <w:color w:val="000000"/>
        </w:rPr>
        <w:t xml:space="preserve"> </w:t>
      </w:r>
      <w:r>
        <w:rPr>
          <w:rFonts w:ascii="Roboto;sans-serif" w:hAnsi="Roboto;sans-serif"/>
          <w:b w:val="false"/>
          <w:color w:val="000000"/>
          <w:sz w:val="18"/>
        </w:rPr>
        <w:t>(“ASC 470-50”). The Company recorded a $69.8 million gain on early extinguishment of debt during the fiscal year ending June 30, 2024, which included the write-off of previously deferred debt issuance costs of $6.3 million, which was included within Net gain on debt refinancing on the Consolidated Statements of Operations and Comprehensive Loss within the Company’s Annual Report on Form 10-K for the fiscal year ended June 30,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2026 Notes was 0.45%, which is the effective interest rate as of September 30, 2025.</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The net carrying amount of the 2026 Notes was as follows:</w:t>
      </w:r>
    </w:p>
    <w:tbl>
      <w:tblPr>
        <w:tblW w:w="7121" w:type="dxa"/>
        <w:jc w:val="left"/>
        <w:tblInd w:w="0" w:type="dxa"/>
        <w:tblLayout w:type="fixed"/>
        <w:tblCellMar>
          <w:top w:w="28" w:type="dxa"/>
          <w:left w:w="28" w:type="dxa"/>
          <w:bottom w:w="28" w:type="dxa"/>
          <w:right w:w="28" w:type="dxa"/>
        </w:tblCellMar>
      </w:tblPr>
      <w:tblGrid>
        <w:gridCol w:w="1130"/>
        <w:gridCol w:w="993"/>
        <w:gridCol w:w="997"/>
        <w:gridCol w:w="468"/>
        <w:gridCol w:w="1465"/>
        <w:gridCol w:w="227"/>
        <w:gridCol w:w="109"/>
        <w:gridCol w:w="109"/>
        <w:gridCol w:w="109"/>
        <w:gridCol w:w="315"/>
        <w:gridCol w:w="985"/>
        <w:gridCol w:w="21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198.7 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198.5 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2026 Notes:</w:t>
      </w:r>
    </w:p>
    <w:tbl>
      <w:tblPr>
        <w:tblW w:w="8787" w:type="dxa"/>
        <w:jc w:val="left"/>
        <w:tblInd w:w="0" w:type="dxa"/>
        <w:tblLayout w:type="fixed"/>
        <w:tblCellMar>
          <w:top w:w="28" w:type="dxa"/>
          <w:left w:w="28" w:type="dxa"/>
          <w:bottom w:w="28" w:type="dxa"/>
          <w:right w:w="28" w:type="dxa"/>
        </w:tblCellMar>
      </w:tblPr>
      <w:tblGrid>
        <w:gridCol w:w="1636"/>
        <w:gridCol w:w="1436"/>
        <w:gridCol w:w="1442"/>
        <w:gridCol w:w="444"/>
        <w:gridCol w:w="917"/>
        <w:gridCol w:w="214"/>
        <w:gridCol w:w="214"/>
        <w:gridCol w:w="214"/>
        <w:gridCol w:w="214"/>
        <w:gridCol w:w="444"/>
        <w:gridCol w:w="917"/>
        <w:gridCol w:w="214"/>
        <w:gridCol w:w="109"/>
        <w:gridCol w:w="109"/>
        <w:gridCol w:w="109"/>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2026 Notes</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60"/>
        <w:jc w:val="both"/>
        <w:rPr>
          <w:rFonts w:ascii="Roboto;sans-serif" w:hAnsi="Roboto;sans-serif"/>
          <w:b w:val="false"/>
          <w:i/>
          <w:color w:val="000000"/>
          <w:sz w:val="18"/>
        </w:rPr>
      </w:pPr>
      <w:r>
        <w:rPr>
          <w:rFonts w:ascii="Roboto;sans-serif" w:hAnsi="Roboto;sans-serif"/>
          <w:b w:val="false"/>
          <w:i/>
          <w:color w:val="000000"/>
          <w:sz w:val="18"/>
        </w:rPr>
        <w:t>Termination of Capped Call Transactions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offering of the 2026 Notes, the Company entered into privately negotiated capped call transactions with certain counterparties (the “Capped Call Transactions”). In the last quarter of its fiscal year ending June 30, 2024, the Company terminated the Capped Call Transactions in their entirety pursuant to negotiated termination agreements with each such counterparty.</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Third Amended and Restated Credit Agreement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0.500% or 0.375% per annum, depending on whether the First Lien Net Leverage Ratio (as defined in the Third Amended and Restated Credit Agreement) is greater or less than 5.00 to 1.00, on a quarterly basis based on the unused portion of the Revolving Facility.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The applicable rate for Alternate Base Rate loans or Term SOFR Rate loans is subject to a 0.50% step down, depending on whether the First Lien Net Leverage Ratio is less than 5.00 to 1.00 as measured on a quarterly basis. Any borrowing at the Alternate Base Rate is subject to a 1.00% floor and the Term SOFR Rate is subject to a 0.00% floor.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During each of the three months ended September 30, 2025 and 2024, the Company incurred total commitment fees of $0.1 million, which are included in Interest expense in the Condensed Consolidated Statements of Operations and Comprehensive Income (Loss).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September 30, 2025, the Company had drawn the full amount of the Term Loan and had not drawn on the Revolving Facility, and the Company had $987.5 million total outstanding borrowings under the Third Amended and Restated Credit Agreement.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 Furthermore, the Company expensed $8.7 million of debt issuance costs incurred with third parties related to loss on debt modification and recognized a $7.5 million loss on extinguishment related to previously deferred debt discount and debt issuance costs, which was included within Net gain on debt refinancing on the Consolidated Statements of Operations and Comprehensive Loss within the Company’s Annual Report on Form 10-K for the fiscal year ended June 30,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September 30, 2025,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September 30, 2025, the Company had outstanding letters of credit totaling $46.0 million, which are classified as Restricted cash on the Condensed Consolidated Balance Sheets.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Upon entering into the Term Loan, the effective interest rate was 12.4% and the current effective interest rate as of September 30, 2025 is 10.7%.</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net carrying amount of the Term Loan was as follows:</w:t>
      </w:r>
    </w:p>
    <w:tbl>
      <w:tblPr>
        <w:tblW w:w="7120" w:type="dxa"/>
        <w:jc w:val="left"/>
        <w:tblInd w:w="0" w:type="dxa"/>
        <w:tblLayout w:type="fixed"/>
        <w:tblCellMar>
          <w:top w:w="28" w:type="dxa"/>
          <w:left w:w="28" w:type="dxa"/>
          <w:bottom w:w="28" w:type="dxa"/>
          <w:right w:w="28" w:type="dxa"/>
        </w:tblCellMar>
      </w:tblPr>
      <w:tblGrid>
        <w:gridCol w:w="1128"/>
        <w:gridCol w:w="989"/>
        <w:gridCol w:w="1003"/>
        <w:gridCol w:w="398"/>
        <w:gridCol w:w="1567"/>
        <w:gridCol w:w="194"/>
        <w:gridCol w:w="109"/>
        <w:gridCol w:w="109"/>
        <w:gridCol w:w="109"/>
        <w:gridCol w:w="270"/>
        <w:gridCol w:w="1060"/>
        <w:gridCol w:w="184"/>
      </w:tblGrid>
      <w:tr>
        <w:trPr/>
        <w:tc>
          <w:tcPr>
            <w:tcW w:w="11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payments</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discount</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956.1 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956.9 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Term Loan:</w:t>
      </w:r>
    </w:p>
    <w:tbl>
      <w:tblPr>
        <w:tblW w:w="9581" w:type="dxa"/>
        <w:jc w:val="left"/>
        <w:tblInd w:w="0" w:type="dxa"/>
        <w:tblLayout w:type="fixed"/>
        <w:tblCellMar>
          <w:top w:w="28" w:type="dxa"/>
          <w:left w:w="28" w:type="dxa"/>
          <w:bottom w:w="28" w:type="dxa"/>
          <w:right w:w="28" w:type="dxa"/>
        </w:tblCellMar>
      </w:tblPr>
      <w:tblGrid>
        <w:gridCol w:w="1924"/>
        <w:gridCol w:w="1689"/>
        <w:gridCol w:w="1697"/>
        <w:gridCol w:w="395"/>
        <w:gridCol w:w="1025"/>
        <w:gridCol w:w="190"/>
        <w:gridCol w:w="190"/>
        <w:gridCol w:w="190"/>
        <w:gridCol w:w="190"/>
        <w:gridCol w:w="395"/>
        <w:gridCol w:w="1025"/>
        <w:gridCol w:w="190"/>
        <w:gridCol w:w="109"/>
        <w:gridCol w:w="109"/>
        <w:gridCol w:w="109"/>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Term Loan</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Term Loan</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Maturities of Debt Instruments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sets forth maturities of the Company’s debt instruments, including convertible notes payable, gross of debt issuance costs and debt discounts, as of September 30, 2025:</w:t>
      </w:r>
    </w:p>
    <w:tbl>
      <w:tblPr>
        <w:tblW w:w="5744" w:type="dxa"/>
        <w:jc w:val="left"/>
        <w:tblInd w:w="0" w:type="dxa"/>
        <w:tblLayout w:type="fixed"/>
        <w:tblCellMar>
          <w:top w:w="28" w:type="dxa"/>
          <w:left w:w="28" w:type="dxa"/>
          <w:bottom w:w="28" w:type="dxa"/>
          <w:right w:w="28" w:type="dxa"/>
        </w:tblCellMar>
      </w:tblPr>
      <w:tblGrid>
        <w:gridCol w:w="1014"/>
        <w:gridCol w:w="893"/>
        <w:gridCol w:w="897"/>
        <w:gridCol w:w="525"/>
        <w:gridCol w:w="2058"/>
        <w:gridCol w:w="357"/>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2026 (remaining)</w:t>
            </w:r>
            <w:r>
              <w:rPr>
                <w:rFonts w:ascii="Roboto;sans-serif" w:hAnsi="Roboto;sans-serif"/>
                <w:b w:val="false"/>
                <w:color w:val="000000"/>
                <w:sz w:val="12"/>
              </w:rPr>
              <w:t>(1)</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2027</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1,536.5 </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417" w:before="0" w:after="0"/>
        <w:jc w:val="both"/>
        <w:rPr>
          <w:rFonts w:ascii="Roboto;sans-serif" w:hAnsi="Roboto;sans-serif"/>
          <w:b w:val="false"/>
          <w:color w:val="000000"/>
          <w:sz w:val="14"/>
        </w:rPr>
      </w:pPr>
      <w:r>
        <w:rPr>
          <w:rFonts w:ascii="Roboto;sans-serif" w:hAnsi="Roboto;sans-serif"/>
          <w:b w:val="false"/>
          <w:color w:val="000000"/>
          <w:sz w:val="14"/>
        </w:rPr>
        <w:t>(1) Includes $7.5 million related to the Term Loan and $199.0 million related to the 2026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8. Commitments and Contingencies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Music License Agreements</w:t>
      </w:r>
    </w:p>
    <w:p>
      <w:pPr>
        <w:pStyle w:val="TextBody"/>
        <w:bidi w:val="0"/>
        <w:spacing w:lineRule="auto" w:line="288" w:before="0" w:after="200"/>
        <w:jc w:val="both"/>
        <w:rPr/>
      </w:pPr>
      <w:r>
        <w:rPr>
          <w:rFonts w:ascii="Roboto;sans-serif" w:hAnsi="Roboto;sans-serif"/>
          <w:b w:val="false"/>
          <w:color w:val="000000"/>
          <w:sz w:val="18"/>
          <w:shd w:fill="FFFFFF" w:val="clear"/>
        </w:rPr>
        <w:t xml:space="preserve">The Company is subject to minimum royalty payments associated with certain music license agreements. The following represents the Company's guaranteed payments under music license agreements, as of </w:t>
      </w:r>
      <w:r>
        <w:rPr>
          <w:rFonts w:ascii="Roboto;sans-serif" w:hAnsi="Roboto;sans-serif"/>
          <w:b w:val="false"/>
          <w:color w:val="000000"/>
          <w:sz w:val="18"/>
        </w:rPr>
        <w:t>September 30, 2025</w:t>
      </w:r>
      <w:r>
        <w:rPr>
          <w:rFonts w:ascii="Roboto;sans-serif" w:hAnsi="Roboto;sans-serif"/>
          <w:b w:val="false"/>
          <w:color w:val="000000"/>
          <w:sz w:val="18"/>
          <w:shd w:fill="FFFFFF" w:val="clear"/>
        </w:rPr>
        <w:t>:</w:t>
      </w:r>
    </w:p>
    <w:tbl>
      <w:tblPr>
        <w:tblW w:w="5744" w:type="dxa"/>
        <w:jc w:val="left"/>
        <w:tblInd w:w="0" w:type="dxa"/>
        <w:tblLayout w:type="fixed"/>
        <w:tblCellMar>
          <w:top w:w="28" w:type="dxa"/>
          <w:left w:w="28" w:type="dxa"/>
          <w:bottom w:w="28" w:type="dxa"/>
          <w:right w:w="28" w:type="dxa"/>
        </w:tblCellMar>
      </w:tblPr>
      <w:tblGrid>
        <w:gridCol w:w="1014"/>
        <w:gridCol w:w="893"/>
        <w:gridCol w:w="897"/>
        <w:gridCol w:w="685"/>
        <w:gridCol w:w="1783"/>
        <w:gridCol w:w="472"/>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 (remaining)</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58.7 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2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60.5 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Legal and Regulatory Proceedings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is, or may become, a party to legal and regulatory proceedings with respect to a variety of matters in the ordinary course of its business, including the matters set forth below. The Company denies the allegations in the active matters described below and intends to vigorously defend against such matters.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determines that a loss is both probable and reasonably estimable, the Company records a liability, and, if the liability is material, discloses the amount of the liability reserved.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evaluates, on a regular basis, developments in its legal proceedings and other contingencies that could affect the amount of liability, including amounts in excess of any previous accruals and reasonably possible losses disclosed, and makes adjustments and changes to the Company’s accruals and disclosures, as appropriate. For the matters the Company discloses that do not include an estimate of the amount of loss or range of losses, such an estimate is not possible or is immaterial.</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Given that the Company’s legal and regulatory proceedings are subject to uncertainty, there can be no assurance that such legal and regulatory proceedings, either individually or in the aggregate, will not have a material adverse effect on its business, results of operations, financial condition or cash flows.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May 2021, the Company initiated a voluntary recall of its Tread+ product in collaboration with the U.S. Consumer Product Safety Commission (“CPSC”). In December 2022, the Company entered into a settlement agreement with the CPSC regarding matters related to the Tread+ recall. In the settlement, the Company agreed to pay a $19.1 million civil penalty, resolving the CPSC’s charges that the Company violated the Consumer Product Safety Act (the “CPSA”). On May 18, 2023, the Company and the CPSC jointly announced the approval of a rear guard repair for the recalled Tread+. In 2021, the U.S. Department of Justice and Department of Homeland Security subpoenaed the Company for documents and other information related to the Company’s statutory obligations, including under the CPSA.</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October 26, 2021 and January 24, 2022, the United States District Court for the Eastern District of New York consolidated four stockholder derivative actions purportedly brought on behalf of the Company against certain of the Company’s officers and directors under the caption In re Peloton Interactive, Inc. Derivative Litigation, Master File No. 21-cv-02862-CBA-PK (the “EDNY Derivative Action”), which alleged, among other claims, breaches of fiduciary duties, unjust enrichment, abuse of control, gross mismanagement, waste, and violations of Section 14(a) of the Exchange Act related to the Peloton Tread+ and the safety of the product. Alan Chu, Moshe Genack, Xingqi Liu and Anthony Franchi were appointed as co-lead plaintiffs. On December 14, 2022, two putative verified stockholder derivative actions in the Court of Chancery of the State of Delaware, purportedly brought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On December 22, 2022, a stockholder filed a related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(the “Blackburn Action”). The EDNY Derivative Action, the Chancery Derivative Action, and the Blackburn Action were all stayed pending the resolution of a related securities class action in the United States District Court for the Eastern District of New York (the “EDNY Class Action”). The court entered a final judgment in the EDNY Class Action on July 9, 2024. The parties in the EDNY Derivative Action, the Chancery Derivative Action, and the Blackburn Action agreed to a settlement-in-principle to resolve those derivative actions on July 29, 2024, and plaintiffs filed a motion for preliminary approval of that settlement in the EDNY Derivative Action on November 15, 2024, which was granted on April 7, 2025. Following a final approval hearing on June 13, 2025, the court presiding over the EDNY Derivative Action approved the settlement on July 1, 2025 and entered judgment on July 2, 2025. The Blackburn Action was dismissed with prejudice on July 10, 2025. The parties in the Chancery Derivative Action have likewise stipulated to dismissal with prejudice, and a hearing is scheduled for November 24,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May 11, 2023, in collaboration with the CPSC, the Company announced a voluntary recall of the original Peloton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the Company’s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 On February 14, 2025, the court issued a memorandum and order granting defendants’ motion to dismiss and dismissing the amended complaint with leave to file a second amended complaint. On April 11, 2025, co-lead plaintiffs filed a second amended complaint asserting similar claims under Sections 10(b) and 20(a) of the Exchange Act, purportedly on behalf of the same proposed class. On May 21, 2025, defendants served a motion to dismiss the second amended complaint. Briefing on defendants’ motion to dismiss the second amended complaint in the 2023 Securities Litigation was completed on July 28,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the Company’s common stock between February 5, 2021 and January 19, 2022, and defendants moved to dismiss the complaint on June 16, 2023. On September 30, 2024, the court granted defendants’ motion to dismiss the second amended complaint with prejudice (the “Order”). On October 21, 2024, plaintiffs filed a notice of appeal of the Order with the United States Court of Appeals for the Second Circuit (the “Second Circuit”) and filed their brief in support of their appeal on December 10, 2024. Defendants filed their responsive brief on January 28, 2025. The Second Circuit heard argument on the appeal on April 11, 2025. On August 27, 2025, the Second Circuit affirmed the Order in part, vacated the Order in part, and remanded the action to the district court for further proceedings, including to consider whether plaintiffs have sufficiently alleged other elements of their claims. The mandate to the district court was issued on September 18, 2025. Consistent with the Second Circuit’s decision, the district court dismissed three defendants from the case on September 10, 2025. The remaining defendants filed a renewed motion to dismiss plaintiffs’ claims in full on October 15,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the demand for the Company’s products and engaging in improper trading. Allison Manzella, Clark Ovruchesky, Daniel Banks and Karen Florentino are co-lead plaintiffs. The court stayed the action on September 26, 2023 pending final resolution of all motions to dismiss in the SDNY Class Action, including that any appeals have been concluded.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9. Income Taxes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recorded a provision from income taxes of $0.7 million and $0.8 million for the three months ended September 30, 2025 and 2024, respectively. Furthermore, the Company's effective tax rates were 4.79% and (2,576.65)% for the three months ended September 30, 2025 and 2024, respectively. The income tax provision and the effective tax rate are primarily driven by state and international taxes.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maintains a valuation allowance on the majority of its deferred tax assets as it has concluded that it is more likely than not that the deferred assets will not be utilized.</w:t>
      </w:r>
    </w:p>
    <w:p>
      <w:pPr>
        <w:pStyle w:val="TextBody"/>
        <w:bidi w:val="0"/>
        <w:spacing w:lineRule="auto" w:line="417" w:before="240" w:after="283"/>
        <w:jc w:val="both"/>
        <w:rPr>
          <w:rFonts w:ascii="Roboto;sans-serif" w:hAnsi="Roboto;sans-serif"/>
          <w:b/>
          <w:i/>
          <w:color w:val="050505"/>
          <w:sz w:val="18"/>
        </w:rPr>
      </w:pPr>
      <w:r>
        <w:rPr>
          <w:rFonts w:ascii="Roboto;sans-serif" w:hAnsi="Roboto;sans-serif"/>
          <w:b/>
          <w:i/>
          <w:color w:val="050505"/>
          <w:sz w:val="18"/>
        </w:rPr>
        <w:t>One Big Beautiful Bill Act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July 4, 2025, the One Big Beautiful Bill Act (“OBBBA”) was signed into law in the United States, which made permanent or extended many of the provisions from the Tax Cuts and Jobs Act of 2017. The immediate expensing of domestic research and experimental expenditures for tax years beginning after December 31, 2024 is now permanent, as is 100% bonus depreciation for qualified property acquired and placed in service after January 19, 2025. The bill permanently reinstates the more favorable EBITDA approach for calculating the business interest deduction limitation under Section 163(j). There are also changes to the effective rates and calculations on GILTI, FDII, and BEAT, among other provisions. The Company has accounted for the provisions of the OBBBA in its condensed consolidated financial statements. The changes are not expected to affect the Company’s U.S. net deferred tax assets or liabilities, as the Company continues to maintain a full valuation allowance against those balances.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 xml:space="preserve">10. Earnings (Loss) Per Share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Basic earnings (loss) per share is computed by dividing net income (loss) by the weighted-average number of outstanding shares of common stock during the period. Diluted earnings (loss) per share is computed using the treasury stock method for stock-based awards, and the if-converted method for convertible senior notes. Under the treasury stock method, the denominator is adjusted to include, when dilutive, incremental shares issuable upon the assumed exercise of stock options, ESPP shares to be issued, and vesting of service-based and performance-based restricted stock units. Under the if-converted method, the numerator is adjusted to add back interest expense on the convertible senior notes, net of tax, and the denominator is adjusted to include incremental shares issuable upon conversion of the convertible senior notes, when the effect of applying this method is dilutive. Basic and diluted earnings (loss) per share are the same for each class of common stock because they are entitled to the same liquidation and dividend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computation of basic and diluted earnings (loss) per share is as follows:</w:t>
      </w:r>
    </w:p>
    <w:tbl>
      <w:tblPr>
        <w:tblW w:w="10205" w:type="dxa"/>
        <w:jc w:val="left"/>
        <w:tblInd w:w="0" w:type="dxa"/>
        <w:tblLayout w:type="fixed"/>
        <w:tblCellMar>
          <w:top w:w="28" w:type="dxa"/>
          <w:left w:w="28" w:type="dxa"/>
          <w:bottom w:w="28" w:type="dxa"/>
          <w:right w:w="28" w:type="dxa"/>
        </w:tblCellMar>
      </w:tblPr>
      <w:tblGrid>
        <w:gridCol w:w="1901"/>
        <w:gridCol w:w="1523"/>
        <w:gridCol w:w="1527"/>
        <w:gridCol w:w="550"/>
        <w:gridCol w:w="1290"/>
        <w:gridCol w:w="229"/>
        <w:gridCol w:w="229"/>
        <w:gridCol w:w="229"/>
        <w:gridCol w:w="229"/>
        <w:gridCol w:w="550"/>
        <w:gridCol w:w="1233"/>
        <w:gridCol w:w="229"/>
        <w:gridCol w:w="109"/>
        <w:gridCol w:w="109"/>
        <w:gridCol w:w="109"/>
        <w:gridCol w:w="159"/>
      </w:tblGrid>
      <w:tr>
        <w:trPr/>
        <w:tc>
          <w:tcPr>
            <w:tcW w:w="190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 except share and per share amounts)</w:t>
            </w:r>
          </w:p>
        </w:tc>
        <w:tc>
          <w:tcPr>
            <w:tcW w:w="486" w:type="dxa"/>
            <w:gridSpan w:val="4"/>
            <w:tcBorders/>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Basic earnings (loss) per share:</w:t>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Numerator:</w:t>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Denominator:</w:t>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Weighted-average common shares outstanding, basic</w:t>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413,108,105 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378,776,423 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Earnings (loss) per share, basic</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Diluted earnings (loss) per share:</w:t>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Numerator:</w:t>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 attributable to common stockholders, diluted</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2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Weighted-average common shares outstanding, basic</w:t>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413,108,105 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378,776,423 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Weighted-average effect of dilutive securities:</w:t>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awards</w:t>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16,896,821 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 average common shares outstanding, diluted</w:t>
            </w:r>
          </w:p>
        </w:tc>
        <w:tc>
          <w:tcPr>
            <w:tcW w:w="1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430,004,926 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378,776,423 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Earnings (loss) per share, diluted</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0.03 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As of September 30, 2025 and 2024, 35.6 million and 107.1 million potentially dilutive stock-based awards, calculated as the total outstanding shares as of those period ends, were excluded from the computation of diluted earnings (loss) per share. Additionally, 77.3 million of potentially dilutive shares related to convertible senior notes, calculated under the if-converted method, were excluded from the computation of diluted earnings (loss) per share as of September 30, 2025 and 2024. These amounts were excluded as they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11. Segment Information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has two reportable segments: Connected Fitness Products and Subscription. The Connected Fitness Products segment primarily derives revenue from sale of the Company's portfolio of Connected Fitness Products and related accessories, as well as Precor-branded fitness products, delivery and installation services, Peloton Bike portfolio rental products, extended warranty agreements, branded apparel, and commercial service contracts. The Subscription segment primarily derives revenue from monthly Subscription fees. There are no internal revenue transactions between the Company’s segments. Segment information is presented in the same manner that the chief operating decision maker ("CODM"), the Chief Executive Officer and President, reviews the operating results in assessing performance and allocating resources. No operating segments have been aggregated to form the reportable segments.</w:t>
      </w:r>
    </w:p>
    <w:p>
      <w:pPr>
        <w:pStyle w:val="TextBody"/>
        <w:bidi w:val="0"/>
        <w:spacing w:lineRule="auto" w:line="288" w:before="0" w:after="240"/>
        <w:jc w:val="both"/>
        <w:rPr/>
      </w:pPr>
      <w:r>
        <w:rPr>
          <w:rFonts w:ascii="Roboto;sans-serif" w:hAnsi="Roboto;sans-serif"/>
          <w:b w:val="false"/>
          <w:color w:val="000000"/>
          <w:sz w:val="18"/>
        </w:rPr>
        <w:t xml:space="preserve">Beginning in the first quarter of fiscal 2026, the Company changed its measure of segment profitability to </w:t>
      </w: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to better align with the manner in which the CODM evaluates segment performance and makes resource allocation decisions. Segment results for the comparable prior period have been recast to reflect these changes. </w:t>
      </w:r>
    </w:p>
    <w:p>
      <w:pPr>
        <w:pStyle w:val="TextBody"/>
        <w:bidi w:val="0"/>
        <w:spacing w:lineRule="auto" w:line="288" w:before="0" w:after="0"/>
        <w:jc w:val="both"/>
        <w:rPr/>
      </w:pP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is defined as Revenue less Adjusted Cost of revenue incurred by the segment. Adjusted Cost of revenue includes costs directly related to the function of each segment, including certain corporate overhead costs, such as a portion of depreciation, rent and occupancy charges related to the Company’s corporate facilities, and personnel-related expenses for certain executives and departments (“Allocated overhead costs”).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CODM reviews Revenue and </w:t>
      </w: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for both of the reportable segments, primarily by monitoring actual results compared to forecasted results as well as by reviewing year-over-year results and trending historical performance. No other significant expense categories or performance metrics are regularly provided to the CODM on a disaggregated basis. The Company does not allocate assets at the reportable segment level as these are managed on an entity wide group basis and, accordingly, the Company does not report asset information by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200"/>
        <w:jc w:val="both"/>
        <w:rPr/>
      </w:pPr>
      <w:r>
        <w:rPr>
          <w:rFonts w:ascii="Roboto;sans-serif" w:hAnsi="Roboto;sans-serif"/>
          <w:b w:val="false"/>
          <w:color w:val="000000"/>
          <w:sz w:val="18"/>
        </w:rPr>
        <w:t>Information on reportable segments and reconciliation to consolidated Income (loss) before income taxes</w:t>
      </w:r>
      <w:r>
        <w:rPr>
          <w:color w:val="000000"/>
          <w:shd w:fill="FFFFFF" w:val="clear"/>
        </w:rPr>
        <w:t xml:space="preserve"> </w:t>
      </w:r>
      <w:r>
        <w:rPr>
          <w:rFonts w:ascii="Roboto;sans-serif" w:hAnsi="Roboto;sans-serif"/>
          <w:b w:val="false"/>
          <w:color w:val="000000"/>
          <w:sz w:val="18"/>
          <w:shd w:fill="FFFFFF" w:val="clear"/>
        </w:rPr>
        <w:t>is as follows:</w:t>
      </w:r>
    </w:p>
    <w:tbl>
      <w:tblPr>
        <w:tblW w:w="10205" w:type="dxa"/>
        <w:jc w:val="left"/>
        <w:tblInd w:w="0" w:type="dxa"/>
        <w:tblLayout w:type="fixed"/>
        <w:tblCellMar>
          <w:top w:w="28" w:type="dxa"/>
          <w:left w:w="28" w:type="dxa"/>
          <w:bottom w:w="28" w:type="dxa"/>
          <w:right w:w="28" w:type="dxa"/>
        </w:tblCellMar>
      </w:tblPr>
      <w:tblGrid>
        <w:gridCol w:w="1610"/>
        <w:gridCol w:w="1394"/>
        <w:gridCol w:w="1404"/>
        <w:gridCol w:w="534"/>
        <w:gridCol w:w="1672"/>
        <w:gridCol w:w="260"/>
        <w:gridCol w:w="119"/>
        <w:gridCol w:w="119"/>
        <w:gridCol w:w="119"/>
        <w:gridCol w:w="306"/>
        <w:gridCol w:w="956"/>
        <w:gridCol w:w="149"/>
        <w:gridCol w:w="119"/>
        <w:gridCol w:w="119"/>
        <w:gridCol w:w="119"/>
        <w:gridCol w:w="249"/>
        <w:gridCol w:w="779"/>
        <w:gridCol w:w="178"/>
      </w:tblGrid>
      <w:tr>
        <w:trPr/>
        <w:tc>
          <w:tcPr>
            <w:tcW w:w="161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 2025</w:t>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Revenue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Consolidated Revenue </w:t>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Less: </w:t>
            </w:r>
          </w:p>
        </w:tc>
        <w:tc>
          <w:tcPr>
            <w:tcW w:w="2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Adjusted Cost of revenue </w:t>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Segment Adjusted Gross profit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273.2 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283.7 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i/>
                <w:color w:val="000000"/>
                <w:sz w:val="18"/>
              </w:rPr>
              <w:t xml:space="preserve">Reconciliation to consolidated income before income taxes: </w:t>
            </w:r>
          </w:p>
        </w:tc>
        <w:tc>
          <w:tcPr>
            <w:tcW w:w="2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Allocated overhead costs </w:t>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Sales and marketing </w:t>
            </w:r>
          </w:p>
        </w:tc>
        <w:tc>
          <w:tcPr>
            <w:tcW w:w="2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General and administrative </w:t>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Research and development </w:t>
            </w:r>
          </w:p>
        </w:tc>
        <w:tc>
          <w:tcPr>
            <w:tcW w:w="2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Impairment expense </w:t>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Restructuring expense </w:t>
            </w:r>
          </w:p>
        </w:tc>
        <w:tc>
          <w:tcPr>
            <w:tcW w:w="2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Supplier settlements </w:t>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Total other expense, net </w:t>
            </w:r>
          </w:p>
        </w:tc>
        <w:tc>
          <w:tcPr>
            <w:tcW w:w="2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Income before income taxes </w:t>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71"/>
        <w:gridCol w:w="1357"/>
        <w:gridCol w:w="1365"/>
        <w:gridCol w:w="555"/>
        <w:gridCol w:w="1740"/>
        <w:gridCol w:w="271"/>
        <w:gridCol w:w="120"/>
        <w:gridCol w:w="120"/>
        <w:gridCol w:w="120"/>
        <w:gridCol w:w="306"/>
        <w:gridCol w:w="956"/>
        <w:gridCol w:w="149"/>
        <w:gridCol w:w="120"/>
        <w:gridCol w:w="120"/>
        <w:gridCol w:w="120"/>
        <w:gridCol w:w="251"/>
        <w:gridCol w:w="785"/>
        <w:gridCol w:w="179"/>
      </w:tblGrid>
      <w:tr>
        <w:trPr/>
        <w:tc>
          <w:tcPr>
            <w:tcW w:w="157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 2024</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Revenue</w:t>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586.0 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Cost of revenue</w:t>
            </w:r>
          </w:p>
        </w:tc>
        <w:tc>
          <w:tcPr>
            <w:tcW w:w="2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Segment Adjusted Gross profit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Reconciliation to consolidated loss before income taxes:</w:t>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Allocated overhead costs</w:t>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Management’s Discussion and Analysis of Financial Condition and Results of Operations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2025, filed with the SEC on August 7, 2025 (“Form 10-K”). As discussed in the section titled "Special Note Regarding Forward-Looking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Overview</w:t>
      </w:r>
    </w:p>
    <w:p>
      <w:pPr>
        <w:pStyle w:val="TextBody"/>
        <w:bidi w:val="0"/>
        <w:spacing w:lineRule="auto" w:line="288" w:before="0" w:after="240"/>
        <w:jc w:val="both"/>
        <w:rPr/>
      </w:pPr>
      <w:r>
        <w:rPr>
          <w:rFonts w:ascii="Roboto;sans-serif" w:hAnsi="Roboto;sans-serif"/>
          <w:b w:val="false"/>
          <w:color w:val="050505"/>
          <w:sz w:val="18"/>
          <w:shd w:fill="FFFFFF" w:val="clear"/>
        </w:rPr>
        <w:t>Peloton is a leading global fitness and wellness company</w:t>
      </w:r>
      <w:r>
        <w:rPr>
          <w:color w:val="000000"/>
        </w:rPr>
        <w:t xml:space="preserve"> </w:t>
      </w:r>
      <w:r>
        <w:rPr>
          <w:rFonts w:ascii="Roboto;sans-serif" w:hAnsi="Roboto;sans-serif"/>
          <w:b w:val="false"/>
          <w:color w:val="000000"/>
          <w:sz w:val="18"/>
        </w:rPr>
        <w:t>that empowers its Members to live fit, strong, long, and happy by providing fitness and wellness products and services they can use anytime, anywhere. We have</w:t>
      </w:r>
      <w:r>
        <w:rPr>
          <w:color w:val="050505"/>
          <w:shd w:fill="FFFFFF" w:val="clear"/>
        </w:rPr>
        <w:t xml:space="preserve"> </w:t>
      </w:r>
      <w:r>
        <w:rPr>
          <w:rFonts w:ascii="Roboto;sans-serif" w:hAnsi="Roboto;sans-serif"/>
          <w:b w:val="false"/>
          <w:color w:val="050505"/>
          <w:sz w:val="18"/>
          <w:shd w:fill="FFFFFF" w:val="clear"/>
        </w:rPr>
        <w:t xml:space="preserve">a highly engaged community of nearly </w:t>
      </w:r>
      <w:r>
        <w:rPr>
          <w:rFonts w:ascii="Roboto;sans-serif" w:hAnsi="Roboto;sans-serif"/>
          <w:b w:val="false"/>
          <w:color w:val="050505"/>
          <w:sz w:val="18"/>
        </w:rPr>
        <w:t>6 million Members</w:t>
      </w:r>
      <w:r>
        <w:rPr>
          <w:color w:val="050505"/>
          <w:shd w:fill="FFFFFF" w:val="clear"/>
        </w:rPr>
        <w:t xml:space="preserve"> </w:t>
      </w:r>
      <w:r>
        <w:rPr>
          <w:rFonts w:ascii="Roboto;sans-serif" w:hAnsi="Roboto;sans-serif"/>
          <w:b w:val="false"/>
          <w:color w:val="050505"/>
          <w:sz w:val="18"/>
          <w:shd w:fill="FFFFFF" w:val="clear"/>
        </w:rPr>
        <w:t>as of September 30, 2025</w:t>
      </w:r>
      <w:r>
        <w:rPr>
          <w:rFonts w:ascii="Roboto;sans-serif" w:hAnsi="Roboto;sans-serif"/>
          <w:b w:val="false"/>
          <w:color w:val="050505"/>
          <w:sz w:val="18"/>
        </w:rPr>
        <w:t>, across the United States, United Kingdom, Canada, Germany, Australia, and Austria</w:t>
      </w:r>
      <w:r>
        <w:rPr>
          <w:rFonts w:ascii="Roboto;sans-serif" w:hAnsi="Roboto;sans-serif"/>
          <w:b w:val="false"/>
          <w:color w:val="050505"/>
          <w:sz w:val="18"/>
          <w:shd w:fill="FFFFFF" w:val="clear"/>
        </w:rPr>
        <w:t xml:space="preserve">. As a category innovator at the nexus of fitness and wellness, technology, and media, </w:t>
      </w:r>
      <w:r>
        <w:rPr>
          <w:rFonts w:ascii="Roboto;sans-serif" w:hAnsi="Roboto;sans-serif"/>
          <w:b w:val="false"/>
          <w:color w:val="050505"/>
          <w:sz w:val="18"/>
        </w:rPr>
        <w:t>we deliver experiences through our world-renowned Instructors, premium hardware and innovative software, personalization, and extensive modalities and content formats. Founded in 2012 and headquartered in New York City, Peloton aims to scale across the markets in which it operates.</w:t>
      </w:r>
    </w:p>
    <w:p>
      <w:pPr>
        <w:pStyle w:val="TextBody"/>
        <w:bidi w:val="0"/>
        <w:spacing w:lineRule="auto" w:line="288" w:before="0" w:after="240"/>
        <w:jc w:val="both"/>
        <w:rPr/>
      </w:pPr>
      <w:r>
        <w:rPr>
          <w:rFonts w:ascii="Roboto;sans-serif" w:hAnsi="Roboto;sans-serif"/>
          <w:b w:val="false"/>
          <w:color w:val="000000"/>
          <w:sz w:val="18"/>
        </w:rPr>
        <w:t xml:space="preserve">We define a “Member” as any individual who has a Peloton account through a Paid Connected Fitness Subscription or a Paid App Subscription, inclusive of the Peloton App+, App One, Strength+, and Breathwrk Memberships (our “Peloton Apps”), and engages in one or more workouts in the trailing 12-month period. We define workout engagement as either (i) completing the lesser of 50% or 10 minutes of Instructor-led classes, Scenic, and Lanebreak workouts; (ii) at least 10 minutes of any activity tracking workout (such as “Just Ride”, “Just Run”, or “Just Row”) or Entertainment workout; (iii) </w:t>
      </w:r>
      <w:r>
        <w:rPr>
          <w:rFonts w:ascii="Roboto;sans-serif" w:hAnsi="Roboto;sans-serif"/>
          <w:b w:val="false"/>
          <w:color w:val="050505"/>
          <w:sz w:val="18"/>
        </w:rPr>
        <w:t>at least 5 minutes of any</w:t>
      </w:r>
      <w:r>
        <w:rPr>
          <w:color w:val="000000"/>
        </w:rPr>
        <w:t xml:space="preserve"> </w:t>
      </w:r>
      <w:r>
        <w:rPr>
          <w:rFonts w:ascii="Roboto;sans-serif" w:hAnsi="Roboto;sans-serif"/>
          <w:b w:val="false"/>
          <w:color w:val="000000"/>
          <w:sz w:val="18"/>
        </w:rPr>
        <w:t xml:space="preserve">Strength+ workout </w:t>
      </w:r>
      <w:r>
        <w:rPr>
          <w:rFonts w:ascii="Roboto;sans-serif" w:hAnsi="Roboto;sans-serif"/>
          <w:b w:val="false"/>
          <w:color w:val="050505"/>
          <w:sz w:val="18"/>
        </w:rPr>
        <w:t>with 80% of sets marked complete; or (iv) completing a Breathwrk class.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During the three months ended September 30, 2025, our Connected Fitness Products portfolio included our Original Series Peloton Bike, Bike+, Tread, Tread+, Row, Guide (discontinued as of July 2025), and various Precor products. In October 2025, we launched a refreshed portfolio of Connected Fitness Products called the Cross Training Series, including the Cross Training Bike, Bike+, Tread, Tread+, and Row+. We continue to sell our refurbished Original Series Peloton Bike and Bike+. Additionally, we launched the Peloton Pro Series, a refresh of our portfolio of commercial-certified Peloton-branded products, which now include the Bike+ Pro, Tread+ Pro, and Row+ Pro.</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Access to all of the Peloton Apps is available with an All-Access Membership for Members who have Connected Fitness Products or through a standalone App+ Membership. Our revenue is generated primarily from recurring Subscription revenue and the sale of our Connected Fitness Products. We define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subscriptions to our Peloton Apps for which we currently receive payment.</w:t>
      </w:r>
    </w:p>
    <w:p>
      <w:pPr>
        <w:pStyle w:val="TextBody"/>
        <w:bidi w:val="0"/>
        <w:spacing w:lineRule="auto" w:line="288" w:before="0" w:after="240"/>
        <w:jc w:val="both"/>
        <w:rPr/>
      </w:pPr>
      <w:r>
        <w:rPr>
          <w:rFonts w:ascii="Roboto;sans-serif" w:hAnsi="Roboto;sans-serif"/>
          <w:b w:val="false"/>
          <w:color w:val="050505"/>
          <w:sz w:val="18"/>
        </w:rPr>
        <w:t>Our financial profile has been characterized by strong retention, recurring revenue, and efficient customer acquisition. We believe that o</w:t>
      </w:r>
      <w:r>
        <w:rPr>
          <w:rFonts w:ascii="Roboto;sans-serif" w:hAnsi="Roboto;sans-serif"/>
          <w:b w:val="false"/>
          <w:color w:val="050505"/>
          <w:sz w:val="18"/>
          <w:shd w:fill="FFFFFF" w:val="clear"/>
        </w:rPr>
        <w:t xml:space="preserve">ur low Average Net Monthly Paid Connected Fitness Subscription Churn, together with our high Subscription Gross Profit and Subscription Contribution Margin, yields an attractive lifetime value (“LTV”) for our Connected Fitness Subscriptions well in excess of our customer acquisition costs (“CAC”). Maintaining </w:t>
      </w:r>
      <w:r>
        <w:rPr>
          <w:rFonts w:ascii="Roboto;sans-serif" w:hAnsi="Roboto;sans-serif"/>
          <w:b w:val="false"/>
          <w:color w:val="050505"/>
          <w:sz w:val="18"/>
        </w:rPr>
        <w:t>an attractive LTV/CAC ratio is a primary goal of our customer acquisition strategy.</w:t>
      </w:r>
    </w:p>
    <w:p>
      <w:pPr>
        <w:pStyle w:val="TextBody"/>
        <w:bidi w:val="0"/>
        <w:spacing w:lineRule="auto" w:line="417" w:before="0" w:after="0"/>
        <w:jc w:val="both"/>
        <w:rPr>
          <w:rFonts w:ascii="Roboto;sans-serif" w:hAnsi="Roboto;sans-serif"/>
          <w:b/>
          <w:color w:val="050505"/>
          <w:sz w:val="18"/>
        </w:rPr>
      </w:pPr>
      <w:r>
        <w:rPr>
          <w:rFonts w:ascii="Roboto;sans-serif" w:hAnsi="Roboto;sans-serif"/>
          <w:b/>
          <w:color w:val="050505"/>
          <w:sz w:val="18"/>
        </w:rPr>
        <w:t>Restructuring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August 2025, the Company announced a new restructuring plan (the “2025 Restructuring Plan”), which includes a reduction in global headcount and is intended to continue to improve the Company’s cost structure, operating efficiency, and profitability, while providing us the opportunity to return to growth by reinvesting expected savings into our differentiating capabilities. The Company expects the 2025 Restructuring Plan to be substantially implemented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2025 Restructuring Plan, we estimate that we will incur additional cash restructuring charges of approximately $40.0 million, primarily comprised of location strategy costs, lease termination costs, and other exit costs. Additionally, we expect to recognize additional non-cash restructuring charges of approximately $5.0 million, primarily comprised of asset write-downs and write-offs, in connection with the continued exit of the Company’s retail and other leased locations. We expect these charges to be substantially incurred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Upon full implementation, we expect the 2025 Restructuring Plan to achieve at least $100 million of run-rate savings by the end of fiscal year 2026. </w:t>
      </w:r>
    </w:p>
    <w:p>
      <w:pPr>
        <w:pStyle w:val="TextBody"/>
        <w:bidi w:val="0"/>
        <w:spacing w:lineRule="auto" w:line="288" w:before="0" w:after="240"/>
        <w:jc w:val="both"/>
        <w:rPr/>
      </w:pPr>
      <w:r>
        <w:rPr>
          <w:rFonts w:ascii="Roboto;sans-serif" w:hAnsi="Roboto;sans-serif"/>
          <w:b w:val="false"/>
          <w:color w:val="000000"/>
          <w:sz w:val="18"/>
        </w:rPr>
        <w:t xml:space="preserve">We may not be able to realize the cost savings and benefits initially anticipated as a result of the Restructuring Plans, and implementation and transition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Global Trade Policies and Tariffs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We continue to closely monitor changes in international trade policies, relations, legislation and regulations, including those related to tariffs, which could adversely impact the global economy and our business, financial condition, and operating results. The impact of any tariffs will depend on various factors, including whether the tariffs are ultimately implemented, the timing of implementation, and the amount, scope and nature of the tariffs. </w:t>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 xml:space="preserve">Voluntary Recall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November 6, 2025, in collaboration with the U.S. Consumer Product Safety Commission and Health Canada, we announced a voluntary recall of about 833,000 units in the U.S. and 44,800 units in Canada of the Original Series Bike+ (not Cross-Training Bike+) – manufactured from December 2019 to July 2022 and sold beginning in 2020 to April 2025. As previously disclosed, we have received a small number of reports that an Original Series Bike+ seat post broke during use. Specifically, as of today, November 6, 2025, the Company is aware of three reports each from users weighing more than 250 lbs in which the seat post has broken during use. Of these reports, two included reports of injuries, including a sprained knee and head bruise. It is possible that additional reports, including those involving users with different characteristics or injuries, may be made in the future. We are offering Members a free replacement seat post as the approved remedy.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September 30, 2025, we have accrued $16.5 million for the cost to replace the Original Series Bike+ seat posts, of which $13.5 million was accrued for in the fiscal quarter ended September 30, 2025. This accrual is based on an amount that we deem probable and estimable and is reflected in Connected Fitness Products Cost of revenue in our Condensed Consolidated Statements of Operations and Comprehensive Income (Loss). We previously accrued for and recognized a $3 million charge in the fiscal quarter ended June 30, 2025.</w:t>
      </w:r>
    </w:p>
    <w:p>
      <w:pPr>
        <w:pStyle w:val="TextBody"/>
        <w:bidi w:val="0"/>
        <w:spacing w:lineRule="auto" w:line="288" w:before="0" w:after="240"/>
        <w:jc w:val="both"/>
        <w:rPr/>
      </w:pPr>
      <w:r>
        <w:rPr>
          <w:rFonts w:ascii="Roboto;sans-serif" w:hAnsi="Roboto;sans-serif"/>
          <w:b w:val="false"/>
          <w:color w:val="000000"/>
          <w:sz w:val="18"/>
        </w:rPr>
        <w:t xml:space="preserve">We may continue to incur additional costs beyond what we have currently estimated to be probable and reasonably estimable, including in connection with the voluntary recall and if the number of reported incidents materially increases, and such additional costs may be material. See </w:t>
      </w:r>
      <w:r>
        <w:rPr>
          <w:color w:val="000000"/>
        </w:rPr>
        <w:t>“</w:t>
      </w:r>
      <w:r>
        <w:rPr>
          <w:rFonts w:ascii="Roboto;sans-serif" w:hAnsi="Roboto;sans-serif"/>
          <w:b w:val="false"/>
          <w:i/>
          <w:color w:val="000000"/>
          <w:sz w:val="18"/>
        </w:rPr>
        <w:t>Risk Factors — Risks Related to Our Connected Fitness Products and Members — Our products and services may be affected from time to time by design and manufacturing defects or product safety issues, real or perceived, that could adversely affect our business and result in harm to our reputation”</w:t>
      </w:r>
      <w:r>
        <w:rPr>
          <w:color w:val="000000"/>
        </w:rPr>
        <w:t xml:space="preserve"> </w:t>
      </w:r>
      <w:r>
        <w:rPr>
          <w:rFonts w:ascii="Roboto;sans-serif" w:hAnsi="Roboto;sans-serif"/>
          <w:b w:val="false"/>
          <w:color w:val="000000"/>
          <w:sz w:val="18"/>
        </w:rPr>
        <w:t>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Key Operational and Business Metrics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In addition to the measures presented in our interim condensed consolidated financial statements, we use the following key operational and business metrics to evaluate our business, measure our performance, develop financial forecasts, and make strategic decisions.</w:t>
      </w:r>
    </w:p>
    <w:tbl>
      <w:tblPr>
        <w:tblW w:w="9971" w:type="dxa"/>
        <w:jc w:val="left"/>
        <w:tblInd w:w="0" w:type="dxa"/>
        <w:tblLayout w:type="fixed"/>
        <w:tblCellMar>
          <w:top w:w="28" w:type="dxa"/>
          <w:left w:w="28" w:type="dxa"/>
          <w:bottom w:w="28" w:type="dxa"/>
          <w:right w:w="28" w:type="dxa"/>
        </w:tblCellMar>
      </w:tblPr>
      <w:tblGrid>
        <w:gridCol w:w="2221"/>
        <w:gridCol w:w="1952"/>
        <w:gridCol w:w="1962"/>
        <w:gridCol w:w="312"/>
        <w:gridCol w:w="976"/>
        <w:gridCol w:w="374"/>
        <w:gridCol w:w="150"/>
        <w:gridCol w:w="150"/>
        <w:gridCol w:w="150"/>
        <w:gridCol w:w="312"/>
        <w:gridCol w:w="976"/>
        <w:gridCol w:w="436"/>
      </w:tblGrid>
      <w:tr>
        <w:trPr/>
        <w:tc>
          <w:tcPr>
            <w:tcW w:w="222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r>
      <w:tr>
        <w:trPr/>
        <w:tc>
          <w:tcPr>
            <w:tcW w:w="613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Connected Fitness Subscriptions (in millions)</w:t>
            </w:r>
            <w:r>
              <w:rPr>
                <w:rFonts w:ascii="Arial;sans-serif" w:hAnsi="Arial;sans-serif"/>
                <w:b w:val="false"/>
                <w:color w:val="000000"/>
                <w:sz w:val="12"/>
              </w:rPr>
              <w:t>(1)</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2.732 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2.896 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Average Net Monthly Paid Connected Fitness Subscription Churn</w:t>
            </w:r>
            <w:r>
              <w:rPr>
                <w:rFonts w:ascii="Arial;sans-serif" w:hAnsi="Arial;sans-serif"/>
                <w:b w:val="false"/>
                <w:color w:val="000000"/>
                <w:sz w:val="12"/>
              </w:rPr>
              <w:t>(1)</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App Subscriptions (in millions)</w:t>
            </w:r>
            <w:r>
              <w:rPr>
                <w:rFonts w:ascii="Arial;sans-serif" w:hAnsi="Arial;sans-serif"/>
                <w:b w:val="false"/>
                <w:color w:val="000000"/>
                <w:sz w:val="12"/>
              </w:rPr>
              <w:t>(1)</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0.542 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0.588 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 (in millions)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273.2 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(in millions)</w:t>
            </w:r>
            <w:r>
              <w:rPr>
                <w:rFonts w:ascii="Arial;sans-serif" w:hAnsi="Arial;sans-serif"/>
                <w:b w:val="false"/>
                <w:color w:val="000000"/>
                <w:sz w:val="12"/>
              </w:rPr>
              <w:t>(2)</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68.6 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Margin</w:t>
            </w:r>
            <w:r>
              <w:rPr>
                <w:rFonts w:ascii="Arial;sans-serif" w:hAnsi="Arial;sans-serif"/>
                <w:b w:val="false"/>
                <w:color w:val="000000"/>
                <w:sz w:val="12"/>
              </w:rPr>
              <w:t>(2)</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 (in millions)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Adjusted EBITDA (in millions)</w:t>
            </w:r>
            <w:r>
              <w:rPr>
                <w:rFonts w:ascii="Arial;sans-serif" w:hAnsi="Arial;sans-serif"/>
                <w:b w:val="false"/>
                <w:color w:val="000000"/>
                <w:sz w:val="12"/>
              </w:rPr>
              <w:t>(3)</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118.3 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provided by operating activities (in millions)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Free Cash Flow (in millions)</w:t>
            </w:r>
            <w:r>
              <w:rPr>
                <w:rFonts w:ascii="Arial;sans-serif" w:hAnsi="Arial;sans-serif"/>
                <w:b w:val="false"/>
                <w:color w:val="000000"/>
                <w:sz w:val="12"/>
              </w:rPr>
              <w:t>(4)</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Beginning January 1, 2025, the Company migrated its subscription data model for reporting Ending Paid Connected Fitness Subscriptions, Average Net Monthly Paid Connected Fitness Subscription Churn, and Ending Paid App Subscriptions to a new data model that provides greater visibility to changes to a subscription's payment status when they occur. The new model gives the Company more precise and timely data on subscription pause and churn behavior. Prior period information has been revised to conform with current period presentation. The impact of this change in the model on Ending Paid Connected Fitness Subscriptions, Average Net Monthly Paid Connected Fitness Subscription Churn, and Ending Paid App Subscriptions for the three months ended September 30, 2025 and 2024 is immaterial. Starting in fiscal 2026, we no longer report on Average Monthly Paid App Subscription Churn.</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(3) Please see the section titled “Non-GAAP Financial Measures—Adjusted EBITDA” for a reconciliation of Net income (loss) to Adjusted EBITDA and an explanation of why we consider Adjusted EBITDA to be a helpful measure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(4) Please see the section titled “Non-GAAP Financial Measures—Free Cash Flow” for a reconciliation of Net cash provided by operating activities to Free Cash Flow and an explanation of why we consider Free Cash Flow to be a helpful measure for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Ending Paid Connected Fitness Subscriptions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Average Net Monthly Paid Connected Fitness Subscription Churn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quarterly Average Net Monthly Paid Connected Fitness Subscription Churn metric averages the monthly Connected Fitness churn percentage across the three months of the reported quarter.</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App Subscriptions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Ending Paid App Subscriptions includes all subscriptions to our Peloton Apps for which we are currently receiving payment. Starting in fiscal 2026, we no longer report on Average Monthly Paid App Subscription Churn.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Components of our Results of Operations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Revenue primarily consists of sales of our portfolio of Connected Fitness Products and related accessories, as well as Precor-branded fitness products, delivery and installation services, Peloton Bike portfolio rental products,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Revenue primarily consists of revenue generated from our Paid Connected Fitness Subscriptions and Paid Peloton App Subscriptions, inclusive of the Strength+ App, which are offered on a month-to-month or prepaid basis.</w:t>
      </w:r>
    </w:p>
    <w:p>
      <w:pPr>
        <w:pStyle w:val="TextBody"/>
        <w:bidi w:val="0"/>
        <w:spacing w:lineRule="auto" w:line="288" w:before="0" w:after="240"/>
        <w:jc w:val="both"/>
        <w:rPr/>
      </w:pPr>
      <w:r>
        <w:rPr>
          <w:rFonts w:ascii="Roboto;sans-serif" w:hAnsi="Roboto;sans-serif"/>
          <w:b w:val="false"/>
          <w:color w:val="000000"/>
          <w:sz w:val="18"/>
          <w:shd w:fill="FFFFFF" w:val="clear"/>
        </w:rPr>
        <w:t xml:space="preserve">As of </w:t>
      </w:r>
      <w:r>
        <w:rPr>
          <w:rFonts w:ascii="Roboto;sans-serif" w:hAnsi="Roboto;sans-serif"/>
          <w:b w:val="false"/>
          <w:color w:val="000000"/>
          <w:sz w:val="18"/>
        </w:rPr>
        <w:t>September 30, 2025, 99% and 81% of o</w:t>
      </w:r>
      <w:r>
        <w:rPr>
          <w:rFonts w:ascii="Roboto;sans-serif" w:hAnsi="Roboto;sans-serif"/>
          <w:b w:val="false"/>
          <w:color w:val="000000"/>
          <w:sz w:val="18"/>
          <w:shd w:fill="FFFFFF" w:val="clear"/>
        </w:rPr>
        <w:t>ur Connected Fitness Subscription and Paid App Subscription bases, respectively, were paying month-to-month.</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 single Connected Fitness Subscription provides access to multiple, different Peloton Connected Fitness Products (such as a Peloton Bike and Peloton Tread) in the same household. As of September 30, 2025, approximately 13% of our Connected Fitness Subscriptions owned multiple, different Connected Fitness Products.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Cost of revenue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Beginning in the first quarter of fiscal 2026, we now assign executive compensation and other corporate overhead costs associated with our corporate facilities, which were historically included in General and administrative expense, to the various expense captions that these costs relate to, including Cost of revenue, Sales and marketing, General and administrative, and Research and development.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Cost of revenue primarily consists of our portfolio of Connected Fitness Products, related accessories, Precor-branded fitness products,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including stock-based compensation expense, and expense associated with supply chain logistics. Inventory write-downs and related obsolescence reserve expense are also included within Connected Fitness Products Cost of 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primarily consists of costs associated with content creation and costs to stream content to our Members. These costs consist of both fixed costs, including Instructor, content, and production personnel-related expenses, including stock-based compensation expense, depreciation of property and equipment, studio rent and occupancy, and other studio overhead, as well as variable costs, including music royalty fees, third-party platform streaming costs, and payment processing fees for our monthly subscription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Sales and marketing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Sales and marketing expense primarily consists of performance marketing media spend, asset creation, and other brand creative, sales and marketing personnel-related expenses, including stock-based compensation expense, costs to operate our retail showrooms including rent and occupancy charges, payment processing fees incurred in connection with the sale of our Connected Fitness Products, expenses related to the Peloton Apps, and depreciation of property and equipment.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General and administrative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General and administrative expense primarily consists of personnel-related expenses, including stock-based compensation expense, and facilities-related costs, primarily for our executive, finance, accounting, legal, human resources, IT functions and Member support team. General and administrative expense also includes software and IT costs, fees for professional services principally comprising legal, audit, tax and accounting services, depreciation of property and equipment, insurance, and litigation settlement costs.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Research and development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personnel-related expenses, including stock-based compensation expense,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Impairment expense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Impairment expense primarily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Additionally, long-lived assets are reviewed for impairment whenever events or changes in circumstances indicate that the carrying amount of an asset group may not be recoverable. Management disposes of fixed assets during the regular course of business due to damage, obsolescence, strategic shifts, and loss.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Restructuring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Restructuring expense consists of severance and other personnel costs, including stock-based compensation expense, professional services, facility closures and other costs associated with exit and disposal activities.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Supplier settlements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Supplier settlements are payments made to third-party suppliers to terminate certain future inventory purchase commitments or settle disputes with suppliers about and to terminate certain alleged past and future commitments.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Non-operating income and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Total other expense, net</w:t>
      </w:r>
    </w:p>
    <w:p>
      <w:pPr>
        <w:pStyle w:val="TextBody"/>
        <w:bidi w:val="0"/>
        <w:spacing w:lineRule="auto" w:line="417" w:before="0" w:after="240"/>
        <w:jc w:val="both"/>
        <w:rPr>
          <w:rFonts w:ascii="Roboto;sans-serif" w:hAnsi="Roboto;sans-serif"/>
          <w:b w:val="false"/>
          <w:color w:val="000000"/>
          <w:sz w:val="18"/>
        </w:rPr>
      </w:pPr>
      <w:r>
        <w:rPr>
          <w:rFonts w:ascii="Roboto;sans-serif" w:hAnsi="Roboto;sans-serif"/>
          <w:b w:val="false"/>
          <w:color w:val="000000"/>
          <w:sz w:val="18"/>
        </w:rPr>
        <w:t>Total other expense, net primarily consists of interest (expense) income, unrealized and realized (losses) gains on investments, net gains relating to our refinancing activities, and foreign exchange (losses) gains.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Income tax expense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provision for income taxes primarily consists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Results of Operations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tbl>
      <w:tblPr>
        <w:tblW w:w="8367" w:type="dxa"/>
        <w:jc w:val="center"/>
        <w:tblInd w:w="0" w:type="dxa"/>
        <w:tblLayout w:type="fixed"/>
        <w:tblCellMar>
          <w:top w:w="28" w:type="dxa"/>
          <w:left w:w="28" w:type="dxa"/>
          <w:bottom w:w="28" w:type="dxa"/>
          <w:right w:w="28" w:type="dxa"/>
        </w:tblCellMar>
      </w:tblPr>
      <w:tblGrid>
        <w:gridCol w:w="1483"/>
        <w:gridCol w:w="1303"/>
        <w:gridCol w:w="1309"/>
        <w:gridCol w:w="356"/>
        <w:gridCol w:w="1112"/>
        <w:gridCol w:w="171"/>
        <w:gridCol w:w="171"/>
        <w:gridCol w:w="171"/>
        <w:gridCol w:w="171"/>
        <w:gridCol w:w="356"/>
        <w:gridCol w:w="1112"/>
        <w:gridCol w:w="171"/>
        <w:gridCol w:w="109"/>
        <w:gridCol w:w="109"/>
        <w:gridCol w:w="109"/>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Statement of Operations Data:</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586.0 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Cost of revenue</w:t>
            </w:r>
            <w:r>
              <w:rPr>
                <w:rFonts w:ascii="Roboto;sans-serif" w:hAnsi="Roboto;sans-serif"/>
                <w:b w:val="false"/>
                <w:color w:val="000000"/>
                <w:sz w:val="12"/>
              </w:rPr>
              <w:t>(1)(2)</w:t>
            </w:r>
          </w:p>
        </w:tc>
        <w:tc>
          <w:tcPr>
            <w:tcW w:w="1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283.7 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Sales and marketing</w:t>
            </w:r>
            <w:r>
              <w:rPr>
                <w:rFonts w:ascii="Roboto;sans-serif" w:hAnsi="Roboto;sans-serif"/>
                <w:b w:val="false"/>
                <w:color w:val="000000"/>
                <w:sz w:val="12"/>
              </w:rPr>
              <w:t>(1)(2)</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General and administrative</w:t>
            </w:r>
            <w:r>
              <w:rPr>
                <w:rFonts w:ascii="Roboto;sans-serif" w:hAnsi="Roboto;sans-serif"/>
                <w:b w:val="false"/>
                <w:color w:val="000000"/>
                <w:sz w:val="12"/>
              </w:rPr>
              <w:t>(1)(2)</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Research and development</w:t>
            </w:r>
            <w:r>
              <w:rPr>
                <w:rFonts w:ascii="Roboto;sans-serif" w:hAnsi="Roboto;sans-serif"/>
                <w:b w:val="false"/>
                <w:color w:val="000000"/>
                <w:sz w:val="12"/>
              </w:rPr>
              <w:t>(1)(2)</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(1)</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operating expenses</w:t>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291.2 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Income from operations </w:t>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 gain</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expense, net </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(loss) before income taxes</w:t>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Includes stock-based compensation expense as follows:</w:t>
      </w:r>
    </w:p>
    <w:tbl>
      <w:tblPr>
        <w:tblW w:w="8230" w:type="dxa"/>
        <w:jc w:val="left"/>
        <w:tblInd w:w="0" w:type="dxa"/>
        <w:tblLayout w:type="fixed"/>
        <w:tblCellMar>
          <w:top w:w="28" w:type="dxa"/>
          <w:left w:w="28" w:type="dxa"/>
          <w:bottom w:w="28" w:type="dxa"/>
          <w:right w:w="28" w:type="dxa"/>
        </w:tblCellMar>
      </w:tblPr>
      <w:tblGrid>
        <w:gridCol w:w="1434"/>
        <w:gridCol w:w="1257"/>
        <w:gridCol w:w="1268"/>
        <w:gridCol w:w="395"/>
        <w:gridCol w:w="1025"/>
        <w:gridCol w:w="190"/>
        <w:gridCol w:w="190"/>
        <w:gridCol w:w="190"/>
        <w:gridCol w:w="190"/>
        <w:gridCol w:w="395"/>
        <w:gridCol w:w="1025"/>
        <w:gridCol w:w="190"/>
        <w:gridCol w:w="109"/>
        <w:gridCol w:w="109"/>
        <w:gridCol w:w="109"/>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Includes depreciation and amortization expense as follows:</w:t>
      </w:r>
    </w:p>
    <w:tbl>
      <w:tblPr>
        <w:tblW w:w="8531" w:type="dxa"/>
        <w:jc w:val="left"/>
        <w:tblInd w:w="0" w:type="dxa"/>
        <w:tblLayout w:type="fixed"/>
        <w:tblCellMar>
          <w:top w:w="28" w:type="dxa"/>
          <w:left w:w="28" w:type="dxa"/>
          <w:bottom w:w="28" w:type="dxa"/>
          <w:right w:w="28" w:type="dxa"/>
        </w:tblCellMar>
      </w:tblPr>
      <w:tblGrid>
        <w:gridCol w:w="1543"/>
        <w:gridCol w:w="1353"/>
        <w:gridCol w:w="1364"/>
        <w:gridCol w:w="395"/>
        <w:gridCol w:w="1025"/>
        <w:gridCol w:w="190"/>
        <w:gridCol w:w="190"/>
        <w:gridCol w:w="190"/>
        <w:gridCol w:w="190"/>
        <w:gridCol w:w="395"/>
        <w:gridCol w:w="1025"/>
        <w:gridCol w:w="190"/>
        <w:gridCol w:w="109"/>
        <w:gridCol w:w="109"/>
        <w:gridCol w:w="109"/>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depreciation and amortization expense</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Comparison of the Three Months Ended September 30, 2025 and 2024</w:t>
      </w:r>
    </w:p>
    <w:p>
      <w:pPr>
        <w:pStyle w:val="TextBody"/>
        <w:bidi w:val="0"/>
        <w:spacing w:lineRule="auto" w:line="288" w:before="240" w:after="240"/>
        <w:jc w:val="both"/>
        <w:rPr>
          <w:rFonts w:ascii="Roboto;sans-serif" w:hAnsi="Roboto;sans-serif"/>
          <w:b/>
          <w:i/>
          <w:color w:val="000000"/>
          <w:sz w:val="18"/>
        </w:rPr>
      </w:pPr>
      <w:r>
        <w:rPr>
          <w:rFonts w:ascii="Roboto;sans-serif" w:hAnsi="Roboto;sans-serif"/>
          <w:b/>
          <w:i/>
          <w:color w:val="000000"/>
          <w:sz w:val="18"/>
        </w:rPr>
        <w:t>Revenue</w:t>
      </w:r>
    </w:p>
    <w:tbl>
      <w:tblPr>
        <w:tblW w:w="8582" w:type="dxa"/>
        <w:jc w:val="center"/>
        <w:tblInd w:w="0" w:type="dxa"/>
        <w:tblLayout w:type="fixed"/>
        <w:tblCellMar>
          <w:top w:w="28" w:type="dxa"/>
          <w:left w:w="28" w:type="dxa"/>
          <w:bottom w:w="28" w:type="dxa"/>
          <w:right w:w="28" w:type="dxa"/>
        </w:tblCellMar>
      </w:tblPr>
      <w:tblGrid>
        <w:gridCol w:w="954"/>
        <w:gridCol w:w="840"/>
        <w:gridCol w:w="845"/>
        <w:gridCol w:w="313"/>
        <w:gridCol w:w="980"/>
        <w:gridCol w:w="376"/>
        <w:gridCol w:w="151"/>
        <w:gridCol w:w="151"/>
        <w:gridCol w:w="151"/>
        <w:gridCol w:w="313"/>
        <w:gridCol w:w="980"/>
        <w:gridCol w:w="376"/>
        <w:gridCol w:w="109"/>
        <w:gridCol w:w="109"/>
        <w:gridCol w:w="109"/>
        <w:gridCol w:w="375"/>
        <w:gridCol w:w="375"/>
        <w:gridCol w:w="376"/>
        <w:gridCol w:w="109"/>
        <w:gridCol w:w="109"/>
        <w:gridCol w:w="109"/>
        <w:gridCol w:w="109"/>
        <w:gridCol w:w="109"/>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426.3 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Revenue</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550.8 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586.0 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Percentage of revenue</w:t>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2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2025 and 2024</w:t>
      </w:r>
    </w:p>
    <w:p>
      <w:pPr>
        <w:pStyle w:val="TextBody"/>
        <w:bidi w:val="0"/>
        <w:spacing w:lineRule="auto" w:line="288" w:before="0" w:after="240"/>
        <w:jc w:val="both"/>
        <w:rPr/>
      </w:pPr>
      <w:r>
        <w:rPr>
          <w:rFonts w:ascii="Roboto;sans-serif" w:hAnsi="Roboto;sans-serif"/>
          <w:b w:val="false"/>
          <w:color w:val="000000"/>
          <w:sz w:val="18"/>
        </w:rPr>
        <w:t>Connected Fitness Products Revenue decreased $7.2 million</w:t>
      </w:r>
      <w:r>
        <w:rPr>
          <w:color w:val="000000"/>
        </w:rPr>
        <w:t xml:space="preserve"> </w:t>
      </w:r>
      <w:r>
        <w:rPr>
          <w:rFonts w:ascii="Roboto;sans-serif" w:hAnsi="Roboto;sans-serif"/>
          <w:b w:val="false"/>
          <w:color w:val="000000"/>
          <w:sz w:val="18"/>
        </w:rPr>
        <w:t>for the three months ended September 30, 2025 compared to the three months ended September 30, 2024. This decrease was primarily attributable to fewer Connected Fitness product deliveries driven by lower demand, partially offset by improvements in Precor revenue, for the three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Subscription Revenue decreased $28.0 million for the three months ended September 30, 2025 compared to the three months ended September 30, 2024, primarily due to decreases in Paid Connected Fitness and App Subscriptions. </w:t>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Cost of revenue, Gross profit, and Gross margin</w:t>
      </w:r>
    </w:p>
    <w:tbl>
      <w:tblPr>
        <w:tblW w:w="8582" w:type="dxa"/>
        <w:jc w:val="left"/>
        <w:tblInd w:w="0" w:type="dxa"/>
        <w:tblLayout w:type="fixed"/>
        <w:tblCellMar>
          <w:top w:w="28" w:type="dxa"/>
          <w:left w:w="28" w:type="dxa"/>
          <w:bottom w:w="28" w:type="dxa"/>
          <w:right w:w="28" w:type="dxa"/>
        </w:tblCellMar>
      </w:tblPr>
      <w:tblGrid>
        <w:gridCol w:w="956"/>
        <w:gridCol w:w="838"/>
        <w:gridCol w:w="845"/>
        <w:gridCol w:w="313"/>
        <w:gridCol w:w="980"/>
        <w:gridCol w:w="376"/>
        <w:gridCol w:w="151"/>
        <w:gridCol w:w="151"/>
        <w:gridCol w:w="151"/>
        <w:gridCol w:w="313"/>
        <w:gridCol w:w="980"/>
        <w:gridCol w:w="376"/>
        <w:gridCol w:w="109"/>
        <w:gridCol w:w="109"/>
        <w:gridCol w:w="109"/>
        <w:gridCol w:w="375"/>
        <w:gridCol w:w="375"/>
        <w:gridCol w:w="376"/>
        <w:gridCol w:w="109"/>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Cost of revenue:</w:t>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267.1 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282.2 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Gross profit:</w:t>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273.2 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283.7 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303.8 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Gross margin:</w:t>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68.6 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September 30,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Cost of revenue decreased $3.1 million for the three months ended September 30, 2025 compared to the three months ended September 30, 2024. This decrease was primarily driven by fewer Connected Fitness product deliveries, resulting from lower demand, partially offset by the expense incurred related to the Bike+ Seat Post Recall, and higher Precor sales.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Our Connected Fitness Products Gross margin decreased to 6.9% for the three months ended September 30, 2025 compared to 9.2% for the three months ended September 30, 2024. This decrease was primarily driven by the $13.5 million expense incurred related to the Bike+ Seat Post Recall, which was partially offset by a mix shift towards higher margin products, lower warranty costs, and a decrease in inventory reserves.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decreased $12.0 million for the three months ended September 30, 2025 compared to the three months ended September 30, 2024, primarily due to lower costs associated with music royalties.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Subscription Gross margin remained mostly consistent for the three months ended September 30, 2025 compared to the three months ended September 30, 2024.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Sales and marketing</w:t>
      </w:r>
    </w:p>
    <w:tbl>
      <w:tblPr>
        <w:tblW w:w="9018" w:type="dxa"/>
        <w:jc w:val="left"/>
        <w:tblInd w:w="0" w:type="dxa"/>
        <w:tblLayout w:type="fixed"/>
        <w:tblCellMar>
          <w:top w:w="28" w:type="dxa"/>
          <w:left w:w="28" w:type="dxa"/>
          <w:bottom w:w="28" w:type="dxa"/>
          <w:right w:w="28" w:type="dxa"/>
        </w:tblCellMar>
      </w:tblPr>
      <w:tblGrid>
        <w:gridCol w:w="1115"/>
        <w:gridCol w:w="977"/>
        <w:gridCol w:w="983"/>
        <w:gridCol w:w="344"/>
        <w:gridCol w:w="892"/>
        <w:gridCol w:w="412"/>
        <w:gridCol w:w="165"/>
        <w:gridCol w:w="165"/>
        <w:gridCol w:w="165"/>
        <w:gridCol w:w="344"/>
        <w:gridCol w:w="892"/>
        <w:gridCol w:w="412"/>
        <w:gridCol w:w="109"/>
        <w:gridCol w:w="109"/>
        <w:gridCol w:w="109"/>
        <w:gridCol w:w="375"/>
        <w:gridCol w:w="375"/>
        <w:gridCol w:w="376"/>
        <w:gridCol w:w="109"/>
        <w:gridCol w:w="109"/>
        <w:gridCol w:w="109"/>
        <w:gridCol w:w="109"/>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66.8 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81.9 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September 30,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Sales and marketing expense decreased $15.1 million for the three months ended September 30, 2025 compared to the three months ended September 30, 2024, primarily driven by a $15.2 million decrease in acquisition, brand, and creative marketing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General and administrative</w:t>
      </w:r>
    </w:p>
    <w:tbl>
      <w:tblPr>
        <w:tblW w:w="9018" w:type="dxa"/>
        <w:jc w:val="left"/>
        <w:tblInd w:w="0" w:type="dxa"/>
        <w:tblLayout w:type="fixed"/>
        <w:tblCellMar>
          <w:top w:w="28" w:type="dxa"/>
          <w:left w:w="28" w:type="dxa"/>
          <w:bottom w:w="28" w:type="dxa"/>
          <w:right w:w="28" w:type="dxa"/>
        </w:tblCellMar>
      </w:tblPr>
      <w:tblGrid>
        <w:gridCol w:w="1114"/>
        <w:gridCol w:w="978"/>
        <w:gridCol w:w="983"/>
        <w:gridCol w:w="313"/>
        <w:gridCol w:w="980"/>
        <w:gridCol w:w="376"/>
        <w:gridCol w:w="151"/>
        <w:gridCol w:w="151"/>
        <w:gridCol w:w="151"/>
        <w:gridCol w:w="313"/>
        <w:gridCol w:w="980"/>
        <w:gridCol w:w="376"/>
        <w:gridCol w:w="109"/>
        <w:gridCol w:w="109"/>
        <w:gridCol w:w="109"/>
        <w:gridCol w:w="375"/>
        <w:gridCol w:w="375"/>
        <w:gridCol w:w="376"/>
        <w:gridCol w:w="109"/>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September 30,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General and administrative expense decreased $18.7 million for the three months ended September 30, 2025 compared to the three months ended September 30, 2024. The decrease was mainly driven by an $8.7 million decrease in personnel-related expenses, inclusive of stock-based compensation expense, and a $3.8 million decrease in rent and occupancy charges, both primarily due to the assignment of executive compensation and other corporate overhead costs to the various expense captions those costs relate to beginning in fiscal 2026, and a $2.9 million decrease in professional services fees.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Research and development</w:t>
      </w:r>
    </w:p>
    <w:tbl>
      <w:tblPr>
        <w:tblW w:w="9017" w:type="dxa"/>
        <w:jc w:val="left"/>
        <w:tblInd w:w="0" w:type="dxa"/>
        <w:tblLayout w:type="fixed"/>
        <w:tblCellMar>
          <w:top w:w="28" w:type="dxa"/>
          <w:left w:w="28" w:type="dxa"/>
          <w:bottom w:w="28" w:type="dxa"/>
          <w:right w:w="28" w:type="dxa"/>
        </w:tblCellMar>
      </w:tblPr>
      <w:tblGrid>
        <w:gridCol w:w="1114"/>
        <w:gridCol w:w="979"/>
        <w:gridCol w:w="981"/>
        <w:gridCol w:w="344"/>
        <w:gridCol w:w="892"/>
        <w:gridCol w:w="412"/>
        <w:gridCol w:w="165"/>
        <w:gridCol w:w="165"/>
        <w:gridCol w:w="165"/>
        <w:gridCol w:w="344"/>
        <w:gridCol w:w="892"/>
        <w:gridCol w:w="412"/>
        <w:gridCol w:w="109"/>
        <w:gridCol w:w="109"/>
        <w:gridCol w:w="109"/>
        <w:gridCol w:w="375"/>
        <w:gridCol w:w="375"/>
        <w:gridCol w:w="376"/>
        <w:gridCol w:w="109"/>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62.1 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2025 and 2024</w:t>
      </w:r>
    </w:p>
    <w:p>
      <w:pPr>
        <w:pStyle w:val="TextBody"/>
        <w:bidi w:val="0"/>
        <w:spacing w:lineRule="auto" w:line="288" w:before="0" w:after="240"/>
        <w:jc w:val="both"/>
        <w:rPr/>
      </w:pPr>
      <w:r>
        <w:rPr>
          <w:rFonts w:ascii="Roboto;sans-serif" w:hAnsi="Roboto;sans-serif"/>
          <w:b w:val="false"/>
          <w:color w:val="000000"/>
          <w:sz w:val="18"/>
        </w:rPr>
        <w:t>Research and development expense increased $3.6 million for the three months ended September 30, 2025 compared to the three months ended September 30, 2024, mainly driven by a $3.7 million</w:t>
      </w:r>
      <w:r>
        <w:rPr>
          <w:color w:val="000000"/>
        </w:rPr>
        <w:t xml:space="preserve"> </w:t>
      </w:r>
      <w:r>
        <w:rPr>
          <w:rFonts w:ascii="Roboto;sans-serif" w:hAnsi="Roboto;sans-serif"/>
          <w:b w:val="false"/>
          <w:color w:val="000000"/>
          <w:sz w:val="18"/>
        </w:rPr>
        <w:t>increase in personnel-related expenses, inclusive of stock-based compensation expense, and a $1.7 million</w:t>
      </w:r>
      <w:r>
        <w:rPr>
          <w:color w:val="000000"/>
        </w:rPr>
        <w:t xml:space="preserve"> </w:t>
      </w:r>
      <w:r>
        <w:rPr>
          <w:rFonts w:ascii="Roboto;sans-serif" w:hAnsi="Roboto;sans-serif"/>
          <w:b w:val="false"/>
          <w:color w:val="000000"/>
          <w:sz w:val="18"/>
        </w:rPr>
        <w:t>increase in rent and occupancy charges, both primarily due to the assignment of executive compensation and other corporate overhead costs, discussed above, partially offset by a $2.0 million</w:t>
      </w:r>
      <w:r>
        <w:rPr>
          <w:color w:val="000000"/>
        </w:rPr>
        <w:t xml:space="preserve"> </w:t>
      </w:r>
      <w:r>
        <w:rPr>
          <w:rFonts w:ascii="Roboto;sans-serif" w:hAnsi="Roboto;sans-serif"/>
          <w:b w:val="false"/>
          <w:color w:val="000000"/>
          <w:sz w:val="18"/>
        </w:rPr>
        <w:t>decrease in product development costs, primarily due to a reduction in contractor spend.</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Impairment expense</w:t>
      </w:r>
    </w:p>
    <w:tbl>
      <w:tblPr>
        <w:tblW w:w="7938" w:type="dxa"/>
        <w:jc w:val="left"/>
        <w:tblInd w:w="0" w:type="dxa"/>
        <w:tblLayout w:type="fixed"/>
        <w:tblCellMar>
          <w:top w:w="28" w:type="dxa"/>
          <w:left w:w="28" w:type="dxa"/>
          <w:bottom w:w="28" w:type="dxa"/>
          <w:right w:w="28" w:type="dxa"/>
        </w:tblCellMar>
      </w:tblPr>
      <w:tblGrid>
        <w:gridCol w:w="723"/>
        <w:gridCol w:w="634"/>
        <w:gridCol w:w="637"/>
        <w:gridCol w:w="444"/>
        <w:gridCol w:w="917"/>
        <w:gridCol w:w="214"/>
        <w:gridCol w:w="214"/>
        <w:gridCol w:w="214"/>
        <w:gridCol w:w="214"/>
        <w:gridCol w:w="444"/>
        <w:gridCol w:w="917"/>
        <w:gridCol w:w="214"/>
        <w:gridCol w:w="109"/>
        <w:gridCol w:w="109"/>
        <w:gridCol w:w="109"/>
        <w:gridCol w:w="375"/>
        <w:gridCol w:w="375"/>
        <w:gridCol w:w="376"/>
        <w:gridCol w:w="109"/>
        <w:gridCol w:w="109"/>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September 30,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Impairment expense increased $3.4 million for the three months ended September 30, 2025 compared to the three months ended September 30, 2024, primarily due to asset write-downs and write-offs in connection with the exit of our retail showroom locations.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Restructuring expense</w:t>
      </w:r>
    </w:p>
    <w:tbl>
      <w:tblPr>
        <w:tblW w:w="8118" w:type="dxa"/>
        <w:jc w:val="left"/>
        <w:tblInd w:w="0" w:type="dxa"/>
        <w:tblLayout w:type="fixed"/>
        <w:tblCellMar>
          <w:top w:w="28" w:type="dxa"/>
          <w:left w:w="28" w:type="dxa"/>
          <w:bottom w:w="28" w:type="dxa"/>
          <w:right w:w="28" w:type="dxa"/>
        </w:tblCellMar>
      </w:tblPr>
      <w:tblGrid>
        <w:gridCol w:w="788"/>
        <w:gridCol w:w="692"/>
        <w:gridCol w:w="694"/>
        <w:gridCol w:w="444"/>
        <w:gridCol w:w="917"/>
        <w:gridCol w:w="214"/>
        <w:gridCol w:w="214"/>
        <w:gridCol w:w="214"/>
        <w:gridCol w:w="214"/>
        <w:gridCol w:w="444"/>
        <w:gridCol w:w="917"/>
        <w:gridCol w:w="214"/>
        <w:gridCol w:w="109"/>
        <w:gridCol w:w="109"/>
        <w:gridCol w:w="109"/>
        <w:gridCol w:w="375"/>
        <w:gridCol w:w="375"/>
        <w:gridCol w:w="376"/>
        <w:gridCol w:w="109"/>
        <w:gridCol w:w="109"/>
        <w:gridCol w:w="109"/>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September 30,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Restructuring expense increased $1.5 million for the three months ended September 30, 2025 compared to the three months ended September 30, 2024, primarily due to an increase in exit and disposal costs and professional fees in connection with the Restructuring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Supplier settlements</w:t>
      </w:r>
    </w:p>
    <w:tbl>
      <w:tblPr>
        <w:tblW w:w="7940" w:type="dxa"/>
        <w:jc w:val="left"/>
        <w:tblInd w:w="0" w:type="dxa"/>
        <w:tblLayout w:type="fixed"/>
        <w:tblCellMar>
          <w:top w:w="28" w:type="dxa"/>
          <w:left w:w="28" w:type="dxa"/>
          <w:bottom w:w="28" w:type="dxa"/>
          <w:right w:w="28" w:type="dxa"/>
        </w:tblCellMar>
      </w:tblPr>
      <w:tblGrid>
        <w:gridCol w:w="723"/>
        <w:gridCol w:w="634"/>
        <w:gridCol w:w="637"/>
        <w:gridCol w:w="431"/>
        <w:gridCol w:w="774"/>
        <w:gridCol w:w="208"/>
        <w:gridCol w:w="208"/>
        <w:gridCol w:w="208"/>
        <w:gridCol w:w="208"/>
        <w:gridCol w:w="431"/>
        <w:gridCol w:w="1118"/>
        <w:gridCol w:w="208"/>
        <w:gridCol w:w="109"/>
        <w:gridCol w:w="109"/>
        <w:gridCol w:w="109"/>
        <w:gridCol w:w="375"/>
        <w:gridCol w:w="375"/>
        <w:gridCol w:w="376"/>
        <w:gridCol w:w="109"/>
        <w:gridCol w:w="109"/>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60"/>
        <w:jc w:val="both"/>
        <w:rPr>
          <w:rFonts w:ascii="Roboto;sans-serif" w:hAnsi="Roboto;sans-serif"/>
          <w:b w:val="false"/>
          <w:i/>
          <w:color w:val="000000"/>
          <w:sz w:val="18"/>
        </w:rPr>
      </w:pPr>
      <w:r>
        <w:rPr>
          <w:rFonts w:ascii="Roboto;sans-serif" w:hAnsi="Roboto;sans-serif"/>
          <w:b w:val="false"/>
          <w:i/>
          <w:color w:val="000000"/>
          <w:sz w:val="18"/>
        </w:rPr>
        <w:t>Three Months Ended September 30,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Supplier settlements decreased $23.5 million for the three months ended September 30, 2025 compared to the three months ended September 30, 2024 due to accruals for the three months ended September 30, 2024 related to the settlement of disputes with a third-party supplier about certain alleged past and future commitments.</w:t>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Total other expense, net and Income tax expense</w:t>
      </w:r>
    </w:p>
    <w:tbl>
      <w:tblPr>
        <w:tblW w:w="8676" w:type="dxa"/>
        <w:jc w:val="left"/>
        <w:tblInd w:w="0" w:type="dxa"/>
        <w:tblLayout w:type="fixed"/>
        <w:tblCellMar>
          <w:top w:w="28" w:type="dxa"/>
          <w:left w:w="28" w:type="dxa"/>
          <w:bottom w:w="28" w:type="dxa"/>
          <w:right w:w="28" w:type="dxa"/>
        </w:tblCellMar>
      </w:tblPr>
      <w:tblGrid>
        <w:gridCol w:w="987"/>
        <w:gridCol w:w="868"/>
        <w:gridCol w:w="875"/>
        <w:gridCol w:w="365"/>
        <w:gridCol w:w="1092"/>
        <w:gridCol w:w="176"/>
        <w:gridCol w:w="176"/>
        <w:gridCol w:w="176"/>
        <w:gridCol w:w="176"/>
        <w:gridCol w:w="365"/>
        <w:gridCol w:w="1092"/>
        <w:gridCol w:w="176"/>
        <w:gridCol w:w="109"/>
        <w:gridCol w:w="109"/>
        <w:gridCol w:w="109"/>
        <w:gridCol w:w="375"/>
        <w:gridCol w:w="375"/>
        <w:gridCol w:w="376"/>
        <w:gridCol w:w="109"/>
        <w:gridCol w:w="109"/>
        <w:gridCol w:w="109"/>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income</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 gain</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(125.8)%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expense, net </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404.8%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color w:val="000000"/>
          <w:sz w:val="18"/>
        </w:rPr>
      </w:pPr>
      <w:r>
        <w:rPr>
          <w:rFonts w:ascii="Roboto;sans-serif" w:hAnsi="Roboto;sans-serif"/>
          <w:b w:val="false"/>
          <w:color w:val="000000"/>
          <w:sz w:val="18"/>
        </w:rPr>
        <w:t>Total other expense, net was comprised of the following for the three months ended September 30, 2025:</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convertible notes, and deferred financing costs of $32.3 million;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$9.8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Foreign exchange losses of $3.8 million; and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expense, net of $0.3 million.</w:t>
      </w:r>
    </w:p>
    <w:p>
      <w:pPr>
        <w:pStyle w:val="TextBody"/>
        <w:bidi w:val="0"/>
        <w:spacing w:lineRule="auto" w:line="417" w:before="240" w:after="283"/>
        <w:jc w:val="both"/>
        <w:rPr>
          <w:rFonts w:ascii="Roboto;sans-serif" w:hAnsi="Roboto;sans-serif"/>
          <w:b w:val="false"/>
          <w:color w:val="000000"/>
          <w:sz w:val="18"/>
        </w:rPr>
      </w:pPr>
      <w:r>
        <w:rPr>
          <w:rFonts w:ascii="Roboto;sans-serif" w:hAnsi="Roboto;sans-serif"/>
          <w:b w:val="false"/>
          <w:color w:val="000000"/>
          <w:sz w:val="18"/>
        </w:rPr>
        <w:t>Total other expense, net was comprised of the following for the three months ended September 30, 2024:</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convertible notes, and deferred financing costs of $35.4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$8.1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Foreign exchange gains of $14.8 million;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expense, net of $0.1 million.</w:t>
      </w:r>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 xml:space="preserve">Income tax expense for the three months ended September 30, 2025 and 2024 of $0.7 million and $0.8 million, respectively, was primarily due to state and international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Non-GAAP Financial Measures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Adjusted EBITDA</w:t>
      </w:r>
    </w:p>
    <w:p>
      <w:pPr>
        <w:pStyle w:val="TextBody"/>
        <w:bidi w:val="0"/>
        <w:spacing w:lineRule="auto" w:line="288" w:before="0" w:after="240"/>
        <w:jc w:val="both"/>
        <w:rPr>
          <w:rFonts w:ascii="Roboto;sans-serif" w:hAnsi="Roboto;sans-serif"/>
          <w:b w:val="false"/>
          <w:color w:val="050505"/>
          <w:sz w:val="18"/>
          <w:shd w:fill="FFFFFF" w:val="clear"/>
        </w:rPr>
      </w:pPr>
      <w:r>
        <w:rPr>
          <w:rFonts w:ascii="Roboto;sans-serif" w:hAnsi="Roboto;sans-serif"/>
          <w:b w:val="false"/>
          <w:color w:val="050505"/>
          <w:sz w:val="18"/>
          <w:shd w:fill="FFFFFF" w:val="clear"/>
        </w:rPr>
        <w:t>We calculate Adjusted EBITDA as net income (loss) adjusted to exclude: other expense (income), net; net (gains) losses on debt refinancing; income tax expense (benefit); depreciation and amortization expense; stock-based compensation expense; impairment expense; restructuring expense; product recall related matters; certain litigation and settlement expenses; supplier settlements; and other adjustment items that arise outside the ordinary course of our business.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and other income (expense), or the cash requirements necessary to service interest or principal payments on our debt, which reduces cash available to us; or (3) income taxes, which may represent a reduction in cash available to us;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acquisition-related costs, including transaction and integration costs;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and gains (losses) on disposals of fixed assets;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w:t>
      </w:r>
      <w:r>
        <w:rPr>
          <w:color w:val="050505"/>
        </w:rPr>
        <w:t xml:space="preserve"> </w:t>
      </w:r>
      <w:r>
        <w:rPr>
          <w:rFonts w:ascii="Roboto;sans-serif" w:hAnsi="Roboto;sans-serif"/>
          <w:b w:val="false"/>
          <w:color w:val="050505"/>
          <w:sz w:val="18"/>
        </w:rPr>
        <w:t>costs associated with the Restructuring Plans;</w:t>
      </w:r>
    </w:p>
    <w:p>
      <w:pPr>
        <w:pStyle w:val="TextBody"/>
        <w:bidi w:val="0"/>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supplier settlements that are</w:t>
      </w:r>
      <w:r>
        <w:rPr>
          <w:color w:val="000000"/>
        </w:rPr>
        <w:t xml:space="preserve"> </w:t>
      </w:r>
      <w:r>
        <w:rPr>
          <w:rFonts w:ascii="Roboto;sans-serif" w:hAnsi="Roboto;sans-serif"/>
          <w:b w:val="false"/>
          <w:color w:val="000000"/>
          <w:sz w:val="18"/>
        </w:rPr>
        <w:t>outside of the ordinary course of business and are nonrecurring, infrequent or unusual based on factors such as the nature of the settlements, as well as our frequency and past practice of performing refinancing activities</w:t>
      </w:r>
      <w:r>
        <w:rPr>
          <w:rFonts w:ascii="Roboto;sans-serif" w:hAnsi="Roboto;sans-serif"/>
          <w:b w:val="false"/>
          <w:color w:val="050505"/>
          <w:sz w:val="18"/>
        </w:rPr>
        <w:t>;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income (loss), the most directly comparable financial measure prepared in accordance with GAAP, for each of the periods indicated:</w:t>
      </w:r>
    </w:p>
    <w:tbl>
      <w:tblPr>
        <w:tblW w:w="7932" w:type="dxa"/>
        <w:jc w:val="left"/>
        <w:tblInd w:w="0" w:type="dxa"/>
        <w:tblLayout w:type="fixed"/>
        <w:tblCellMar>
          <w:top w:w="28" w:type="dxa"/>
          <w:left w:w="28" w:type="dxa"/>
          <w:bottom w:w="28" w:type="dxa"/>
          <w:right w:w="28" w:type="dxa"/>
        </w:tblCellMar>
      </w:tblPr>
      <w:tblGrid>
        <w:gridCol w:w="1326"/>
        <w:gridCol w:w="1163"/>
        <w:gridCol w:w="1171"/>
        <w:gridCol w:w="356"/>
        <w:gridCol w:w="1112"/>
        <w:gridCol w:w="171"/>
        <w:gridCol w:w="171"/>
        <w:gridCol w:w="171"/>
        <w:gridCol w:w="171"/>
        <w:gridCol w:w="356"/>
        <w:gridCol w:w="1112"/>
        <w:gridCol w:w="171"/>
        <w:gridCol w:w="109"/>
        <w:gridCol w:w="109"/>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other expense, net</w:t>
            </w:r>
            <w:r>
              <w:rPr>
                <w:rFonts w:ascii="Roboto;sans-serif" w:hAnsi="Roboto;sans-serif"/>
                <w:b w:val="false"/>
                <w:color w:val="000000"/>
                <w:sz w:val="12"/>
              </w:rPr>
              <w:t>(1)</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(2)</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Supplier settlements</w:t>
            </w:r>
            <w:r>
              <w:rPr>
                <w:rFonts w:ascii="Roboto;sans-serif" w:hAnsi="Roboto;sans-serif"/>
                <w:b w:val="false"/>
                <w:color w:val="000000"/>
                <w:sz w:val="12"/>
              </w:rPr>
              <w:t>(3)</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Primarily consists of Interest expense of $32.3 million and $35.4 million, foreign exchange losses (gains) of $3.8 million and $(14.8) million, and Interest income of $(9.8) million and $(8.1) million, for the three months ended September 30, 2025 and 2024, respectively.</w:t>
      </w:r>
    </w:p>
    <w:p>
      <w:pPr>
        <w:pStyle w:val="TextBody"/>
        <w:bidi w:val="0"/>
        <w:spacing w:lineRule="auto" w:line="288" w:before="60" w:after="60"/>
        <w:jc w:val="both"/>
        <w:rPr/>
      </w:pPr>
      <w:r>
        <w:rPr>
          <w:rFonts w:ascii="Roboto;sans-serif" w:hAnsi="Roboto;sans-serif"/>
          <w:b w:val="false"/>
          <w:color w:val="000000"/>
          <w:sz w:val="14"/>
        </w:rPr>
        <w:t xml:space="preserve">(2) Represents charges incurred in connection with the Restructuring Plans; refer to </w:t>
      </w:r>
      <w:r>
        <w:rPr>
          <w:rFonts w:ascii="Roboto;sans-serif" w:hAnsi="Roboto;sans-serif"/>
          <w:b w:val="false"/>
          <w:i/>
          <w:color w:val="000000"/>
          <w:sz w:val="14"/>
        </w:rPr>
        <w:t>Note 4, Restructuring</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w:t>
      </w:r>
    </w:p>
    <w:p>
      <w:pPr>
        <w:pStyle w:val="TextBody"/>
        <w:bidi w:val="0"/>
        <w:spacing w:lineRule="auto" w:line="288" w:before="60" w:after="60"/>
        <w:jc w:val="both"/>
        <w:rPr/>
      </w:pPr>
      <w:r>
        <w:rPr>
          <w:rFonts w:ascii="Roboto;sans-serif" w:hAnsi="Roboto;sans-serif"/>
          <w:b w:val="false"/>
          <w:color w:val="000000"/>
          <w:sz w:val="14"/>
        </w:rPr>
        <w:t xml:space="preserve">(3) </w:t>
      </w:r>
      <w:r>
        <w:rPr>
          <w:rFonts w:ascii="Roboto;sans-serif" w:hAnsi="Roboto;sans-serif"/>
          <w:b w:val="false"/>
          <w:color w:val="050505"/>
          <w:sz w:val="14"/>
        </w:rPr>
        <w:t>Represents accrual for the</w:t>
      </w:r>
      <w:r>
        <w:rPr>
          <w:color w:val="000000"/>
        </w:rPr>
        <w:t xml:space="preserve"> </w:t>
      </w:r>
      <w:r>
        <w:rPr>
          <w:rFonts w:ascii="Roboto;sans-serif" w:hAnsi="Roboto;sans-serif"/>
          <w:b w:val="false"/>
          <w:color w:val="000000"/>
          <w:sz w:val="14"/>
        </w:rPr>
        <w:t xml:space="preserve">three months ended September 30, 2024 </w:t>
      </w:r>
      <w:r>
        <w:rPr>
          <w:rFonts w:ascii="Roboto;sans-serif" w:hAnsi="Roboto;sans-serif"/>
          <w:b w:val="false"/>
          <w:color w:val="050505"/>
          <w:sz w:val="14"/>
        </w:rPr>
        <w:t>related to settlement of disputes with a third-party supplier about certain alleged past and future commitments, which occurred due to part of an unusual, one-time effort to adjust the Company’s forecasted inventory during its fiscal years 2022 and 2023. With this settlement, we have substantially settled our purchase commitments related disputes with our suppliers that were linked to our one-time effort to evaluate and adjust the Company’s forecasted inventory needs with its suppliers during fiscal years 2022 and 2023. As such, we currently do not expect to add-back in the future any additional supplier settlements related to that effort.</w:t>
      </w:r>
    </w:p>
    <w:p>
      <w:pPr>
        <w:pStyle w:val="TextBody"/>
        <w:bidi w:val="0"/>
        <w:spacing w:lineRule="auto" w:line="417" w:before="240" w:after="6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Subscription Cost of revenue, adjusted to exclude depreciation and amortization and stock-based compensation expenses included within Subscription Cost of revenue. Subscription Contribution Margin is calculated by dividing Subscription Contribution by Subscription Revenue.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W w:w="7931" w:type="dxa"/>
        <w:jc w:val="left"/>
        <w:tblInd w:w="0" w:type="dxa"/>
        <w:tblLayout w:type="fixed"/>
        <w:tblCellMar>
          <w:top w:w="28" w:type="dxa"/>
          <w:left w:w="28" w:type="dxa"/>
          <w:bottom w:w="28" w:type="dxa"/>
          <w:right w:w="28" w:type="dxa"/>
        </w:tblCellMar>
      </w:tblPr>
      <w:tblGrid>
        <w:gridCol w:w="1326"/>
        <w:gridCol w:w="1164"/>
        <w:gridCol w:w="1169"/>
        <w:gridCol w:w="313"/>
        <w:gridCol w:w="980"/>
        <w:gridCol w:w="376"/>
        <w:gridCol w:w="151"/>
        <w:gridCol w:w="151"/>
        <w:gridCol w:w="151"/>
        <w:gridCol w:w="313"/>
        <w:gridCol w:w="980"/>
        <w:gridCol w:w="376"/>
        <w:gridCol w:w="109"/>
        <w:gridCol w:w="109"/>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426.3 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Less: Subscription Cost of revenue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273.2 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2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68.6 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289.1 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305.7 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29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Free Cash Flow</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or principal repayments on our debt, which reduces cash available to us. Because of these limitations, Free Cash Flow should be considered along with other operating and financial performance measures presented in accordance with GAAP.</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provided by operating activities, the most directly comparable financial measure prepared in accordance with GAAP, for each of the periods indicated:</w:t>
      </w:r>
    </w:p>
    <w:tbl>
      <w:tblPr>
        <w:tblW w:w="8110" w:type="dxa"/>
        <w:jc w:val="left"/>
        <w:tblInd w:w="0" w:type="dxa"/>
        <w:tblLayout w:type="fixed"/>
        <w:tblCellMar>
          <w:top w:w="28" w:type="dxa"/>
          <w:left w:w="28" w:type="dxa"/>
          <w:bottom w:w="28" w:type="dxa"/>
          <w:right w:w="28" w:type="dxa"/>
        </w:tblCellMar>
      </w:tblPr>
      <w:tblGrid>
        <w:gridCol w:w="1391"/>
        <w:gridCol w:w="1220"/>
        <w:gridCol w:w="1228"/>
        <w:gridCol w:w="395"/>
        <w:gridCol w:w="1025"/>
        <w:gridCol w:w="190"/>
        <w:gridCol w:w="190"/>
        <w:gridCol w:w="190"/>
        <w:gridCol w:w="190"/>
        <w:gridCol w:w="395"/>
        <w:gridCol w:w="1025"/>
        <w:gridCol w:w="190"/>
        <w:gridCol w:w="109"/>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Liquidity and Capital Resources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Our operations have been funded primarily through net proceeds from the sales of our equity and convertible debt securities, and our Term Loan, as well as cash flows from operating activities. As of September 30, 2025, we had Cash and cash equivalents of approximately $1,103.6 million.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anticipate capital expenditures over the next 12 months to include investments in product development, content and our studios, systems implementation, and IT infrastructure.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believe our existing cash and cash equivalent balances and cash flow from operations will be sufficient to meet our working capital and capital expenditure needs for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debt financing would result in increased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Cash Flows</w:t>
      </w:r>
    </w:p>
    <w:tbl>
      <w:tblPr>
        <w:tblW w:w="8534" w:type="dxa"/>
        <w:jc w:val="left"/>
        <w:tblInd w:w="0" w:type="dxa"/>
        <w:tblLayout w:type="fixed"/>
        <w:tblCellMar>
          <w:top w:w="28" w:type="dxa"/>
          <w:left w:w="28" w:type="dxa"/>
          <w:bottom w:w="28" w:type="dxa"/>
          <w:right w:w="28" w:type="dxa"/>
        </w:tblCellMar>
      </w:tblPr>
      <w:tblGrid>
        <w:gridCol w:w="1701"/>
        <w:gridCol w:w="1492"/>
        <w:gridCol w:w="1502"/>
        <w:gridCol w:w="392"/>
        <w:gridCol w:w="1016"/>
        <w:gridCol w:w="189"/>
        <w:gridCol w:w="189"/>
        <w:gridCol w:w="189"/>
        <w:gridCol w:w="189"/>
        <w:gridCol w:w="392"/>
        <w:gridCol w:w="1016"/>
        <w:gridCol w:w="267"/>
      </w:tblGrid>
      <w:tr>
        <w:trPr/>
        <w:tc>
          <w:tcPr>
            <w:tcW w:w="170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r>
      <w:tr>
        <w:trPr/>
        <w:tc>
          <w:tcPr>
            <w:tcW w:w="46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6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Operating Activities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provided by operating activities of $71.9 million for the three months ended September 30, 2025 was primarily related to non-cash adjustments of $93.2 million and a net income of $13.9 million, partially offset by a net increase in operating assets and liabilities of $35.2 million. Non-cash adjustments primarily consisted of $47.2 million of stock-based compensation expense, $16.8 million of depreciation and amortization, $14.8 million of non-cash operating lease expense, and $8.3 million of impairment expense. The net increase in operating assets and liabilities was primarily due to a $30.0 million increase in net inventory levels, a $21.1 million decrease in net operating lease liabilities due to lease payments and lease terminations as we continue to reduce our real estate footprint in connection with the Restructuring Plans, a $9.6 million decrease in customer deposits and deferred revenue, and a $9.5 million increase in prepaid expenses and other current assets, partially offset by a $30.7 million decrease in accounts receivable driven by collections.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provided by operating activities of $12.5 million for the three months ended September 30, 2024 was primarily due to non-cash adjustments of $78.9 million, partially offset by a net increase in operating assets and liabilities of $65.6 million. Non-cash adjustments primarily consisted of $47.2 million of stock-based compensation expense, $24.8 million of depreciation and amortization, and $14.7 million of non-cash operating lease expense, partially offset by $(14.8) million of net foreign currency adjustments. The net increase in operating assets and liabilities was primarily due to a $48.7 million decrease in accounts payable and accrued expenses, a $21.9 million decrease in net operating lease liabilities due to lease payments and lease terminations as we continued to reduce our real estate footprint in connection with the Restructuring Plans, and a $9.4 million decrease in customer deposits and deferred revenue, partially offset by a $12.1 million decrease in prepaid expenses and other current assets.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Investing activities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used in investing activities of $6.7 million for the three months ended September 30, 2025 was due to $4.5 million used for capital expenditures and $2.2 million used for the Breathwrk acquisition.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provided by investing activities for the three months ended September 30, 2024 of $2.4 million was primarily due to $4.2 million in proceeds from the sale of the remaining Peloton Output Park land parcel, partially offset by $1.8 million used for capital expenditures.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Financing activities</w:t>
      </w:r>
    </w:p>
    <w:p>
      <w:pPr>
        <w:pStyle w:val="TextBody"/>
        <w:bidi w:val="0"/>
        <w:spacing w:lineRule="auto" w:line="288" w:before="0" w:after="240"/>
        <w:jc w:val="both"/>
        <w:rPr/>
      </w:pPr>
      <w:r>
        <w:rPr>
          <w:rFonts w:ascii="Roboto;sans-serif" w:hAnsi="Roboto;sans-serif"/>
          <w:b w:val="false"/>
          <w:color w:val="000000"/>
          <w:sz w:val="18"/>
        </w:rPr>
        <w:t>Net cash used in financing activities of $1.7 million for the three months ended September 30, 2025 was primarily due to $2.5 million in principal repayments on the Term Loan, partially offset by $0.9 million</w:t>
      </w:r>
      <w:r>
        <w:rPr>
          <w:color w:val="000000"/>
        </w:rPr>
        <w:t xml:space="preserve"> </w:t>
      </w:r>
      <w:r>
        <w:rPr>
          <w:rFonts w:ascii="Roboto;sans-serif" w:hAnsi="Roboto;sans-serif"/>
          <w:b w:val="false"/>
          <w:color w:val="000000"/>
          <w:sz w:val="18"/>
        </w:rPr>
        <w:t xml:space="preserve">related to net proceeds from option exercises under our employee stock plans and purchases under the ESPP.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provided by financing activities of $4.8 million for the three months ended September 30, 2024 was primarily related to proceeds from employee stock plans of $6.5 million, partially offset by $2.5 million in principal repayments on the Term Loan.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Debt Obligations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In February 2021, we issued $1.0 billion aggregate principal amount of 0.00% Convertible Senior Notes due 2026 (the “2026 Notes”) in a private offering. The net proceeds from the offering were approximately $977.2 million, after deducting the initial purchasers’ discounts and commissions and our offering expenses. The 2026 Notes do not bear regular interest, and the principal amount of the 2026 Notes does not accrete. The 2026 Notes will mature on February 15, 2026, unless earlier converted, redeemed, or repurchased. In May 2024, we issued $350.0 million aggregate principal amount of 5.50% Convertible Senior Notes due 2029 (the “2029 Notes”) in a private offering. The net proceeds from this offering were approximately $342.3 million, which were used, together with proceeds from the Term Loan (as defined below) and cash on hand, to repurchase approximately $801.0 million aggregate principal amount of the 2026 Notes. The 2029 Notes bear interest at a rate of 5.50% per annum, payable semi-annually in arrears on June 1 and December 1 of each year, beginning on December 1, 2024. The 2029 Notes will mature on December 1, 2029, unless earlier converted, redeemed, or repurchased. The 2026 Notes and 2029 Notes will be convertible at the option of the holders at certain times and upon the occurrence of certain events. </w:t>
      </w:r>
    </w:p>
    <w:p>
      <w:pPr>
        <w:pStyle w:val="TextBody"/>
        <w:bidi w:val="0"/>
        <w:spacing w:lineRule="auto" w:line="288" w:before="0" w:after="240"/>
        <w:jc w:val="both"/>
        <w:rPr/>
      </w:pPr>
      <w:r>
        <w:rPr>
          <w:rFonts w:ascii="Roboto;sans-serif" w:hAnsi="Roboto;sans-serif"/>
          <w:b w:val="false"/>
          <w:color w:val="000000"/>
          <w:sz w:val="18"/>
        </w:rPr>
        <w:t xml:space="preserve">On May 30, 2024, we entered into a Third Amended and Restated Credit Agreement, which provides for a $1.0 billion term loan facility (the “Term Loan”) and a $100.0 million revolving credit facility (the “Revolving Facility”), both of which will mature on May 30, 2029. The Term Loan amortizes in quarterly installments of 0.25%, payable at the end of each fiscal quarter and on the maturity date. Interest on borrowings under the Term Loan and Revolving Facility are determined based on calculations using an alternate base rate or term SOFR rate (further described in </w:t>
      </w:r>
      <w:r>
        <w:rPr>
          <w:rFonts w:ascii="Roboto;sans-serif" w:hAnsi="Roboto;sans-serif"/>
          <w:b w:val="false"/>
          <w:i/>
          <w:color w:val="000000"/>
          <w:sz w:val="18"/>
        </w:rPr>
        <w:t>Note 7, Debt</w:t>
      </w:r>
      <w:r>
        <w:rPr>
          <w:rFonts w:ascii="Roboto;sans-serif" w:hAnsi="Roboto;sans-serif"/>
          <w:b w:val="false"/>
          <w:color w:val="000000"/>
          <w:sz w:val="18"/>
        </w:rPr>
        <w:t xml:space="preserve">) at the Company’s option. We are also required to pay a quarterly commitment fee on the unused portion of the Revolving Facility, which accrues at a rate of 0.375% or 0.500% per annum depending on the Company’s First Lien Net Leverage Ratio (as defined in the Third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and Restated Credit Agreement). As of September 30, 2025, we had drawn the full amount of the Term Loan and had not drawn on the Revolving Facility, and we had $987.5 million total outstanding borrowings under the Third Amended and Restated Credit Agreement.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material subsidiaries of the Company if, at the end of future financial quarters, certain conditions are not met. The Third Amended and Restated Credit Agreement contains customary affirmative covenants as well as customary negative covenants.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are required to pledge or otherwise restrict a portion of cash and cash equivalents as collateral for standby letters of credit. As of September 30, 2025, we had outstanding letters of credit totaling $46.0 million, which are classified as Restricted cash on the Condensed Consolidated Balance Sheets.</w:t>
      </w:r>
    </w:p>
    <w:p>
      <w:pPr>
        <w:pStyle w:val="TextBody"/>
        <w:bidi w:val="0"/>
        <w:spacing w:lineRule="auto" w:line="288" w:before="0" w:after="240"/>
        <w:jc w:val="both"/>
        <w:rPr/>
      </w:pPr>
      <w:r>
        <w:rPr>
          <w:rFonts w:ascii="Roboto;sans-serif" w:hAnsi="Roboto;sans-serif"/>
          <w:b w:val="false"/>
          <w:color w:val="000000"/>
          <w:sz w:val="18"/>
        </w:rPr>
        <w:t xml:space="preserve">Refer to </w:t>
      </w:r>
      <w:r>
        <w:rPr>
          <w:rFonts w:ascii="Roboto;sans-serif" w:hAnsi="Roboto;sans-serif"/>
          <w:b w:val="false"/>
          <w:i/>
          <w:color w:val="000000"/>
          <w:sz w:val="18"/>
        </w:rPr>
        <w:t>Note 7, Debt</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 for further details regarding our debt obligations.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Contractual Obligations and Commitments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As of September 30, 2025, our contractual obligations were as follows:</w:t>
      </w:r>
    </w:p>
    <w:tbl>
      <w:tblPr>
        <w:tblW w:w="10205" w:type="dxa"/>
        <w:jc w:val="left"/>
        <w:tblInd w:w="0" w:type="dxa"/>
        <w:tblLayout w:type="fixed"/>
        <w:tblCellMar>
          <w:top w:w="28" w:type="dxa"/>
          <w:left w:w="28" w:type="dxa"/>
          <w:bottom w:w="28" w:type="dxa"/>
          <w:right w:w="28" w:type="dxa"/>
        </w:tblCellMar>
      </w:tblPr>
      <w:tblGrid>
        <w:gridCol w:w="1127"/>
        <w:gridCol w:w="993"/>
        <w:gridCol w:w="996"/>
        <w:gridCol w:w="226"/>
        <w:gridCol w:w="886"/>
        <w:gridCol w:w="109"/>
        <w:gridCol w:w="109"/>
        <w:gridCol w:w="109"/>
        <w:gridCol w:w="109"/>
        <w:gridCol w:w="237"/>
        <w:gridCol w:w="743"/>
        <w:gridCol w:w="116"/>
        <w:gridCol w:w="109"/>
        <w:gridCol w:w="109"/>
        <w:gridCol w:w="109"/>
        <w:gridCol w:w="226"/>
        <w:gridCol w:w="706"/>
        <w:gridCol w:w="109"/>
        <w:gridCol w:w="109"/>
        <w:gridCol w:w="109"/>
        <w:gridCol w:w="109"/>
        <w:gridCol w:w="226"/>
        <w:gridCol w:w="886"/>
        <w:gridCol w:w="109"/>
        <w:gridCol w:w="109"/>
        <w:gridCol w:w="109"/>
        <w:gridCol w:w="109"/>
        <w:gridCol w:w="249"/>
        <w:gridCol w:w="780"/>
        <w:gridCol w:w="173"/>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Payments due by period</w:t>
            </w:r>
          </w:p>
        </w:tc>
      </w:tr>
      <w:tr>
        <w:trPr/>
        <w:tc>
          <w:tcPr>
            <w:tcW w:w="3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Contractual obligations:</w:t>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More than</w:t>
            </w:r>
          </w:p>
        </w:tc>
      </w:tr>
      <w:tr>
        <w:trPr/>
        <w:tc>
          <w:tcPr>
            <w:tcW w:w="3116"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 year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5 years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Lease obligations </w:t>
            </w:r>
            <w:r>
              <w:rPr>
                <w:rFonts w:ascii="Roboto;sans-serif" w:hAnsi="Roboto;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Minimum royalty payments </w:t>
            </w:r>
            <w:r>
              <w:rPr>
                <w:rFonts w:ascii="Roboto;sans-serif" w:hAnsi="Roboto;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Unused credit facility fee payments </w:t>
            </w:r>
            <w:r>
              <w:rPr>
                <w:rFonts w:ascii="Roboto;sans-serif" w:hAnsi="Roboto;sans-serif"/>
                <w:b w:val="false"/>
                <w:color w:val="000000"/>
                <w:sz w:val="12"/>
              </w:rPr>
              <w:t>(3)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Other purchase obligations </w:t>
            </w:r>
            <w:r>
              <w:rPr>
                <w:rFonts w:ascii="Roboto;sans-serif" w:hAnsi="Roboto;sans-serif"/>
                <w:b w:val="false"/>
                <w:color w:val="000000"/>
                <w:sz w:val="12"/>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Convertible senior notes </w:t>
            </w:r>
            <w:r>
              <w:rPr>
                <w:rFonts w:ascii="Roboto;sans-serif" w:hAnsi="Roboto;sans-serif"/>
                <w:b w:val="false"/>
                <w:color w:val="000000"/>
                <w:sz w:val="12"/>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Term loan </w:t>
            </w:r>
            <w:r>
              <w:rPr>
                <w:rFonts w:ascii="Roboto;sans-serif" w:hAnsi="Roboto;sans-serif"/>
                <w:b w:val="false"/>
                <w:color w:val="000000"/>
                <w:sz w:val="12"/>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255.8 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0" w:after="60"/>
        <w:jc w:val="both"/>
        <w:rPr>
          <w:rFonts w:ascii="Roboto;sans-serif" w:hAnsi="Roboto;sans-serif"/>
          <w:b w:val="false"/>
          <w:color w:val="050505"/>
          <w:sz w:val="14"/>
        </w:rPr>
      </w:pPr>
      <w:r>
        <w:rPr>
          <w:rFonts w:ascii="Roboto;sans-serif" w:hAnsi="Roboto;sans-serif"/>
          <w:b w:val="false"/>
          <w:color w:val="050505"/>
          <w:sz w:val="14"/>
        </w:rPr>
        <w:t xml:space="preserve">(1) Lease obligations relate to our office space, warehouses, production studios, retail locations, and equipment. The original lease terms are between one and 21 years, and the majority of the lease agreements are renewable at the end of the lease period. </w:t>
      </w:r>
    </w:p>
    <w:p>
      <w:pPr>
        <w:pStyle w:val="TextBody"/>
        <w:bidi w:val="0"/>
        <w:spacing w:lineRule="auto" w:line="288" w:before="0" w:after="60"/>
        <w:jc w:val="both"/>
        <w:rPr/>
      </w:pPr>
      <w:r>
        <w:rPr>
          <w:rFonts w:ascii="Roboto;sans-serif" w:hAnsi="Roboto;sans-serif"/>
          <w:b w:val="false"/>
          <w:color w:val="050505"/>
          <w:sz w:val="14"/>
        </w:rPr>
        <w:t xml:space="preserve">(2) We are subject to minimum royalty payments associated with our license agreements for the use of licensed content. See </w:t>
      </w:r>
      <w:r>
        <w:rPr>
          <w:color w:val="050505"/>
        </w:rPr>
        <w:t>“</w:t>
      </w:r>
      <w:r>
        <w:rPr>
          <w:rFonts w:ascii="Roboto;sans-serif" w:hAnsi="Roboto;sans-serif"/>
          <w:b w:val="false"/>
          <w:i/>
          <w:color w:val="050505"/>
          <w:sz w:val="14"/>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color w:val="000000"/>
        </w:rPr>
        <w:t xml:space="preserve">” </w:t>
      </w:r>
      <w:r>
        <w:rPr>
          <w:rFonts w:ascii="Roboto;sans-serif" w:hAnsi="Roboto;sans-serif"/>
          <w:b w:val="false"/>
          <w:color w:val="000000"/>
          <w:sz w:val="14"/>
        </w:rPr>
        <w:t>in our Form 10-K.</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(3) Pursuant to the Third Amended and Restated Credit Agreement, we are required to pay a commitment fee of 0.500% or 0.375% per annum, depending on whether the First Lien Net Leverage Ratio (as defined in the Third Amended and Restated Credit Agreement) is greater or less than 5.00 to 1.00, on a quarterly basis based on the unused portion of the Revolving Facility. The payments due by period in the table above are reflective of the rate as of September 30, 2025, which is 0.375%.</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Other purchase obligations include all other non-cancelable contractual obligations. These contracts are primarily related to cloud computing costs.</w:t>
      </w:r>
    </w:p>
    <w:p>
      <w:pPr>
        <w:pStyle w:val="TextBody"/>
        <w:bidi w:val="0"/>
        <w:spacing w:lineRule="auto" w:line="288" w:before="0" w:after="0"/>
        <w:jc w:val="both"/>
        <w:rPr/>
      </w:pPr>
      <w:r>
        <w:rPr>
          <w:rFonts w:ascii="Roboto;sans-serif" w:hAnsi="Roboto;sans-serif"/>
          <w:b w:val="false"/>
          <w:color w:val="000000"/>
          <w:sz w:val="14"/>
        </w:rPr>
        <w:t xml:space="preserve">(5) Refer to </w:t>
      </w:r>
      <w:r>
        <w:rPr>
          <w:rFonts w:ascii="Roboto;sans-serif" w:hAnsi="Roboto;sans-serif"/>
          <w:b w:val="false"/>
          <w:i/>
          <w:color w:val="000000"/>
          <w:sz w:val="14"/>
        </w:rPr>
        <w:t>Note 7, Debt</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 for further details regarding our 2026 Notes, 2029 Notes and Term Loan obligations.</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non-cancelable, non-returnable components based on our provided forecasts. </w:t>
      </w:r>
    </w:p>
    <w:p>
      <w:pPr>
        <w:pStyle w:val="TextBody"/>
        <w:bidi w:val="0"/>
        <w:spacing w:lineRule="auto" w:line="288" w:before="0" w:after="240"/>
        <w:jc w:val="both"/>
        <w:rPr/>
      </w:pPr>
      <w:r>
        <w:rPr>
          <w:rFonts w:ascii="Roboto;sans-serif" w:hAnsi="Roboto;sans-serif"/>
          <w:b w:val="false"/>
          <w:color w:val="000000"/>
          <w:sz w:val="18"/>
        </w:rPr>
        <w:t xml:space="preserve">As of September 30, 2025, our commitments to contract with third-party manufacturers for their inventory on-hand and component purchase commitments related to the manufacture of our products were estimated to be approximately $82.7 million. See </w:t>
      </w:r>
      <w:r>
        <w:rPr>
          <w:color w:val="000000"/>
        </w:rPr>
        <w:t>“</w:t>
      </w:r>
      <w:r>
        <w:rPr>
          <w:rFonts w:ascii="Roboto;sans-serif" w:hAnsi="Roboto;sans-serif"/>
          <w:b w:val="false"/>
          <w:i/>
          <w:color w:val="000000"/>
          <w:sz w:val="18"/>
        </w:rPr>
        <w:t>Risk Factors—Risks Related to Our Business—Our operating results have been, and could in the future be, adversely affected if we are unable to accurately forecast consumer demand for our products and services and adequately manage our inventory</w:t>
      </w:r>
      <w:r>
        <w:rPr>
          <w:color w:val="000000"/>
        </w:rPr>
        <w:t xml:space="preserve">” </w:t>
      </w:r>
      <w:r>
        <w:rPr>
          <w:rFonts w:ascii="Roboto;sans-serif" w:hAnsi="Roboto;sans-serif"/>
          <w:b w:val="false"/>
          <w:color w:val="000000"/>
          <w:sz w:val="18"/>
        </w:rPr>
        <w:t>in our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Off-Balance Sheet Arrangements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did not have any undisclosed off-balance sheet arrangements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Critical Accounting Estimates</w:t>
      </w:r>
    </w:p>
    <w:p>
      <w:pPr>
        <w:pStyle w:val="TextBody"/>
        <w:bidi w:val="0"/>
        <w:spacing w:lineRule="auto" w:line="288" w:before="0" w:after="0"/>
        <w:jc w:val="both"/>
        <w:rPr/>
      </w:pPr>
      <w:r>
        <w:rPr>
          <w:rFonts w:ascii="Roboto;sans-serif" w:hAnsi="Roboto;sans-serif"/>
          <w:b w:val="false"/>
          <w:color w:val="000000"/>
          <w:sz w:val="18"/>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color w:val="000000"/>
        </w:rPr>
        <w:t>“</w:t>
      </w:r>
      <w:r>
        <w:rPr>
          <w:rFonts w:ascii="Roboto;sans-serif" w:hAnsi="Roboto;sans-serif"/>
          <w:b w:val="false"/>
          <w:i/>
          <w:color w:val="000000"/>
          <w:sz w:val="18"/>
        </w:rPr>
        <w:t>Management's Discussion and Analysis of Financial Condition and Results of Operations—Critical Accounting Estimates”</w:t>
      </w:r>
      <w:r>
        <w:rPr>
          <w:color w:val="000000"/>
        </w:rPr>
        <w:t xml:space="preserve"> </w:t>
      </w:r>
      <w:r>
        <w:rPr>
          <w:rFonts w:ascii="Roboto;sans-serif" w:hAnsi="Roboto;sans-serif"/>
          <w:b w:val="false"/>
          <w:color w:val="000000"/>
          <w:sz w:val="18"/>
        </w:rPr>
        <w:t>in Part II, Item 7 of our Form 10-K. There have been no material changes to our critical accounting estimates as described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Recent Accounting Pronouncements</w:t>
      </w:r>
    </w:p>
    <w:p>
      <w:pPr>
        <w:pStyle w:val="TextBody"/>
        <w:bidi w:val="0"/>
        <w:spacing w:lineRule="auto" w:line="288" w:before="0" w:after="0"/>
        <w:jc w:val="both"/>
        <w:rPr/>
      </w:pPr>
      <w:r>
        <w:rPr>
          <w:rFonts w:ascii="Roboto;sans-serif" w:hAnsi="Roboto;sans-serif"/>
          <w:b w:val="false"/>
          <w:color w:val="000000"/>
          <w:sz w:val="18"/>
        </w:rPr>
        <w:t xml:space="preserve">See </w:t>
      </w:r>
      <w:r>
        <w:rPr>
          <w:rFonts w:ascii="Roboto;sans-serif" w:hAnsi="Roboto;sans-serif"/>
          <w:b w:val="false"/>
          <w:i/>
          <w:color w:val="000000"/>
          <w:sz w:val="18"/>
        </w:rPr>
        <w:t>Note 2, Summary of Significant Accounting Policies</w:t>
      </w:r>
      <w:r>
        <w:rPr>
          <w:color w:val="000000"/>
        </w:rPr>
        <w:t xml:space="preserve"> </w:t>
      </w:r>
      <w:r>
        <w:rPr>
          <w:rFonts w:ascii="Roboto;sans-serif" w:hAnsi="Roboto;sans-serif"/>
          <w:b w:val="false"/>
          <w:color w:val="000000"/>
          <w:sz w:val="18"/>
        </w:rPr>
        <w:t xml:space="preserve">in the Notes to Condensed Consolidated Financial Statements in Part I, Item 1 of this Quarterly Report on Form 10-Q under the heading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for a discussion about new accounting pronouncements adopted and not yet adopted as of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3. Quantitative and Qualitative Disclosures About Market Risk</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Interest Rate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had Cash and cash equivalents of $1,103.6 million as of September 30, 2025.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are primarily exposed to changes in short-term interest rates with respect to our cost of borrowing under our Term Loan. We monitor our cost of borrowing under our facilities, taking into account our funding requirements, and our expectations for short-term rates in the future. A hypothetical 10% change in the interest rate on our Term Loan for all periods presented would not have a material impact on our condensed consolidated financial statements.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Inflation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result of inflationary conditions, there have been and may continue to be additional pressures on the ongoing increases in supply chain and logistics costs, materials costs, and labor costs. The effect of U.S. and global tariffs may spur inflationary conditions and create further pressures on costs.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tariffs, or economic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4. Controls and Procedures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Evaluation of Disclosure Controls and Procedures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Under the supervision of our Chief Executive Officer and Chief Financial Officer, we evaluated the effectiveness of our disclosure controls and procedures (as defined in Rules 13a-15(e) and 15d-15(e) under the Exchange Act) as of September 30, 2025. Based on this evaluation, our Chief Executive Officer and Chief Financial Officer concluded that, as of September 30, 2025, our disclosure controls and procedures were effective to provide reasonable assurance that information required to be disclosed in the reports we file and submit under the Exchange Act is recorded, processed, summarized, and reported as and when required, and that such information is accumulated and communicated to our management, including our Chief Executive Officer and Chief Financial Officer, to allow timely decisions regarding its required disclosure.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Changes in Internal Control over Financial Reporting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Limitations on the Effectiveness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Roboto;sans-serif" w:hAnsi="Roboto;sans-serif"/>
          <w:b/>
          <w:color w:val="000000"/>
          <w:sz w:val="18"/>
        </w:rPr>
      </w:pPr>
      <w:r>
        <w:rPr>
          <w:rFonts w:ascii="Roboto;sans-serif" w:hAnsi="Roboto;sans-serif"/>
          <w:b/>
          <w:color w:val="000000"/>
          <w:sz w:val="18"/>
        </w:rPr>
        <w:t>Item 1. Legal Proceedings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From time to time, we may be involved in claims and proceedings arising in the ordinary course of our business. The outcome of any such claims or proceedings, regardless of the merits, is inherently uncertain.</w:t>
      </w:r>
    </w:p>
    <w:p>
      <w:pPr>
        <w:pStyle w:val="TextBody"/>
        <w:bidi w:val="0"/>
        <w:spacing w:lineRule="auto" w:line="288" w:before="0" w:after="240"/>
        <w:jc w:val="both"/>
        <w:rPr/>
      </w:pPr>
      <w:r>
        <w:rPr>
          <w:rFonts w:ascii="Roboto;sans-serif" w:hAnsi="Roboto;sans-serif"/>
          <w:b w:val="false"/>
          <w:color w:val="000000"/>
          <w:sz w:val="18"/>
        </w:rPr>
        <w:t xml:space="preserve">For a discussion of legal and other proceedings in which we are involved, see </w:t>
      </w:r>
      <w:r>
        <w:rPr>
          <w:rFonts w:ascii="Roboto;sans-serif" w:hAnsi="Roboto;sans-serif"/>
          <w:b w:val="false"/>
          <w:i/>
          <w:color w:val="000000"/>
          <w:sz w:val="18"/>
        </w:rPr>
        <w:t>Note 8, Commitments and Contingencies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1A. Risk Factors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There have been no material changes to the risks disclosed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Unregistered Sales of Equity Securities and Use of Proceeds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3. Defaults Upon Senior Securities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4. Mine Safety Disclosures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5. Other Information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Rule 10b5-1 Trading Plans</w:t>
      </w:r>
    </w:p>
    <w:p>
      <w:pPr>
        <w:pStyle w:val="TextBody"/>
        <w:bidi w:val="0"/>
        <w:spacing w:lineRule="auto" w:line="276"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On August 13, 2025, Karen Boone, a member of our Board of Directors, entered into a pre-arranged stock trading plan intended to satisfy the affirmative defense of Rule 10b5-1(c) under the Exchange Act (a “Rule 10b5-1 Plan”). Ms. Boone’s Rule 10b5-1 Plan provides for the potential sale of up to an aggregate of 50,000 shares of Class A common stock.</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On September 2, 2025, Saqib Baig, our Chief Accounting Officer, entered into a Rule 10b5-1 Plan. Mr. Baig’s Rule 10b5-1 Plan provides for the potential sale of up to an aggregate of (i) 120,000 shares of Class A common stock and (ii) 225,385 shares of Class A common stock upon the vesting of certain restricted stock units (“RSUs”), in each case vesting between February 15, 2026 and November 15, 2026. Each RSU represents a contingent right to receive one share of Class A common stock.</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On September 5, 2025, Nick Caldwell, our Chief Product Officer, terminated a Rule 10b5-1 Plan dated December 6, 2024 and entered into a new Rule 10b5-1 Plan. Mr. Caldwell’s Rule 10b5-1 Plan provides for the potential sale of up to an aggregate of (i) 180,000 shares of Class A common stock and (ii) 1,056,031 shares of Class A common stock upon the vesting of certain RSUs, in each case vesting between September 15, 2025 and September 15, 2026. Each RSU represents a contingent right to receive one share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517"/>
        <w:gridCol w:w="1420"/>
        <w:gridCol w:w="1433"/>
        <w:gridCol w:w="233"/>
        <w:gridCol w:w="233"/>
        <w:gridCol w:w="177"/>
        <w:gridCol w:w="306"/>
        <w:gridCol w:w="306"/>
        <w:gridCol w:w="172"/>
        <w:gridCol w:w="275"/>
        <w:gridCol w:w="275"/>
        <w:gridCol w:w="276"/>
        <w:gridCol w:w="263"/>
        <w:gridCol w:w="263"/>
        <w:gridCol w:w="250"/>
        <w:gridCol w:w="446"/>
        <w:gridCol w:w="446"/>
        <w:gridCol w:w="64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12"/>
            <w:tcBorders/>
            <w:shd w:fill="FEFEFE"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Incorporated by Reference</w:t>
            </w:r>
          </w:p>
        </w:tc>
        <w:tc>
          <w:tcPr>
            <w:tcW w:w="1533" w:type="dxa"/>
            <w:gridSpan w:val="3"/>
            <w:vMerge w:val="restart"/>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Filed or Furnished Herewith</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br/>
              <w:t>Number</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 Title</w:t>
            </w:r>
          </w:p>
        </w:tc>
        <w:tc>
          <w:tcPr>
            <w:tcW w:w="643"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Form</w:t>
            </w:r>
          </w:p>
        </w:tc>
        <w:tc>
          <w:tcPr>
            <w:tcW w:w="78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 No.</w:t>
            </w:r>
          </w:p>
        </w:tc>
        <w:tc>
          <w:tcPr>
            <w:tcW w:w="82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r>
          </w:p>
        </w:tc>
        <w:tc>
          <w:tcPr>
            <w:tcW w:w="7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Filing Date</w:t>
            </w:r>
          </w:p>
        </w:tc>
        <w:tc>
          <w:tcPr>
            <w:tcW w:w="1533" w:type="dxa"/>
            <w:gridSpan w:val="3"/>
            <w:vMerge w:val="continue"/>
            <w:tcBorders/>
            <w:shd w:fill="FEFEFE" w:val="clear"/>
            <w:tcMar>
              <w:top w:w="0" w:type="dxa"/>
              <w:left w:w="0" w:type="dxa"/>
              <w:bottom w:w="0" w:type="dxa"/>
              <w:right w:w="0" w:type="dxa"/>
            </w:tcMar>
            <w:vAlign w:val="center"/>
          </w:tcPr>
          <w:p>
            <w:pPr>
              <w:pStyle w:val="Normal"/>
              <w:bidi w:val="0"/>
              <w:jc w:val="left"/>
              <w:rPr/>
            </w:pPr>
            <w:r>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Roboto;sans-serif" w:hAnsi="Roboto;sans-serif"/>
                  <w:b w:val="false"/>
                  <w:color w:val="0000FF"/>
                  <w:sz w:val="18"/>
                  <w:u w:val="single"/>
                </w:rPr>
                <w:t xml:space="preserve">Restated Certificate of Incorporation. </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10-Q</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11/06/2019</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Roboto;sans-serif" w:hAnsi="Roboto;sans-serif"/>
                  <w:b w:val="false"/>
                  <w:color w:val="0000FF"/>
                  <w:sz w:val="18"/>
                  <w:u w:val="single"/>
                </w:rPr>
                <w:t>Second Amended and Restated Bylaws.</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04/08/2024</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Roboto;sans-serif" w:hAnsi="Roboto;sans-serif"/>
                  <w:b w:val="false"/>
                  <w:color w:val="0000FF"/>
                  <w:sz w:val="18"/>
                  <w:u w:val="single"/>
                </w:rPr>
                <w:t>Form of Letter Agreement.</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09/16/2025</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1fy2610-qexhibit311.htm">
              <w:r>
                <w:rPr>
                  <w:rStyle w:val="InternetLink"/>
                  <w:rFonts w:ascii="Roboto;sans-serif" w:hAnsi="Roboto;sans-serif"/>
                  <w:b w:val="false"/>
                  <w:color w:val="0000FF"/>
                  <w:sz w:val="18"/>
                  <w:u w:val="single"/>
                </w:rPr>
                <w:t>Certification of Principal Executive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1fy2610-qexhibit312.htm">
              <w:r>
                <w:rPr>
                  <w:rStyle w:val="InternetLink"/>
                  <w:rFonts w:ascii="Roboto;sans-serif" w:hAnsi="Roboto;sans-serif"/>
                  <w:b w:val="false"/>
                  <w:color w:val="0000FF"/>
                  <w:sz w:val="18"/>
                  <w:u w:val="single"/>
                </w:rPr>
                <w:t>Certification of Principal Financial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1fy2610-qexhibit321.htm">
              <w:r>
                <w:rPr>
                  <w:rStyle w:val="InternetLink"/>
                  <w:rFonts w:ascii="Roboto;sans-serif" w:hAnsi="Roboto;sans-serif"/>
                  <w:b w:val="false"/>
                  <w:color w:val="0000FF"/>
                  <w:sz w:val="18"/>
                  <w:u w:val="single"/>
                </w:rPr>
                <w:t>Certification of Principal Executive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1fy2610-qexhibit322.htm">
              <w:r>
                <w:rPr>
                  <w:rStyle w:val="InternetLink"/>
                  <w:rFonts w:ascii="Roboto;sans-serif" w:hAnsi="Roboto;sans-serif"/>
                  <w:b w:val="false"/>
                  <w:color w:val="0000FF"/>
                  <w:sz w:val="18"/>
                  <w:u w:val="single"/>
                </w:rPr>
                <w:t>Certification of Principal Financial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Instance Document - the instance document does not appear in the Interactive Data File because its XBRL tags are embedded within the Inline XBRL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Cover Page Interactive Data File (formatted in iXBRL and contained in Exhibit 101).</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bl>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 Filed herewith.</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XX Furnished herewith.</w:t>
      </w:r>
    </w:p>
    <w:p>
      <w:pPr>
        <w:pStyle w:val="TextBody"/>
        <w:bidi w:val="0"/>
        <w:spacing w:lineRule="auto" w:line="276" w:before="0" w:after="0"/>
        <w:jc w:val="left"/>
        <w:rPr>
          <w:color w:val="000000"/>
        </w:rPr>
      </w:pPr>
      <w:r>
        <w:rPr>
          <w:color w:val="000000"/>
        </w:rPr>
        <w:t xml:space="preserve">† </w:t>
      </w:r>
      <w:r>
        <w:rPr>
          <w:rFonts w:ascii="Roboto;sans-serif" w:hAnsi="Roboto;sans-serif"/>
          <w:b w:val="false"/>
          <w:color w:val="000000"/>
          <w:sz w:val="18"/>
        </w:rPr>
        <w:t>Indicates a management contract or compensatory plan or arrangement in which directors or executive officers are eligible to participate.</w:t>
      </w:r>
    </w:p>
    <w:p>
      <w:pPr>
        <w:pStyle w:val="TextBody"/>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39</w:t>
                      </w:r>
                    </w:p>
                  </w:txbxContent>
                </v:textbox>
                <w10:wrap type="none"/>
              </v:rect>
            </w:pict>
          </mc:Fallback>
        </mc:AlternateContent>
      </w:r>
    </w:p>
    <w:p>
      <w:pPr>
        <w:pStyle w:val="TextBody"/>
        <w:bidi w:val="0"/>
        <w:spacing w:lineRule="auto" w:line="288" w:before="225" w:after="283"/>
        <w:jc w:val="left"/>
        <w:rPr/>
      </w:pPr>
      <w:hyperlink w:anchor="i9f50c69738c246ee9a166075a0c8bdaa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SIGNATURES</w:t>
      </w:r>
    </w:p>
    <w:p>
      <w:pPr>
        <w:pStyle w:val="TextBody"/>
        <w:bidi w:val="0"/>
        <w:spacing w:lineRule="auto" w:line="276" w:before="240" w:after="283"/>
        <w:ind w:left="0" w:right="0" w:firstLine="720"/>
        <w:jc w:val="both"/>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w:t>
      </w:r>
    </w:p>
    <w:tbl>
      <w:tblPr>
        <w:tblW w:w="6441" w:type="dxa"/>
        <w:jc w:val="left"/>
        <w:tblInd w:w="0" w:type="dxa"/>
        <w:tblLayout w:type="fixed"/>
        <w:tblCellMar>
          <w:top w:w="28" w:type="dxa"/>
          <w:left w:w="28" w:type="dxa"/>
          <w:bottom w:w="28" w:type="dxa"/>
          <w:right w:w="28" w:type="dxa"/>
        </w:tblCellMar>
      </w:tblPr>
      <w:tblGrid>
        <w:gridCol w:w="856"/>
        <w:gridCol w:w="753"/>
        <w:gridCol w:w="761"/>
        <w:gridCol w:w="467"/>
        <w:gridCol w:w="467"/>
        <w:gridCol w:w="467"/>
        <w:gridCol w:w="780"/>
        <w:gridCol w:w="780"/>
        <w:gridCol w:w="1110"/>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6"/>
            <w:tcBorders/>
            <w:tcMar>
              <w:top w:w="0" w:type="dxa"/>
              <w:left w:w="0" w:type="dxa"/>
              <w:bottom w:w="0" w:type="dxa"/>
              <w:right w:w="0" w:type="dxa"/>
            </w:tcMar>
            <w:vAlign w:val="center"/>
          </w:tcPr>
          <w:p>
            <w:pPr>
              <w:pStyle w:val="TableContents"/>
              <w:bidi w:val="0"/>
              <w:spacing w:lineRule="auto" w:line="276" w:before="0" w:after="283"/>
              <w:jc w:val="left"/>
              <w:rPr/>
            </w:pPr>
            <w:r>
              <w:rPr>
                <w:rFonts w:ascii="Roboto;sans-serif" w:hAnsi="Roboto;sans-serif"/>
                <w:b/>
                <w:color w:val="000000"/>
                <w:sz w:val="18"/>
              </w:rPr>
              <w:t>PELOTON INTERACTIVE, INC.</w:t>
              <w:br/>
            </w:r>
            <w:r>
              <w:rPr>
                <w:rFonts w:ascii="Roboto;sans-serif" w:hAnsi="Roboto;sans-serif"/>
                <w:b/>
                <w:sz w:val="18"/>
              </w:rPr>
              <w:br/>
              <w:br/>
              <w:b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November 6, 2025</w:t>
            </w:r>
          </w:p>
        </w:tc>
        <w:tc>
          <w:tcPr>
            <w:tcW w:w="14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 Peter Stern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Peter Stern</w:t>
              <w:br/>
              <w:t>Chief Executive Officer</w:t>
              <w:br/>
              <w:t>(Principal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November 6, 2025</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Elizabeth F Coddington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Elizabeth F Coddington</w:t>
              <w:br/>
              <w:t>Chief Financial Officer</w:t>
              <w:b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November 6,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November 6,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Chief Executive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September 30, 2025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November 6,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Chief Financial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September 30, 2025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November 6,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825/000163982519000018/exhibit31restatedcertifi.htm" TargetMode="External"/><Relationship Id="rId3" Type="http://schemas.openxmlformats.org/officeDocument/2006/relationships/hyperlink" Target="https://www.sec.gov/ix?doc=/Archives/edgar/data/0001639825/000163982524000041/pton-secondamendedandresta.htm" TargetMode="External"/><Relationship Id="rId4" Type="http://schemas.openxmlformats.org/officeDocument/2006/relationships/hyperlink" Target="https://www.sec.gov/Archives/edgar/data/1639825/000163982525000173/formofletteragreemen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24194</Words>
  <Characters>135758</Characters>
  <CharactersWithSpaces>158507</CharactersWithSpaces>
  <Paragraphs>2237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