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143510</wp:posOffset>
            </wp:positionH>
            <wp:positionV relativeFrom="page">
              <wp:posOffset>527050</wp:posOffset>
            </wp:positionV>
            <wp:extent cx="72675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page">
              <wp:posOffset>143510</wp:posOffset>
            </wp:positionH>
            <wp:positionV relativeFrom="page">
              <wp:posOffset>547370</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t>UNITED STATES</w:t>
      </w: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6" w:lineRule="exact"/>
        <w:rPr>
          <w:sz w:val="24"/>
          <w:szCs w:val="24"/>
          <w:color w:val="auto"/>
        </w:rPr>
      </w:pPr>
    </w:p>
    <w:p>
      <w:pPr>
        <w:ind w:left="360" w:hanging="262"/>
        <w:spacing w:after="0"/>
        <w:tabs>
          <w:tab w:leader="none" w:pos="3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2019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257" w:lineRule="exact"/>
        <w:rPr>
          <w:sz w:val="24"/>
          <w:szCs w:val="24"/>
          <w:color w:val="auto"/>
        </w:rPr>
      </w:pPr>
    </w:p>
    <w:p>
      <w:pPr>
        <w:ind w:left="360" w:hanging="262"/>
        <w:spacing w:after="0"/>
        <w:tabs>
          <w:tab w:leader="none" w:pos="3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980" w:type="dxa"/>
            <w:vAlign w:val="bottom"/>
            <w:gridSpan w:val="4"/>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980" w:type="dxa"/>
            <w:vAlign w:val="bottom"/>
            <w:gridSpan w:val="4"/>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Commission File Number: 001-39058</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980" w:type="dxa"/>
            <w:vAlign w:val="bottom"/>
            <w:gridSpan w:val="4"/>
          </w:tcPr>
          <w:p>
            <w:pPr>
              <w:jc w:val="center"/>
              <w:ind w:left="1"/>
              <w:spacing w:after="0"/>
              <w:rPr>
                <w:sz w:val="20"/>
                <w:szCs w:val="20"/>
                <w:color w:val="auto"/>
              </w:rPr>
            </w:pPr>
            <w:r>
              <w:rPr>
                <w:rFonts w:ascii="Times New Roman" w:cs="Times New Roman" w:eastAsia="Times New Roman" w:hAnsi="Times New Roman"/>
                <w:sz w:val="26"/>
                <w:szCs w:val="26"/>
                <w:b w:val="1"/>
                <w:bCs w:val="1"/>
                <w:color w:val="auto"/>
                <w:w w:val="99"/>
              </w:rPr>
              <w:t>Peloton Interactive, Inc.</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80" w:type="dxa"/>
            <w:vAlign w:val="bottom"/>
          </w:tcPr>
          <w:p>
            <w:pPr>
              <w:spacing w:after="0"/>
              <w:rPr>
                <w:sz w:val="19"/>
                <w:szCs w:val="19"/>
                <w:color w:val="auto"/>
              </w:rPr>
            </w:pPr>
          </w:p>
        </w:tc>
        <w:tc>
          <w:tcPr>
            <w:tcW w:w="10160" w:type="dxa"/>
            <w:vAlign w:val="bottom"/>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5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47-3533761</w:t>
            </w: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35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3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i w:val="1"/>
                <w:iCs w:val="1"/>
                <w:color w:val="auto"/>
              </w:rPr>
              <w:t>(State or other jurisdiction of</w:t>
            </w:r>
          </w:p>
        </w:tc>
        <w:tc>
          <w:tcPr>
            <w:tcW w:w="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i w:val="1"/>
                <w:iCs w:val="1"/>
                <w:color w:val="auto"/>
              </w:rPr>
              <w:t>(I.R.S. Employer</w:t>
            </w: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rPr>
              <w:t>incorporation or organization)</w:t>
            </w: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rPr>
              <w:t>Identification No.)</w:t>
            </w: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125 West 25th Street, 11th Floor</w:t>
            </w:r>
          </w:p>
        </w:tc>
        <w:tc>
          <w:tcPr>
            <w:tcW w:w="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10001</w:t>
            </w: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New York, New York</w:t>
            </w: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rPr>
              <w:t>(Zip Code)</w:t>
            </w: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rPr>
              <w:t>(Address of principal executive offices)</w:t>
            </w: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60" w:type="dxa"/>
            <w:vAlign w:val="bottom"/>
            <w:gridSpan w:val="2"/>
          </w:tcPr>
          <w:p>
            <w:pPr>
              <w:jc w:val="center"/>
              <w:ind w:left="821"/>
              <w:spacing w:after="0" w:line="149" w:lineRule="exact"/>
              <w:rPr>
                <w:sz w:val="20"/>
                <w:szCs w:val="20"/>
                <w:color w:val="auto"/>
              </w:rPr>
            </w:pPr>
            <w:r>
              <w:rPr>
                <w:rFonts w:ascii="Times New Roman" w:cs="Times New Roman" w:eastAsia="Times New Roman" w:hAnsi="Times New Roman"/>
                <w:sz w:val="14"/>
                <w:szCs w:val="14"/>
                <w:b w:val="1"/>
                <w:bCs w:val="1"/>
                <w:color w:val="auto"/>
              </w:rPr>
              <w:t>(866) 679-9129</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1"/>
                <w:szCs w:val="11"/>
                <w:i w:val="1"/>
                <w:iCs w:val="1"/>
                <w:color w:val="auto"/>
              </w:rPr>
              <w:t>(Registrant's telephone number, including area code)</w:t>
            </w:r>
          </w:p>
        </w:tc>
        <w:tc>
          <w:tcPr>
            <w:tcW w:w="3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7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2"/>
        </w:trPr>
        <w:tc>
          <w:tcPr>
            <w:tcW w:w="42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80" w:type="dxa"/>
            <w:vAlign w:val="bottom"/>
            <w:tcBorders>
              <w:right w:val="single" w:sz="8" w:color="auto"/>
            </w:tcBorders>
          </w:tcPr>
          <w:p>
            <w:pPr>
              <w:spacing w:after="0"/>
              <w:rPr>
                <w:sz w:val="16"/>
                <w:szCs w:val="16"/>
                <w:color w:val="auto"/>
              </w:rPr>
            </w:pPr>
          </w:p>
        </w:tc>
        <w:tc>
          <w:tcPr>
            <w:tcW w:w="3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1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jc w:val="center"/>
              <w:ind w:right="774"/>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23"/>
        </w:trPr>
        <w:tc>
          <w:tcPr>
            <w:tcW w:w="680" w:type="dxa"/>
            <w:vAlign w:val="bottom"/>
            <w:tcBorders>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80" w:type="dxa"/>
            <w:vAlign w:val="bottom"/>
            <w:tcBorders>
              <w:right w:val="single" w:sz="8" w:color="auto"/>
            </w:tcBorders>
          </w:tcPr>
          <w:p>
            <w:pPr>
              <w:spacing w:after="0"/>
              <w:rPr>
                <w:sz w:val="15"/>
                <w:szCs w:val="15"/>
                <w:color w:val="auto"/>
              </w:rPr>
            </w:pP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$0.000025 par value per share</w:t>
            </w:r>
          </w:p>
        </w:tc>
        <w:tc>
          <w:tcPr>
            <w:tcW w:w="700" w:type="dxa"/>
            <w:vAlign w:val="bottom"/>
          </w:tcPr>
          <w:p>
            <w:pPr>
              <w:spacing w:after="0"/>
              <w:rPr>
                <w:sz w:val="15"/>
                <w:szCs w:val="15"/>
                <w:color w:val="auto"/>
              </w:rPr>
            </w:pPr>
          </w:p>
        </w:tc>
        <w:tc>
          <w:tcPr>
            <w:tcW w:w="1460" w:type="dxa"/>
            <w:vAlign w:val="bottom"/>
            <w:tcBorders>
              <w:right w:val="single" w:sz="8" w:color="auto"/>
            </w:tcBorders>
          </w:tcPr>
          <w:p>
            <w:pPr>
              <w:jc w:val="center"/>
              <w:ind w:right="648"/>
              <w:spacing w:after="0"/>
              <w:rPr>
                <w:sz w:val="20"/>
                <w:szCs w:val="20"/>
                <w:color w:val="auto"/>
              </w:rPr>
            </w:pPr>
            <w:r>
              <w:rPr>
                <w:rFonts w:ascii="Times New Roman" w:cs="Times New Roman" w:eastAsia="Times New Roman" w:hAnsi="Times New Roman"/>
                <w:sz w:val="14"/>
                <w:szCs w:val="14"/>
                <w:color w:val="auto"/>
              </w:rPr>
              <w:t>PTON</w:t>
            </w:r>
          </w:p>
        </w:tc>
        <w:tc>
          <w:tcPr>
            <w:tcW w:w="820" w:type="dxa"/>
            <w:vAlign w:val="bottom"/>
            <w:gridSpan w:val="2"/>
          </w:tcPr>
          <w:p>
            <w:pPr>
              <w:spacing w:after="0"/>
              <w:rPr>
                <w:sz w:val="15"/>
                <w:szCs w:val="15"/>
                <w:color w:val="auto"/>
              </w:rPr>
            </w:pPr>
          </w:p>
        </w:tc>
        <w:tc>
          <w:tcPr>
            <w:tcW w:w="3660" w:type="dxa"/>
            <w:vAlign w:val="bottom"/>
            <w:tcBorders>
              <w:right w:val="single" w:sz="8" w:color="auto"/>
            </w:tcBorders>
          </w:tcPr>
          <w:p>
            <w:pPr>
              <w:jc w:val="center"/>
              <w:ind w:right="774"/>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3"/>
        </w:trPr>
        <w:tc>
          <w:tcPr>
            <w:tcW w:w="680" w:type="dxa"/>
            <w:vAlign w:val="bottom"/>
            <w:tcBorders>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5" w:lineRule="exact"/>
        <w:rPr>
          <w:sz w:val="24"/>
          <w:szCs w:val="24"/>
          <w:color w:val="auto"/>
        </w:rPr>
      </w:pPr>
    </w:p>
    <w:p>
      <w:pPr>
        <w:ind w:right="38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229" w:lineRule="exact"/>
        <w:rPr>
          <w:sz w:val="24"/>
          <w:szCs w:val="24"/>
          <w:color w:val="auto"/>
        </w:rPr>
      </w:pPr>
    </w:p>
    <w:p>
      <w:pPr>
        <w:ind w:right="32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229"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1700" w:type="dxa"/>
        <w:tblCellMar>
          <w:top w:w="0" w:type="dxa"/>
          <w:left w:w="0" w:type="dxa"/>
          <w:bottom w:w="0" w:type="dxa"/>
          <w:right w:w="0" w:type="dxa"/>
        </w:tblCellMar>
      </w:tblPr>
      <w:tr>
        <w:trPr>
          <w:trHeight w:val="194"/>
        </w:trPr>
        <w:tc>
          <w:tcPr>
            <w:tcW w:w="2000" w:type="dxa"/>
            <w:vAlign w:val="bottom"/>
          </w:tcPr>
          <w:p>
            <w:pPr>
              <w:jc w:val="center"/>
              <w:ind w:right="628"/>
              <w:spacing w:after="0"/>
              <w:rPr>
                <w:sz w:val="20"/>
                <w:szCs w:val="20"/>
                <w:color w:val="auto"/>
              </w:rPr>
            </w:pPr>
            <w:r>
              <w:rPr>
                <w:rFonts w:ascii="Times New Roman" w:cs="Times New Roman" w:eastAsia="Times New Roman" w:hAnsi="Times New Roman"/>
                <w:sz w:val="14"/>
                <w:szCs w:val="14"/>
                <w:color w:val="auto"/>
              </w:rPr>
              <w:t>Large accelerated filer</w:t>
            </w:r>
          </w:p>
        </w:tc>
        <w:tc>
          <w:tcPr>
            <w:tcW w:w="14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194"/>
        </w:trPr>
        <w:tc>
          <w:tcPr>
            <w:tcW w:w="2000" w:type="dxa"/>
            <w:vAlign w:val="bottom"/>
          </w:tcPr>
          <w:p>
            <w:pPr>
              <w:jc w:val="center"/>
              <w:ind w:right="628"/>
              <w:spacing w:after="0"/>
              <w:rPr>
                <w:sz w:val="20"/>
                <w:szCs w:val="20"/>
                <w:color w:val="auto"/>
              </w:rPr>
            </w:pPr>
            <w:r>
              <w:rPr>
                <w:rFonts w:ascii="Times New Roman" w:cs="Times New Roman" w:eastAsia="Times New Roman" w:hAnsi="Times New Roman"/>
                <w:sz w:val="14"/>
                <w:szCs w:val="14"/>
                <w:color w:val="auto"/>
              </w:rPr>
              <w:t>Non-accelerated filer</w:t>
            </w:r>
          </w:p>
        </w:tc>
        <w:tc>
          <w:tcPr>
            <w:tcW w:w="14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25"/>
        </w:trPr>
        <w:tc>
          <w:tcPr>
            <w:tcW w:w="20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9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highlight w:val="black"/>
                <w:w w:val="71"/>
              </w:rPr>
              <w:t>☒</w:t>
            </w:r>
          </w:p>
        </w:tc>
      </w:tr>
    </w:tbl>
    <w:p>
      <w:pPr>
        <w:spacing w:after="0" w:line="251" w:lineRule="exact"/>
        <w:rPr>
          <w:sz w:val="24"/>
          <w:szCs w:val="24"/>
          <w:color w:val="auto"/>
        </w:rPr>
      </w:pPr>
    </w:p>
    <w:p>
      <w:pPr>
        <w:ind w:right="240"/>
        <w:spacing w:after="0" w:line="17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110" w:lineRule="exact"/>
        <w:rPr>
          <w:sz w:val="24"/>
          <w:szCs w:val="24"/>
          <w:color w:val="auto"/>
        </w:rPr>
      </w:pPr>
    </w:p>
    <w:p>
      <w:pPr>
        <w:spacing w:after="0" w:line="161" w:lineRule="exact"/>
        <w:tabs>
          <w:tab w:leader="none" w:pos="6080" w:val="left"/>
          <w:tab w:leader="none" w:pos="66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highlight w:val="black"/>
        </w:rPr>
        <w:t>☒</w:t>
      </w:r>
    </w:p>
    <w:p>
      <w:pPr>
        <w:spacing w:after="0" w:line="390" w:lineRule="exact"/>
        <w:rPr>
          <w:sz w:val="24"/>
          <w:szCs w:val="24"/>
          <w:color w:val="auto"/>
        </w:rPr>
      </w:pPr>
    </w:p>
    <w:p>
      <w:pPr>
        <w:ind w:right="220"/>
        <w:spacing w:after="0" w:line="246" w:lineRule="auto"/>
        <w:rPr>
          <w:sz w:val="20"/>
          <w:szCs w:val="20"/>
          <w:color w:val="auto"/>
        </w:rPr>
      </w:pPr>
      <w:r>
        <w:rPr>
          <w:rFonts w:ascii="Times New Roman" w:cs="Times New Roman" w:eastAsia="Times New Roman" w:hAnsi="Times New Roman"/>
          <w:sz w:val="14"/>
          <w:szCs w:val="14"/>
          <w:color w:val="auto"/>
        </w:rPr>
        <w:t>As of October 31, 2019, the number of shares of the registrant's Class A common stock outstanding was 43,707,400 and the number of shares of the registrant's Class B common stock outstanding was 236,819,100.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396240</wp:posOffset>
            </wp:positionV>
            <wp:extent cx="729996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925" w:right="219" w:bottom="1440" w:gutter="0" w:footer="0" w:header="0"/>
        </w:sectPr>
      </w:pPr>
    </w:p>
    <w:bookmarkStart w:id="1" w:name="page2"/>
    <w:bookmarkEnd w:id="1"/>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349250</wp:posOffset>
            </wp:positionV>
            <wp:extent cx="72675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page">
              <wp:posOffset>143510</wp:posOffset>
            </wp:positionH>
            <wp:positionV relativeFrom="page">
              <wp:posOffset>369570</wp:posOffset>
            </wp:positionV>
            <wp:extent cx="72675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9020" w:type="dxa"/>
            <w:vAlign w:val="bottom"/>
            <w:gridSpan w:val="18"/>
          </w:tcPr>
          <w:p>
            <w:pPr>
              <w:spacing w:after="0"/>
              <w:rPr>
                <w:rFonts w:ascii="Times New Roman" w:cs="Times New Roman" w:eastAsia="Times New Roman" w:hAnsi="Times New Roman"/>
                <w:sz w:val="14"/>
                <w:szCs w:val="14"/>
                <w:color w:val="0000FF"/>
              </w:rPr>
            </w:pPr>
            <w:hyperlink w:anchor="page2">
              <w:r>
                <w:rPr>
                  <w:rFonts w:ascii="Times New Roman" w:cs="Times New Roman" w:eastAsia="Times New Roman" w:hAnsi="Times New Roman"/>
                  <w:sz w:val="14"/>
                  <w:szCs w:val="14"/>
                  <w:color w:val="0000FF"/>
                </w:rPr>
                <w:t>Special Note Regarding Forward Looking Statements</w:t>
              </w:r>
            </w:hyperlink>
          </w:p>
        </w:tc>
        <w:tc>
          <w:tcPr>
            <w:tcW w:w="960" w:type="dxa"/>
            <w:vAlign w:val="bottom"/>
            <w:gridSpan w:val="3"/>
          </w:tcPr>
          <w:p>
            <w:pPr>
              <w:jc w:val="center"/>
              <w:ind w:left="748"/>
              <w:spacing w:after="0"/>
              <w:rPr>
                <w:rFonts w:ascii="Times New Roman" w:cs="Times New Roman" w:eastAsia="Times New Roman" w:hAnsi="Times New Roman"/>
                <w:sz w:val="14"/>
                <w:szCs w:val="14"/>
                <w:color w:val="0000FF"/>
                <w:w w:val="84"/>
              </w:rPr>
            </w:pPr>
            <w:hyperlink w:anchor="page2">
              <w:r>
                <w:rPr>
                  <w:rFonts w:ascii="Times New Roman" w:cs="Times New Roman" w:eastAsia="Times New Roman" w:hAnsi="Times New Roman"/>
                  <w:sz w:val="14"/>
                  <w:szCs w:val="14"/>
                  <w:color w:val="0000FF"/>
                  <w:w w:val="84"/>
                </w:rPr>
                <w:t>3</w:t>
              </w:r>
            </w:hyperlink>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gridSpan w:val="6"/>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380" w:type="dxa"/>
            <w:vAlign w:val="bottom"/>
          </w:tcPr>
          <w:p>
            <w:pPr>
              <w:spacing w:after="0"/>
              <w:rPr>
                <w:rFonts w:ascii="Times New Roman" w:cs="Times New Roman" w:eastAsia="Times New Roman" w:hAnsi="Times New Roman"/>
                <w:sz w:val="14"/>
                <w:szCs w:val="14"/>
                <w:color w:val="0000FF"/>
                <w:w w:val="99"/>
              </w:rPr>
            </w:pPr>
            <w:hyperlink w:anchor="page4">
              <w:r>
                <w:rPr>
                  <w:rFonts w:ascii="Times New Roman" w:cs="Times New Roman" w:eastAsia="Times New Roman" w:hAnsi="Times New Roman"/>
                  <w:sz w:val="14"/>
                  <w:szCs w:val="14"/>
                  <w:color w:val="0000FF"/>
                  <w:w w:val="99"/>
                </w:rPr>
                <w:t>Item 1</w:t>
              </w:r>
            </w:hyperlink>
          </w:p>
        </w:tc>
        <w:tc>
          <w:tcPr>
            <w:tcW w:w="500" w:type="dxa"/>
            <w:vAlign w:val="bottom"/>
            <w:gridSpan w:val="2"/>
          </w:tcPr>
          <w:p>
            <w:pPr>
              <w:spacing w:after="0"/>
              <w:rPr>
                <w:sz w:val="15"/>
                <w:szCs w:val="15"/>
                <w:color w:val="auto"/>
              </w:rPr>
            </w:pPr>
          </w:p>
        </w:tc>
        <w:tc>
          <w:tcPr>
            <w:tcW w:w="8140" w:type="dxa"/>
            <w:vAlign w:val="bottom"/>
            <w:gridSpan w:val="15"/>
          </w:tcPr>
          <w:p>
            <w:pPr>
              <w:spacing w:after="0"/>
              <w:rPr>
                <w:rFonts w:ascii="Times New Roman" w:cs="Times New Roman" w:eastAsia="Times New Roman" w:hAnsi="Times New Roman"/>
                <w:sz w:val="14"/>
                <w:szCs w:val="14"/>
                <w:color w:val="0000FF"/>
              </w:rPr>
            </w:pPr>
            <w:hyperlink w:anchor="page4">
              <w:r>
                <w:rPr>
                  <w:rFonts w:ascii="Times New Roman" w:cs="Times New Roman" w:eastAsia="Times New Roman" w:hAnsi="Times New Roman"/>
                  <w:sz w:val="14"/>
                  <w:szCs w:val="14"/>
                  <w:color w:val="0000FF"/>
                </w:rPr>
                <w:t>Financial Statements</w:t>
              </w:r>
            </w:hyperlink>
          </w:p>
        </w:tc>
        <w:tc>
          <w:tcPr>
            <w:tcW w:w="960" w:type="dxa"/>
            <w:vAlign w:val="bottom"/>
            <w:gridSpan w:val="3"/>
          </w:tcPr>
          <w:p>
            <w:pPr>
              <w:jc w:val="center"/>
              <w:ind w:left="748"/>
              <w:spacing w:after="0"/>
              <w:rPr>
                <w:rFonts w:ascii="Times New Roman" w:cs="Times New Roman" w:eastAsia="Times New Roman" w:hAnsi="Times New Roman"/>
                <w:sz w:val="14"/>
                <w:szCs w:val="14"/>
                <w:color w:val="0000FF"/>
                <w:w w:val="84"/>
              </w:rPr>
            </w:pPr>
            <w:hyperlink w:anchor="page4">
              <w:r>
                <w:rPr>
                  <w:rFonts w:ascii="Times New Roman" w:cs="Times New Roman" w:eastAsia="Times New Roman" w:hAnsi="Times New Roman"/>
                  <w:sz w:val="14"/>
                  <w:szCs w:val="14"/>
                  <w:color w:val="0000FF"/>
                  <w:w w:val="84"/>
                </w:rPr>
                <w:t>4</w:t>
              </w:r>
            </w:hyperlink>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140" w:type="dxa"/>
            <w:vAlign w:val="bottom"/>
            <w:gridSpan w:val="15"/>
          </w:tcPr>
          <w:p>
            <w:pPr>
              <w:spacing w:after="0"/>
              <w:rPr>
                <w:rFonts w:ascii="Times New Roman" w:cs="Times New Roman" w:eastAsia="Times New Roman" w:hAnsi="Times New Roman"/>
                <w:sz w:val="14"/>
                <w:szCs w:val="14"/>
                <w:color w:val="0000FF"/>
              </w:rPr>
            </w:pPr>
            <w:hyperlink w:anchor="page4">
              <w:r>
                <w:rPr>
                  <w:rFonts w:ascii="Times New Roman" w:cs="Times New Roman" w:eastAsia="Times New Roman" w:hAnsi="Times New Roman"/>
                  <w:sz w:val="14"/>
                  <w:szCs w:val="14"/>
                  <w:color w:val="0000FF"/>
                </w:rPr>
                <w:t>Condensed Consolidated Balance Sheets as of September 30, 2019 and June 30, 2019 (unaudited)</w:t>
              </w:r>
            </w:hyperlink>
          </w:p>
        </w:tc>
        <w:tc>
          <w:tcPr>
            <w:tcW w:w="960" w:type="dxa"/>
            <w:vAlign w:val="bottom"/>
            <w:gridSpan w:val="3"/>
          </w:tcPr>
          <w:p>
            <w:pPr>
              <w:jc w:val="center"/>
              <w:ind w:left="748"/>
              <w:spacing w:after="0"/>
              <w:rPr>
                <w:rFonts w:ascii="Times New Roman" w:cs="Times New Roman" w:eastAsia="Times New Roman" w:hAnsi="Times New Roman"/>
                <w:sz w:val="14"/>
                <w:szCs w:val="14"/>
                <w:color w:val="0000FF"/>
                <w:w w:val="84"/>
              </w:rPr>
            </w:pPr>
            <w:hyperlink w:anchor="page4">
              <w:r>
                <w:rPr>
                  <w:rFonts w:ascii="Times New Roman" w:cs="Times New Roman" w:eastAsia="Times New Roman" w:hAnsi="Times New Roman"/>
                  <w:sz w:val="14"/>
                  <w:szCs w:val="14"/>
                  <w:color w:val="0000FF"/>
                  <w:w w:val="84"/>
                </w:rPr>
                <w:t>4</w:t>
              </w:r>
            </w:hyperlink>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140" w:type="dxa"/>
            <w:vAlign w:val="bottom"/>
            <w:gridSpan w:val="15"/>
          </w:tcPr>
          <w:p>
            <w:pPr>
              <w:spacing w:after="0"/>
              <w:rPr>
                <w:rFonts w:ascii="Times New Roman" w:cs="Times New Roman" w:eastAsia="Times New Roman" w:hAnsi="Times New Roman"/>
                <w:sz w:val="14"/>
                <w:szCs w:val="14"/>
                <w:color w:val="0000FF"/>
              </w:rPr>
            </w:pPr>
            <w:hyperlink w:anchor="page4">
              <w:r>
                <w:rPr>
                  <w:rFonts w:ascii="Times New Roman" w:cs="Times New Roman" w:eastAsia="Times New Roman" w:hAnsi="Times New Roman"/>
                  <w:sz w:val="14"/>
                  <w:szCs w:val="14"/>
                  <w:color w:val="0000FF"/>
                </w:rPr>
                <w:t>Condensed Consolidated Statements of Operations and Comprehensive Loss for the Three Months Ended September 30, 2019 and 2018</w:t>
              </w:r>
            </w:hyperlink>
          </w:p>
        </w:tc>
        <w:tc>
          <w:tcPr>
            <w:tcW w:w="960" w:type="dxa"/>
            <w:vAlign w:val="bottom"/>
            <w:gridSpan w:val="3"/>
            <w:vMerge w:val="restart"/>
          </w:tcPr>
          <w:p>
            <w:pPr>
              <w:jc w:val="center"/>
              <w:ind w:left="748"/>
              <w:spacing w:after="0"/>
              <w:rPr>
                <w:rFonts w:ascii="Times New Roman" w:cs="Times New Roman" w:eastAsia="Times New Roman" w:hAnsi="Times New Roman"/>
                <w:sz w:val="14"/>
                <w:szCs w:val="14"/>
                <w:color w:val="0000FF"/>
                <w:w w:val="84"/>
              </w:rPr>
            </w:pPr>
            <w:hyperlink w:anchor="page4">
              <w:r>
                <w:rPr>
                  <w:rFonts w:ascii="Times New Roman" w:cs="Times New Roman" w:eastAsia="Times New Roman" w:hAnsi="Times New Roman"/>
                  <w:sz w:val="14"/>
                  <w:szCs w:val="14"/>
                  <w:color w:val="0000FF"/>
                  <w:w w:val="84"/>
                </w:rPr>
                <w:t>5</w:t>
              </w:r>
            </w:hyperlink>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20" w:type="dxa"/>
            <w:vAlign w:val="bottom"/>
            <w:tcBorders>
              <w:top w:val="single" w:sz="8" w:color="0000FF"/>
            </w:tcBorders>
            <w:gridSpan w:val="14"/>
          </w:tcPr>
          <w:p>
            <w:pPr>
              <w:spacing w:after="0" w:line="120" w:lineRule="exact"/>
              <w:rPr>
                <w:rFonts w:ascii="Times New Roman" w:cs="Times New Roman" w:eastAsia="Times New Roman" w:hAnsi="Times New Roman"/>
                <w:sz w:val="13"/>
                <w:szCs w:val="13"/>
                <w:color w:val="0000FF"/>
              </w:rPr>
            </w:pPr>
            <w:hyperlink w:anchor="page4">
              <w:r>
                <w:rPr>
                  <w:rFonts w:ascii="Times New Roman" w:cs="Times New Roman" w:eastAsia="Times New Roman" w:hAnsi="Times New Roman"/>
                  <w:sz w:val="13"/>
                  <w:szCs w:val="13"/>
                  <w:color w:val="0000FF"/>
                </w:rPr>
                <w:t>(unaudited)</w:t>
              </w:r>
            </w:hyperlink>
          </w:p>
        </w:tc>
        <w:tc>
          <w:tcPr>
            <w:tcW w:w="3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140" w:type="dxa"/>
            <w:vAlign w:val="bottom"/>
            <w:gridSpan w:val="15"/>
          </w:tcPr>
          <w:p>
            <w:pPr>
              <w:spacing w:after="0"/>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color w:val="0000FF"/>
                </w:rPr>
                <w:t>Condensed Consolidated Statements of Cash Flows for the Three Months Ended September 30, 2019 and 2018 (unaudited)</w:t>
              </w:r>
            </w:hyperlink>
          </w:p>
        </w:tc>
        <w:tc>
          <w:tcPr>
            <w:tcW w:w="960" w:type="dxa"/>
            <w:vAlign w:val="bottom"/>
            <w:gridSpan w:val="3"/>
          </w:tcPr>
          <w:p>
            <w:pPr>
              <w:jc w:val="center"/>
              <w:ind w:left="748"/>
              <w:spacing w:after="0"/>
              <w:rPr>
                <w:rFonts w:ascii="Times New Roman" w:cs="Times New Roman" w:eastAsia="Times New Roman" w:hAnsi="Times New Roman"/>
                <w:sz w:val="14"/>
                <w:szCs w:val="14"/>
                <w:color w:val="0000FF"/>
                <w:w w:val="84"/>
              </w:rPr>
            </w:pPr>
            <w:hyperlink w:anchor="page5">
              <w:r>
                <w:rPr>
                  <w:rFonts w:ascii="Times New Roman" w:cs="Times New Roman" w:eastAsia="Times New Roman" w:hAnsi="Times New Roman"/>
                  <w:sz w:val="14"/>
                  <w:szCs w:val="14"/>
                  <w:color w:val="0000FF"/>
                  <w:w w:val="84"/>
                </w:rPr>
                <w:t>6</w:t>
              </w:r>
            </w:hyperlink>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14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w:anchor="page6">
              <w:r>
                <w:rPr>
                  <w:rFonts w:ascii="Times New Roman" w:cs="Times New Roman" w:eastAsia="Times New Roman" w:hAnsi="Times New Roman"/>
                  <w:sz w:val="14"/>
                  <w:szCs w:val="14"/>
                  <w:color w:val="0000FF"/>
                </w:rPr>
                <w:t>Condensed Consolidated Statements of Changes in Redeemable Convertible Preferred Stock and Stockholders’ Equity (Deficit) for the Three</w:t>
              </w:r>
            </w:hyperlink>
          </w:p>
        </w:tc>
        <w:tc>
          <w:tcPr>
            <w:tcW w:w="960" w:type="dxa"/>
            <w:vAlign w:val="bottom"/>
            <w:gridSpan w:val="3"/>
            <w:vMerge w:val="restart"/>
          </w:tcPr>
          <w:p>
            <w:pPr>
              <w:jc w:val="center"/>
              <w:ind w:left="748"/>
              <w:spacing w:after="0"/>
              <w:rPr>
                <w:rFonts w:ascii="Times New Roman" w:cs="Times New Roman" w:eastAsia="Times New Roman" w:hAnsi="Times New Roman"/>
                <w:sz w:val="14"/>
                <w:szCs w:val="14"/>
                <w:color w:val="0000FF"/>
                <w:w w:val="84"/>
              </w:rPr>
            </w:pPr>
            <w:hyperlink w:anchor="page6">
              <w:r>
                <w:rPr>
                  <w:rFonts w:ascii="Times New Roman" w:cs="Times New Roman" w:eastAsia="Times New Roman" w:hAnsi="Times New Roman"/>
                  <w:sz w:val="14"/>
                  <w:szCs w:val="14"/>
                  <w:color w:val="0000FF"/>
                  <w:w w:val="84"/>
                </w:rPr>
                <w:t>7</w:t>
              </w:r>
            </w:hyperlink>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300" w:type="dxa"/>
            <w:vAlign w:val="bottom"/>
            <w:gridSpan w:val="8"/>
          </w:tcPr>
          <w:p>
            <w:pPr>
              <w:spacing w:after="0" w:line="120" w:lineRule="exact"/>
              <w:rPr>
                <w:rFonts w:ascii="Times New Roman" w:cs="Times New Roman" w:eastAsia="Times New Roman" w:hAnsi="Times New Roman"/>
                <w:sz w:val="13"/>
                <w:szCs w:val="13"/>
                <w:color w:val="0000FF"/>
              </w:rPr>
            </w:pPr>
            <w:hyperlink w:anchor="page6">
              <w:r>
                <w:rPr>
                  <w:rFonts w:ascii="Times New Roman" w:cs="Times New Roman" w:eastAsia="Times New Roman" w:hAnsi="Times New Roman"/>
                  <w:sz w:val="13"/>
                  <w:szCs w:val="13"/>
                  <w:color w:val="0000FF"/>
                </w:rPr>
                <w:t>Months Ended September 30, 2019 and 2018 (unaudited)</w:t>
              </w:r>
            </w:hyperlink>
          </w:p>
        </w:tc>
        <w:tc>
          <w:tcPr>
            <w:tcW w:w="4840" w:type="dxa"/>
            <w:vAlign w:val="bottom"/>
            <w:gridSpan w:val="7"/>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140" w:type="dxa"/>
            <w:vAlign w:val="bottom"/>
            <w:gridSpan w:val="15"/>
          </w:tcPr>
          <w:p>
            <w:pPr>
              <w:spacing w:after="0"/>
              <w:rPr>
                <w:rFonts w:ascii="Times New Roman" w:cs="Times New Roman" w:eastAsia="Times New Roman" w:hAnsi="Times New Roman"/>
                <w:sz w:val="14"/>
                <w:szCs w:val="14"/>
                <w:color w:val="0000FF"/>
              </w:rPr>
            </w:pPr>
            <w:hyperlink w:anchor="page7">
              <w:r>
                <w:rPr>
                  <w:rFonts w:ascii="Times New Roman" w:cs="Times New Roman" w:eastAsia="Times New Roman" w:hAnsi="Times New Roman"/>
                  <w:sz w:val="14"/>
                  <w:szCs w:val="14"/>
                  <w:color w:val="0000FF"/>
                </w:rPr>
                <w:t>Notes to Condensed Consolidated Financial Statements (unaudited)</w:t>
              </w:r>
            </w:hyperlink>
          </w:p>
        </w:tc>
        <w:tc>
          <w:tcPr>
            <w:tcW w:w="960" w:type="dxa"/>
            <w:vAlign w:val="bottom"/>
            <w:gridSpan w:val="3"/>
          </w:tcPr>
          <w:p>
            <w:pPr>
              <w:jc w:val="center"/>
              <w:ind w:left="748"/>
              <w:spacing w:after="0"/>
              <w:rPr>
                <w:rFonts w:ascii="Times New Roman" w:cs="Times New Roman" w:eastAsia="Times New Roman" w:hAnsi="Times New Roman"/>
                <w:sz w:val="14"/>
                <w:szCs w:val="14"/>
                <w:color w:val="0000FF"/>
                <w:w w:val="84"/>
              </w:rPr>
            </w:pPr>
            <w:hyperlink w:anchor="page7">
              <w:r>
                <w:rPr>
                  <w:rFonts w:ascii="Times New Roman" w:cs="Times New Roman" w:eastAsia="Times New Roman" w:hAnsi="Times New Roman"/>
                  <w:sz w:val="14"/>
                  <w:szCs w:val="14"/>
                  <w:color w:val="0000FF"/>
                  <w:w w:val="84"/>
                </w:rPr>
                <w:t>8</w:t>
              </w:r>
            </w:hyperlink>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380" w:type="dxa"/>
            <w:vAlign w:val="bottom"/>
          </w:tcPr>
          <w:p>
            <w:pPr>
              <w:spacing w:after="0"/>
              <w:rPr>
                <w:rFonts w:ascii="Times New Roman" w:cs="Times New Roman" w:eastAsia="Times New Roman" w:hAnsi="Times New Roman"/>
                <w:sz w:val="14"/>
                <w:szCs w:val="14"/>
                <w:color w:val="0000FF"/>
                <w:w w:val="99"/>
              </w:rPr>
            </w:pPr>
            <w:hyperlink w:anchor="page18">
              <w:r>
                <w:rPr>
                  <w:rFonts w:ascii="Times New Roman" w:cs="Times New Roman" w:eastAsia="Times New Roman" w:hAnsi="Times New Roman"/>
                  <w:sz w:val="14"/>
                  <w:szCs w:val="14"/>
                  <w:color w:val="0000FF"/>
                  <w:w w:val="99"/>
                </w:rPr>
                <w:t>Item 2</w:t>
              </w:r>
            </w:hyperlink>
          </w:p>
        </w:tc>
        <w:tc>
          <w:tcPr>
            <w:tcW w:w="500" w:type="dxa"/>
            <w:vAlign w:val="bottom"/>
            <w:gridSpan w:val="2"/>
          </w:tcPr>
          <w:p>
            <w:pPr>
              <w:spacing w:after="0"/>
              <w:rPr>
                <w:sz w:val="14"/>
                <w:szCs w:val="14"/>
                <w:color w:val="auto"/>
              </w:rPr>
            </w:pPr>
          </w:p>
        </w:tc>
        <w:tc>
          <w:tcPr>
            <w:tcW w:w="8140" w:type="dxa"/>
            <w:vAlign w:val="bottom"/>
            <w:gridSpan w:val="15"/>
          </w:tcPr>
          <w:p>
            <w:pPr>
              <w:spacing w:after="0"/>
              <w:rPr>
                <w:rFonts w:ascii="Times New Roman" w:cs="Times New Roman" w:eastAsia="Times New Roman" w:hAnsi="Times New Roman"/>
                <w:sz w:val="14"/>
                <w:szCs w:val="14"/>
                <w:color w:val="0000FF"/>
              </w:rPr>
            </w:pPr>
            <w:hyperlink w:anchor="page18">
              <w:r>
                <w:rPr>
                  <w:rFonts w:ascii="Times New Roman" w:cs="Times New Roman" w:eastAsia="Times New Roman" w:hAnsi="Times New Roman"/>
                  <w:sz w:val="14"/>
                  <w:szCs w:val="14"/>
                  <w:color w:val="0000FF"/>
                </w:rPr>
                <w:t>Management's Discussion and Analysis of Financial Condition and Results of Operations</w:t>
              </w:r>
            </w:hyperlink>
          </w:p>
        </w:tc>
        <w:tc>
          <w:tcPr>
            <w:tcW w:w="2020" w:type="dxa"/>
            <w:vAlign w:val="bottom"/>
            <w:gridSpan w:val="4"/>
          </w:tcPr>
          <w:p>
            <w:pPr>
              <w:jc w:val="center"/>
              <w:ind w:right="240"/>
              <w:spacing w:after="0"/>
              <w:rPr>
                <w:rFonts w:ascii="Times New Roman" w:cs="Times New Roman" w:eastAsia="Times New Roman" w:hAnsi="Times New Roman"/>
                <w:sz w:val="14"/>
                <w:szCs w:val="14"/>
                <w:color w:val="0000FF"/>
                <w:w w:val="99"/>
              </w:rPr>
            </w:pPr>
            <w:hyperlink w:anchor="page18">
              <w:r>
                <w:rPr>
                  <w:rFonts w:ascii="Times New Roman" w:cs="Times New Roman" w:eastAsia="Times New Roman" w:hAnsi="Times New Roman"/>
                  <w:sz w:val="14"/>
                  <w:szCs w:val="14"/>
                  <w:color w:val="0000FF"/>
                  <w:w w:val="99"/>
                </w:rPr>
                <w:t>19</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380" w:type="dxa"/>
            <w:vAlign w:val="bottom"/>
          </w:tcPr>
          <w:p>
            <w:pPr>
              <w:spacing w:after="0"/>
              <w:rPr>
                <w:rFonts w:ascii="Times New Roman" w:cs="Times New Roman" w:eastAsia="Times New Roman" w:hAnsi="Times New Roman"/>
                <w:sz w:val="14"/>
                <w:szCs w:val="14"/>
                <w:color w:val="0000FF"/>
                <w:w w:val="99"/>
              </w:rPr>
            </w:pPr>
            <w:hyperlink w:anchor="page30">
              <w:r>
                <w:rPr>
                  <w:rFonts w:ascii="Times New Roman" w:cs="Times New Roman" w:eastAsia="Times New Roman" w:hAnsi="Times New Roman"/>
                  <w:sz w:val="14"/>
                  <w:szCs w:val="14"/>
                  <w:color w:val="0000FF"/>
                  <w:w w:val="99"/>
                </w:rPr>
                <w:t>Item 3</w:t>
              </w:r>
            </w:hyperlink>
          </w:p>
        </w:tc>
        <w:tc>
          <w:tcPr>
            <w:tcW w:w="500" w:type="dxa"/>
            <w:vAlign w:val="bottom"/>
            <w:gridSpan w:val="2"/>
          </w:tcPr>
          <w:p>
            <w:pPr>
              <w:spacing w:after="0"/>
              <w:rPr>
                <w:sz w:val="14"/>
                <w:szCs w:val="14"/>
                <w:color w:val="auto"/>
              </w:rPr>
            </w:pPr>
          </w:p>
        </w:tc>
        <w:tc>
          <w:tcPr>
            <w:tcW w:w="3480" w:type="dxa"/>
            <w:vAlign w:val="bottom"/>
            <w:gridSpan w:val="9"/>
          </w:tcPr>
          <w:p>
            <w:pPr>
              <w:spacing w:after="0"/>
              <w:rPr>
                <w:rFonts w:ascii="Times New Roman" w:cs="Times New Roman" w:eastAsia="Times New Roman" w:hAnsi="Times New Roman"/>
                <w:sz w:val="14"/>
                <w:szCs w:val="14"/>
                <w:color w:val="0000FF"/>
              </w:rPr>
            </w:pPr>
            <w:hyperlink w:anchor="page30">
              <w:r>
                <w:rPr>
                  <w:rFonts w:ascii="Times New Roman" w:cs="Times New Roman" w:eastAsia="Times New Roman" w:hAnsi="Times New Roman"/>
                  <w:sz w:val="14"/>
                  <w:szCs w:val="14"/>
                  <w:color w:val="0000FF"/>
                </w:rPr>
                <w:t>Quantitative and Qualitative Disclosures About Market Risk</w:t>
              </w:r>
            </w:hyperlink>
          </w:p>
        </w:tc>
        <w:tc>
          <w:tcPr>
            <w:tcW w:w="1660" w:type="dxa"/>
            <w:vAlign w:val="bottom"/>
            <w:gridSpan w:val="2"/>
          </w:tcPr>
          <w:p>
            <w:pPr>
              <w:spacing w:after="0"/>
              <w:rPr>
                <w:sz w:val="14"/>
                <w:szCs w:val="14"/>
                <w:color w:val="auto"/>
              </w:rPr>
            </w:pPr>
          </w:p>
        </w:tc>
        <w:tc>
          <w:tcPr>
            <w:tcW w:w="3000" w:type="dxa"/>
            <w:vAlign w:val="bottom"/>
            <w:gridSpan w:val="4"/>
          </w:tcPr>
          <w:p>
            <w:pPr>
              <w:spacing w:after="0"/>
              <w:rPr>
                <w:sz w:val="14"/>
                <w:szCs w:val="14"/>
                <w:color w:val="auto"/>
              </w:rPr>
            </w:pPr>
          </w:p>
        </w:tc>
        <w:tc>
          <w:tcPr>
            <w:tcW w:w="2020" w:type="dxa"/>
            <w:vAlign w:val="bottom"/>
            <w:gridSpan w:val="4"/>
          </w:tcPr>
          <w:p>
            <w:pPr>
              <w:jc w:val="center"/>
              <w:ind w:right="240"/>
              <w:spacing w:after="0"/>
              <w:rPr>
                <w:rFonts w:ascii="Times New Roman" w:cs="Times New Roman" w:eastAsia="Times New Roman" w:hAnsi="Times New Roman"/>
                <w:sz w:val="14"/>
                <w:szCs w:val="14"/>
                <w:color w:val="0000FF"/>
                <w:w w:val="99"/>
              </w:rPr>
            </w:pPr>
            <w:hyperlink w:anchor="page30">
              <w:r>
                <w:rPr>
                  <w:rFonts w:ascii="Times New Roman" w:cs="Times New Roman" w:eastAsia="Times New Roman" w:hAnsi="Times New Roman"/>
                  <w:sz w:val="14"/>
                  <w:szCs w:val="14"/>
                  <w:color w:val="0000FF"/>
                  <w:w w:val="99"/>
                </w:rPr>
                <w:t>30</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4660" w:type="dxa"/>
            <w:vAlign w:val="bottom"/>
            <w:tcBorders>
              <w:left w:val="single" w:sz="8" w:color="0000FF"/>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380" w:type="dxa"/>
            <w:vAlign w:val="bottom"/>
          </w:tcPr>
          <w:p>
            <w:pPr>
              <w:spacing w:after="0"/>
              <w:rPr>
                <w:rFonts w:ascii="Times New Roman" w:cs="Times New Roman" w:eastAsia="Times New Roman" w:hAnsi="Times New Roman"/>
                <w:sz w:val="14"/>
                <w:szCs w:val="14"/>
                <w:color w:val="0000FF"/>
                <w:w w:val="99"/>
              </w:rPr>
            </w:pPr>
            <w:hyperlink w:anchor="page31">
              <w:r>
                <w:rPr>
                  <w:rFonts w:ascii="Times New Roman" w:cs="Times New Roman" w:eastAsia="Times New Roman" w:hAnsi="Times New Roman"/>
                  <w:sz w:val="14"/>
                  <w:szCs w:val="14"/>
                  <w:color w:val="0000FF"/>
                  <w:w w:val="99"/>
                </w:rPr>
                <w:t>Item 4</w:t>
              </w:r>
            </w:hyperlink>
          </w:p>
        </w:tc>
        <w:tc>
          <w:tcPr>
            <w:tcW w:w="500" w:type="dxa"/>
            <w:vAlign w:val="bottom"/>
            <w:gridSpan w:val="2"/>
          </w:tcPr>
          <w:p>
            <w:pPr>
              <w:spacing w:after="0"/>
              <w:rPr>
                <w:sz w:val="14"/>
                <w:szCs w:val="14"/>
                <w:color w:val="auto"/>
              </w:rPr>
            </w:pPr>
          </w:p>
        </w:tc>
        <w:tc>
          <w:tcPr>
            <w:tcW w:w="3480" w:type="dxa"/>
            <w:vAlign w:val="bottom"/>
            <w:gridSpan w:val="9"/>
          </w:tcPr>
          <w:p>
            <w:pPr>
              <w:spacing w:after="0"/>
              <w:rPr>
                <w:rFonts w:ascii="Times New Roman" w:cs="Times New Roman" w:eastAsia="Times New Roman" w:hAnsi="Times New Roman"/>
                <w:sz w:val="14"/>
                <w:szCs w:val="14"/>
                <w:color w:val="0000FF"/>
              </w:rPr>
            </w:pPr>
            <w:hyperlink w:anchor="page31">
              <w:r>
                <w:rPr>
                  <w:rFonts w:ascii="Times New Roman" w:cs="Times New Roman" w:eastAsia="Times New Roman" w:hAnsi="Times New Roman"/>
                  <w:sz w:val="14"/>
                  <w:szCs w:val="14"/>
                  <w:color w:val="0000FF"/>
                </w:rPr>
                <w:t>Controls and Procedures</w:t>
              </w:r>
            </w:hyperlink>
          </w:p>
        </w:tc>
        <w:tc>
          <w:tcPr>
            <w:tcW w:w="4660" w:type="dxa"/>
            <w:vAlign w:val="bottom"/>
            <w:gridSpan w:val="6"/>
          </w:tcPr>
          <w:p>
            <w:pPr>
              <w:spacing w:after="0"/>
              <w:rPr>
                <w:sz w:val="14"/>
                <w:szCs w:val="14"/>
                <w:color w:val="auto"/>
              </w:rPr>
            </w:pPr>
          </w:p>
        </w:tc>
        <w:tc>
          <w:tcPr>
            <w:tcW w:w="2020" w:type="dxa"/>
            <w:vAlign w:val="bottom"/>
            <w:gridSpan w:val="4"/>
          </w:tcPr>
          <w:p>
            <w:pPr>
              <w:jc w:val="center"/>
              <w:ind w:right="240"/>
              <w:spacing w:after="0"/>
              <w:rPr>
                <w:rFonts w:ascii="Times New Roman" w:cs="Times New Roman" w:eastAsia="Times New Roman" w:hAnsi="Times New Roman"/>
                <w:sz w:val="14"/>
                <w:szCs w:val="14"/>
                <w:color w:val="0000FF"/>
                <w:w w:val="99"/>
              </w:rPr>
            </w:pPr>
            <w:hyperlink w:anchor="page31">
              <w:r>
                <w:rPr>
                  <w:rFonts w:ascii="Times New Roman" w:cs="Times New Roman" w:eastAsia="Times New Roman" w:hAnsi="Times New Roman"/>
                  <w:sz w:val="14"/>
                  <w:szCs w:val="14"/>
                  <w:color w:val="0000FF"/>
                  <w:w w:val="99"/>
                </w:rPr>
                <w:t>31</w:t>
              </w:r>
            </w:hyperlink>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gridSpan w:val="6"/>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Part II. Other Information</w:t>
            </w:r>
          </w:p>
        </w:tc>
        <w:tc>
          <w:tcPr>
            <w:tcW w:w="8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380" w:type="dxa"/>
            <w:vAlign w:val="bottom"/>
          </w:tcPr>
          <w:p>
            <w:pPr>
              <w:spacing w:after="0"/>
              <w:rPr>
                <w:rFonts w:ascii="Times New Roman" w:cs="Times New Roman" w:eastAsia="Times New Roman" w:hAnsi="Times New Roman"/>
                <w:sz w:val="14"/>
                <w:szCs w:val="14"/>
                <w:color w:val="0000FF"/>
                <w:w w:val="99"/>
              </w:rPr>
            </w:pPr>
            <w:hyperlink w:anchor="page32">
              <w:r>
                <w:rPr>
                  <w:rFonts w:ascii="Times New Roman" w:cs="Times New Roman" w:eastAsia="Times New Roman" w:hAnsi="Times New Roman"/>
                  <w:sz w:val="14"/>
                  <w:szCs w:val="14"/>
                  <w:color w:val="0000FF"/>
                  <w:w w:val="99"/>
                </w:rPr>
                <w:t>Item 1</w:t>
              </w:r>
            </w:hyperlink>
          </w:p>
        </w:tc>
        <w:tc>
          <w:tcPr>
            <w:tcW w:w="500" w:type="dxa"/>
            <w:vAlign w:val="bottom"/>
            <w:gridSpan w:val="2"/>
          </w:tcPr>
          <w:p>
            <w:pPr>
              <w:spacing w:after="0"/>
              <w:rPr>
                <w:sz w:val="15"/>
                <w:szCs w:val="15"/>
                <w:color w:val="auto"/>
              </w:rPr>
            </w:pPr>
          </w:p>
        </w:tc>
        <w:tc>
          <w:tcPr>
            <w:tcW w:w="8140" w:type="dxa"/>
            <w:vAlign w:val="bottom"/>
            <w:gridSpan w:val="15"/>
          </w:tcPr>
          <w:p>
            <w:pPr>
              <w:spacing w:after="0"/>
              <w:rPr>
                <w:rFonts w:ascii="Times New Roman" w:cs="Times New Roman" w:eastAsia="Times New Roman" w:hAnsi="Times New Roman"/>
                <w:sz w:val="14"/>
                <w:szCs w:val="14"/>
                <w:color w:val="0000FF"/>
              </w:rPr>
            </w:pPr>
            <w:hyperlink w:anchor="page32">
              <w:r>
                <w:rPr>
                  <w:rFonts w:ascii="Times New Roman" w:cs="Times New Roman" w:eastAsia="Times New Roman" w:hAnsi="Times New Roman"/>
                  <w:sz w:val="14"/>
                  <w:szCs w:val="14"/>
                  <w:color w:val="0000FF"/>
                </w:rPr>
                <w:t>Legal Proceedings</w:t>
              </w:r>
            </w:hyperlink>
          </w:p>
        </w:tc>
        <w:tc>
          <w:tcPr>
            <w:tcW w:w="2020" w:type="dxa"/>
            <w:vAlign w:val="bottom"/>
            <w:gridSpan w:val="4"/>
          </w:tcPr>
          <w:p>
            <w:pPr>
              <w:jc w:val="center"/>
              <w:ind w:right="240"/>
              <w:spacing w:after="0"/>
              <w:rPr>
                <w:rFonts w:ascii="Times New Roman" w:cs="Times New Roman" w:eastAsia="Times New Roman" w:hAnsi="Times New Roman"/>
                <w:sz w:val="14"/>
                <w:szCs w:val="14"/>
                <w:color w:val="0000FF"/>
                <w:w w:val="99"/>
              </w:rPr>
            </w:pPr>
            <w:hyperlink w:anchor="page32">
              <w:r>
                <w:rPr>
                  <w:rFonts w:ascii="Times New Roman" w:cs="Times New Roman" w:eastAsia="Times New Roman" w:hAnsi="Times New Roman"/>
                  <w:sz w:val="14"/>
                  <w:szCs w:val="14"/>
                  <w:color w:val="0000FF"/>
                  <w:w w:val="99"/>
                </w:rPr>
                <w:t>32</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480" w:type="dxa"/>
            <w:vAlign w:val="bottom"/>
            <w:gridSpan w:val="2"/>
          </w:tcPr>
          <w:p>
            <w:pPr>
              <w:spacing w:after="0"/>
              <w:rPr>
                <w:rFonts w:ascii="Times New Roman" w:cs="Times New Roman" w:eastAsia="Times New Roman" w:hAnsi="Times New Roman"/>
                <w:sz w:val="14"/>
                <w:szCs w:val="14"/>
                <w:color w:val="0000FF"/>
                <w:w w:val="99"/>
              </w:rPr>
            </w:pPr>
            <w:hyperlink w:anchor="page32">
              <w:r>
                <w:rPr>
                  <w:rFonts w:ascii="Times New Roman" w:cs="Times New Roman" w:eastAsia="Times New Roman" w:hAnsi="Times New Roman"/>
                  <w:sz w:val="14"/>
                  <w:szCs w:val="14"/>
                  <w:color w:val="0000FF"/>
                  <w:w w:val="99"/>
                </w:rPr>
                <w:t>Item 1A</w:t>
              </w:r>
            </w:hyperlink>
          </w:p>
        </w:tc>
        <w:tc>
          <w:tcPr>
            <w:tcW w:w="400" w:type="dxa"/>
            <w:vAlign w:val="bottom"/>
          </w:tcPr>
          <w:p>
            <w:pPr>
              <w:spacing w:after="0"/>
              <w:rPr>
                <w:sz w:val="14"/>
                <w:szCs w:val="14"/>
                <w:color w:val="auto"/>
              </w:rPr>
            </w:pPr>
          </w:p>
        </w:tc>
        <w:tc>
          <w:tcPr>
            <w:tcW w:w="8140" w:type="dxa"/>
            <w:vAlign w:val="bottom"/>
            <w:gridSpan w:val="15"/>
          </w:tcPr>
          <w:p>
            <w:pPr>
              <w:spacing w:after="0"/>
              <w:rPr>
                <w:rFonts w:ascii="Times New Roman" w:cs="Times New Roman" w:eastAsia="Times New Roman" w:hAnsi="Times New Roman"/>
                <w:sz w:val="14"/>
                <w:szCs w:val="14"/>
                <w:color w:val="0000FF"/>
              </w:rPr>
            </w:pPr>
            <w:hyperlink w:anchor="page32">
              <w:r>
                <w:rPr>
                  <w:rFonts w:ascii="Times New Roman" w:cs="Times New Roman" w:eastAsia="Times New Roman" w:hAnsi="Times New Roman"/>
                  <w:sz w:val="14"/>
                  <w:szCs w:val="14"/>
                  <w:color w:val="0000FF"/>
                </w:rPr>
                <w:t>Risk Factors</w:t>
              </w:r>
            </w:hyperlink>
          </w:p>
        </w:tc>
        <w:tc>
          <w:tcPr>
            <w:tcW w:w="2020" w:type="dxa"/>
            <w:vAlign w:val="bottom"/>
            <w:gridSpan w:val="4"/>
          </w:tcPr>
          <w:p>
            <w:pPr>
              <w:jc w:val="center"/>
              <w:ind w:right="240"/>
              <w:spacing w:after="0"/>
              <w:rPr>
                <w:rFonts w:ascii="Times New Roman" w:cs="Times New Roman" w:eastAsia="Times New Roman" w:hAnsi="Times New Roman"/>
                <w:sz w:val="14"/>
                <w:szCs w:val="14"/>
                <w:color w:val="0000FF"/>
                <w:w w:val="99"/>
              </w:rPr>
            </w:pPr>
            <w:hyperlink w:anchor="page32">
              <w:r>
                <w:rPr>
                  <w:rFonts w:ascii="Times New Roman" w:cs="Times New Roman" w:eastAsia="Times New Roman" w:hAnsi="Times New Roman"/>
                  <w:sz w:val="14"/>
                  <w:szCs w:val="14"/>
                  <w:color w:val="0000FF"/>
                  <w:w w:val="99"/>
                </w:rPr>
                <w:t>32</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380" w:type="dxa"/>
            <w:vAlign w:val="bottom"/>
          </w:tcPr>
          <w:p>
            <w:pPr>
              <w:spacing w:after="0"/>
              <w:rPr>
                <w:rFonts w:ascii="Times New Roman" w:cs="Times New Roman" w:eastAsia="Times New Roman" w:hAnsi="Times New Roman"/>
                <w:sz w:val="14"/>
                <w:szCs w:val="14"/>
                <w:color w:val="0000FF"/>
                <w:w w:val="99"/>
              </w:rPr>
            </w:pPr>
            <w:hyperlink w:anchor="page53">
              <w:r>
                <w:rPr>
                  <w:rFonts w:ascii="Times New Roman" w:cs="Times New Roman" w:eastAsia="Times New Roman" w:hAnsi="Times New Roman"/>
                  <w:sz w:val="14"/>
                  <w:szCs w:val="14"/>
                  <w:color w:val="0000FF"/>
                  <w:w w:val="99"/>
                </w:rPr>
                <w:t>Item 2</w:t>
              </w:r>
            </w:hyperlink>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80" w:type="dxa"/>
            <w:vAlign w:val="bottom"/>
            <w:gridSpan w:val="9"/>
          </w:tcPr>
          <w:p>
            <w:pPr>
              <w:spacing w:after="0"/>
              <w:rPr>
                <w:rFonts w:ascii="Times New Roman" w:cs="Times New Roman" w:eastAsia="Times New Roman" w:hAnsi="Times New Roman"/>
                <w:sz w:val="14"/>
                <w:szCs w:val="14"/>
                <w:color w:val="0000FF"/>
              </w:rPr>
            </w:pPr>
            <w:hyperlink w:anchor="page53">
              <w:r>
                <w:rPr>
                  <w:rFonts w:ascii="Times New Roman" w:cs="Times New Roman" w:eastAsia="Times New Roman" w:hAnsi="Times New Roman"/>
                  <w:sz w:val="14"/>
                  <w:szCs w:val="14"/>
                  <w:color w:val="0000FF"/>
                </w:rPr>
                <w:t>Unregistered Sales of Equity Securities and Use of Proceeds</w:t>
              </w:r>
            </w:hyperlink>
          </w:p>
        </w:tc>
        <w:tc>
          <w:tcPr>
            <w:tcW w:w="4660" w:type="dxa"/>
            <w:vAlign w:val="bottom"/>
            <w:gridSpan w:val="6"/>
          </w:tcPr>
          <w:p>
            <w:pPr>
              <w:spacing w:after="0"/>
              <w:rPr>
                <w:sz w:val="14"/>
                <w:szCs w:val="14"/>
                <w:color w:val="auto"/>
              </w:rPr>
            </w:pPr>
          </w:p>
        </w:tc>
        <w:tc>
          <w:tcPr>
            <w:tcW w:w="2020" w:type="dxa"/>
            <w:vAlign w:val="bottom"/>
            <w:gridSpan w:val="4"/>
          </w:tcPr>
          <w:p>
            <w:pPr>
              <w:jc w:val="center"/>
              <w:ind w:right="240"/>
              <w:spacing w:after="0"/>
              <w:rPr>
                <w:rFonts w:ascii="Times New Roman" w:cs="Times New Roman" w:eastAsia="Times New Roman" w:hAnsi="Times New Roman"/>
                <w:sz w:val="14"/>
                <w:szCs w:val="14"/>
                <w:color w:val="0000FF"/>
                <w:w w:val="99"/>
              </w:rPr>
            </w:pPr>
            <w:hyperlink w:anchor="page53">
              <w:r>
                <w:rPr>
                  <w:rFonts w:ascii="Times New Roman" w:cs="Times New Roman" w:eastAsia="Times New Roman" w:hAnsi="Times New Roman"/>
                  <w:sz w:val="14"/>
                  <w:szCs w:val="14"/>
                  <w:color w:val="0000FF"/>
                  <w:w w:val="99"/>
                </w:rPr>
                <w:t>53</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0" w:type="dxa"/>
            <w:vAlign w:val="bottom"/>
            <w:gridSpan w:val="8"/>
            <w:shd w:val="clear" w:color="auto" w:fill="0000FF"/>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380" w:type="dxa"/>
            <w:vAlign w:val="bottom"/>
          </w:tcPr>
          <w:p>
            <w:pPr>
              <w:spacing w:after="0"/>
              <w:rPr>
                <w:rFonts w:ascii="Times New Roman" w:cs="Times New Roman" w:eastAsia="Times New Roman" w:hAnsi="Times New Roman"/>
                <w:sz w:val="14"/>
                <w:szCs w:val="14"/>
                <w:color w:val="0000FF"/>
                <w:w w:val="99"/>
              </w:rPr>
            </w:pPr>
            <w:hyperlink w:anchor="page54">
              <w:r>
                <w:rPr>
                  <w:rFonts w:ascii="Times New Roman" w:cs="Times New Roman" w:eastAsia="Times New Roman" w:hAnsi="Times New Roman"/>
                  <w:sz w:val="14"/>
                  <w:szCs w:val="14"/>
                  <w:color w:val="0000FF"/>
                  <w:w w:val="99"/>
                </w:rPr>
                <w:t>Item 6</w:t>
              </w:r>
            </w:hyperlink>
          </w:p>
        </w:tc>
        <w:tc>
          <w:tcPr>
            <w:tcW w:w="500" w:type="dxa"/>
            <w:vAlign w:val="bottom"/>
            <w:gridSpan w:val="2"/>
          </w:tcPr>
          <w:p>
            <w:pPr>
              <w:spacing w:after="0"/>
              <w:rPr>
                <w:sz w:val="14"/>
                <w:szCs w:val="14"/>
                <w:color w:val="auto"/>
              </w:rPr>
            </w:pPr>
          </w:p>
        </w:tc>
        <w:tc>
          <w:tcPr>
            <w:tcW w:w="3480" w:type="dxa"/>
            <w:vAlign w:val="bottom"/>
            <w:gridSpan w:val="9"/>
          </w:tcPr>
          <w:p>
            <w:pPr>
              <w:spacing w:after="0"/>
              <w:rPr>
                <w:rFonts w:ascii="Times New Roman" w:cs="Times New Roman" w:eastAsia="Times New Roman" w:hAnsi="Times New Roman"/>
                <w:sz w:val="14"/>
                <w:szCs w:val="14"/>
                <w:color w:val="0000FF"/>
              </w:rPr>
            </w:pPr>
            <w:hyperlink w:anchor="page54">
              <w:r>
                <w:rPr>
                  <w:rFonts w:ascii="Times New Roman" w:cs="Times New Roman" w:eastAsia="Times New Roman" w:hAnsi="Times New Roman"/>
                  <w:sz w:val="14"/>
                  <w:szCs w:val="14"/>
                  <w:color w:val="0000FF"/>
                </w:rPr>
                <w:t>Exhibits</w:t>
              </w:r>
            </w:hyperlink>
          </w:p>
        </w:tc>
        <w:tc>
          <w:tcPr>
            <w:tcW w:w="4660" w:type="dxa"/>
            <w:vAlign w:val="bottom"/>
            <w:gridSpan w:val="6"/>
          </w:tcPr>
          <w:p>
            <w:pPr>
              <w:spacing w:after="0"/>
              <w:rPr>
                <w:sz w:val="14"/>
                <w:szCs w:val="14"/>
                <w:color w:val="auto"/>
              </w:rPr>
            </w:pPr>
          </w:p>
        </w:tc>
        <w:tc>
          <w:tcPr>
            <w:tcW w:w="2020" w:type="dxa"/>
            <w:vAlign w:val="bottom"/>
            <w:gridSpan w:val="4"/>
          </w:tcPr>
          <w:p>
            <w:pPr>
              <w:jc w:val="center"/>
              <w:ind w:right="240"/>
              <w:spacing w:after="0"/>
              <w:rPr>
                <w:rFonts w:ascii="Times New Roman" w:cs="Times New Roman" w:eastAsia="Times New Roman" w:hAnsi="Times New Roman"/>
                <w:sz w:val="14"/>
                <w:szCs w:val="14"/>
                <w:color w:val="0000FF"/>
                <w:w w:val="99"/>
              </w:rPr>
            </w:pPr>
            <w:hyperlink w:anchor="page54">
              <w:r>
                <w:rPr>
                  <w:rFonts w:ascii="Times New Roman" w:cs="Times New Roman" w:eastAsia="Times New Roman" w:hAnsi="Times New Roman"/>
                  <w:sz w:val="14"/>
                  <w:szCs w:val="14"/>
                  <w:color w:val="0000FF"/>
                  <w:w w:val="99"/>
                </w:rPr>
                <w:t>54</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 w:type="dxa"/>
            <w:vAlign w:val="bottom"/>
          </w:tcPr>
          <w:p>
            <w:pPr>
              <w:spacing w:after="0"/>
              <w:rPr>
                <w:sz w:val="14"/>
                <w:szCs w:val="14"/>
                <w:color w:val="auto"/>
              </w:rPr>
            </w:pPr>
          </w:p>
        </w:tc>
        <w:tc>
          <w:tcPr>
            <w:tcW w:w="880" w:type="dxa"/>
            <w:vAlign w:val="bottom"/>
            <w:gridSpan w:val="3"/>
          </w:tcPr>
          <w:p>
            <w:pPr>
              <w:spacing w:after="0"/>
              <w:rPr>
                <w:rFonts w:ascii="Times New Roman" w:cs="Times New Roman" w:eastAsia="Times New Roman" w:hAnsi="Times New Roman"/>
                <w:sz w:val="14"/>
                <w:szCs w:val="14"/>
                <w:color w:val="0000FF"/>
                <w:w w:val="98"/>
              </w:rPr>
            </w:pPr>
            <w:hyperlink w:anchor="page54">
              <w:r>
                <w:rPr>
                  <w:rFonts w:ascii="Times New Roman" w:cs="Times New Roman" w:eastAsia="Times New Roman" w:hAnsi="Times New Roman"/>
                  <w:sz w:val="14"/>
                  <w:szCs w:val="14"/>
                  <w:color w:val="0000FF"/>
                  <w:w w:val="98"/>
                </w:rPr>
                <w:t>SIGNATURES</w:t>
              </w:r>
            </w:hyperlink>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4"/>
          </w:tcPr>
          <w:p>
            <w:pPr>
              <w:jc w:val="center"/>
              <w:ind w:right="240"/>
              <w:spacing w:after="0"/>
              <w:rPr>
                <w:rFonts w:ascii="Times New Roman" w:cs="Times New Roman" w:eastAsia="Times New Roman" w:hAnsi="Times New Roman"/>
                <w:sz w:val="14"/>
                <w:szCs w:val="14"/>
                <w:color w:val="0000FF"/>
                <w:w w:val="99"/>
              </w:rPr>
            </w:pPr>
            <w:hyperlink w:anchor="page54">
              <w:r>
                <w:rPr>
                  <w:rFonts w:ascii="Times New Roman" w:cs="Times New Roman" w:eastAsia="Times New Roman" w:hAnsi="Times New Roman"/>
                  <w:sz w:val="14"/>
                  <w:szCs w:val="14"/>
                  <w:color w:val="0000FF"/>
                  <w:w w:val="99"/>
                </w:rPr>
                <w:t>55</w:t>
              </w:r>
            </w:hyperlink>
          </w:p>
        </w:tc>
        <w:tc>
          <w:tcPr>
            <w:tcW w:w="0" w:type="dxa"/>
            <w:vAlign w:val="bottom"/>
          </w:tcPr>
          <w:p>
            <w:pPr>
              <w:spacing w:after="0"/>
              <w:rPr>
                <w:sz w:val="1"/>
                <w:szCs w:val="1"/>
                <w:color w:val="auto"/>
              </w:rPr>
            </w:pPr>
          </w:p>
        </w:tc>
      </w:tr>
      <w:tr>
        <w:trPr>
          <w:trHeight w:val="984"/>
        </w:trPr>
        <w:tc>
          <w:tcPr>
            <w:tcW w:w="420" w:type="dxa"/>
            <w:vAlign w:val="bottom"/>
            <w:tcBorders>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 LOOKING STATEMENTS</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This Quarterly Report on Form 10-Q contains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Forward-looking statements contained in this Quarterly Report on Form10-Q include, but are not limited to, statements about:</w:t>
      </w:r>
    </w:p>
    <w:p>
      <w:pPr>
        <w:spacing w:after="0" w:line="195" w:lineRule="exact"/>
        <w:rPr>
          <w:sz w:val="20"/>
          <w:szCs w:val="20"/>
          <w:color w:val="auto"/>
        </w:rPr>
      </w:pPr>
    </w:p>
    <w:p>
      <w:pPr>
        <w:ind w:firstLine="60"/>
        <w:spacing w:after="0" w:line="253" w:lineRule="auto"/>
        <w:tabs>
          <w:tab w:leader="none" w:pos="154"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future financial performance, including our expectations regarding our revenue, cost of revenue, gross profit, Adjusted EBITDA, operating expenses including changes in sales and marketing, general and administrative expenses (including any components of the foregoing), and research and development, and our ability to achieve and maintain future profitability;</w:t>
      </w:r>
    </w:p>
    <w:p>
      <w:pPr>
        <w:ind w:left="340" w:hanging="75"/>
        <w:spacing w:after="0"/>
        <w:tabs>
          <w:tab w:leader="none" w:pos="340" w:val="left"/>
        </w:tabs>
        <w:numPr>
          <w:ilvl w:val="2"/>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plan and our ability to effectively manage our growth;</w:t>
      </w:r>
    </w:p>
    <w:p>
      <w:pPr>
        <w:spacing w:after="0" w:line="181"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anticipated trends, growth rates, and challenges in our business and in the markets in which we operate;</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international expansion plans and ability to continue to expand internationally;</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acceptance of our Connected Fitness Products and services;</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beliefs and objectives for future operations;</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increase sales of our Connected Fitness Products and services;</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further penetrate our existing Subscriber base and maintain and expand our Subscriber base;</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seasonal trends on our results of operations;</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expectations regarding content costs for past use;</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protect, and enhance our intellectual property;</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increased competition in our markets and our ability to compete effectively;</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stay in compliance with laws and regulations that currently apply or become applicable to our business both in the United States and internationally; and</w:t>
      </w:r>
    </w:p>
    <w:p>
      <w:pPr>
        <w:spacing w:after="0" w:line="195" w:lineRule="exact"/>
        <w:rPr>
          <w:rFonts w:ascii="Times New Roman" w:cs="Times New Roman" w:eastAsia="Times New Roman" w:hAnsi="Times New Roman"/>
          <w:sz w:val="13"/>
          <w:szCs w:val="13"/>
          <w:color w:val="auto"/>
        </w:rPr>
      </w:pPr>
    </w:p>
    <w:p>
      <w:pPr>
        <w:ind w:left="120" w:hanging="81"/>
        <w:spacing w:after="0"/>
        <w:tabs>
          <w:tab w:leader="none" w:pos="1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economic and industry trends, projected growth, or trend analysis.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caution you that the foregoing list may not contain all of the forward-looking statements made in this Quarterly Report on Form 10-Q.</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in Part II, Item 1A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this Quarterly Report on Form 10-Q, the words "we," "us," "our" and "Peloton" refer to Peloton Interactive, Inc. and its wholly owned subsidiaries, unless the context requires otherwise.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11" w:right="219"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ectPr>
          <w:pgSz w:w="11900" w:h="16838" w:orient="portrait"/>
          <w:cols w:equalWidth="0" w:num="1">
            <w:col w:w="11100"/>
          </w:cols>
          <w:pgMar w:left="220" w:top="543" w:right="57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7"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PELOTON INTERACTIVE, INC.</w:t>
      </w:r>
    </w:p>
    <w:p>
      <w:pPr>
        <w:spacing w:after="0" w:line="11"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-93345</wp:posOffset>
            </wp:positionV>
            <wp:extent cx="6884035" cy="109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4035" cy="109220"/>
                    </a:xfrm>
                    <a:prstGeom prst="rect">
                      <a:avLst/>
                    </a:prstGeom>
                    <a:noFill/>
                  </pic:spPr>
                </pic:pic>
              </a:graphicData>
            </a:graphic>
          </wp:anchor>
        </w:drawing>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30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4035" cy="130175"/>
                    </a:xfrm>
                    <a:prstGeom prst="rect">
                      <a:avLst/>
                    </a:prstGeom>
                    <a:noFill/>
                  </pic:spPr>
                </pic:pic>
              </a:graphicData>
            </a:graphic>
          </wp:anchor>
        </w:drawing>
      </w:r>
    </w:p>
    <w:p>
      <w:pPr>
        <w:spacing w:after="0" w:line="14" w:lineRule="exact"/>
        <w:rPr>
          <w:sz w:val="20"/>
          <w:szCs w:val="20"/>
          <w:color w:val="auto"/>
        </w:rPr>
      </w:pPr>
    </w:p>
    <w:p>
      <w:pPr>
        <w:ind w:left="540" w:hanging="13"/>
        <w:spacing w:after="0" w:line="315" w:lineRule="auto"/>
        <w:rPr>
          <w:sz w:val="20"/>
          <w:szCs w:val="20"/>
          <w:color w:val="auto"/>
        </w:rPr>
      </w:pPr>
      <w:r>
        <w:rPr>
          <w:rFonts w:ascii="Times New Roman" w:cs="Times New Roman" w:eastAsia="Times New Roman" w:hAnsi="Times New Roman"/>
          <w:sz w:val="13"/>
          <w:szCs w:val="13"/>
          <w:color w:val="auto"/>
        </w:rPr>
        <w:t>Cash and cash equivalents</w:t>
      </w:r>
      <w:r>
        <w:rPr>
          <w:sz w:val="20"/>
          <w:szCs w:val="20"/>
          <w:color w:val="auto"/>
        </w:rPr>
        <w:t xml:space="preserve"> </w:t>
      </w:r>
      <w:r>
        <w:rPr>
          <w:rFonts w:ascii="Times New Roman" w:cs="Times New Roman" w:eastAsia="Times New Roman" w:hAnsi="Times New Roman"/>
          <w:sz w:val="13"/>
          <w:szCs w:val="13"/>
          <w:color w:val="auto"/>
        </w:rPr>
        <w:t>$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128270</wp:posOffset>
            </wp:positionV>
            <wp:extent cx="6884035" cy="130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4035" cy="130175"/>
                    </a:xfrm>
                    <a:prstGeom prst="rect">
                      <a:avLst/>
                    </a:prstGeom>
                    <a:noFill/>
                  </pic:spPr>
                </pic:pic>
              </a:graphicData>
            </a:graphic>
          </wp:anchor>
        </w:drawing>
      </w:r>
    </w:p>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Accounts receivable, net of allowances</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30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4035" cy="130175"/>
                    </a:xfrm>
                    <a:prstGeom prst="rect">
                      <a:avLst/>
                    </a:prstGeom>
                    <a:noFill/>
                  </pic:spPr>
                </pic:pic>
              </a:graphicData>
            </a:graphic>
          </wp:anchor>
        </w:drawing>
      </w:r>
    </w:p>
    <w:p>
      <w:pPr>
        <w:spacing w:after="0" w:line="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Prepaid expenses and other current assets</w:t>
      </w:r>
    </w:p>
    <w:p>
      <w:pPr>
        <w:spacing w:after="0" w:line="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4035" cy="137160"/>
                    </a:xfrm>
                    <a:prstGeom prst="rect">
                      <a:avLst/>
                    </a:prstGeom>
                    <a:noFill/>
                  </pic:spPr>
                </pic:pic>
              </a:graphicData>
            </a:graphic>
          </wp:anchor>
        </w:drawing>
      </w:r>
    </w:p>
    <w:p>
      <w:pPr>
        <w:spacing w:after="0" w:line="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Property and equipment, net</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30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4035" cy="130175"/>
                    </a:xfrm>
                    <a:prstGeom prst="rect">
                      <a:avLst/>
                    </a:prstGeom>
                    <a:noFill/>
                  </pic:spPr>
                </pic:pic>
              </a:graphicData>
            </a:graphic>
          </wp:anchor>
        </w:drawing>
      </w:r>
    </w:p>
    <w:p>
      <w:pPr>
        <w:spacing w:after="0" w:line="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Goodwill</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30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4035" cy="130175"/>
                    </a:xfrm>
                    <a:prstGeom prst="rect">
                      <a:avLst/>
                    </a:prstGeom>
                    <a:noFill/>
                  </pic:spPr>
                </pic:pic>
              </a:graphicData>
            </a:graphic>
          </wp:anchor>
        </w:drawing>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Right-of-use asset</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50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4035" cy="150495"/>
                    </a:xfrm>
                    <a:prstGeom prst="rect">
                      <a:avLst/>
                    </a:prstGeom>
                    <a:noFill/>
                  </pic:spPr>
                </pic:pic>
              </a:graphicData>
            </a:graphic>
          </wp:anchor>
        </w:drawing>
      </w:r>
    </w:p>
    <w:p>
      <w:pPr>
        <w:spacing w:after="0" w:line="24" w:lineRule="exact"/>
        <w:rPr>
          <w:sz w:val="20"/>
          <w:szCs w:val="20"/>
          <w:color w:val="auto"/>
        </w:rPr>
      </w:pPr>
    </w:p>
    <w:tbl>
      <w:tblPr>
        <w:tblLayout w:type="fixed"/>
        <w:tblInd w:w="900" w:type="dxa"/>
        <w:tblCellMar>
          <w:top w:w="0" w:type="dxa"/>
          <w:left w:w="0" w:type="dxa"/>
          <w:bottom w:w="0" w:type="dxa"/>
          <w:right w:w="0" w:type="dxa"/>
        </w:tblCellMar>
      </w:tblPr>
      <w:tr>
        <w:trPr>
          <w:trHeight w:val="167"/>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3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3620" w:type="dxa"/>
            <w:vAlign w:val="bottom"/>
            <w:vMerge w:val="continue"/>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280" w:right="1180"/>
        <w:spacing w:after="0" w:line="321" w:lineRule="auto"/>
        <w:rPr>
          <w:sz w:val="20"/>
          <w:szCs w:val="20"/>
          <w:color w:val="auto"/>
        </w:rPr>
      </w:pPr>
      <w:r>
        <w:rPr>
          <w:rFonts w:ascii="Times New Roman" w:cs="Times New Roman" w:eastAsia="Times New Roman" w:hAnsi="Times New Roman"/>
          <w:sz w:val="13"/>
          <w:szCs w:val="13"/>
          <w:b w:val="1"/>
          <w:bCs w:val="1"/>
          <w:color w:val="auto"/>
        </w:rPr>
        <w:t xml:space="preserve">LIABILITIES, REDEEMABLE CONVERTIBLE PREFERRED STOCK, AND STOCKHOLDERS’ DEFICIT </w:t>
      </w:r>
      <w:r>
        <w:rPr>
          <w:rFonts w:ascii="Times New Roman" w:cs="Times New Roman" w:eastAsia="Times New Roman" w:hAnsi="Times New Roman"/>
          <w:sz w:val="13"/>
          <w:szCs w:val="13"/>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-128905</wp:posOffset>
            </wp:positionV>
            <wp:extent cx="6884035" cy="109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4035" cy="10922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3"/>
          <w:szCs w:val="13"/>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30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4035" cy="130175"/>
                    </a:xfrm>
                    <a:prstGeom prst="rect">
                      <a:avLst/>
                    </a:prstGeom>
                    <a:noFill/>
                  </pic:spPr>
                </pic:pic>
              </a:graphicData>
            </a:graphic>
          </wp:anchor>
        </w:drawing>
      </w:r>
    </w:p>
    <w:p>
      <w:pPr>
        <w:spacing w:after="0" w:line="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Accrued expenses</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Customer deposits and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30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4035" cy="130175"/>
                    </a:xfrm>
                    <a:prstGeom prst="rect">
                      <a:avLst/>
                    </a:prstGeom>
                    <a:noFill/>
                  </pic:spPr>
                </pic:pic>
              </a:graphicData>
            </a:graphic>
          </wp:anchor>
        </w:drawing>
      </w:r>
    </w:p>
    <w:p>
      <w:pPr>
        <w:spacing w:after="0" w:line="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Other current liabilities</w:t>
      </w:r>
    </w:p>
    <w:p>
      <w:pPr>
        <w:spacing w:after="0" w:line="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4035" cy="137160"/>
                    </a:xfrm>
                    <a:prstGeom prst="rect">
                      <a:avLst/>
                    </a:prstGeom>
                    <a:noFill/>
                  </pic:spPr>
                </pic:pic>
              </a:graphicData>
            </a:graphic>
          </wp:anchor>
        </w:drawing>
      </w:r>
    </w:p>
    <w:p>
      <w:pPr>
        <w:spacing w:after="0" w:line="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Deferred rent</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Build-to-suit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30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4035" cy="130175"/>
                    </a:xfrm>
                    <a:prstGeom prst="rect">
                      <a:avLst/>
                    </a:prstGeom>
                    <a:noFill/>
                  </pic:spPr>
                </pic:pic>
              </a:graphicData>
            </a:graphic>
          </wp:anchor>
        </w:drawing>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Long term lease liability</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27940</wp:posOffset>
            </wp:positionV>
            <wp:extent cx="688403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4035" cy="137160"/>
                    </a:xfrm>
                    <a:prstGeom prst="rect">
                      <a:avLst/>
                    </a:prstGeom>
                    <a:noFill/>
                  </pic:spPr>
                </pic:pic>
              </a:graphicData>
            </a:graphic>
          </wp:anchor>
        </w:drawing>
      </w:r>
    </w:p>
    <w:p>
      <w:pPr>
        <w:spacing w:after="0" w:line="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Total liabilities</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191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4035" cy="191770"/>
                    </a:xfrm>
                    <a:prstGeom prst="rect">
                      <a:avLst/>
                    </a:prstGeom>
                    <a:noFill/>
                  </pic:spPr>
                </pic:pic>
              </a:graphicData>
            </a:graphic>
          </wp:anchor>
        </w:drawing>
      </w:r>
    </w:p>
    <w:p>
      <w:pPr>
        <w:spacing w:after="0" w:line="3" w:lineRule="exact"/>
        <w:rPr>
          <w:sz w:val="20"/>
          <w:szCs w:val="20"/>
          <w:color w:val="auto"/>
        </w:rPr>
      </w:pPr>
    </w:p>
    <w:p>
      <w:pPr>
        <w:ind w:left="280" w:right="100"/>
        <w:spacing w:after="0" w:line="238" w:lineRule="auto"/>
        <w:rPr>
          <w:sz w:val="20"/>
          <w:szCs w:val="20"/>
          <w:color w:val="auto"/>
        </w:rPr>
      </w:pPr>
      <w:r>
        <w:rPr>
          <w:rFonts w:ascii="Times New Roman" w:cs="Times New Roman" w:eastAsia="Times New Roman" w:hAnsi="Times New Roman"/>
          <w:sz w:val="13"/>
          <w:szCs w:val="13"/>
          <w:color w:val="auto"/>
        </w:rPr>
        <w:t>Redeemable convertible preferred stock, $0.000025 par value, zero and 215,443,468 shares authorized; zero and 210,640,629 shares issued and outstanding as of September 30, 2019 and June 30, 2019, respectively.</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wp:posOffset>
            </wp:positionV>
            <wp:extent cx="6884035" cy="273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4035" cy="273685"/>
                    </a:xfrm>
                    <a:prstGeom prst="rect">
                      <a:avLst/>
                    </a:prstGeom>
                    <a:noFill/>
                  </pic:spPr>
                </pic:pic>
              </a:graphicData>
            </a:graphic>
          </wp:anchor>
        </w:drawing>
      </w:r>
    </w:p>
    <w:p>
      <w:pPr>
        <w:spacing w:after="0" w:line="3" w:lineRule="exact"/>
        <w:rPr>
          <w:sz w:val="20"/>
          <w:szCs w:val="20"/>
          <w:color w:val="auto"/>
        </w:rPr>
      </w:pPr>
    </w:p>
    <w:p>
      <w:pPr>
        <w:jc w:val="both"/>
        <w:ind w:left="540" w:right="80"/>
        <w:spacing w:after="0" w:line="227" w:lineRule="auto"/>
        <w:rPr>
          <w:sz w:val="20"/>
          <w:szCs w:val="20"/>
          <w:color w:val="auto"/>
        </w:rPr>
      </w:pPr>
      <w:r>
        <w:rPr>
          <w:rFonts w:ascii="Times New Roman" w:cs="Times New Roman" w:eastAsia="Times New Roman" w:hAnsi="Times New Roman"/>
          <w:sz w:val="13"/>
          <w:szCs w:val="13"/>
          <w:color w:val="auto"/>
        </w:rPr>
        <w:t>Common stock, $0.000025 par value; 2,500,000,000 and zero Class A shares authorized, 43,448,475 and zero shares issued and outstanding as of September 30, 2019 and June 30, 2019, respectively; 2,500,000,000 and 400,000,000 Class B shares authorized, 236,819,100 and 25,301,604 shares issued and outstanding as of September 30, 2019 and June 30, 2019, respectively.</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5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Accumulated other comprehensive (loss) income</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Accumulated deficit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Total stockholders’ equity (deficit)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9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liabilities, redeemable convertible preferred stock, and stockholders’ equity (deficit)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5940" w:type="dxa"/>
            <w:vAlign w:val="bottom"/>
            <w:vMerge w:val="continue"/>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-543560</wp:posOffset>
            </wp:positionV>
            <wp:extent cx="6884035" cy="130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4035" cy="13017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-283845</wp:posOffset>
            </wp:positionV>
            <wp:extent cx="688403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403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360" w:type="dxa"/>
            <w:vAlign w:val="bottom"/>
          </w:tcPr>
          <w:p>
            <w:pPr>
              <w:jc w:val="center"/>
              <w:ind w:right="49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Pr>
          <w:p>
            <w:pPr>
              <w:spacing w:after="0"/>
              <w:rPr>
                <w:sz w:val="14"/>
                <w:szCs w:val="14"/>
                <w:color w:val="auto"/>
              </w:rPr>
            </w:pPr>
          </w:p>
        </w:tc>
        <w:tc>
          <w:tcPr>
            <w:tcW w:w="1380" w:type="dxa"/>
            <w:vAlign w:val="bottom"/>
          </w:tcPr>
          <w:p>
            <w:pPr>
              <w:jc w:val="right"/>
              <w:ind w:right="575"/>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205"/>
        </w:trPr>
        <w:tc>
          <w:tcPr>
            <w:tcW w:w="1360" w:type="dxa"/>
            <w:vAlign w:val="bottom"/>
          </w:tcPr>
          <w:p>
            <w:pPr>
              <w:jc w:val="center"/>
              <w:ind w:right="475"/>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60" w:type="dxa"/>
            <w:vAlign w:val="bottom"/>
          </w:tcPr>
          <w:p>
            <w:pPr>
              <w:spacing w:after="0"/>
              <w:rPr>
                <w:sz w:val="17"/>
                <w:szCs w:val="17"/>
                <w:color w:val="auto"/>
              </w:rPr>
            </w:pPr>
          </w:p>
        </w:tc>
        <w:tc>
          <w:tcPr>
            <w:tcW w:w="1380" w:type="dxa"/>
            <w:vAlign w:val="bottom"/>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27"/>
        </w:trPr>
        <w:tc>
          <w:tcPr>
            <w:tcW w:w="1360" w:type="dxa"/>
            <w:vAlign w:val="bottom"/>
            <w:vMerge w:val="restart"/>
          </w:tcPr>
          <w:p>
            <w:pPr>
              <w:jc w:val="center"/>
              <w:ind w:right="495"/>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0"/>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1,375.9</w:t>
            </w:r>
          </w:p>
        </w:tc>
        <w:tc>
          <w:tcPr>
            <w:tcW w:w="360" w:type="dxa"/>
            <w:vAlign w:val="bottom"/>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162.1</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100.4</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216.0</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20.9</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205.6</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136.6</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46.5</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48.4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1,749.3</w:t>
            </w:r>
          </w:p>
        </w:tc>
        <w:tc>
          <w:tcPr>
            <w:tcW w:w="360" w:type="dxa"/>
            <w:vAlign w:val="bottom"/>
          </w:tcPr>
          <w:p>
            <w:pPr>
              <w:spacing w:after="0"/>
              <w:rPr>
                <w:sz w:val="14"/>
                <w:szCs w:val="14"/>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581.7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119.7</w:t>
            </w:r>
          </w:p>
        </w:tc>
        <w:tc>
          <w:tcPr>
            <w:tcW w:w="360" w:type="dxa"/>
            <w:vAlign w:val="bottom"/>
          </w:tcPr>
          <w:p>
            <w:pPr>
              <w:spacing w:after="0"/>
              <w:rPr>
                <w:sz w:val="14"/>
                <w:szCs w:val="14"/>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249.7</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18.3</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4.3</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0.8</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485.5</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9.9</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2,387.7</w:t>
            </w:r>
          </w:p>
        </w:tc>
        <w:tc>
          <w:tcPr>
            <w:tcW w:w="360" w:type="dxa"/>
            <w:vAlign w:val="bottom"/>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864.5</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90.7</w:t>
            </w:r>
          </w:p>
        </w:tc>
        <w:tc>
          <w:tcPr>
            <w:tcW w:w="360" w:type="dxa"/>
            <w:vAlign w:val="bottom"/>
          </w:tcPr>
          <w:p>
            <w:pPr>
              <w:spacing w:after="0"/>
              <w:rPr>
                <w:sz w:val="24"/>
                <w:szCs w:val="24"/>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92.2</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116.2</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104.5</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99.2</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90.8</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21.4</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327.6</w:t>
            </w:r>
          </w:p>
        </w:tc>
        <w:tc>
          <w:tcPr>
            <w:tcW w:w="360" w:type="dxa"/>
            <w:vAlign w:val="bottom"/>
          </w:tcPr>
          <w:p>
            <w:pPr>
              <w:spacing w:after="0"/>
              <w:rPr>
                <w:sz w:val="14"/>
                <w:szCs w:val="14"/>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290.8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23.7</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147.1</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483.8</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0.4</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811.8</w:t>
            </w:r>
          </w:p>
        </w:tc>
        <w:tc>
          <w:tcPr>
            <w:tcW w:w="360" w:type="dxa"/>
            <w:vAlign w:val="bottom"/>
          </w:tcPr>
          <w:p>
            <w:pPr>
              <w:spacing w:after="0"/>
              <w:rPr>
                <w:sz w:val="14"/>
                <w:szCs w:val="14"/>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462.0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8"/>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24"/>
                <w:szCs w:val="24"/>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941.1</w:t>
            </w:r>
          </w:p>
        </w:tc>
        <w:tc>
          <w:tcPr>
            <w:tcW w:w="0" w:type="dxa"/>
            <w:vAlign w:val="bottom"/>
          </w:tcPr>
          <w:p>
            <w:pPr>
              <w:spacing w:after="0"/>
              <w:rPr>
                <w:sz w:val="1"/>
                <w:szCs w:val="1"/>
                <w:color w:val="auto"/>
              </w:rPr>
            </w:pPr>
          </w:p>
        </w:tc>
      </w:tr>
      <w:tr>
        <w:trPr>
          <w:trHeight w:val="603"/>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24"/>
                <w:szCs w:val="24"/>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5"/>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2,249.1</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90.7</w:t>
            </w:r>
          </w:p>
        </w:tc>
        <w:tc>
          <w:tcPr>
            <w:tcW w:w="0" w:type="dxa"/>
            <w:vAlign w:val="bottom"/>
          </w:tcPr>
          <w:p>
            <w:pPr>
              <w:spacing w:after="0"/>
              <w:rPr>
                <w:sz w:val="1"/>
                <w:szCs w:val="1"/>
                <w:color w:val="auto"/>
              </w:rPr>
            </w:pPr>
          </w:p>
        </w:tc>
      </w:tr>
      <w:tr>
        <w:trPr>
          <w:trHeight w:val="205"/>
        </w:trPr>
        <w:tc>
          <w:tcPr>
            <w:tcW w:w="136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(1.1)</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205"/>
        </w:trPr>
        <w:tc>
          <w:tcPr>
            <w:tcW w:w="136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(672.0)</w:t>
            </w:r>
          </w:p>
        </w:tc>
        <w:tc>
          <w:tcPr>
            <w:tcW w:w="3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(629.5)</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1,576.0</w:t>
            </w:r>
          </w:p>
        </w:tc>
        <w:tc>
          <w:tcPr>
            <w:tcW w:w="360" w:type="dxa"/>
            <w:vAlign w:val="bottom"/>
          </w:tcPr>
          <w:p>
            <w:pPr>
              <w:spacing w:after="0"/>
              <w:rPr>
                <w:sz w:val="14"/>
                <w:szCs w:val="14"/>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(538.6)</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2,387.7</w:t>
            </w:r>
          </w:p>
        </w:tc>
        <w:tc>
          <w:tcPr>
            <w:tcW w:w="360" w:type="dxa"/>
            <w:vAlign w:val="bottom"/>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864.5</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-26670</wp:posOffset>
            </wp:positionV>
            <wp:extent cx="11087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8710" cy="698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-6350</wp:posOffset>
            </wp:positionV>
            <wp:extent cx="110871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8710" cy="698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-163830</wp:posOffset>
            </wp:positionV>
            <wp:extent cx="110871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8710" cy="698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-1374775</wp:posOffset>
            </wp:positionV>
            <wp:extent cx="11087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8710" cy="698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-2175510</wp:posOffset>
            </wp:positionV>
            <wp:extent cx="11087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8710" cy="698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-2927985</wp:posOffset>
            </wp:positionV>
            <wp:extent cx="110871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8710" cy="698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-4009390</wp:posOffset>
            </wp:positionV>
            <wp:extent cx="110871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8710" cy="698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-5015230</wp:posOffset>
            </wp:positionV>
            <wp:extent cx="11087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8710" cy="698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7600" w:space="400"/>
            <w:col w:w="3100"/>
          </w:cols>
          <w:pgMar w:left="220" w:top="543" w:right="579" w:bottom="1440" w:gutter="0" w:footer="0" w:header="0"/>
          <w:type w:val="continuous"/>
        </w:sectPr>
      </w:pPr>
    </w:p>
    <w:p>
      <w:pPr>
        <w:ind w:left="3420"/>
        <w:spacing w:after="0"/>
        <w:rPr>
          <w:sz w:val="20"/>
          <w:szCs w:val="20"/>
          <w:color w:val="auto"/>
        </w:rPr>
      </w:pPr>
      <w:r>
        <w:rPr>
          <w:rFonts w:ascii="Times New Roman" w:cs="Times New Roman" w:eastAsia="Times New Roman" w:hAnsi="Times New Roman"/>
          <w:sz w:val="12"/>
          <w:szCs w:val="12"/>
          <w:i w:val="1"/>
          <w:iCs w:val="1"/>
          <w:color w:val="auto"/>
        </w:rPr>
        <w:t>See accompanying notes to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100"/>
          </w:cols>
          <w:pgMar w:left="220" w:top="543" w:right="579" w:bottom="1440" w:gutter="0" w:footer="0" w:header="0"/>
          <w:type w:val="continuous"/>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PELOTON INTERACTIVE, INC.</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60" w:type="dxa"/>
            <w:vAlign w:val="bottom"/>
            <w:gridSpan w:val="4"/>
          </w:tcPr>
          <w:p>
            <w:pPr>
              <w:jc w:val="right"/>
              <w:ind w:right="71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63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635"/>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72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Revenue</w:t>
            </w: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42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157.6</w:t>
            </w:r>
          </w:p>
        </w:tc>
        <w:tc>
          <w:tcPr>
            <w:tcW w:w="100" w:type="dxa"/>
            <w:vAlign w:val="bottom"/>
          </w:tcPr>
          <w:p>
            <w:pPr>
              <w:spacing w:after="0"/>
              <w:rPr>
                <w:sz w:val="17"/>
                <w:szCs w:val="17"/>
                <w:color w:val="auto"/>
              </w:rPr>
            </w:pPr>
          </w:p>
        </w:tc>
        <w:tc>
          <w:tcPr>
            <w:tcW w:w="440" w:type="dxa"/>
            <w:vAlign w:val="bottom"/>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77.9</w:t>
            </w:r>
          </w:p>
        </w:tc>
        <w:tc>
          <w:tcPr>
            <w:tcW w:w="0" w:type="dxa"/>
            <w:vAlign w:val="bottom"/>
          </w:tcPr>
          <w:p>
            <w:pPr>
              <w:spacing w:after="0"/>
              <w:rPr>
                <w:sz w:val="1"/>
                <w:szCs w:val="1"/>
                <w:color w:val="auto"/>
              </w:rPr>
            </w:pPr>
          </w:p>
        </w:tc>
      </w:tr>
      <w:tr>
        <w:trPr>
          <w:trHeight w:val="207"/>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Subscription</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202"/>
        </w:trPr>
        <w:tc>
          <w:tcPr>
            <w:tcW w:w="7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98"/>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revenue</w:t>
            </w: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228.0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112.1</w:t>
            </w:r>
          </w:p>
        </w:tc>
        <w:tc>
          <w:tcPr>
            <w:tcW w:w="0" w:type="dxa"/>
            <w:vAlign w:val="bottom"/>
          </w:tcPr>
          <w:p>
            <w:pPr>
              <w:spacing w:after="0"/>
              <w:rPr>
                <w:sz w:val="1"/>
                <w:szCs w:val="1"/>
                <w:color w:val="auto"/>
              </w:rPr>
            </w:pPr>
          </w:p>
        </w:tc>
      </w:tr>
      <w:tr>
        <w:trPr>
          <w:trHeight w:val="150"/>
        </w:trPr>
        <w:tc>
          <w:tcPr>
            <w:tcW w:w="726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Cost of revenue</w:t>
            </w: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42.2</w:t>
            </w:r>
          </w:p>
        </w:tc>
        <w:tc>
          <w:tcPr>
            <w:tcW w:w="0" w:type="dxa"/>
            <w:vAlign w:val="bottom"/>
          </w:tcPr>
          <w:p>
            <w:pPr>
              <w:spacing w:after="0"/>
              <w:rPr>
                <w:sz w:val="1"/>
                <w:szCs w:val="1"/>
                <w:color w:val="auto"/>
              </w:rPr>
            </w:pPr>
          </w:p>
        </w:tc>
      </w:tr>
      <w:tr>
        <w:trPr>
          <w:trHeight w:val="202"/>
        </w:trPr>
        <w:tc>
          <w:tcPr>
            <w:tcW w:w="7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Subscription</w:t>
            </w:r>
          </w:p>
        </w:tc>
        <w:tc>
          <w:tcPr>
            <w:tcW w:w="420" w:type="dxa"/>
            <w:vAlign w:val="bottom"/>
          </w:tcPr>
          <w:p>
            <w:pPr>
              <w:spacing w:after="0"/>
              <w:rPr>
                <w:sz w:val="17"/>
                <w:szCs w:val="17"/>
                <w:color w:val="auto"/>
              </w:rPr>
            </w:pP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cost of revenue</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122.9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60.6</w:t>
            </w:r>
          </w:p>
        </w:tc>
        <w:tc>
          <w:tcPr>
            <w:tcW w:w="0" w:type="dxa"/>
            <w:vAlign w:val="bottom"/>
          </w:tcPr>
          <w:p>
            <w:pPr>
              <w:spacing w:after="0"/>
              <w:rPr>
                <w:sz w:val="1"/>
                <w:szCs w:val="1"/>
                <w:color w:val="auto"/>
              </w:rPr>
            </w:pPr>
          </w:p>
        </w:tc>
      </w:tr>
      <w:tr>
        <w:trPr>
          <w:trHeight w:val="19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51.5</w:t>
            </w:r>
          </w:p>
        </w:tc>
        <w:tc>
          <w:tcPr>
            <w:tcW w:w="0" w:type="dxa"/>
            <w:vAlign w:val="bottom"/>
          </w:tcPr>
          <w:p>
            <w:pPr>
              <w:spacing w:after="0"/>
              <w:rPr>
                <w:sz w:val="1"/>
                <w:szCs w:val="1"/>
                <w:color w:val="auto"/>
              </w:rPr>
            </w:pPr>
          </w:p>
        </w:tc>
      </w:tr>
      <w:tr>
        <w:trPr>
          <w:trHeight w:val="170"/>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Sales and marketing</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45.5</w:t>
            </w:r>
          </w:p>
        </w:tc>
        <w:tc>
          <w:tcPr>
            <w:tcW w:w="0" w:type="dxa"/>
            <w:vAlign w:val="bottom"/>
          </w:tcPr>
          <w:p>
            <w:pPr>
              <w:spacing w:after="0"/>
              <w:rPr>
                <w:sz w:val="1"/>
                <w:szCs w:val="1"/>
                <w:color w:val="auto"/>
              </w:rPr>
            </w:pPr>
          </w:p>
        </w:tc>
      </w:tr>
      <w:tr>
        <w:trPr>
          <w:trHeight w:val="202"/>
        </w:trPr>
        <w:tc>
          <w:tcPr>
            <w:tcW w:w="7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420" w:type="dxa"/>
            <w:vAlign w:val="bottom"/>
          </w:tcPr>
          <w:p>
            <w:pPr>
              <w:spacing w:after="0"/>
              <w:rPr>
                <w:sz w:val="17"/>
                <w:szCs w:val="17"/>
                <w:color w:val="auto"/>
              </w:rPr>
            </w:pP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60.9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156.0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107.1</w:t>
            </w:r>
          </w:p>
        </w:tc>
        <w:tc>
          <w:tcPr>
            <w:tcW w:w="0" w:type="dxa"/>
            <w:vAlign w:val="bottom"/>
          </w:tcPr>
          <w:p>
            <w:pPr>
              <w:spacing w:after="0"/>
              <w:rPr>
                <w:sz w:val="1"/>
                <w:szCs w:val="1"/>
                <w:color w:val="auto"/>
              </w:rPr>
            </w:pPr>
          </w:p>
        </w:tc>
      </w:tr>
      <w:tr>
        <w:trPr>
          <w:trHeight w:val="19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from operations</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(50.9)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(55.6)</w:t>
            </w:r>
          </w:p>
        </w:tc>
        <w:tc>
          <w:tcPr>
            <w:tcW w:w="0" w:type="dxa"/>
            <w:vAlign w:val="bottom"/>
          </w:tcPr>
          <w:p>
            <w:pPr>
              <w:spacing w:after="0"/>
              <w:rPr>
                <w:sz w:val="1"/>
                <w:szCs w:val="1"/>
                <w:color w:val="auto"/>
              </w:rPr>
            </w:pPr>
          </w:p>
        </w:tc>
      </w:tr>
      <w:tr>
        <w:trPr>
          <w:trHeight w:val="170"/>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Interest income, net</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2"/>
        </w:trPr>
        <w:tc>
          <w:tcPr>
            <w:tcW w:w="7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expense, net</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Total other income, net</w:t>
            </w: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9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420" w:type="dxa"/>
            <w:vAlign w:val="bottom"/>
          </w:tcPr>
          <w:p>
            <w:pPr>
              <w:spacing w:after="0"/>
              <w:rPr>
                <w:sz w:val="17"/>
                <w:szCs w:val="17"/>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42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Pr>
          <w:p>
            <w:pPr>
              <w:spacing w:after="0"/>
              <w:rPr>
                <w:sz w:val="14"/>
                <w:szCs w:val="14"/>
                <w:color w:val="auto"/>
              </w:rPr>
            </w:pPr>
          </w:p>
        </w:tc>
        <w:tc>
          <w:tcPr>
            <w:tcW w:w="440" w:type="dxa"/>
            <w:vAlign w:val="bottom"/>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27"/>
        </w:trPr>
        <w:tc>
          <w:tcPr>
            <w:tcW w:w="7260" w:type="dxa"/>
            <w:vAlign w:val="bottom"/>
            <w:vMerge w:val="continue"/>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Class A and Class B common stockholders</w:t>
            </w:r>
          </w:p>
        </w:tc>
        <w:tc>
          <w:tcPr>
            <w:tcW w:w="42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per share attributable to Class A and Class B common stockholders, basic and diluted</w:t>
            </w:r>
          </w:p>
        </w:tc>
        <w:tc>
          <w:tcPr>
            <w:tcW w:w="4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Class A and Class B common shares outstanding, basic and diluted</w:t>
            </w: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38,453,864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24,999,075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2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 in unrealized gain (loss) on marketable securities</w:t>
            </w: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8"/>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 in foreign currency translation adjustment</w:t>
            </w:r>
          </w:p>
        </w:tc>
        <w:tc>
          <w:tcPr>
            <w:tcW w:w="420" w:type="dxa"/>
            <w:vAlign w:val="bottom"/>
          </w:tcPr>
          <w:p>
            <w:pPr>
              <w:spacing w:after="0"/>
              <w:rPr>
                <w:sz w:val="15"/>
                <w:szCs w:val="15"/>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93"/>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4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(54.6)</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i w:val="1"/>
          <w:iCs w:val="1"/>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49530</wp:posOffset>
            </wp:positionV>
            <wp:extent cx="729996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0840"/>
          </w:cols>
          <w:pgMar w:left="480" w:top="123" w:right="57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PELOTON INTERACTIVE, INC.</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spacing w:after="0"/>
              <w:rPr>
                <w:sz w:val="14"/>
                <w:szCs w:val="14"/>
                <w:color w:val="auto"/>
              </w:rPr>
            </w:pPr>
          </w:p>
        </w:tc>
        <w:tc>
          <w:tcPr>
            <w:tcW w:w="2940" w:type="dxa"/>
            <w:vAlign w:val="bottom"/>
            <w:gridSpan w:val="4"/>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320" w:type="dxa"/>
            <w:vAlign w:val="bottom"/>
          </w:tcPr>
          <w:p>
            <w:pPr>
              <w:spacing w:after="0"/>
              <w:rPr>
                <w:sz w:val="14"/>
                <w:szCs w:val="14"/>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2019</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10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Pr>
          <w:p>
            <w:pPr>
              <w:spacing w:after="0"/>
              <w:rPr>
                <w:sz w:val="15"/>
                <w:szCs w:val="15"/>
                <w:color w:val="auto"/>
              </w:rPr>
            </w:pPr>
          </w:p>
        </w:tc>
        <w:tc>
          <w:tcPr>
            <w:tcW w:w="1120" w:type="dxa"/>
            <w:vAlign w:val="bottom"/>
          </w:tcPr>
          <w:p>
            <w:pPr>
              <w:jc w:val="right"/>
              <w:ind w:right="9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3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108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178"/>
        </w:trPr>
        <w:tc>
          <w:tcPr>
            <w:tcW w:w="73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108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Amortization of premium from marketable securities</w:t>
            </w: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73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Non-cash operating lease expense</w:t>
            </w:r>
          </w:p>
        </w:tc>
        <w:tc>
          <w:tcPr>
            <w:tcW w:w="108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3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Accounts receivable</w:t>
            </w:r>
          </w:p>
        </w:tc>
        <w:tc>
          <w:tcPr>
            <w:tcW w:w="1080" w:type="dxa"/>
            <w:vAlign w:val="bottom"/>
          </w:tcPr>
          <w:p>
            <w:pPr>
              <w:spacing w:after="0"/>
              <w:rPr>
                <w:sz w:val="15"/>
                <w:szCs w:val="15"/>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Inventories</w:t>
            </w: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(69.1)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178"/>
        </w:trPr>
        <w:tc>
          <w:tcPr>
            <w:tcW w:w="73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8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Other assets</w:t>
            </w: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8"/>
        </w:trPr>
        <w:tc>
          <w:tcPr>
            <w:tcW w:w="73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08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Customer deposits and deferred revenue</w:t>
            </w: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8"/>
        </w:trPr>
        <w:tc>
          <w:tcPr>
            <w:tcW w:w="73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Operating lease liabilities, net</w:t>
            </w:r>
          </w:p>
        </w:tc>
        <w:tc>
          <w:tcPr>
            <w:tcW w:w="1080" w:type="dxa"/>
            <w:vAlign w:val="bottom"/>
          </w:tcPr>
          <w:p>
            <w:pPr>
              <w:spacing w:after="0"/>
              <w:rPr>
                <w:sz w:val="15"/>
                <w:szCs w:val="15"/>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Other liabilities</w:t>
            </w:r>
          </w:p>
        </w:tc>
        <w:tc>
          <w:tcPr>
            <w:tcW w:w="10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9"/>
        </w:trPr>
        <w:tc>
          <w:tcPr>
            <w:tcW w:w="73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0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(76.2)</w:t>
            </w: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10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108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115.3</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0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69"/>
        </w:trPr>
        <w:tc>
          <w:tcPr>
            <w:tcW w:w="732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0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92.8</w:t>
            </w: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10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issuance of common stock upon initial public offering, net of offering costs</w:t>
            </w:r>
          </w:p>
        </w:tc>
        <w:tc>
          <w:tcPr>
            <w:tcW w:w="108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1,195.7</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issuance of redeemable convertible preferred stock, net of issuance costs</w:t>
            </w:r>
          </w:p>
        </w:tc>
        <w:tc>
          <w:tcPr>
            <w:tcW w:w="10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539.1</w:t>
            </w:r>
          </w:p>
        </w:tc>
        <w:tc>
          <w:tcPr>
            <w:tcW w:w="0" w:type="dxa"/>
            <w:vAlign w:val="bottom"/>
          </w:tcPr>
          <w:p>
            <w:pPr>
              <w:spacing w:after="0"/>
              <w:rPr>
                <w:sz w:val="1"/>
                <w:szCs w:val="1"/>
                <w:color w:val="auto"/>
              </w:rPr>
            </w:pPr>
          </w:p>
        </w:tc>
      </w:tr>
      <w:tr>
        <w:trPr>
          <w:trHeight w:val="17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08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0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1,198.4</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539.3</w:t>
            </w:r>
          </w:p>
        </w:tc>
        <w:tc>
          <w:tcPr>
            <w:tcW w:w="0" w:type="dxa"/>
            <w:vAlign w:val="bottom"/>
          </w:tcPr>
          <w:p>
            <w:pPr>
              <w:spacing w:after="0"/>
              <w:rPr>
                <w:sz w:val="1"/>
                <w:szCs w:val="1"/>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w:t>
            </w:r>
          </w:p>
        </w:tc>
        <w:tc>
          <w:tcPr>
            <w:tcW w:w="10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cash</w:t>
            </w:r>
          </w:p>
        </w:tc>
        <w:tc>
          <w:tcPr>
            <w:tcW w:w="10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1,213.7</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497.8</w:t>
            </w:r>
          </w:p>
        </w:tc>
        <w:tc>
          <w:tcPr>
            <w:tcW w:w="0" w:type="dxa"/>
            <w:vAlign w:val="bottom"/>
          </w:tcPr>
          <w:p>
            <w:pPr>
              <w:spacing w:after="0"/>
              <w:rPr>
                <w:sz w:val="1"/>
                <w:szCs w:val="1"/>
                <w:color w:val="auto"/>
              </w:rPr>
            </w:pPr>
          </w:p>
        </w:tc>
      </w:tr>
      <w:tr>
        <w:trPr>
          <w:trHeight w:val="178"/>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 Beginning of period</w:t>
            </w:r>
          </w:p>
        </w:tc>
        <w:tc>
          <w:tcPr>
            <w:tcW w:w="108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163.0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151.6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 End of period</w:t>
            </w: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1,376.7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649.5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3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paid for interest</w:t>
            </w:r>
          </w:p>
        </w:tc>
        <w:tc>
          <w:tcPr>
            <w:tcW w:w="108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Disclosures of Non-Cash Investing and Financing Information:</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3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Conversion of convertible preferred stock to common stock</w:t>
            </w: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941.1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Property and equipment accrued but unpaid</w:t>
            </w:r>
          </w:p>
        </w:tc>
        <w:tc>
          <w:tcPr>
            <w:tcW w:w="108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Stock-based compensation capitalized for software development costs</w:t>
            </w: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i w:val="1"/>
          <w:iCs w:val="1"/>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49530</wp:posOffset>
            </wp:positionV>
            <wp:extent cx="729996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0840"/>
          </w:cols>
          <w:pgMar w:left="480" w:top="123" w:right="579" w:bottom="1440" w:gutter="0" w:footer="0" w:header="0"/>
        </w:sectPr>
      </w:pPr>
    </w:p>
    <w:bookmarkStart w:id="6" w:name="page7"/>
    <w:bookmarkEnd w:id="6"/>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PELOTON INTERACTIVE, INC.</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REDEEMABLE CONVERTIBLE PREFERRED STOCK AND STOCKHOLDERS’ EQUITY (DEFICIT)</w:t>
      </w:r>
    </w:p>
    <w:p>
      <w:pPr>
        <w:spacing w:after="0" w:line="1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92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Redeemable Convertible</w:t>
            </w:r>
          </w:p>
        </w:tc>
        <w:tc>
          <w:tcPr>
            <w:tcW w:w="182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Class A and Class B Common</w:t>
            </w:r>
          </w:p>
        </w:tc>
        <w:tc>
          <w:tcPr>
            <w:tcW w:w="120" w:type="dxa"/>
            <w:vAlign w:val="bottom"/>
          </w:tcPr>
          <w:p>
            <w:pPr>
              <w:spacing w:after="0"/>
              <w:rPr>
                <w:sz w:val="14"/>
                <w:szCs w:val="14"/>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9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Preferred Stock</w:t>
            </w:r>
          </w:p>
        </w:tc>
        <w:tc>
          <w:tcPr>
            <w:tcW w:w="700" w:type="dxa"/>
            <w:vAlign w:val="bottom"/>
          </w:tcPr>
          <w:p>
            <w:pPr>
              <w:spacing w:after="0"/>
              <w:rPr>
                <w:sz w:val="4"/>
                <w:szCs w:val="4"/>
                <w:color w:val="auto"/>
              </w:rPr>
            </w:pPr>
          </w:p>
        </w:tc>
        <w:tc>
          <w:tcPr>
            <w:tcW w:w="3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340" w:type="dxa"/>
            <w:vAlign w:val="bottom"/>
          </w:tcPr>
          <w:p>
            <w:pPr>
              <w:spacing w:after="0"/>
              <w:rPr>
                <w:sz w:val="10"/>
                <w:szCs w:val="10"/>
                <w:color w:val="auto"/>
              </w:rPr>
            </w:pPr>
          </w:p>
        </w:tc>
        <w:tc>
          <w:tcPr>
            <w:tcW w:w="1920" w:type="dxa"/>
            <w:vAlign w:val="bottom"/>
            <w:gridSpan w:val="5"/>
            <w:vMerge w:val="continue"/>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940" w:type="dxa"/>
            <w:vAlign w:val="bottom"/>
            <w:gridSpan w:val="3"/>
            <w:vMerge w:val="restart"/>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40" w:type="dxa"/>
            <w:vAlign w:val="bottom"/>
            <w:vMerge w:val="restart"/>
          </w:tcPr>
          <w:p>
            <w:pPr>
              <w:jc w:val="right"/>
              <w:ind w:right="15"/>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Equity (Deficit)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June 30, 2018</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176.3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406.3</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(336.1)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(315.6)</w:t>
            </w:r>
          </w:p>
        </w:tc>
        <w:tc>
          <w:tcPr>
            <w:tcW w:w="0" w:type="dxa"/>
            <w:vAlign w:val="bottom"/>
          </w:tcPr>
          <w:p>
            <w:pPr>
              <w:spacing w:after="0"/>
              <w:rPr>
                <w:sz w:val="1"/>
                <w:szCs w:val="1"/>
                <w:color w:val="auto"/>
              </w:rPr>
            </w:pPr>
          </w:p>
        </w:tc>
      </w:tr>
      <w:tr>
        <w:trPr>
          <w:trHeight w:val="173"/>
        </w:trPr>
        <w:tc>
          <w:tcPr>
            <w:tcW w:w="33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9"/>
              </w:rPr>
              <w:t>Issuance of Series F redeemable convertible preferred stock,</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539.1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78"/>
        </w:trPr>
        <w:tc>
          <w:tcPr>
            <w:tcW w:w="3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8"/>
        </w:trPr>
        <w:tc>
          <w:tcPr>
            <w:tcW w:w="3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(54.5)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September 30, 2018</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214.4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945.4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(390.6)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(368.7)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3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June 30, 2019</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210.6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941.1</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90.7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(629.5)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(538.6)</w:t>
            </w:r>
          </w:p>
        </w:tc>
        <w:tc>
          <w:tcPr>
            <w:tcW w:w="0" w:type="dxa"/>
            <w:vAlign w:val="bottom"/>
          </w:tcPr>
          <w:p>
            <w:pPr>
              <w:spacing w:after="0"/>
              <w:rPr>
                <w:sz w:val="1"/>
                <w:szCs w:val="1"/>
                <w:color w:val="auto"/>
              </w:rPr>
            </w:pPr>
          </w:p>
        </w:tc>
      </w:tr>
      <w:tr>
        <w:trPr>
          <w:trHeight w:val="202"/>
        </w:trPr>
        <w:tc>
          <w:tcPr>
            <w:tcW w:w="3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Initial public offering, net of issuance costs of $6.3 million</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1,195.7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1,195.7</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Conversion of redeemable convertible preferred stock to</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(210.6)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(941.1)</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941.1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941.1</w:t>
            </w:r>
          </w:p>
        </w:tc>
        <w:tc>
          <w:tcPr>
            <w:tcW w:w="0" w:type="dxa"/>
            <w:vAlign w:val="bottom"/>
          </w:tcPr>
          <w:p>
            <w:pPr>
              <w:spacing w:after="0"/>
              <w:rPr>
                <w:sz w:val="1"/>
                <w:szCs w:val="1"/>
                <w:color w:val="auto"/>
              </w:rPr>
            </w:pPr>
          </w:p>
        </w:tc>
      </w:tr>
      <w:tr>
        <w:trPr>
          <w:trHeight w:val="178"/>
        </w:trPr>
        <w:tc>
          <w:tcPr>
            <w:tcW w:w="3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warrants</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3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8"/>
        </w:trPr>
        <w:tc>
          <w:tcPr>
            <w:tcW w:w="3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(49.8)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9"/>
              </w:rPr>
              <w:t>Cumulative effect adjustment in connection with adoption of</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ASU 2016-02</w:t>
            </w: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97"/>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 September 30, 2019</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2,249.1</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7"/>
                <w:szCs w:val="17"/>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(672.0)</w:t>
            </w:r>
          </w:p>
        </w:tc>
        <w:tc>
          <w:tcPr>
            <w:tcW w:w="8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1,576.0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49530</wp:posOffset>
            </wp:positionV>
            <wp:extent cx="729996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020"/>
          </w:cols>
          <w:pgMar w:left="480" w:top="123"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PELOTON INTERACTIVE,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Description of Business and Basis of Presentation</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Description and Organization</w:t>
      </w:r>
    </w:p>
    <w:p>
      <w:pPr>
        <w:spacing w:after="0" w:line="38"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Peloton Interactive, Inc. ("Peloton" or the “Company”) is the largest interactive fitness platform in the world with a loyal community of Members, which we define as any individual who has a Peloton account.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147"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The Company organizes its business into the following three reportable segments: Connected Fitness Products, Subscription and Other. See Note 14 of the notes to our condensed consolidated financial statements in Part I, Item 1 of this Quarterly Report on Form 10-Q for further discussion of the Company's segment reporting structure.</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Initial Public Offering and Concurrent Private Placement</w:t>
      </w:r>
    </w:p>
    <w:p>
      <w:pPr>
        <w:spacing w:after="0" w:line="38" w:lineRule="exact"/>
        <w:rPr>
          <w:sz w:val="20"/>
          <w:szCs w:val="20"/>
          <w:color w:val="auto"/>
        </w:rPr>
      </w:pPr>
    </w:p>
    <w:p>
      <w:pPr>
        <w:jc w:val="both"/>
        <w:ind w:left="260"/>
        <w:spacing w:after="0" w:line="249" w:lineRule="auto"/>
        <w:rPr>
          <w:sz w:val="20"/>
          <w:szCs w:val="20"/>
          <w:color w:val="auto"/>
        </w:rPr>
      </w:pPr>
      <w:r>
        <w:rPr>
          <w:rFonts w:ascii="Times New Roman" w:cs="Times New Roman" w:eastAsia="Times New Roman" w:hAnsi="Times New Roman"/>
          <w:sz w:val="13"/>
          <w:szCs w:val="13"/>
          <w:color w:val="auto"/>
        </w:rPr>
        <w:t>In September 2019, the Company closed its initial public offering ("IPO") and a concurrent private placement, in which it issued and sold 43,448,275 shares of its authorized Class A common stock. The price per share to the public in the IPO and in the concurrent private placement was $29.00 per share. The Company received aggregate proceeds of $1.2 billion from the IPO and the concurrent private placement, net of the underwriting discount and before deducting offering costs of approximately $6.3 million. Prior to the closing of the IPO, all shares of the Company's common stock then outstanding were reclassified into 25,301,604 shares of Class B common stock, and upon the closing of the IPO, all shares of the Company's then outstanding preferred stock automatically converted into 210,640,629 shares of Class B common stock on a one-to-one basis.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Basis of Presentation and Consolidation</w:t>
      </w:r>
    </w:p>
    <w:p>
      <w:pPr>
        <w:spacing w:after="0" w:line="38" w:lineRule="exact"/>
        <w:rPr>
          <w:sz w:val="20"/>
          <w:szCs w:val="20"/>
          <w:color w:val="auto"/>
        </w:rPr>
      </w:pPr>
    </w:p>
    <w:p>
      <w:pPr>
        <w:jc w:val="both"/>
        <w:ind w:left="260"/>
        <w:spacing w:after="0" w:line="249" w:lineRule="auto"/>
        <w:rPr>
          <w:sz w:val="20"/>
          <w:szCs w:val="20"/>
          <w:color w:val="auto"/>
        </w:rPr>
      </w:pPr>
      <w:r>
        <w:rPr>
          <w:rFonts w:ascii="Times New Roman" w:cs="Times New Roman" w:eastAsia="Times New Roman" w:hAnsi="Times New Roman"/>
          <w:sz w:val="13"/>
          <w:szCs w:val="13"/>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Certain information and note disclosures normally included in the financial statements prepared in accordance with GAAP have been condensed or omitted pursuant to such rules and regulations. Therefore, these interim condensed consolidated financial statements should be read in conjunction with the consolidated financial statements and notes included in the final prospectus dated September 25, 2019 and filed with the SEC pursuant to Rule 424(b) under the Securities Act of 1933, as amended, (the "Securities Act"), on September 26, 2019 (the "Prospectus"). However, the Company believes that the disclosures provided herein are adequate to prevent the information presented from being misleading.</w:t>
      </w:r>
    </w:p>
    <w:p>
      <w:pPr>
        <w:spacing w:after="0" w:line="151"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The condensed consolidated financial statements include the accounts of the Company and its wholly-owned subsidiaries. All significant intercompany balances and transactions have been eliminated in consolidation.</w:t>
      </w:r>
    </w:p>
    <w:p>
      <w:pPr>
        <w:spacing w:after="0" w:line="159"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The condensed consolidated balance sheet as of June 30, 2019, included herein, was derived from the audited financial statements as of that date, but does not include all disclosures including certain notes required by GAAP on an annual reporting basis.</w:t>
      </w:r>
    </w:p>
    <w:p>
      <w:pPr>
        <w:spacing w:after="0" w:line="159"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months ended September 30, 2019 are not necessarily indicative of the results to be expected for any subsequent quarter, the fiscal year ending June 30, 2020, or any other period.</w:t>
      </w:r>
    </w:p>
    <w:p>
      <w:pPr>
        <w:spacing w:after="0" w:line="168"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57" w:lineRule="exact"/>
        <w:rPr>
          <w:sz w:val="20"/>
          <w:szCs w:val="20"/>
          <w:color w:val="auto"/>
        </w:rPr>
      </w:pPr>
    </w:p>
    <w:p>
      <w:pPr>
        <w:ind w:left="260" w:right="40"/>
        <w:spacing w:after="0" w:line="253" w:lineRule="auto"/>
        <w:rPr>
          <w:sz w:val="20"/>
          <w:szCs w:val="20"/>
          <w:color w:val="auto"/>
        </w:rPr>
      </w:pPr>
      <w:r>
        <w:rPr>
          <w:rFonts w:ascii="Times New Roman" w:cs="Times New Roman" w:eastAsia="Times New Roman" w:hAnsi="Times New Roman"/>
          <w:sz w:val="13"/>
          <w:szCs w:val="13"/>
          <w:color w:val="auto"/>
        </w:rPr>
        <w:t>Except as described elsewhere in Note 2 of the notes to our condensed consolidated financial statements in the section titled "—Recently Issued Accounting Pronouncements" in Part I, Item 1 of this Quarterly Report on Form 10-Q, there have been no material changes to the Company's significant accounting policies as described elsewhere in the Prospectus.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color w:val="auto"/>
        </w:rPr>
        <w:t>2. Summary of Significant Accounting Policies</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Use of Estimates</w:t>
      </w:r>
    </w:p>
    <w:p>
      <w:pPr>
        <w:spacing w:after="0" w:line="38" w:lineRule="exact"/>
        <w:rPr>
          <w:sz w:val="20"/>
          <w:szCs w:val="20"/>
          <w:color w:val="auto"/>
        </w:rPr>
      </w:pPr>
    </w:p>
    <w:p>
      <w:pPr>
        <w:jc w:val="both"/>
        <w:ind w:left="260" w:right="120"/>
        <w:spacing w:after="0" w:line="249" w:lineRule="auto"/>
        <w:rPr>
          <w:sz w:val="20"/>
          <w:szCs w:val="20"/>
          <w:color w:val="auto"/>
        </w:rPr>
      </w:pPr>
      <w:r>
        <w:rPr>
          <w:rFonts w:ascii="Times New Roman" w:cs="Times New Roman" w:eastAsia="Times New Roman" w:hAnsi="Times New Roman"/>
          <w:sz w:val="13"/>
          <w:szCs w:val="13"/>
          <w:color w:val="auto"/>
        </w:rPr>
        <w:t>The preparation of these financial statements requires the Company to make estimates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 related reserves, content costs for past use reserve, fair value measurements, the incremental borrowing rate associated with lease liabilities, useful lives of property and equipment as well as intangible assets, and impairment of goodwill, intangible and long-lived assets. The Company bases its estimates on historical experience, market conditions, and on various other assumptions that are believed to be reasonable. Actual results may differ from these estimates.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w:t>
      </w:r>
    </w:p>
    <w:p>
      <w:pPr>
        <w:spacing w:after="0" w:line="38"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In August 2019, the Board of Directors adopted the 2019 Employee Stock Purchase Plan ("ESPP"), which was subsequently approved by the Company’s stockholders in September 2019. The Company recognizes stock-based compensation expenses related to shares issued pursuant to its ESPP on a straight-line basis over the offering period, which is twenty-four months. The ESPP allows employees to purchase shares of the Company's Class A common stock at a 15 percent discount. The ESPP also includes a look-back provision for the purchase price if the stock price on the purchase date is less than the stock price on the offering date.</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Recently Issued Accounting Pronouncements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Accounting Pronouncements Recently Adopted</w:t>
      </w:r>
    </w:p>
    <w:p>
      <w:pPr>
        <w:spacing w:after="0" w:line="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u w:val="single" w:color="auto"/>
          <w:color w:val="auto"/>
        </w:rPr>
        <w:t>ASU 2016-02</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 xml:space="preserve">In February 2016, the Financial Accounting Standards Board ("FASB") issued Accounting Standards Update ("ASU") 2016-02,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which introduced and codified new lease accounting guidance under ASC</w:t>
      </w:r>
    </w:p>
    <w:p>
      <w:pPr>
        <w:spacing w:after="0" w:line="1" w:lineRule="exact"/>
        <w:rPr>
          <w:sz w:val="20"/>
          <w:szCs w:val="20"/>
          <w:color w:val="auto"/>
        </w:rPr>
      </w:pPr>
    </w:p>
    <w:p>
      <w:pPr>
        <w:jc w:val="both"/>
        <w:ind w:left="260" w:right="120" w:firstLine="5"/>
        <w:spacing w:after="0" w:line="243" w:lineRule="auto"/>
        <w:tabs>
          <w:tab w:leader="none" w:pos="523"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The Company adopted this ASU and related amendments as of July 1, 2019 under the modified retrospective approach, whereby all prior periods continue to be reported under previous lease accounting guidance. The Company elected the package of practical expedients and, as permitted, the Company did not assess whether existing contracts are or contain leases, the lease classification for any existing leases, and identification of initial direct costs for any existing leases. Adoption of the new standard resulted in the recognition of right-of-use assets and operating lease liabilities on the Company's consolidated balance sheet. In addition, the Company de-recognized a build-to-suit arrangement in accordance with the transition requirements, which resulted in an adjustment to retained earnings. The standard did not materially impact the Company's consolidated statements of operations. See Note 7 for further discussion of the Company's accounting for leases under ASC 842.</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u w:val="single" w:color="auto"/>
          <w:color w:val="auto"/>
        </w:rPr>
        <w:t>ASU 2018-07</w:t>
      </w:r>
    </w:p>
    <w:p>
      <w:pPr>
        <w:spacing w:after="0" w:line="17" w:lineRule="exact"/>
        <w:rPr>
          <w:sz w:val="20"/>
          <w:szCs w:val="20"/>
          <w:color w:val="auto"/>
        </w:rPr>
      </w:pPr>
    </w:p>
    <w:p>
      <w:pPr>
        <w:jc w:val="both"/>
        <w:ind w:left="260" w:right="140"/>
        <w:spacing w:after="0" w:line="245" w:lineRule="auto"/>
        <w:rPr>
          <w:sz w:val="20"/>
          <w:szCs w:val="20"/>
          <w:color w:val="auto"/>
        </w:rPr>
      </w:pPr>
      <w:r>
        <w:rPr>
          <w:rFonts w:ascii="Times New Roman" w:cs="Times New Roman" w:eastAsia="Times New Roman" w:hAnsi="Times New Roman"/>
          <w:sz w:val="13"/>
          <w:szCs w:val="13"/>
          <w:color w:val="auto"/>
        </w:rPr>
        <w:t xml:space="preserve">In June 2018, the FASB issued ASU 2018-07 to expand the scope of ASC Topic 718, </w:t>
      </w:r>
      <w:r>
        <w:rPr>
          <w:rFonts w:ascii="Times New Roman" w:cs="Times New Roman" w:eastAsia="Times New Roman" w:hAnsi="Times New Roman"/>
          <w:sz w:val="13"/>
          <w:szCs w:val="13"/>
          <w:i w:val="1"/>
          <w:iCs w:val="1"/>
          <w:color w:val="auto"/>
        </w:rPr>
        <w:t>Compensation - Stock Compensation</w:t>
      </w:r>
      <w:r>
        <w:rPr>
          <w:rFonts w:ascii="Times New Roman" w:cs="Times New Roman" w:eastAsia="Times New Roman" w:hAnsi="Times New Roman"/>
          <w:sz w:val="13"/>
          <w:szCs w:val="13"/>
          <w:color w:val="auto"/>
        </w:rPr>
        <w:t>, to include share-based payment transactions for acquiring goods and services from nonemployees. The pronouncement is effective for fiscal years, and for interim periods within those fiscal years, beginning after December 15, 2018, with early adoption permitted. The Company adopted this ASU on July 1, 2019. The standard did not materially impact the Company's consolidated statements of operations.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Revenue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Company’s primary source of revenue is from sales of its Connected Fitness Products and associated recurring subscription revenue.</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Company determines revenue recognition through the following steps:</w:t>
      </w:r>
    </w:p>
    <w:p>
      <w:pPr>
        <w:spacing w:after="0" w:line="195" w:lineRule="exact"/>
        <w:rPr>
          <w:sz w:val="20"/>
          <w:szCs w:val="20"/>
          <w:color w:val="auto"/>
        </w:rPr>
      </w:pPr>
    </w:p>
    <w:p>
      <w:pPr>
        <w:ind w:left="1040" w:hanging="258"/>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contract, or contracts, with a customer;</w:t>
      </w:r>
    </w:p>
    <w:p>
      <w:pPr>
        <w:spacing w:after="0" w:line="15" w:lineRule="exact"/>
        <w:rPr>
          <w:rFonts w:ascii="Times New Roman" w:cs="Times New Roman" w:eastAsia="Times New Roman" w:hAnsi="Times New Roman"/>
          <w:sz w:val="13"/>
          <w:szCs w:val="13"/>
          <w:color w:val="auto"/>
        </w:rPr>
      </w:pPr>
    </w:p>
    <w:p>
      <w:pPr>
        <w:ind w:left="1040" w:hanging="258"/>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performance obligations in the contract;</w:t>
      </w:r>
    </w:p>
    <w:p>
      <w:pPr>
        <w:spacing w:after="0" w:line="1" w:lineRule="exact"/>
        <w:rPr>
          <w:rFonts w:ascii="Times New Roman" w:cs="Times New Roman" w:eastAsia="Times New Roman" w:hAnsi="Times New Roman"/>
          <w:sz w:val="13"/>
          <w:szCs w:val="13"/>
          <w:color w:val="auto"/>
        </w:rPr>
      </w:pPr>
    </w:p>
    <w:p>
      <w:pPr>
        <w:ind w:left="1040" w:hanging="258"/>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Determination of the transaction price;</w:t>
      </w:r>
    </w:p>
    <w:p>
      <w:pPr>
        <w:spacing w:after="0" w:line="1" w:lineRule="exact"/>
        <w:rPr>
          <w:rFonts w:ascii="Times New Roman" w:cs="Times New Roman" w:eastAsia="Times New Roman" w:hAnsi="Times New Roman"/>
          <w:sz w:val="13"/>
          <w:szCs w:val="13"/>
          <w:color w:val="auto"/>
        </w:rPr>
      </w:pPr>
    </w:p>
    <w:p>
      <w:pPr>
        <w:ind w:left="1040" w:hanging="258"/>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Allocation of the transaction price to the performance obligations in the contract; and</w:t>
      </w:r>
    </w:p>
    <w:p>
      <w:pPr>
        <w:spacing w:after="0" w:line="1" w:lineRule="exact"/>
        <w:rPr>
          <w:rFonts w:ascii="Times New Roman" w:cs="Times New Roman" w:eastAsia="Times New Roman" w:hAnsi="Times New Roman"/>
          <w:sz w:val="13"/>
          <w:szCs w:val="13"/>
          <w:color w:val="auto"/>
        </w:rPr>
      </w:pPr>
    </w:p>
    <w:p>
      <w:pPr>
        <w:ind w:left="1040" w:hanging="258"/>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Recognition of revenue when, or as, the Company satisfies a performance obligation.</w:t>
      </w:r>
    </w:p>
    <w:p>
      <w:pPr>
        <w:spacing w:after="0" w:line="181" w:lineRule="exact"/>
        <w:rPr>
          <w:sz w:val="20"/>
          <w:szCs w:val="20"/>
          <w:color w:val="auto"/>
        </w:rPr>
      </w:pPr>
    </w:p>
    <w:p>
      <w:pPr>
        <w:jc w:val="both"/>
        <w:ind w:left="260"/>
        <w:spacing w:after="0" w:line="251" w:lineRule="auto"/>
        <w:rPr>
          <w:sz w:val="20"/>
          <w:szCs w:val="20"/>
          <w:color w:val="auto"/>
        </w:rPr>
      </w:pPr>
      <w:r>
        <w:rPr>
          <w:rFonts w:ascii="Times New Roman" w:cs="Times New Roman" w:eastAsia="Times New Roman" w:hAnsi="Times New Roman"/>
          <w:sz w:val="13"/>
          <w:szCs w:val="13"/>
          <w:color w:val="auto"/>
        </w:rPr>
        <w:t>Revenue is recognized when control of the promised goods or services are transferred to the Company’s customers, in an amount that reflects the consideration the Company expects to be entitled to in exchange for those goods or services. The Company's revenue is reported net of sales returns and discounts. The Company estimates its liability for product returns based on historical return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15" w:right="21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3"/>
          <w:szCs w:val="13"/>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standalone selling price based on prices charged to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Connected Fitness Products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Connected Fitness Products include the Company’s Bike and Tread, related accessories, associated fees for delivery and installation, and extended warranty agreements. The Company recognizes Connected Fitness Product revenue net of sales returns and discounts when the product has been delivered to the customer. The Company generally allows customers to return products within thirty days of purchase, as stated in its return policy.</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selling and marketing expenses.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Subscription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subscriptions provide unlimited access to content in its library of live and on-demand fitness classes. The Company’s subscriptions are offered on a month-to-month basis.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Historically, the Company offered a prepaid subscription option where Subscribers earned one free month or three free months of subscription with the purchase of a 12-month subscription or 24-month subscription, respectively. The Company also offered Subscribers the ability to finance the prepaid subscription with the purchase of a Connected Fitness Product as part of its financing program. The associated financing fees were paid to the Company’s third-party partner at the outset of the arrangement and are recorded as a reduction to subscription revenue. The Company terminated both programs in July 2018.</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Amounts paid for subscription fees are included within customer deposits and deferred revenue and recognized ratably on a month-to-month basis. The Company records payment processing fees for its monthly subscription charges within cost of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Company generates a small portion of its revenue from the sale of studio credits to attend and participate in a live, instructor-led class at its New York City studios. Studio revenue is recognized at the time the credits are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Product Warranty</w:t>
      </w:r>
    </w:p>
    <w:p>
      <w:pPr>
        <w:spacing w:after="0" w:line="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offers a standard product warranty that its Connected Fitness Products will operate under normal, non-commercial use for a period of one-year from the date of original delivery.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The Company’s products are manufactured by contract manufacturers, and in certain cases, the Company may have recourse to such contract manufacturers.</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Company also offers the option for customers in some markets to purchase a third-party extended warranty and service contract that extends or enhances the technical support, parts, and labor coverage offered as part of the base warranty included with the Connected Fitness Product for an additional period of 12 to 27 months.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Revenue and related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 revenue in the consolidated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Disaggregation of Revenue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revenue from contracts with customers disaggregated by major product lines, excluding sales-based taxes, are included in Note 14 under the heading "Segment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revenue disaggregated by geographic region, based on ship-to address,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00" w:type="dxa"/>
            <w:vAlign w:val="bottom"/>
          </w:tcPr>
          <w:p>
            <w:pPr>
              <w:spacing w:after="0"/>
              <w:rPr>
                <w:sz w:val="14"/>
                <w:szCs w:val="14"/>
                <w:color w:val="auto"/>
              </w:rPr>
            </w:pPr>
          </w:p>
        </w:tc>
        <w:tc>
          <w:tcPr>
            <w:tcW w:w="2680" w:type="dxa"/>
            <w:vAlign w:val="bottom"/>
            <w:gridSpan w:val="4"/>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00" w:type="dxa"/>
            <w:vAlign w:val="bottom"/>
          </w:tcPr>
          <w:p>
            <w:pPr>
              <w:spacing w:after="0"/>
              <w:rPr>
                <w:sz w:val="14"/>
                <w:szCs w:val="14"/>
                <w:color w:val="auto"/>
              </w:rPr>
            </w:pPr>
          </w:p>
        </w:tc>
      </w:tr>
      <w:tr>
        <w:trPr>
          <w:trHeight w:val="27"/>
        </w:trPr>
        <w:tc>
          <w:tcPr>
            <w:tcW w:w="7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69"/>
        </w:trPr>
        <w:tc>
          <w:tcPr>
            <w:tcW w:w="7500" w:type="dxa"/>
            <w:vAlign w:val="bottom"/>
          </w:tcPr>
          <w:p>
            <w:pPr>
              <w:spacing w:after="0"/>
              <w:rPr>
                <w:sz w:val="14"/>
                <w:szCs w:val="14"/>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2018</w:t>
            </w:r>
          </w:p>
        </w:tc>
        <w:tc>
          <w:tcPr>
            <w:tcW w:w="500" w:type="dxa"/>
            <w:vAlign w:val="bottom"/>
          </w:tcPr>
          <w:p>
            <w:pPr>
              <w:spacing w:after="0"/>
              <w:rPr>
                <w:sz w:val="14"/>
                <w:szCs w:val="14"/>
                <w:color w:val="auto"/>
              </w:rPr>
            </w:pPr>
          </w:p>
        </w:tc>
      </w:tr>
      <w:tr>
        <w:trPr>
          <w:trHeight w:val="27"/>
        </w:trPr>
        <w:tc>
          <w:tcPr>
            <w:tcW w:w="7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69"/>
        </w:trPr>
        <w:tc>
          <w:tcPr>
            <w:tcW w:w="7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gridSpan w:val="3"/>
          </w:tcPr>
          <w:p>
            <w:pPr>
              <w:jc w:val="right"/>
              <w:ind w:right="69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00" w:type="dxa"/>
            <w:vAlign w:val="bottom"/>
          </w:tcPr>
          <w:p>
            <w:pPr>
              <w:spacing w:after="0"/>
              <w:rPr>
                <w:sz w:val="14"/>
                <w:szCs w:val="14"/>
                <w:color w:val="auto"/>
              </w:rPr>
            </w:pPr>
          </w:p>
        </w:tc>
      </w:tr>
      <w:tr>
        <w:trPr>
          <w:trHeight w:val="27"/>
        </w:trPr>
        <w:tc>
          <w:tcPr>
            <w:tcW w:w="7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05"/>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 xml:space="preserve">North America </w:t>
            </w:r>
            <w:r>
              <w:rPr>
                <w:rFonts w:ascii="Times New Roman" w:cs="Times New Roman" w:eastAsia="Times New Roman" w:hAnsi="Times New Roman"/>
                <w:sz w:val="6"/>
                <w:szCs w:val="6"/>
                <w:color w:val="auto"/>
              </w:rPr>
              <w:t>(1)</w:t>
            </w: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221.7</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112.1</w:t>
            </w:r>
          </w:p>
        </w:tc>
      </w:tr>
      <w:tr>
        <w:trPr>
          <w:trHeight w:val="178"/>
        </w:trPr>
        <w:tc>
          <w:tcPr>
            <w:tcW w:w="7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United Kingdom</w:t>
            </w:r>
          </w:p>
        </w:tc>
        <w:tc>
          <w:tcPr>
            <w:tcW w:w="98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w:t>
            </w:r>
          </w:p>
        </w:tc>
      </w:tr>
      <w:tr>
        <w:trPr>
          <w:trHeight w:val="27"/>
        </w:trPr>
        <w:tc>
          <w:tcPr>
            <w:tcW w:w="7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7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revenue</w:t>
            </w:r>
          </w:p>
        </w:tc>
        <w:tc>
          <w:tcPr>
            <w:tcW w:w="98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228.0</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112.1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i w:val="1"/>
          <w:iCs w:val="1"/>
          <w:color w:val="auto"/>
        </w:rPr>
        <w:t>_________________________</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(1) Consists of United States and Canada</w:t>
      </w:r>
    </w:p>
    <w:p>
      <w:pPr>
        <w:spacing w:after="0" w:line="200" w:lineRule="exact"/>
        <w:rPr>
          <w:sz w:val="20"/>
          <w:szCs w:val="20"/>
          <w:color w:val="auto"/>
        </w:rPr>
      </w:pPr>
    </w:p>
    <w:p>
      <w:pPr>
        <w:spacing w:after="0" w:line="28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49530</wp:posOffset>
            </wp:positionV>
            <wp:extent cx="729996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200"/>
          </w:cols>
          <w:pgMar w:left="480" w:top="517" w:right="21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Customer Deposits and Deferred Revenue</w:t>
      </w:r>
    </w:p>
    <w:p>
      <w:pPr>
        <w:spacing w:after="0" w:line="38"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3"/>
          <w:szCs w:val="13"/>
          <w:color w:val="auto"/>
        </w:rPr>
        <w:t>Deferred revenue is recorded for nonrefundable cash payments received for the Company’s performance obligation to transfer, or stand ready to transfer, goods or services in the future. Deferred revenue consists of subscription fees billed that have not been recognized. Customer deposits represent payments received in advance before the Company transfers a good or service to the customer and are refundable.</w:t>
      </w:r>
    </w:p>
    <w:p>
      <w:pPr>
        <w:spacing w:after="0" w:line="159"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3"/>
          <w:szCs w:val="13"/>
          <w:color w:val="auto"/>
        </w:rPr>
        <w:t>As of September 30, 2019 and June 30, 2019, customer deposits of $88.6 million and $81.3 million, respectively, and deferred revenue of $10.6 million and $9.5 million, respectively, were included in customer deposits and deferred revenue on the Company's condensed consolidated balance sheet.</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In the three months ended September 30, 2019, the Company recognized $9.5 million of revenue that was included in the deferred revenue balance as of June 30, 2019.</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40" w:type="dxa"/>
            <w:vAlign w:val="bottom"/>
            <w:gridSpan w:val="3"/>
          </w:tcPr>
          <w:p>
            <w:pPr>
              <w:jc w:val="right"/>
              <w:ind w:right="3607"/>
              <w:spacing w:after="0"/>
              <w:rPr>
                <w:sz w:val="20"/>
                <w:szCs w:val="20"/>
                <w:color w:val="auto"/>
              </w:rPr>
            </w:pPr>
            <w:r>
              <w:rPr>
                <w:rFonts w:ascii="Times New Roman" w:cs="Times New Roman" w:eastAsia="Times New Roman" w:hAnsi="Times New Roman"/>
                <w:sz w:val="13"/>
                <w:szCs w:val="13"/>
                <w:b w:val="1"/>
                <w:bCs w:val="1"/>
                <w:color w:val="auto"/>
                <w:w w:val="99"/>
              </w:rPr>
              <w:t>4. Investments in Marketable Securities</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3"/>
        </w:trPr>
        <w:tc>
          <w:tcPr>
            <w:tcW w:w="5840" w:type="dxa"/>
            <w:vAlign w:val="bottom"/>
            <w:gridSpan w:val="3"/>
          </w:tcPr>
          <w:p>
            <w:pPr>
              <w:jc w:val="right"/>
              <w:ind w:right="1127"/>
              <w:spacing w:after="0"/>
              <w:rPr>
                <w:sz w:val="20"/>
                <w:szCs w:val="20"/>
                <w:color w:val="auto"/>
              </w:rPr>
            </w:pPr>
            <w:r>
              <w:rPr>
                <w:rFonts w:ascii="Times New Roman" w:cs="Times New Roman" w:eastAsia="Times New Roman" w:hAnsi="Times New Roman"/>
                <w:sz w:val="13"/>
                <w:szCs w:val="13"/>
                <w:color w:val="auto"/>
              </w:rPr>
              <w:t>The following table summarizes the Company's investments in marketable securities: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0"/>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September 30, 2019</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1"/>
        </w:trPr>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Gross Unrealized</w:t>
            </w: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Gross Unrealized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0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00" w:type="dxa"/>
            <w:vAlign w:val="bottom"/>
          </w:tcPr>
          <w:p>
            <w:pPr>
              <w:spacing w:after="0"/>
              <w:rPr>
                <w:sz w:val="14"/>
                <w:szCs w:val="14"/>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5"/>
        </w:trPr>
        <w:tc>
          <w:tcPr>
            <w:tcW w:w="260" w:type="dxa"/>
            <w:vAlign w:val="bottom"/>
          </w:tcPr>
          <w:p>
            <w:pPr>
              <w:spacing w:after="0"/>
              <w:rPr>
                <w:sz w:val="16"/>
                <w:szCs w:val="16"/>
                <w:color w:val="auto"/>
              </w:rPr>
            </w:pPr>
          </w:p>
        </w:tc>
        <w:tc>
          <w:tcPr>
            <w:tcW w:w="1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paper</w:t>
            </w:r>
          </w:p>
        </w:tc>
        <w:tc>
          <w:tcPr>
            <w:tcW w:w="3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55.9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55.9</w:t>
            </w:r>
          </w:p>
        </w:tc>
      </w:tr>
      <w:tr>
        <w:trPr>
          <w:trHeight w:val="178"/>
        </w:trPr>
        <w:tc>
          <w:tcPr>
            <w:tcW w:w="260" w:type="dxa"/>
            <w:vAlign w:val="bottom"/>
          </w:tcPr>
          <w:p>
            <w:pPr>
              <w:spacing w:after="0"/>
              <w:rPr>
                <w:sz w:val="15"/>
                <w:szCs w:val="15"/>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Corporate bonds</w:t>
            </w: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51.2</w:t>
            </w: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5"/>
        </w:trPr>
        <w:tc>
          <w:tcPr>
            <w:tcW w:w="260" w:type="dxa"/>
            <w:vAlign w:val="bottom"/>
          </w:tcPr>
          <w:p>
            <w:pPr>
              <w:spacing w:after="0"/>
              <w:rPr>
                <w:sz w:val="16"/>
                <w:szCs w:val="16"/>
                <w:color w:val="auto"/>
              </w:rPr>
            </w:pPr>
          </w:p>
        </w:tc>
        <w:tc>
          <w:tcPr>
            <w:tcW w:w="1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treasury securities</w:t>
            </w:r>
          </w:p>
        </w:tc>
        <w:tc>
          <w:tcPr>
            <w:tcW w:w="3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29.7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29.8</w:t>
            </w:r>
          </w:p>
        </w:tc>
      </w:tr>
      <w:tr>
        <w:trPr>
          <w:trHeight w:val="178"/>
        </w:trPr>
        <w:tc>
          <w:tcPr>
            <w:tcW w:w="260" w:type="dxa"/>
            <w:vAlign w:val="bottom"/>
          </w:tcPr>
          <w:p>
            <w:pPr>
              <w:spacing w:after="0"/>
              <w:rPr>
                <w:sz w:val="15"/>
                <w:szCs w:val="15"/>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Certificates of deposit</w:t>
            </w: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4.6</w:t>
            </w:r>
          </w:p>
        </w:tc>
      </w:tr>
      <w:tr>
        <w:trPr>
          <w:trHeight w:val="27"/>
        </w:trPr>
        <w:tc>
          <w:tcPr>
            <w:tcW w:w="260" w:type="dxa"/>
            <w:vAlign w:val="bottom"/>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260" w:type="dxa"/>
            <w:vAlign w:val="bottom"/>
          </w:tcPr>
          <w:p>
            <w:pPr>
              <w:spacing w:after="0"/>
              <w:rPr>
                <w:sz w:val="18"/>
                <w:szCs w:val="18"/>
                <w:color w:val="auto"/>
              </w:rPr>
            </w:pPr>
          </w:p>
        </w:tc>
        <w:tc>
          <w:tcPr>
            <w:tcW w:w="1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7"/>
              </w:rPr>
              <w:t>Total marketable securities</w:t>
            </w:r>
          </w:p>
        </w:tc>
        <w:tc>
          <w:tcPr>
            <w:tcW w:w="3900" w:type="dxa"/>
            <w:vAlign w:val="bottom"/>
            <w:tcBorders>
              <w:bottom w:val="single" w:sz="8" w:color="CCEEFF"/>
            </w:tcBorders>
            <w:shd w:val="clear" w:color="auto" w:fill="CCEEFF"/>
          </w:tcPr>
          <w:p>
            <w:pPr>
              <w:jc w:val="right"/>
              <w:ind w:right="3787"/>
              <w:spacing w:after="0"/>
              <w:rPr>
                <w:sz w:val="20"/>
                <w:szCs w:val="20"/>
                <w:color w:val="auto"/>
              </w:rPr>
            </w:pPr>
            <w:r>
              <w:rPr>
                <w:rFonts w:ascii="Times New Roman" w:cs="Times New Roman" w:eastAsia="Times New Roman" w:hAnsi="Times New Roman"/>
                <w:sz w:val="7"/>
                <w:szCs w:val="7"/>
                <w:color w:val="auto"/>
                <w:w w:val="72"/>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141.3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141.5</w:t>
            </w:r>
          </w:p>
        </w:tc>
      </w:tr>
      <w:tr>
        <w:trPr>
          <w:trHeight w:val="20"/>
        </w:trPr>
        <w:tc>
          <w:tcPr>
            <w:tcW w:w="260" w:type="dxa"/>
            <w:vAlign w:val="bottom"/>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_________________________</w:t>
      </w:r>
    </w:p>
    <w:p>
      <w:pPr>
        <w:spacing w:after="0" w:line="42" w:lineRule="exact"/>
        <w:rPr>
          <w:sz w:val="20"/>
          <w:szCs w:val="20"/>
          <w:color w:val="auto"/>
        </w:rPr>
      </w:pPr>
    </w:p>
    <w:p>
      <w:pPr>
        <w:ind w:left="540" w:hanging="146"/>
        <w:spacing w:after="0"/>
        <w:tabs>
          <w:tab w:leader="none" w:pos="540" w:val="left"/>
        </w:tabs>
        <w:numPr>
          <w:ilvl w:val="1"/>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$41.1 million included within cash and cash equivalents.</w:t>
      </w:r>
    </w:p>
    <w:p>
      <w:pPr>
        <w:spacing w:after="0" w:line="392" w:lineRule="exact"/>
        <w:rPr>
          <w:rFonts w:ascii="Times New Roman" w:cs="Times New Roman" w:eastAsia="Times New Roman" w:hAnsi="Times New Roman"/>
          <w:sz w:val="10"/>
          <w:szCs w:val="10"/>
          <w:color w:val="auto"/>
        </w:rPr>
      </w:pPr>
    </w:p>
    <w:p>
      <w:pPr>
        <w:ind w:left="140" w:hanging="134"/>
        <w:spacing w:after="0"/>
        <w:tabs>
          <w:tab w:leader="none" w:pos="14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table summarizes the Company's assets that are measured at fair value on a recurring basis, by level, within the fair value hierarchy:</w:t>
      </w:r>
    </w:p>
    <w:p>
      <w:pPr>
        <w:spacing w:after="0" w:line="323"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As of September 30, 2019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7"/>
        </w:trPr>
        <w:tc>
          <w:tcPr>
            <w:tcW w:w="5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9"/>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equivalents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78"/>
        </w:trPr>
        <w:tc>
          <w:tcPr>
            <w:tcW w:w="5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Commercial paper</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41.1</w:t>
            </w:r>
          </w:p>
        </w:tc>
        <w:tc>
          <w:tcPr>
            <w:tcW w:w="12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41.1</w:t>
            </w: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5"/>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Marketable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78"/>
        </w:trPr>
        <w:tc>
          <w:tcPr>
            <w:tcW w:w="5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Corporate bonds</w:t>
            </w:r>
          </w:p>
        </w:tc>
        <w:tc>
          <w:tcPr>
            <w:tcW w:w="24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51.2</w:t>
            </w: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5"/>
        </w:trPr>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U.S. treasury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29.8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29.8</w:t>
            </w:r>
          </w:p>
        </w:tc>
      </w:tr>
      <w:tr>
        <w:trPr>
          <w:trHeight w:val="178"/>
        </w:trPr>
        <w:tc>
          <w:tcPr>
            <w:tcW w:w="5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Commercial paper</w:t>
            </w:r>
          </w:p>
        </w:tc>
        <w:tc>
          <w:tcPr>
            <w:tcW w:w="24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14.9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14.9</w:t>
            </w: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5"/>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Certificates of deposit</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4.6</w:t>
            </w:r>
          </w:p>
        </w:tc>
      </w:tr>
      <w:tr>
        <w:trPr>
          <w:trHeight w:val="178"/>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5"/>
        </w:trPr>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Cost-method investments</w:t>
            </w: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0.6</w:t>
            </w:r>
          </w:p>
        </w:tc>
      </w:tr>
      <w:tr>
        <w:trPr>
          <w:trHeight w:val="193"/>
        </w:trPr>
        <w:tc>
          <w:tcPr>
            <w:tcW w:w="5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141.5</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142.1</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_________________________</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0"/>
          <w:szCs w:val="10"/>
          <w:color w:val="auto"/>
        </w:rPr>
        <w:t>(1) Included in cash and cash equivalents.</w:t>
      </w:r>
    </w:p>
    <w:p>
      <w:pPr>
        <w:spacing w:after="0" w:line="200"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3"/>
          <w:szCs w:val="13"/>
          <w:color w:val="auto"/>
        </w:rPr>
        <w:t>Cash equivalents are highly liquid investments with maturities of three months or less when purchased. These investments are carried at cost, which approximates fair value. All investments classified as available-for-sale are recorded at fair value within marketable securities in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45" w:right="21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3"/>
          <w:szCs w:val="13"/>
          <w:color w:val="auto"/>
        </w:rPr>
        <w:t>the condensed consolidated balance sheets. The Company’s investments classified as Level 1 are based on quoted prices that are available in active markets.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Inventory</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7140" w:type="dxa"/>
            <w:vAlign w:val="bottom"/>
          </w:tcPr>
          <w:p>
            <w:pPr>
              <w:spacing w:after="0"/>
              <w:rPr>
                <w:sz w:val="20"/>
                <w:szCs w:val="20"/>
                <w:color w:val="auto"/>
              </w:rPr>
            </w:pPr>
            <w:r>
              <w:rPr>
                <w:rFonts w:ascii="Times New Roman" w:cs="Times New Roman" w:eastAsia="Times New Roman" w:hAnsi="Times New Roman"/>
                <w:sz w:val="13"/>
                <w:szCs w:val="13"/>
                <w:color w:val="auto"/>
              </w:rPr>
              <w:t>Inventories were as follows:</w:t>
            </w: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67"/>
        </w:trPr>
        <w:tc>
          <w:tcPr>
            <w:tcW w:w="7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jc w:val="right"/>
              <w:ind w:right="615"/>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69"/>
        </w:trPr>
        <w:tc>
          <w:tcPr>
            <w:tcW w:w="7140" w:type="dxa"/>
            <w:vAlign w:val="bottom"/>
          </w:tcPr>
          <w:p>
            <w:pPr>
              <w:spacing w:after="0"/>
              <w:rPr>
                <w:sz w:val="14"/>
                <w:szCs w:val="14"/>
                <w:color w:val="auto"/>
              </w:rPr>
            </w:pP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2019</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right"/>
              <w:ind w:right="715"/>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7"/>
        </w:trPr>
        <w:tc>
          <w:tcPr>
            <w:tcW w:w="7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69"/>
        </w:trPr>
        <w:tc>
          <w:tcPr>
            <w:tcW w:w="7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gridSpan w:val="3"/>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Pr>
          <w:p>
            <w:pPr>
              <w:spacing w:after="0"/>
              <w:rPr>
                <w:sz w:val="14"/>
                <w:szCs w:val="14"/>
                <w:color w:val="auto"/>
              </w:rPr>
            </w:pP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Raw materials</w:t>
            </w:r>
          </w:p>
        </w:tc>
        <w:tc>
          <w:tcPr>
            <w:tcW w:w="1340" w:type="dxa"/>
            <w:vAlign w:val="bottom"/>
            <w:tcBorders>
              <w:bottom w:val="single" w:sz="8" w:color="CCEEFF"/>
            </w:tcBorders>
            <w:shd w:val="clear" w:color="auto" w:fill="CCEEFF"/>
          </w:tcPr>
          <w:p>
            <w:pPr>
              <w:jc w:val="right"/>
              <w:ind w:right="1195"/>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Finished products</w:t>
            </w:r>
          </w:p>
        </w:tc>
        <w:tc>
          <w:tcPr>
            <w:tcW w:w="1340" w:type="dxa"/>
            <w:vAlign w:val="bottom"/>
          </w:tcPr>
          <w:p>
            <w:pPr>
              <w:spacing w:after="0"/>
              <w:rPr>
                <w:sz w:val="15"/>
                <w:szCs w:val="15"/>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216.6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152.0</w:t>
            </w:r>
          </w:p>
        </w:tc>
      </w:tr>
      <w:tr>
        <w:trPr>
          <w:trHeight w:val="27"/>
        </w:trPr>
        <w:tc>
          <w:tcPr>
            <w:tcW w:w="7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6"/>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inventories</w:t>
            </w:r>
          </w:p>
        </w:tc>
        <w:tc>
          <w:tcPr>
            <w:tcW w:w="13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218.7</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152.0</w:t>
            </w:r>
          </w:p>
        </w:tc>
      </w:tr>
      <w:tr>
        <w:trPr>
          <w:trHeight w:val="178"/>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Reserves</w:t>
            </w:r>
          </w:p>
        </w:tc>
        <w:tc>
          <w:tcPr>
            <w:tcW w:w="134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(15.4)</w:t>
            </w:r>
          </w:p>
        </w:tc>
      </w:tr>
      <w:tr>
        <w:trPr>
          <w:trHeight w:val="27"/>
        </w:trPr>
        <w:tc>
          <w:tcPr>
            <w:tcW w:w="7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7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inventories, net</w:t>
            </w:r>
          </w:p>
        </w:tc>
        <w:tc>
          <w:tcPr>
            <w:tcW w:w="1340" w:type="dxa"/>
            <w:vAlign w:val="bottom"/>
            <w:tcBorders>
              <w:bottom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205.6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136.6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Leases</w:t>
      </w:r>
    </w:p>
    <w:p>
      <w:pPr>
        <w:spacing w:after="0" w:line="176"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3"/>
          <w:szCs w:val="13"/>
          <w:color w:val="auto"/>
        </w:rPr>
        <w:t>The Company leases facilities under operating leases with various expiration dates through 2039. The Company’s corporate headquarters is located in New York, New York. The Company also leases space for the operation of its production studio facilities, retail showrooms, microstores, warehouses, and office spaces.</w:t>
      </w:r>
    </w:p>
    <w:p>
      <w:pPr>
        <w:spacing w:after="0" w:line="138"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3"/>
          <w:szCs w:val="13"/>
          <w:color w:val="auto"/>
        </w:rPr>
        <w:t>Right-of-use assets and lease liabilities are established on the unaudited condensed consolidated balance sheets for leases with an expected term greater than one year. As the rate implicit in the lease is not determinable, the Company uses its secured incremental borrowing rate to determine the present value of the lease payments.</w:t>
      </w:r>
    </w:p>
    <w:p>
      <w:pPr>
        <w:spacing w:after="0" w:line="138"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3"/>
          <w:szCs w:val="13"/>
          <w:color w:val="auto"/>
        </w:rPr>
        <w:t>Leases with an initial term of 12 months or less are not recorded on the unaudited condensed consolidated balance sheets; the Company recognizes lease expense for these leases on a straight-line basis over the lease term. The Company has elected to not separate lease and non-lease components.</w:t>
      </w:r>
    </w:p>
    <w:p>
      <w:pPr>
        <w:spacing w:after="0" w:line="138"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3"/>
          <w:szCs w:val="13"/>
          <w:color w:val="auto"/>
        </w:rPr>
        <w:t>The Company's lease terms include options to extend or terminate the lease when it is reasonably certain that the Company will exercise that option. The operating lease arrangements included in the measurement of lease liabilities do not reflect options to extend or terminate, as management does not consider the exercise of these options to be reasonably certain.</w:t>
      </w:r>
    </w:p>
    <w:p>
      <w:pPr>
        <w:spacing w:after="0" w:line="138"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3"/>
          <w:szCs w:val="13"/>
          <w:color w:val="auto"/>
        </w:rPr>
        <w:t>Variable lease payments include, but are not limited to, percentage of sales, common area charges, taxes paid by the landlord that are charged to the Company, and changes to the consumer price index. Variable lease payments are expensed as incurred.</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As of September 30, 2019, the total remaining lease payments included in the measurement of lease liabilities for operating leases were as follows:</w:t>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8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Fiscal Year Ending June 30,</w:t>
            </w:r>
          </w:p>
        </w:tc>
      </w:tr>
      <w:tr>
        <w:trPr>
          <w:trHeight w:val="27"/>
        </w:trPr>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169"/>
        </w:trPr>
        <w:tc>
          <w:tcPr>
            <w:tcW w:w="8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tcPr>
          <w:p>
            <w:pPr>
              <w:jc w:val="right"/>
              <w:ind w:right="915"/>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remainder of 2020</w:t>
            </w: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2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1.3</w:t>
            </w:r>
          </w:p>
        </w:tc>
      </w:tr>
      <w:tr>
        <w:trPr>
          <w:trHeight w:val="17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300" w:type="dxa"/>
            <w:vAlign w:val="bottom"/>
          </w:tcPr>
          <w:p>
            <w:pPr>
              <w:spacing w:after="0"/>
              <w:rPr>
                <w:sz w:val="15"/>
                <w:szCs w:val="15"/>
                <w:color w:val="auto"/>
              </w:rPr>
            </w:pPr>
          </w:p>
        </w:tc>
        <w:tc>
          <w:tcPr>
            <w:tcW w:w="2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54.3</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30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62.0</w:t>
            </w:r>
          </w:p>
        </w:tc>
      </w:tr>
      <w:tr>
        <w:trPr>
          <w:trHeight w:val="17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300" w:type="dxa"/>
            <w:vAlign w:val="bottom"/>
          </w:tcPr>
          <w:p>
            <w:pPr>
              <w:spacing w:after="0"/>
              <w:rPr>
                <w:sz w:val="15"/>
                <w:szCs w:val="15"/>
                <w:color w:val="auto"/>
              </w:rPr>
            </w:pPr>
          </w:p>
        </w:tc>
        <w:tc>
          <w:tcPr>
            <w:tcW w:w="2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62.4</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60.0</w:t>
            </w:r>
          </w:p>
        </w:tc>
      </w:tr>
      <w:tr>
        <w:trPr>
          <w:trHeight w:val="17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300" w:type="dxa"/>
            <w:vAlign w:val="bottom"/>
          </w:tcPr>
          <w:p>
            <w:pPr>
              <w:spacing w:after="0"/>
              <w:rPr>
                <w:sz w:val="15"/>
                <w:szCs w:val="15"/>
                <w:color w:val="auto"/>
              </w:rPr>
            </w:pPr>
          </w:p>
        </w:tc>
        <w:tc>
          <w:tcPr>
            <w:tcW w:w="22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563.0</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1"/>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2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802.9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Supplemental balance sheet information related to leases was as follows: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17" w:right="219" w:bottom="1440" w:gutter="0" w:footer="0" w:header="0"/>
        </w:sectPr>
      </w:pPr>
    </w:p>
    <w:bookmarkStart w:id="12" w:name="page13"/>
    <w:bookmarkEnd w:id="12"/>
    <w:tbl>
      <w:tblPr>
        <w:tblLayout w:type="fixed"/>
        <w:tblInd w:w="260" w:type="dxa"/>
        <w:tblCellMar>
          <w:top w:w="0" w:type="dxa"/>
          <w:left w:w="0" w:type="dxa"/>
          <w:bottom w:w="0" w:type="dxa"/>
          <w:right w:w="0" w:type="dxa"/>
        </w:tblCellMar>
      </w:tblPr>
      <w:tr>
        <w:trPr>
          <w:trHeight w:val="169"/>
        </w:trPr>
        <w:tc>
          <w:tcPr>
            <w:tcW w:w="6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60" w:type="dxa"/>
            <w:vAlign w:val="bottom"/>
          </w:tcPr>
          <w:p>
            <w:pPr>
              <w:jc w:val="center"/>
              <w:ind w:right="215"/>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 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Lease Liabilities</w:t>
            </w: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60" w:type="dxa"/>
            <w:vAlign w:val="bottom"/>
          </w:tcPr>
          <w:p>
            <w:pPr>
              <w:jc w:val="center"/>
              <w:ind w:right="235"/>
              <w:spacing w:after="0"/>
              <w:rPr>
                <w:sz w:val="20"/>
                <w:szCs w:val="20"/>
                <w:color w:val="auto"/>
              </w:rPr>
            </w:pPr>
            <w:r>
              <w:rPr>
                <w:rFonts w:ascii="Times New Roman" w:cs="Times New Roman" w:eastAsia="Times New Roman" w:hAnsi="Times New Roman"/>
                <w:sz w:val="13"/>
                <w:szCs w:val="13"/>
                <w:b w:val="1"/>
                <w:bCs w:val="1"/>
                <w:color w:val="auto"/>
                <w:w w:val="99"/>
              </w:rPr>
              <w:t>(dollars in millions)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(years)</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Undiscounted Lease Liability</w:t>
            </w:r>
          </w:p>
        </w:tc>
        <w:tc>
          <w:tcPr>
            <w:tcW w:w="4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91"/>
              </w:rPr>
              <w:t>$</w:t>
            </w:r>
          </w:p>
        </w:tc>
        <w:tc>
          <w:tcPr>
            <w:tcW w:w="3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802.9</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Imputed interest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Discounted Lease Liability</w:t>
            </w:r>
          </w:p>
        </w:tc>
        <w:tc>
          <w:tcPr>
            <w:tcW w:w="4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91"/>
              </w:rPr>
              <w:t>$</w:t>
            </w:r>
          </w:p>
        </w:tc>
        <w:tc>
          <w:tcPr>
            <w:tcW w:w="3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Current portion of lease liability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900" w:type="dxa"/>
            <w:vAlign w:val="bottom"/>
            <w:vMerge w:val="continue"/>
          </w:tcPr>
          <w:p>
            <w:pPr>
              <w:spacing w:after="0"/>
              <w:rPr>
                <w:sz w:val="12"/>
                <w:szCs w:val="12"/>
                <w:color w:val="auto"/>
              </w:rPr>
            </w:pPr>
          </w:p>
        </w:tc>
        <w:tc>
          <w:tcPr>
            <w:tcW w:w="480" w:type="dxa"/>
            <w:vAlign w:val="bottom"/>
            <w:gridSpan w:val="2"/>
          </w:tcPr>
          <w:p>
            <w:pPr>
              <w:jc w:val="right"/>
              <w:ind w:right="40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32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29.7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portion of lease liability</w:t>
            </w:r>
          </w:p>
        </w:tc>
        <w:tc>
          <w:tcPr>
            <w:tcW w:w="4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91"/>
              </w:rPr>
              <w:t>$</w:t>
            </w:r>
          </w:p>
        </w:tc>
        <w:tc>
          <w:tcPr>
            <w:tcW w:w="3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483.8</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Supplemental cash flow and other information related to leases was as follows: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Three Months Ended September 30, 2019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Paid For Amounts Included In Measurement of Liabilities</w:t>
            </w: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60" w:type="dxa"/>
            <w:vAlign w:val="bottom"/>
          </w:tcPr>
          <w:p>
            <w:pPr>
              <w:jc w:val="center"/>
              <w:ind w:right="23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cash flows from operating leases</w:t>
            </w:r>
          </w:p>
        </w:tc>
        <w:tc>
          <w:tcPr>
            <w:tcW w:w="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460" w:type="dxa"/>
            <w:vAlign w:val="bottom"/>
            <w:tcBorders>
              <w:bottom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205"/>
        </w:trPr>
        <w:tc>
          <w:tcPr>
            <w:tcW w:w="6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assets obtained in exchange for new operating lease liabilities (non-cash)</w:t>
            </w: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307.0</w:t>
            </w:r>
          </w:p>
        </w:tc>
        <w:tc>
          <w:tcPr>
            <w:tcW w:w="0" w:type="dxa"/>
            <w:vAlign w:val="bottom"/>
          </w:tcPr>
          <w:p>
            <w:pPr>
              <w:spacing w:after="0"/>
              <w:rPr>
                <w:sz w:val="1"/>
                <w:szCs w:val="1"/>
                <w:color w:val="auto"/>
              </w:rPr>
            </w:pPr>
          </w:p>
        </w:tc>
      </w:tr>
      <w:tr>
        <w:trPr>
          <w:trHeight w:val="27"/>
        </w:trPr>
        <w:tc>
          <w:tcPr>
            <w:tcW w:w="6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As of September 30, 2019, the Company had additional operating lease obligations that had not yet commenced of approximately $4.6 million for equipment and real estate leases to be delivered in fiscal 2020 with lease terms up to fiscal 2030.</w:t>
      </w:r>
    </w:p>
    <w:p>
      <w:pPr>
        <w:spacing w:after="0" w:line="138"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Total operating lease expense was $16.8 million for the three months ended September 30, 2019, of which $1.7 million was attributable to variable lease expense. During the three months ended September 30, 2018, rent expense was $5.7 million.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Debt and Financing Arrangements</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Amended and Restated Credit Agreement</w:t>
      </w:r>
    </w:p>
    <w:p>
      <w:pPr>
        <w:spacing w:after="0" w:line="38" w:lineRule="exact"/>
        <w:rPr>
          <w:sz w:val="20"/>
          <w:szCs w:val="20"/>
          <w:color w:val="auto"/>
        </w:rPr>
      </w:pPr>
    </w:p>
    <w:p>
      <w:pPr>
        <w:jc w:val="both"/>
        <w:ind w:left="260"/>
        <w:spacing w:after="0" w:line="249" w:lineRule="auto"/>
        <w:rPr>
          <w:sz w:val="20"/>
          <w:szCs w:val="20"/>
          <w:color w:val="auto"/>
        </w:rPr>
      </w:pPr>
      <w:r>
        <w:rPr>
          <w:rFonts w:ascii="Times New Roman" w:cs="Times New Roman" w:eastAsia="Times New Roman" w:hAnsi="Times New Roman"/>
          <w:sz w:val="13"/>
          <w:szCs w:val="13"/>
          <w:color w:val="auto"/>
        </w:rPr>
        <w:t>In June 2019, the Company entered into an amended and restated loan and security agreement (“Amended Credit Agreement”) with JPMorgan Chase Bank, N.A., as administrative agent, lead arranger and bookrunner and Bank of America, N.A., Barclays Bank PLC, Goldman Sachs Lending Partners LLC and Silicon Valley Bank, as joint syndication agents, which amended and restated the Company's 2018 secured revolving credit facility. 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173"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The Company incurred total commitment fees of $0.2 million and $0.1 million during the three months ended September 30, 2019 and 2018, respectively, which are included in interest expense in the statements of operations.</w:t>
      </w:r>
    </w:p>
    <w:p>
      <w:pPr>
        <w:spacing w:after="0" w:line="159"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The principal amount, if any, is payable in full in June 2024. As of September 30, 2019, the Company had not drawn on the credit facility and did not have outstanding borrowings under the Amended Credit Agreement.</w:t>
      </w:r>
    </w:p>
    <w:p>
      <w:pPr>
        <w:spacing w:after="0" w:line="138"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In connection with the execution of the Amended Credit Agreement, the Company incurred debt issuance costs of $0.9 million, which are capitalized and are being amortized to interest expense using the effective interest method over the term of the Amended Credit Agreement.</w:t>
      </w:r>
    </w:p>
    <w:p>
      <w:pPr>
        <w:spacing w:after="0" w:line="138" w:lineRule="exact"/>
        <w:rPr>
          <w:sz w:val="20"/>
          <w:szCs w:val="20"/>
          <w:color w:val="auto"/>
        </w:rPr>
      </w:pPr>
    </w:p>
    <w:p>
      <w:pPr>
        <w:jc w:val="both"/>
        <w:ind w:left="260"/>
        <w:spacing w:after="0" w:line="247" w:lineRule="auto"/>
        <w:rPr>
          <w:sz w:val="20"/>
          <w:szCs w:val="20"/>
          <w:color w:val="auto"/>
        </w:rPr>
      </w:pPr>
      <w:r>
        <w:rPr>
          <w:rFonts w:ascii="Times New Roman" w:cs="Times New Roman" w:eastAsia="Times New Roman" w:hAnsi="Times New Roman"/>
          <w:sz w:val="13"/>
          <w:szCs w:val="13"/>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its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September 30, 2019, the Company was in compliance with the covenants under the Amended Credit Agreement. At September 30, 2019, the Company was contingently liable for approximately $43.0 million in standby letters of credit as security for its operating lease and inventory purchasing obligations.</w:t>
      </w:r>
    </w:p>
    <w:p>
      <w:pPr>
        <w:spacing w:after="0" w:line="347" w:lineRule="exact"/>
        <w:rPr>
          <w:sz w:val="20"/>
          <w:szCs w:val="20"/>
          <w:color w:val="auto"/>
        </w:rPr>
      </w:pPr>
    </w:p>
    <w:p>
      <w:pPr>
        <w:ind w:left="260" w:right="9320" w:hanging="254"/>
        <w:spacing w:after="0" w:line="672" w:lineRule="auto"/>
        <w:tabs>
          <w:tab w:leader="none" w:pos="131"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Commitments and Contingencies </w:t>
      </w:r>
      <w:r>
        <w:rPr>
          <w:rFonts w:ascii="Times New Roman" w:cs="Times New Roman" w:eastAsia="Times New Roman" w:hAnsi="Times New Roman"/>
          <w:sz w:val="12"/>
          <w:szCs w:val="12"/>
          <w:b w:val="1"/>
          <w:bCs w:val="1"/>
          <w:i w:val="1"/>
          <w:iCs w:val="1"/>
          <w:color w:val="auto"/>
        </w:rPr>
        <w:t>Content Costs for Past Use Reserve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58" w:right="219" w:bottom="1440" w:gutter="0" w:footer="0" w:header="0"/>
        </w:sectPr>
      </w:pPr>
    </w:p>
    <w:bookmarkStart w:id="13" w:name="page14"/>
    <w:bookmarkEnd w:id="13"/>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To secure the rights to stream music on the Peloton platform, the Company must obtain licenses from, and pay royalties to, copyright owners of both sound recordings and musical compositions. The Company has entered into negotiations with various music rights holders, to pay for any and all uses of musical compositions and sound recordings to-date and, at the same time, enter into go-forward license agreements for the use of music in the future.</w:t>
      </w:r>
    </w:p>
    <w:p>
      <w:pPr>
        <w:spacing w:after="0" w:line="168" w:lineRule="exact"/>
        <w:rPr>
          <w:sz w:val="20"/>
          <w:szCs w:val="20"/>
          <w:color w:val="auto"/>
        </w:rPr>
      </w:pPr>
    </w:p>
    <w:p>
      <w:pPr>
        <w:jc w:val="both"/>
        <w:ind w:left="260"/>
        <w:spacing w:after="0" w:line="251" w:lineRule="auto"/>
        <w:rPr>
          <w:sz w:val="20"/>
          <w:szCs w:val="20"/>
          <w:color w:val="auto"/>
        </w:rPr>
      </w:pPr>
      <w:r>
        <w:rPr>
          <w:rFonts w:ascii="Times New Roman" w:cs="Times New Roman" w:eastAsia="Times New Roman" w:hAnsi="Times New Roman"/>
          <w:sz w:val="13"/>
          <w:szCs w:val="13"/>
          <w:color w:val="auto"/>
        </w:rPr>
        <w:t>Prior to the execution of go-forward music license agreements, the Company estimates and records expenses inclusive of estimated content costs for past use as well as normal and recurring music royalty expenses. The Company recorded content costs for past use of $0.9 million and $2.9 million during the three months ended September 30, 2019 and 2018, respectively. In addition, the Company recorded estimates for normal and recurring royalty expense of $1.6 million and $0.8 million, respectively. The Company includes both of these components in its reserve. As of September 30, 2019, the Company recorded reserves of $20.8 million, included in accrued expenses in the accompanying condensed consolidated balance sheets.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Legal Proceedings</w:t>
      </w:r>
    </w:p>
    <w:p>
      <w:pPr>
        <w:spacing w:after="0" w:line="38" w:lineRule="exact"/>
        <w:rPr>
          <w:sz w:val="20"/>
          <w:szCs w:val="20"/>
          <w:color w:val="auto"/>
        </w:rPr>
      </w:pPr>
    </w:p>
    <w:p>
      <w:pPr>
        <w:jc w:val="both"/>
        <w:ind w:left="260"/>
        <w:spacing w:after="0" w:line="249" w:lineRule="auto"/>
        <w:rPr>
          <w:sz w:val="20"/>
          <w:szCs w:val="20"/>
          <w:color w:val="auto"/>
        </w:rPr>
      </w:pPr>
      <w:r>
        <w:rPr>
          <w:rFonts w:ascii="Times New Roman" w:cs="Times New Roman" w:eastAsia="Times New Roman" w:hAnsi="Times New Roman"/>
          <w:sz w:val="13"/>
          <w:szCs w:val="13"/>
          <w:color w:val="auto"/>
        </w:rPr>
        <w:t>On March 19, 2019, Downtown Music Publishing LLC, ole Media Management, L.P., Big Deal Music, LLC, CYPMP, LLC, Peer International Corporation, PSO Limited, Peermusic Ltd., Peermusic III, Ltd., Peertunes, Ltd., Songs of Peer Ltd., Reservoir Media Management, Inc., The Richmond Organization, Inc., Round Hill Music LLC, The Royalty Network, Inc., and Ultra International Music Publishing, LLC filed a lawsuit against the Company in the U.S. District Court for the Southern District of New York, captioned Downtown Music Publ’g LLC, et. al v. Peloton Interactive, Inc., alleging that the Company engaged in copyright infringement by using certain accused songs in streaming and recorded fitness classes without necessary licenses. The plaintiffs allege that they are music publishers that own or control the copyrights in numerous musical works that were synchronized by the Company without the plaintiffs’ authorization. The complaint asserts a single claim for copyright infringement.</w:t>
      </w:r>
    </w:p>
    <w:p>
      <w:pPr>
        <w:spacing w:after="0" w:line="173" w:lineRule="exact"/>
        <w:rPr>
          <w:sz w:val="20"/>
          <w:szCs w:val="20"/>
          <w:color w:val="auto"/>
        </w:rPr>
      </w:pPr>
    </w:p>
    <w:p>
      <w:pPr>
        <w:jc w:val="both"/>
        <w:ind w:left="260"/>
        <w:spacing w:after="0" w:line="247" w:lineRule="auto"/>
        <w:rPr>
          <w:sz w:val="20"/>
          <w:szCs w:val="20"/>
          <w:color w:val="auto"/>
        </w:rPr>
      </w:pPr>
      <w:r>
        <w:rPr>
          <w:rFonts w:ascii="Times New Roman" w:cs="Times New Roman" w:eastAsia="Times New Roman" w:hAnsi="Times New Roman"/>
          <w:sz w:val="13"/>
          <w:szCs w:val="13"/>
          <w:color w:val="auto"/>
        </w:rPr>
        <w:t>On April 30, 2019, the Company answered the complaint and filed counterclaims against the original named plaintiffs and National Music Publishers’ Association, Inc., a trade association, alleging that they coordinated to collectively negotiate licenses in violation of the antitrust laws. The counterclaims also assert that the trade association tortuously interfered with the Company's attempts to engage in direct negotiations with music publishers in violation of state law. The counterclaims seek injunctive relief, monetary damages (to be trebled under applicable statute), and attorneys’ fees and costs. An initial pretrial conference was held on May 9, 2019 and discovery has commenced. An amended complaint filed on May 31, 2019 named additional plaintiffs Greensleeves Publishing Ltd., Me Gusta Music, LLC, Raleigh Music Publishing LLC, STB Music, Inc., and TuneCore, Inc. and identified additional musical works. The Company answered the amended complaint on June 14, 2019. On June 24, 2019, counter-defendants filed a motion to dismiss the counterclaims, to which the Company filed an opposition on August 8, 2019. Discovery on the claims and counterclaims is ongoing in this case.</w:t>
      </w:r>
    </w:p>
    <w:p>
      <w:pPr>
        <w:spacing w:after="0" w:line="176"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On September 27, 2019, the district court granted plaintiffs leave to file a second amended complaint identifying additional musical works and affiliated entities, and requesting injunctive relief, more than $300 million in damages, and attorneys’ fees and costs. The Company is opposing the motion and it is currently pending before the U.S. District Court for the Southern District of New York. The Company intends to vigorously defend the claim and answered the second amended complaint and also filed counterclaims on October 11, 2019. Discovery on the claims and counterclaims is ongoing in this case.</w:t>
      </w:r>
    </w:p>
    <w:p>
      <w:pPr>
        <w:spacing w:after="0" w:line="168" w:lineRule="exact"/>
        <w:rPr>
          <w:sz w:val="20"/>
          <w:szCs w:val="20"/>
          <w:color w:val="auto"/>
        </w:rPr>
      </w:pPr>
    </w:p>
    <w:p>
      <w:pPr>
        <w:jc w:val="both"/>
        <w:ind w:left="260"/>
        <w:spacing w:after="0" w:line="251" w:lineRule="auto"/>
        <w:rPr>
          <w:sz w:val="20"/>
          <w:szCs w:val="20"/>
          <w:color w:val="auto"/>
        </w:rPr>
      </w:pPr>
      <w:r>
        <w:rPr>
          <w:rFonts w:ascii="Times New Roman" w:cs="Times New Roman" w:eastAsia="Times New Roman" w:hAnsi="Times New Roman"/>
          <w:sz w:val="13"/>
          <w:szCs w:val="13"/>
          <w:color w:val="auto"/>
        </w:rPr>
        <w:t>While the Company cannot predict the ultimate result of any judgment against, or settlement by, the Company, will be in this matter, based on application of ASC 450, "Contingencies", at September 30, 2019, the Company accrued its best estimate within a range of possible outcomes ranging from $4.0 million to $11.0 million, which is included in accrued expenses in the accompanying condensed consolidated balance sheets. Amounts accrued for this matter at September 30, 2019 are not considered material to the Company's financial position and the Company continues to vigorously defend its position in the aforementioned outstanding matter and assess its legal position.</w:t>
      </w:r>
    </w:p>
    <w:p>
      <w:pPr>
        <w:spacing w:after="0" w:line="172"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In addition to the above, from time to time, the Company is subject to litigation matters and claims which arise in the ordinary course of its business. The Company believes that the outcome of any existing litigation, either individually or in the aggregate, will not have a material impact on the results of operations, financial condition or cash flows of the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Stockholders' Equity (Deficit)</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Convertible Preferred Stock</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In September 2019, upon the closing of the Company's IPO, all outstanding shares of convertible preferred stock were automatically converted into an aggregate of 210,640,629 shares of Class B common stock.</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Preferred Stock</w:t>
      </w:r>
    </w:p>
    <w:p>
      <w:pPr>
        <w:spacing w:after="0" w:line="38"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Effective September 2019, the Company's Board of Directors ("Board of Directors") authorized the issuance of undesignated preferred stock, with a par value of $0.000025 per share. As of September 30, 2019, there were 50,000,000 shares of preferred stock authorized and zero shares of preferred stock outstanding.</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p>
      <w:pPr>
        <w:spacing w:after="0" w:line="38" w:lineRule="exact"/>
        <w:rPr>
          <w:sz w:val="20"/>
          <w:szCs w:val="20"/>
          <w:color w:val="auto"/>
        </w:rPr>
      </w:pPr>
    </w:p>
    <w:p>
      <w:pPr>
        <w:jc w:val="both"/>
        <w:ind w:left="260"/>
        <w:spacing w:after="0" w:line="251" w:lineRule="auto"/>
        <w:rPr>
          <w:sz w:val="20"/>
          <w:szCs w:val="20"/>
          <w:color w:val="auto"/>
        </w:rPr>
      </w:pPr>
      <w:r>
        <w:rPr>
          <w:rFonts w:ascii="Times New Roman" w:cs="Times New Roman" w:eastAsia="Times New Roman" w:hAnsi="Times New Roman"/>
          <w:sz w:val="13"/>
          <w:szCs w:val="13"/>
          <w:color w:val="auto"/>
        </w:rPr>
        <w:t>In August 2019, the Company implemented a dual class common stock structure where all existing shares of common stock were reclassified into Class B common stock and the Company also authorized a new class of common stock, the Class A common stock. The Class A common stock is entitled to one vote per share and the Class B common stock is entitled to twenty votes per share. The Class A and Class B common stock have the same dividend and liquidation rights, and the Class B common stock converts to Class A at any time at the option of the holder, or automatically upon the date that is the earliest of (i) the date specified by a vote of the holders of 66 2/3% of the then outstanding shares of Class B common stock, (ii) 10 years from the closing date of the IPO, and (iii) the date that the total number of</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17" w:right="219" w:bottom="1440" w:gutter="0" w:footer="0" w:header="0"/>
        </w:sectPr>
      </w:pPr>
    </w:p>
    <w:bookmarkStart w:id="14" w:name="page15"/>
    <w:bookmarkEnd w:id="14"/>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shares of Class B common stock outstanding cease to represent at least 1% of all outstanding shares of the Company's common stock. In addition, each share of Class B common stock will convert automatically into one share of Class A common stock upon any transfer, except for certain transfers described in the Company's restated certificate of incorporation. Upon the creation of the dual class common stock structure, all outstanding options and the warrant to purchase common stock became options and a warrant, respectively, to purchase an equivalent number of shares of Class B common stock.</w:t>
      </w:r>
    </w:p>
    <w:p>
      <w:pPr>
        <w:spacing w:after="0" w:line="168"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The Board of Directors authorized the issuance of Class A common stock and Class B common stock, each with a par value of $0.000025 per share. As of September 30, 2019, there were 2,500,000,000 shares of Class A common stock and 2,500,000,000 shares of Class B common stock authorized and 43,448,475 shares of Class A common stock and 236,819,100 shares of Class B common stock outstanding.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Equity-Based Compensation</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2015 Stock Plan</w:t>
      </w:r>
    </w:p>
    <w:p>
      <w:pPr>
        <w:spacing w:after="0" w:line="38"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In April 2015, the Board of Directors approved the establishment of the 2015 Stock Plan (the “2015 Plan”) to provide stock award grants to employees, directors, and consultants of the Company. The Board of Directors, or at its sole discretion, a committee of the Board of Directors, is responsible for the administration of the 2015 Plan.</w:t>
      </w:r>
    </w:p>
    <w:p>
      <w:pPr>
        <w:spacing w:after="0" w:line="159" w:lineRule="exact"/>
        <w:rPr>
          <w:sz w:val="20"/>
          <w:szCs w:val="20"/>
          <w:color w:val="auto"/>
        </w:rPr>
      </w:pPr>
    </w:p>
    <w:p>
      <w:pPr>
        <w:jc w:val="both"/>
        <w:ind w:left="260"/>
        <w:spacing w:after="0" w:line="249" w:lineRule="auto"/>
        <w:rPr>
          <w:sz w:val="20"/>
          <w:szCs w:val="20"/>
          <w:color w:val="auto"/>
        </w:rPr>
      </w:pPr>
      <w:r>
        <w:rPr>
          <w:rFonts w:ascii="Times New Roman" w:cs="Times New Roman" w:eastAsia="Times New Roman" w:hAnsi="Times New Roman"/>
          <w:sz w:val="13"/>
          <w:szCs w:val="13"/>
          <w:color w:val="auto"/>
        </w:rPr>
        <w:t>The 2015 Plan requires that the per share exercise price of each stock option shall not be less than 100% of the fair market value of the common stock subject to the stock option on the grant date. Stock option grants shall not be exercisable after the expiration of ten years from the date of its grant or such shorter period as specified in a stock award agreement. For initial grants, vesting generally occurs over four years with the first 25% of the award vesting upon the 12-month anniversary of the vesting commencement date and the remaining 75% vesting monthly over the following 36 months. The 2015 Plan provides that the Board of Directors may, in its sole discretion, impose such limitations on transferability of stock options as the Board of Directors shall determine. In the absence of a determination by the Board of Directors to the contrary, stock options shall not be transferable except by will or by the laws of descent and distribution, and domestic relations orders unless specifically agreed to by the plan administrator.</w:t>
      </w:r>
    </w:p>
    <w:p>
      <w:pPr>
        <w:spacing w:after="0" w:line="151"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The 2015 Plan was terminated in connection with the adoption of the Company's 2019 Equity Incentive Plan (the "2019 Plan") in September 2019, and the Company will not grant any additional awards under the 2015 Plan. However, the 2015 Plan will continue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2019 Equity Incentive Plan</w:t>
      </w:r>
    </w:p>
    <w:p>
      <w:pPr>
        <w:spacing w:after="0" w:line="38" w:lineRule="exact"/>
        <w:rPr>
          <w:sz w:val="20"/>
          <w:szCs w:val="20"/>
          <w:color w:val="auto"/>
        </w:rPr>
      </w:pPr>
    </w:p>
    <w:p>
      <w:pPr>
        <w:jc w:val="both"/>
        <w:ind w:left="260"/>
        <w:spacing w:after="0" w:line="249" w:lineRule="auto"/>
        <w:rPr>
          <w:sz w:val="20"/>
          <w:szCs w:val="20"/>
          <w:color w:val="auto"/>
        </w:rPr>
      </w:pPr>
      <w:r>
        <w:rPr>
          <w:rFonts w:ascii="Times New Roman" w:cs="Times New Roman" w:eastAsia="Times New Roman" w:hAnsi="Times New Roman"/>
          <w:sz w:val="13"/>
          <w:szCs w:val="13"/>
          <w:color w:val="auto"/>
        </w:rPr>
        <w:t>In August 2019, the Board of Directors adopted the 2019 Plan, which was subsequently approved by the Company’s stockholders in September 2019. The Company initially reserved 49,809,576 shares of the Company’s Class A common stock to be issued under the 2019 Plan, which figure includes all shares reserved under the 2015 Plan not issued or subject to outstanding grants under the 2015 Plan as of the effective date of the 2019 Plan.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summary sets forth the stock option activity under the 2019 Plan:</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5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ind w:left="700"/>
              <w:spacing w:after="0"/>
              <w:rPr>
                <w:sz w:val="20"/>
                <w:szCs w:val="20"/>
                <w:color w:val="auto"/>
              </w:rPr>
            </w:pPr>
            <w:r>
              <w:rPr>
                <w:rFonts w:ascii="Times New Roman" w:cs="Times New Roman" w:eastAsia="Times New Roman" w:hAnsi="Times New Roman"/>
                <w:sz w:val="13"/>
                <w:szCs w:val="13"/>
                <w:b w:val="1"/>
                <w:bCs w:val="1"/>
                <w:color w:val="auto"/>
              </w:rPr>
              <w:t>Options Outstanding</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4"/>
                <w:szCs w:val="14"/>
                <w:color w:val="auto"/>
              </w:rPr>
            </w:pPr>
          </w:p>
        </w:tc>
        <w:tc>
          <w:tcPr>
            <w:tcW w:w="116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56"/>
        </w:trPr>
        <w:tc>
          <w:tcPr>
            <w:tcW w:w="5520" w:type="dxa"/>
            <w:vAlign w:val="bottom"/>
          </w:tcPr>
          <w:p>
            <w:pPr>
              <w:spacing w:after="0"/>
              <w:rPr>
                <w:sz w:val="4"/>
                <w:szCs w:val="4"/>
                <w:color w:val="auto"/>
              </w:rPr>
            </w:pPr>
          </w:p>
        </w:tc>
        <w:tc>
          <w:tcPr>
            <w:tcW w:w="126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Number of Stock</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1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55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13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restart"/>
          </w:tcPr>
          <w:p>
            <w:pPr>
              <w:jc w:val="right"/>
              <w:ind w:right="355"/>
              <w:spacing w:after="0" w:line="129"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260" w:type="dxa"/>
            <w:vAlign w:val="bottom"/>
            <w:vMerge w:val="restart"/>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(years)</w:t>
            </w: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5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Value (in millions)</w:t>
            </w:r>
          </w:p>
        </w:tc>
        <w:tc>
          <w:tcPr>
            <w:tcW w:w="0" w:type="dxa"/>
            <w:vAlign w:val="bottom"/>
          </w:tcPr>
          <w:p>
            <w:pPr>
              <w:spacing w:after="0"/>
              <w:rPr>
                <w:sz w:val="1"/>
                <w:szCs w:val="1"/>
                <w:color w:val="auto"/>
              </w:rPr>
            </w:pPr>
          </w:p>
        </w:tc>
      </w:tr>
      <w:tr>
        <w:trPr>
          <w:trHeight w:val="17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 June 30, 2019</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64,602,124</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6.71</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972.0</w:t>
            </w:r>
          </w:p>
        </w:tc>
        <w:tc>
          <w:tcPr>
            <w:tcW w:w="0" w:type="dxa"/>
            <w:vAlign w:val="bottom"/>
          </w:tcPr>
          <w:p>
            <w:pPr>
              <w:spacing w:after="0"/>
              <w:rPr>
                <w:sz w:val="1"/>
                <w:szCs w:val="1"/>
                <w:color w:val="auto"/>
              </w:rPr>
            </w:pPr>
          </w:p>
        </w:tc>
      </w:tr>
      <w:tr>
        <w:trPr>
          <w:trHeight w:val="178"/>
        </w:trPr>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Granted</w:t>
            </w: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1,114,900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24.56</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5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Exercised</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(638,614)</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3.41</w:t>
            </w: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Cancelled</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(802,448)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9.45</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 September 30, 2019</w:t>
            </w: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64,275,962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1,164.2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 and Exercisable— September 30, 2019</w:t>
            </w:r>
          </w:p>
        </w:tc>
        <w:tc>
          <w:tcPr>
            <w:tcW w:w="1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19,525,770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431.5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The aggregate intrinsic value of options outstanding, vested and exercisable, were calculated as the difference between the exercise price of the options and the fair value of the Company’s common stock as of September 30, 2019. Prior to the IPO, the fair value of the Company's common stock was determined by the Board of Directors. After the IPO, the fair value of the common stock is the closing stock price of the Company's Class A common stock as reported on the Nasdaq Global Select Market.</w:t>
      </w:r>
    </w:p>
    <w:p>
      <w:pPr>
        <w:spacing w:after="0" w:line="168"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As part of the 2015 Plan, the Company issued options to certain key management that vest upon the achievement of certain performance milestones. During the three months ended September 30, 2019 and 2018, the Company recorded stock-based compensation expense related to the performance based options of $3.7 million and $0.1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17" w:right="219" w:bottom="1440" w:gutter="0" w:footer="0" w:header="0"/>
        </w:sectPr>
      </w:pPr>
    </w:p>
    <w:bookmarkStart w:id="15" w:name="page16"/>
    <w:bookmarkEnd w:id="15"/>
    <w:p>
      <w:pPr>
        <w:ind w:left="260"/>
        <w:spacing w:after="0" w:line="270" w:lineRule="auto"/>
        <w:rPr>
          <w:sz w:val="20"/>
          <w:szCs w:val="20"/>
          <w:color w:val="auto"/>
        </w:rPr>
      </w:pPr>
      <w:r>
        <w:rPr>
          <w:rFonts w:ascii="Times New Roman" w:cs="Times New Roman" w:eastAsia="Times New Roman" w:hAnsi="Times New Roman"/>
          <w:sz w:val="13"/>
          <w:szCs w:val="13"/>
          <w:color w:val="auto"/>
        </w:rPr>
        <w:t>For the three months ended September 30, 2019 and 2018, the weighted-average grant date fair value per option was $12.80 and $4.22, respectively. The fair value of each option was estimated at the grant date using the Black-Scholes method with the following assumptions:</w:t>
      </w:r>
    </w:p>
    <w:p>
      <w:pPr>
        <w:sectPr>
          <w:pgSz w:w="11900" w:h="16838" w:orient="portrait"/>
          <w:cols w:equalWidth="0" w:num="1">
            <w:col w:w="11460"/>
          </w:cols>
          <w:pgMar w:left="220" w:top="51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 xml:space="preserve">Weighted average risk-free interest rate </w:t>
      </w:r>
      <w:r>
        <w:rPr>
          <w:rFonts w:ascii="Times New Roman" w:cs="Times New Roman" w:eastAsia="Times New Roman" w:hAnsi="Times New Roman"/>
          <w:sz w:val="6"/>
          <w:szCs w:val="6"/>
          <w:color w:val="auto"/>
        </w:rPr>
        <w:t>(1)</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Weighted average expected term (in years)</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 xml:space="preserve">Weighted average expected volatility </w:t>
      </w:r>
      <w:r>
        <w:rPr>
          <w:rFonts w:ascii="Times New Roman" w:cs="Times New Roman" w:eastAsia="Times New Roman" w:hAnsi="Times New Roman"/>
          <w:sz w:val="6"/>
          <w:szCs w:val="6"/>
          <w:color w:val="auto"/>
        </w:rPr>
        <w:t>(2)</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Expected dividend yield</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____________________________</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272351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23515" cy="698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00" w:type="dxa"/>
            <w:vAlign w:val="bottom"/>
          </w:tcPr>
          <w:p>
            <w:pPr>
              <w:jc w:val="right"/>
              <w:ind w:right="8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4"/>
                <w:szCs w:val="14"/>
                <w:color w:val="auto"/>
              </w:rPr>
            </w:pPr>
          </w:p>
        </w:tc>
        <w:tc>
          <w:tcPr>
            <w:tcW w:w="2100" w:type="dxa"/>
            <w:vAlign w:val="bottom"/>
          </w:tcPr>
          <w:p>
            <w:pPr>
              <w:jc w:val="right"/>
              <w:ind w:right="855"/>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7"/>
        </w:trPr>
        <w:tc>
          <w:tcPr>
            <w:tcW w:w="2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69"/>
        </w:trPr>
        <w:tc>
          <w:tcPr>
            <w:tcW w:w="21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auto"/>
                <w:w w:val="95"/>
              </w:rPr>
              <w:t>1.6%</w:t>
            </w:r>
          </w:p>
        </w:tc>
        <w:tc>
          <w:tcPr>
            <w:tcW w:w="80" w:type="dxa"/>
            <w:vAlign w:val="bottom"/>
          </w:tcPr>
          <w:p>
            <w:pPr>
              <w:spacing w:after="0"/>
              <w:rPr>
                <w:sz w:val="14"/>
                <w:szCs w:val="14"/>
                <w:color w:val="auto"/>
              </w:rPr>
            </w:pPr>
          </w:p>
        </w:tc>
        <w:tc>
          <w:tcPr>
            <w:tcW w:w="21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auto"/>
              </w:rPr>
              <w:t>2.9%</w:t>
            </w:r>
          </w:p>
        </w:tc>
      </w:tr>
      <w:tr>
        <w:trPr>
          <w:trHeight w:val="205"/>
        </w:trPr>
        <w:tc>
          <w:tcPr>
            <w:tcW w:w="2100" w:type="dxa"/>
            <w:vAlign w:val="bottom"/>
          </w:tcPr>
          <w:p>
            <w:pPr>
              <w:jc w:val="right"/>
              <w:ind w:right="915"/>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7"/>
                <w:szCs w:val="17"/>
                <w:color w:val="auto"/>
              </w:rPr>
            </w:pPr>
          </w:p>
        </w:tc>
        <w:tc>
          <w:tcPr>
            <w:tcW w:w="2100" w:type="dxa"/>
            <w:vAlign w:val="bottom"/>
          </w:tcPr>
          <w:p>
            <w:pPr>
              <w:jc w:val="right"/>
              <w:ind w:right="895"/>
              <w:spacing w:after="0"/>
              <w:rPr>
                <w:sz w:val="20"/>
                <w:szCs w:val="20"/>
                <w:color w:val="auto"/>
              </w:rPr>
            </w:pPr>
            <w:r>
              <w:rPr>
                <w:rFonts w:ascii="Times New Roman" w:cs="Times New Roman" w:eastAsia="Times New Roman" w:hAnsi="Times New Roman"/>
                <w:sz w:val="13"/>
                <w:szCs w:val="13"/>
                <w:color w:val="auto"/>
              </w:rPr>
              <w:t>6.3</w:t>
            </w:r>
          </w:p>
        </w:tc>
      </w:tr>
      <w:tr>
        <w:trPr>
          <w:trHeight w:val="205"/>
        </w:trPr>
        <w:tc>
          <w:tcPr>
            <w:tcW w:w="21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7"/>
                <w:szCs w:val="17"/>
                <w:color w:val="auto"/>
              </w:rPr>
            </w:pPr>
          </w:p>
        </w:tc>
        <w:tc>
          <w:tcPr>
            <w:tcW w:w="21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auto"/>
                <w:w w:val="95"/>
              </w:rPr>
              <w:t>45.0%</w:t>
            </w:r>
          </w:p>
        </w:tc>
      </w:tr>
      <w:tr>
        <w:trPr>
          <w:trHeight w:val="205"/>
        </w:trPr>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1"/>
              </w:rPr>
              <w:t>—</w:t>
            </w:r>
          </w:p>
        </w:tc>
        <w:tc>
          <w:tcPr>
            <w:tcW w:w="21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-509270</wp:posOffset>
            </wp:positionV>
            <wp:extent cx="688403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84035" cy="137160"/>
                    </a:xfrm>
                    <a:prstGeom prst="rect">
                      <a:avLst/>
                    </a:prstGeom>
                    <a:noFill/>
                  </pic:spPr>
                </pic:pic>
              </a:graphicData>
            </a:graphic>
          </wp:anchor>
        </w:drawing>
        <w:drawing>
          <wp:anchor simplePos="0" relativeHeight="251657728" behindDoc="1" locked="0" layoutInCell="0" allowOverlap="1">
            <wp:simplePos x="0" y="0"/>
            <wp:positionH relativeFrom="column">
              <wp:posOffset>-4161790</wp:posOffset>
            </wp:positionH>
            <wp:positionV relativeFrom="paragraph">
              <wp:posOffset>-242570</wp:posOffset>
            </wp:positionV>
            <wp:extent cx="6884035" cy="130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84035" cy="130175"/>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2">
            <w:col w:w="6100" w:space="720"/>
            <w:col w:w="4640"/>
          </w:cols>
          <w:pgMar w:left="220" w:top="517" w:right="219" w:bottom="1440" w:gutter="0" w:footer="0" w:header="0"/>
          <w:type w:val="continuous"/>
        </w:sectPr>
      </w:pPr>
    </w:p>
    <w:p>
      <w:pPr>
        <w:ind w:left="520" w:hanging="255"/>
        <w:spacing w:after="0"/>
        <w:tabs>
          <w:tab w:leader="none" w:pos="52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Based on U.S. Treasury seven-year constant maturity interest rate whose term is consistent with the expected term of the option.</w:t>
      </w:r>
    </w:p>
    <w:p>
      <w:pPr>
        <w:spacing w:after="0" w:line="3" w:lineRule="exact"/>
        <w:rPr>
          <w:rFonts w:ascii="Times New Roman" w:cs="Times New Roman" w:eastAsia="Times New Roman" w:hAnsi="Times New Roman"/>
          <w:sz w:val="10"/>
          <w:szCs w:val="10"/>
          <w:color w:val="auto"/>
        </w:rPr>
      </w:pPr>
    </w:p>
    <w:p>
      <w:pPr>
        <w:ind w:left="520" w:hanging="255"/>
        <w:spacing w:after="0"/>
        <w:tabs>
          <w:tab w:leader="none" w:pos="52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Expected volatility is based on an analysis of comparable public company volatilities and adjusted for the Company’s stage of development.</w:t>
      </w:r>
    </w:p>
    <w:p>
      <w:pPr>
        <w:spacing w:after="0" w:line="190"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With respect to the grants made under the 2015 Plan, the Company recognized stock-based compensation expense of $19.0 million and $3.4 million for the three months ended September 30, 2019 and 2018, respectively. As of September 30, 2019, the Company had $213.1 million of unrecognized stock-based compensation expense that is expected to be recognized over a weighted-average period of 3.7 years.</w:t>
      </w:r>
    </w:p>
    <w:p>
      <w:pPr>
        <w:spacing w:after="0" w:line="159"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During the three months ended September 30, 2019, the holder of a warrant to purchase 240,000 shares of the Company's Class B common stock net exercised the warrant into 238,253 shares of Class B common stock at an exercise price of $0.19 per share. As of September 30, 2019, there were zero warrants issued and outstanding.</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Employee Stock Purchase Plan</w:t>
      </w:r>
    </w:p>
    <w:p>
      <w:pPr>
        <w:spacing w:after="0" w:line="38" w:lineRule="exact"/>
        <w:rPr>
          <w:sz w:val="20"/>
          <w:szCs w:val="20"/>
          <w:color w:val="auto"/>
        </w:rPr>
      </w:pPr>
    </w:p>
    <w:p>
      <w:pPr>
        <w:jc w:val="both"/>
        <w:ind w:left="260"/>
        <w:spacing w:after="0" w:line="247" w:lineRule="auto"/>
        <w:rPr>
          <w:sz w:val="20"/>
          <w:szCs w:val="20"/>
          <w:color w:val="auto"/>
        </w:rPr>
      </w:pPr>
      <w:r>
        <w:rPr>
          <w:rFonts w:ascii="Times New Roman" w:cs="Times New Roman" w:eastAsia="Times New Roman" w:hAnsi="Times New Roman"/>
          <w:sz w:val="13"/>
          <w:szCs w:val="13"/>
          <w:color w:val="auto"/>
        </w:rPr>
        <w:t>In August 2019, the Board of Directors adopted, and in September 2019, the Company's stockholders approved, the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A total of 5,600,000 shares of the Company's Class A common stock are available for issuance and sale to eligible employees under the ESPP.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w:t>
      </w:r>
    </w:p>
    <w:p>
      <w:pPr>
        <w:spacing w:after="0" w:line="176"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Unless otherwise determined by the Board of Directors, each offering period will consist of four six-month purchase periods, provided that the initial offering period commenced on the Effective Date and will end on August 31, 2021, and the initial purchase period will end February 28, 2020. Thereafter, each offering period and each purchase period will commence on September 1 and March 1 and end on August 31 and February 28 of each two-year period or each six-month period, respectively.</w:t>
      </w:r>
    </w:p>
    <w:p>
      <w:pPr>
        <w:spacing w:after="0" w:line="168"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Income Taxes</w:t>
      </w:r>
    </w:p>
    <w:p>
      <w:pPr>
        <w:spacing w:after="0" w:line="176"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3"/>
          <w:szCs w:val="13"/>
          <w:color w:val="auto"/>
        </w:rPr>
        <w:t>The Company recorded a provision for income taxes of $0.1 million and zero for the three months ended September 30, 2019 and 2018, respectively. The tax income provision consists of the Texas state franchise tax and international income taxes.</w:t>
      </w:r>
    </w:p>
    <w:p>
      <w:pPr>
        <w:spacing w:after="0" w:line="138"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The Company regularly evaluates the realizability of its deferred tax assets and establishes a valuation allowance if it is more likely than not that some or all the deferred tax assets will not be realized. In making such a determination, the Company considers all available positive and negative evidence, including future reversals of existing taxable temporary differences, projected future taxable income, loss carryback and tax-planning strategies. Generally, more weight is given to objectively verifiable evidence, such as the cumulative loss in recent years, as a significant piece of negative evidence to overcome.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Loss Per Share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computation of loss per share is as follows: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17" w:right="219" w:bottom="1440" w:gutter="0" w:footer="0" w:header="0"/>
          <w:type w:val="continuous"/>
        </w:sectPr>
      </w:pPr>
    </w:p>
    <w:bookmarkStart w:id="16" w:name="page17"/>
    <w:bookmarkEnd w:id="16"/>
    <w:p>
      <w:pPr>
        <w:jc w:val="right"/>
        <w:ind w:right="11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29210</wp:posOffset>
            </wp:positionV>
            <wp:extent cx="22720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72030" cy="6985"/>
                    </a:xfrm>
                    <a:prstGeom prst="rect">
                      <a:avLst/>
                    </a:prstGeom>
                    <a:noFill/>
                  </pic:spPr>
                </pic:pic>
              </a:graphicData>
            </a:graphic>
          </wp:anchor>
        </w:drawing>
      </w:r>
    </w:p>
    <w:p>
      <w:pPr>
        <w:spacing w:after="0" w:line="46" w:lineRule="exact"/>
        <w:rPr>
          <w:sz w:val="20"/>
          <w:szCs w:val="20"/>
          <w:color w:val="auto"/>
        </w:rPr>
      </w:pPr>
    </w:p>
    <w:p>
      <w:pPr>
        <w:jc w:val="both"/>
        <w:ind w:left="8200"/>
        <w:spacing w:after="0"/>
        <w:tabs>
          <w:tab w:leader="none" w:pos="10020" w:val="left"/>
        </w:tabs>
        <w:rPr>
          <w:sz w:val="20"/>
          <w:szCs w:val="20"/>
          <w:color w:val="auto"/>
        </w:rPr>
      </w:pPr>
      <w:r>
        <w:rPr>
          <w:rFonts w:ascii="Times New Roman" w:cs="Times New Roman" w:eastAsia="Times New Roman" w:hAnsi="Times New Roman"/>
          <w:sz w:val="13"/>
          <w:szCs w:val="13"/>
          <w:b w:val="1"/>
          <w:bCs w:val="1"/>
          <w:color w:val="auto"/>
        </w:rPr>
        <w:t>2019</w:t>
      </w:r>
      <w:r>
        <w:rPr>
          <w:sz w:val="20"/>
          <w:szCs w:val="20"/>
          <w:color w:val="auto"/>
        </w:rPr>
        <w:tab/>
      </w:r>
      <w:r>
        <w:rPr>
          <w:rFonts w:ascii="Times New Roman" w:cs="Times New Roman" w:eastAsia="Times New Roman" w:hAnsi="Times New Roman"/>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29210</wp:posOffset>
            </wp:positionV>
            <wp:extent cx="227203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72030" cy="6985"/>
                    </a:xfrm>
                    <a:prstGeom prst="rect">
                      <a:avLst/>
                    </a:prstGeom>
                    <a:noFill/>
                  </pic:spPr>
                </pic:pic>
              </a:graphicData>
            </a:graphic>
          </wp:anchor>
        </w:drawing>
      </w:r>
    </w:p>
    <w:p>
      <w:pPr>
        <w:spacing w:after="0" w:line="4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3"/>
          <w:szCs w:val="13"/>
          <w:b w:val="1"/>
          <w:bCs w:val="1"/>
          <w:color w:val="auto"/>
        </w:rPr>
        <w:t>(in millions, except share and per share amounts)</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loss per share:</w:t>
            </w:r>
          </w:p>
        </w:tc>
        <w:tc>
          <w:tcPr>
            <w:tcW w:w="5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60" w:type="dxa"/>
            <w:vAlign w:val="bottom"/>
            <w:vMerge w:val="restart"/>
          </w:tcPr>
          <w:p>
            <w:pPr>
              <w:ind w:left="1060"/>
              <w:spacing w:after="0"/>
              <w:rPr>
                <w:sz w:val="20"/>
                <w:szCs w:val="20"/>
                <w:color w:val="auto"/>
              </w:rPr>
            </w:pPr>
            <w:r>
              <w:rPr>
                <w:rFonts w:ascii="Times New Roman" w:cs="Times New Roman" w:eastAsia="Times New Roman" w:hAnsi="Times New Roman"/>
                <w:sz w:val="13"/>
                <w:szCs w:val="13"/>
                <w:color w:val="auto"/>
              </w:rPr>
              <w:t>Net loss attributable to common stockholders</w:t>
            </w:r>
          </w:p>
        </w:tc>
        <w:tc>
          <w:tcPr>
            <w:tcW w:w="560" w:type="dxa"/>
            <w:vAlign w:val="bottom"/>
          </w:tcPr>
          <w:p>
            <w:pPr>
              <w:jc w:val="right"/>
              <w:ind w:right="415"/>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tcPr>
          <w:p>
            <w:pPr>
              <w:spacing w:after="0"/>
              <w:rPr>
                <w:sz w:val="14"/>
                <w:szCs w:val="14"/>
                <w:color w:val="auto"/>
              </w:rPr>
            </w:pPr>
          </w:p>
        </w:tc>
        <w:tc>
          <w:tcPr>
            <w:tcW w:w="560" w:type="dxa"/>
            <w:vAlign w:val="bottom"/>
          </w:tcPr>
          <w:p>
            <w:pPr>
              <w:jc w:val="right"/>
              <w:ind w:right="4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27"/>
        </w:trPr>
        <w:tc>
          <w:tcPr>
            <w:tcW w:w="726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2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Shares used in computation:</w:t>
            </w: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26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3"/>
                <w:szCs w:val="13"/>
                <w:color w:val="auto"/>
              </w:rPr>
              <w:t>Weighted-average common shares outstanding</w:t>
            </w: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38,453,864</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24,999,075</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Basic and diluted loss per share</w:t>
            </w:r>
          </w:p>
        </w:tc>
        <w:tc>
          <w:tcPr>
            <w:tcW w:w="56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Basic and diluted loss per share are the same for each class of common stock because they are entitled to the same liquidation and dividend rights.</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potentially dilutive shares were not included in the calculation of diluted shares outstanding as the effect would have been anti-dilutive:</w:t>
      </w:r>
    </w:p>
    <w:p>
      <w:pPr>
        <w:spacing w:after="0" w:line="129"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29210</wp:posOffset>
            </wp:positionV>
            <wp:extent cx="229933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99335" cy="6985"/>
                    </a:xfrm>
                    <a:prstGeom prst="rect">
                      <a:avLst/>
                    </a:prstGeom>
                    <a:noFill/>
                  </pic:spPr>
                </pic:pic>
              </a:graphicData>
            </a:graphic>
          </wp:anchor>
        </w:drawing>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8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right"/>
              <w:ind w:right="755"/>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7"/>
        </w:trPr>
        <w:tc>
          <w:tcPr>
            <w:tcW w:w="7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6"/>
        </w:trPr>
        <w:tc>
          <w:tcPr>
            <w:tcW w:w="8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Employee stock options</w:t>
            </w:r>
          </w:p>
        </w:tc>
        <w:tc>
          <w:tcPr>
            <w:tcW w:w="8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38,113,154</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9,389,725</w:t>
            </w:r>
          </w:p>
        </w:tc>
      </w:tr>
      <w:tr>
        <w:trPr>
          <w:trHeight w:val="178"/>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231,358</w:t>
            </w:r>
          </w:p>
        </w:tc>
      </w:tr>
      <w:tr>
        <w:trPr>
          <w:trHeight w:val="27"/>
        </w:trPr>
        <w:tc>
          <w:tcPr>
            <w:tcW w:w="7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78"/>
        </w:trPr>
        <w:tc>
          <w:tcPr>
            <w:tcW w:w="8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Redeemable convertible preferred stock</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189,147,535</w:t>
            </w:r>
          </w:p>
        </w:tc>
      </w:tr>
      <w:tr>
        <w:trPr>
          <w:trHeight w:val="27"/>
        </w:trPr>
        <w:tc>
          <w:tcPr>
            <w:tcW w:w="7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Segment Information</w:t>
      </w:r>
    </w:p>
    <w:p>
      <w:pPr>
        <w:spacing w:after="0" w:line="174" w:lineRule="exact"/>
        <w:rPr>
          <w:sz w:val="20"/>
          <w:szCs w:val="20"/>
          <w:color w:val="auto"/>
        </w:rPr>
      </w:pPr>
    </w:p>
    <w:p>
      <w:pPr>
        <w:jc w:val="both"/>
        <w:ind w:left="260"/>
        <w:spacing w:after="0" w:line="250" w:lineRule="auto"/>
        <w:rPr>
          <w:sz w:val="20"/>
          <w:szCs w:val="20"/>
          <w:color w:val="auto"/>
        </w:rPr>
      </w:pPr>
      <w:r>
        <w:rPr>
          <w:rFonts w:ascii="Times New Roman" w:cs="Times New Roman" w:eastAsia="Times New Roman" w:hAnsi="Times New Roman"/>
          <w:sz w:val="13"/>
          <w:szCs w:val="13"/>
          <w:color w:val="auto"/>
        </w:rPr>
        <w:t xml:space="preserve">The Company applies ASC 280, </w:t>
      </w:r>
      <w:r>
        <w:rPr>
          <w:rFonts w:ascii="Times New Roman" w:cs="Times New Roman" w:eastAsia="Times New Roman" w:hAnsi="Times New Roman"/>
          <w:sz w:val="13"/>
          <w:szCs w:val="13"/>
          <w:i w:val="1"/>
          <w:iCs w:val="1"/>
          <w:color w:val="auto"/>
        </w:rPr>
        <w:t>Segment Reporting</w:t>
      </w:r>
      <w:r>
        <w:rPr>
          <w:rFonts w:ascii="Times New Roman" w:cs="Times New Roman" w:eastAsia="Times New Roman" w:hAnsi="Times New Roman"/>
          <w:sz w:val="13"/>
          <w:szCs w:val="13"/>
          <w:color w:val="auto"/>
        </w:rPr>
        <w:t>, in determining reportable segments for its financial statement disclosure. The Company has three reportable segments: Connected Fitness Products, Subscription and Other. Segment information is presented in the same manner that the Company’s Chief Operating Decision Maker (the “CODM”) reviews the operating results in assessing performance and allocating resources. The CODM reviews revenue and gross profit for each of the reportable segments. Gross profit is defined as revenue less cost of revenue incurred by the segment. No operating segments have been aggregated to form the reportable segments. The Company does not allocate assets at the reportable segment level as these are managed on an entity wide group basis. As of September 30, 2019, the Company did not have material assets located outside of the United States.</w:t>
      </w:r>
    </w:p>
    <w:p>
      <w:pPr>
        <w:spacing w:after="0" w:line="172" w:lineRule="exact"/>
        <w:rPr>
          <w:sz w:val="20"/>
          <w:szCs w:val="20"/>
          <w:color w:val="auto"/>
        </w:rPr>
      </w:pPr>
    </w:p>
    <w:p>
      <w:pPr>
        <w:jc w:val="both"/>
        <w:ind w:left="260"/>
        <w:spacing w:after="0" w:line="256" w:lineRule="auto"/>
        <w:rPr>
          <w:sz w:val="20"/>
          <w:szCs w:val="20"/>
          <w:color w:val="auto"/>
        </w:rPr>
      </w:pPr>
      <w:r>
        <w:rPr>
          <w:rFonts w:ascii="Times New Roman" w:cs="Times New Roman" w:eastAsia="Times New Roman" w:hAnsi="Times New Roman"/>
          <w:sz w:val="13"/>
          <w:szCs w:val="13"/>
          <w:color w:val="auto"/>
        </w:rPr>
        <w:t>The Connected Fitness Product segment derives revenue from sale of the Bike, Tread and related accessories, and associated fees for delivery and installation and extended warranty agreements. The Subscription segment derives revenue from monthly Subscription fees as well as credits from live studio classes. The Other segment primarily consists of boutique and apparel sales. There are no internal revenue transactions between the Company’s segments.</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Key financial performance measures of the segments including revenue, cost of revenue, and gross profit are as follows: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58" w:right="219" w:bottom="1440" w:gutter="0" w:footer="0" w:header="0"/>
        </w:sectPr>
      </w:pPr>
    </w:p>
    <w:bookmarkStart w:id="17" w:name="page18"/>
    <w:bookmarkEnd w:id="17"/>
    <w:tbl>
      <w:tblPr>
        <w:tblLayout w:type="fixed"/>
        <w:tblInd w:w="260" w:type="dxa"/>
        <w:tblCellMar>
          <w:top w:w="0" w:type="dxa"/>
          <w:left w:w="0" w:type="dxa"/>
          <w:bottom w:w="0" w:type="dxa"/>
          <w:right w:w="0" w:type="dxa"/>
        </w:tblCellMar>
      </w:tblPr>
      <w:tr>
        <w:trPr>
          <w:trHeight w:val="169"/>
        </w:trPr>
        <w:tc>
          <w:tcPr>
            <w:tcW w:w="7260" w:type="dxa"/>
            <w:vAlign w:val="bottom"/>
          </w:tcPr>
          <w:p>
            <w:pPr>
              <w:spacing w:after="0"/>
              <w:rPr>
                <w:sz w:val="14"/>
                <w:szCs w:val="14"/>
                <w:color w:val="auto"/>
              </w:rPr>
            </w:pPr>
          </w:p>
        </w:tc>
        <w:tc>
          <w:tcPr>
            <w:tcW w:w="2980" w:type="dxa"/>
            <w:vAlign w:val="bottom"/>
            <w:gridSpan w:val="4"/>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60" w:type="dxa"/>
            <w:vAlign w:val="bottom"/>
          </w:tcPr>
          <w:p>
            <w:pPr>
              <w:spacing w:after="0"/>
              <w:rPr>
                <w:sz w:val="14"/>
                <w:szCs w:val="14"/>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2019</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2018</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3"/>
          </w:tcPr>
          <w:p>
            <w:pPr>
              <w:jc w:val="right"/>
              <w:ind w:right="79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2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Revenue</w:t>
            </w: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157.6</w:t>
            </w:r>
          </w:p>
        </w:tc>
        <w:tc>
          <w:tcPr>
            <w:tcW w:w="80" w:type="dxa"/>
            <w:vAlign w:val="bottom"/>
          </w:tcPr>
          <w:p>
            <w:pPr>
              <w:spacing w:after="0"/>
              <w:rPr>
                <w:sz w:val="17"/>
                <w:szCs w:val="17"/>
                <w:color w:val="auto"/>
              </w:rPr>
            </w:pP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77.9</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Cost of revenue</w:t>
            </w: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89.8</w:t>
            </w: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42.2</w:t>
            </w:r>
          </w:p>
        </w:tc>
        <w:tc>
          <w:tcPr>
            <w:tcW w:w="0" w:type="dxa"/>
            <w:vAlign w:val="bottom"/>
          </w:tcPr>
          <w:p>
            <w:pPr>
              <w:spacing w:after="0"/>
              <w:rPr>
                <w:sz w:val="1"/>
                <w:szCs w:val="1"/>
                <w:color w:val="auto"/>
              </w:rPr>
            </w:pPr>
          </w:p>
        </w:tc>
      </w:tr>
      <w:tr>
        <w:trPr>
          <w:trHeight w:val="171"/>
        </w:trPr>
        <w:tc>
          <w:tcPr>
            <w:tcW w:w="7260" w:type="dxa"/>
            <w:vAlign w:val="bottom"/>
            <w:vMerge w:val="restart"/>
          </w:tcPr>
          <w:p>
            <w:pPr>
              <w:ind w:left="640"/>
              <w:spacing w:after="0"/>
              <w:rPr>
                <w:sz w:val="20"/>
                <w:szCs w:val="20"/>
                <w:color w:val="auto"/>
              </w:rPr>
            </w:pPr>
            <w:r>
              <w:rPr>
                <w:rFonts w:ascii="Times New Roman" w:cs="Times New Roman" w:eastAsia="Times New Roman" w:hAnsi="Times New Roman"/>
                <w:sz w:val="13"/>
                <w:szCs w:val="13"/>
                <w:color w:val="auto"/>
              </w:rPr>
              <w:t>Gross profit</w:t>
            </w: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67.8</w:t>
            </w:r>
          </w:p>
        </w:tc>
        <w:tc>
          <w:tcPr>
            <w:tcW w:w="80" w:type="dxa"/>
            <w:vAlign w:val="bottom"/>
          </w:tcPr>
          <w:p>
            <w:pPr>
              <w:spacing w:after="0"/>
              <w:rPr>
                <w:sz w:val="14"/>
                <w:szCs w:val="14"/>
                <w:color w:val="auto"/>
              </w:rPr>
            </w:pP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35.7</w:t>
            </w:r>
          </w:p>
        </w:tc>
        <w:tc>
          <w:tcPr>
            <w:tcW w:w="0" w:type="dxa"/>
            <w:vAlign w:val="bottom"/>
          </w:tcPr>
          <w:p>
            <w:pPr>
              <w:spacing w:after="0"/>
              <w:rPr>
                <w:sz w:val="1"/>
                <w:szCs w:val="1"/>
                <w:color w:val="auto"/>
              </w:rPr>
            </w:pPr>
          </w:p>
        </w:tc>
      </w:tr>
      <w:tr>
        <w:trPr>
          <w:trHeight w:val="27"/>
        </w:trPr>
        <w:tc>
          <w:tcPr>
            <w:tcW w:w="7260" w:type="dxa"/>
            <w:vAlign w:val="bottom"/>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2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Subscription:</w:t>
            </w:r>
          </w:p>
        </w:tc>
        <w:tc>
          <w:tcPr>
            <w:tcW w:w="1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2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Revenue</w:t>
            </w: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67.2</w:t>
            </w:r>
          </w:p>
        </w:tc>
        <w:tc>
          <w:tcPr>
            <w:tcW w:w="80" w:type="dxa"/>
            <w:vAlign w:val="bottom"/>
          </w:tcPr>
          <w:p>
            <w:pPr>
              <w:spacing w:after="0"/>
              <w:rPr>
                <w:sz w:val="17"/>
                <w:szCs w:val="17"/>
                <w:color w:val="auto"/>
              </w:rPr>
            </w:pP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Cost of revenue</w:t>
            </w: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71"/>
        </w:trPr>
        <w:tc>
          <w:tcPr>
            <w:tcW w:w="7260" w:type="dxa"/>
            <w:vAlign w:val="bottom"/>
            <w:vMerge w:val="restart"/>
          </w:tcPr>
          <w:p>
            <w:pPr>
              <w:ind w:left="640"/>
              <w:spacing w:after="0"/>
              <w:rPr>
                <w:sz w:val="20"/>
                <w:szCs w:val="20"/>
                <w:color w:val="auto"/>
              </w:rPr>
            </w:pPr>
            <w:r>
              <w:rPr>
                <w:rFonts w:ascii="Times New Roman" w:cs="Times New Roman" w:eastAsia="Times New Roman" w:hAnsi="Times New Roman"/>
                <w:sz w:val="13"/>
                <w:szCs w:val="13"/>
                <w:color w:val="auto"/>
              </w:rPr>
              <w:t>Gross profit</w:t>
            </w: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tcPr>
          <w:p>
            <w:pPr>
              <w:spacing w:after="0"/>
              <w:rPr>
                <w:sz w:val="14"/>
                <w:szCs w:val="14"/>
                <w:color w:val="auto"/>
              </w:rPr>
            </w:pP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27"/>
        </w:trPr>
        <w:tc>
          <w:tcPr>
            <w:tcW w:w="7260" w:type="dxa"/>
            <w:vAlign w:val="bottom"/>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2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Other:</w:t>
            </w:r>
          </w:p>
        </w:tc>
        <w:tc>
          <w:tcPr>
            <w:tcW w:w="1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2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Revenue</w:t>
            </w: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7"/>
                <w:szCs w:val="17"/>
                <w:color w:val="auto"/>
              </w:rPr>
            </w:pP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Cost of revenue</w:t>
            </w: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1"/>
        </w:trPr>
        <w:tc>
          <w:tcPr>
            <w:tcW w:w="7260" w:type="dxa"/>
            <w:vAlign w:val="bottom"/>
            <w:vMerge w:val="restart"/>
          </w:tcPr>
          <w:p>
            <w:pPr>
              <w:ind w:left="640"/>
              <w:spacing w:after="0"/>
              <w:rPr>
                <w:sz w:val="20"/>
                <w:szCs w:val="20"/>
                <w:color w:val="auto"/>
              </w:rPr>
            </w:pPr>
            <w:r>
              <w:rPr>
                <w:rFonts w:ascii="Times New Roman" w:cs="Times New Roman" w:eastAsia="Times New Roman" w:hAnsi="Times New Roman"/>
                <w:sz w:val="13"/>
                <w:szCs w:val="13"/>
                <w:color w:val="auto"/>
              </w:rPr>
              <w:t>Gross profit</w:t>
            </w: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7"/>
        </w:trPr>
        <w:tc>
          <w:tcPr>
            <w:tcW w:w="7260" w:type="dxa"/>
            <w:vAlign w:val="bottom"/>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2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Consolidated:</w:t>
            </w:r>
          </w:p>
        </w:tc>
        <w:tc>
          <w:tcPr>
            <w:tcW w:w="1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2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Revenue</w:t>
            </w: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228.0</w:t>
            </w:r>
          </w:p>
        </w:tc>
        <w:tc>
          <w:tcPr>
            <w:tcW w:w="80" w:type="dxa"/>
            <w:vAlign w:val="bottom"/>
          </w:tcPr>
          <w:p>
            <w:pPr>
              <w:spacing w:after="0"/>
              <w:rPr>
                <w:sz w:val="17"/>
                <w:szCs w:val="17"/>
                <w:color w:val="auto"/>
              </w:rPr>
            </w:pP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112.1</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Cost of revenue</w:t>
            </w: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122.9</w:t>
            </w: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60.6</w:t>
            </w:r>
          </w:p>
        </w:tc>
        <w:tc>
          <w:tcPr>
            <w:tcW w:w="0" w:type="dxa"/>
            <w:vAlign w:val="bottom"/>
          </w:tcPr>
          <w:p>
            <w:pPr>
              <w:spacing w:after="0"/>
              <w:rPr>
                <w:sz w:val="1"/>
                <w:szCs w:val="1"/>
                <w:color w:val="auto"/>
              </w:rPr>
            </w:pPr>
          </w:p>
        </w:tc>
      </w:tr>
      <w:tr>
        <w:trPr>
          <w:trHeight w:val="171"/>
        </w:trPr>
        <w:tc>
          <w:tcPr>
            <w:tcW w:w="7260" w:type="dxa"/>
            <w:vAlign w:val="bottom"/>
            <w:vMerge w:val="restart"/>
          </w:tcPr>
          <w:p>
            <w:pPr>
              <w:ind w:left="640"/>
              <w:spacing w:after="0"/>
              <w:rPr>
                <w:sz w:val="20"/>
                <w:szCs w:val="20"/>
                <w:color w:val="auto"/>
              </w:rPr>
            </w:pPr>
            <w:r>
              <w:rPr>
                <w:rFonts w:ascii="Times New Roman" w:cs="Times New Roman" w:eastAsia="Times New Roman" w:hAnsi="Times New Roman"/>
                <w:sz w:val="13"/>
                <w:szCs w:val="13"/>
                <w:color w:val="auto"/>
              </w:rPr>
              <w:t>Gross profit</w:t>
            </w: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105.1</w:t>
            </w:r>
          </w:p>
        </w:tc>
        <w:tc>
          <w:tcPr>
            <w:tcW w:w="80" w:type="dxa"/>
            <w:vAlign w:val="bottom"/>
          </w:tcPr>
          <w:p>
            <w:pPr>
              <w:spacing w:after="0"/>
              <w:rPr>
                <w:sz w:val="14"/>
                <w:szCs w:val="14"/>
                <w:color w:val="auto"/>
              </w:rPr>
            </w:pP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51.5</w:t>
            </w:r>
          </w:p>
        </w:tc>
        <w:tc>
          <w:tcPr>
            <w:tcW w:w="0" w:type="dxa"/>
            <w:vAlign w:val="bottom"/>
          </w:tcPr>
          <w:p>
            <w:pPr>
              <w:spacing w:after="0"/>
              <w:rPr>
                <w:sz w:val="1"/>
                <w:szCs w:val="1"/>
                <w:color w:val="auto"/>
              </w:rPr>
            </w:pPr>
          </w:p>
        </w:tc>
      </w:tr>
      <w:tr>
        <w:trPr>
          <w:trHeight w:val="27"/>
        </w:trPr>
        <w:tc>
          <w:tcPr>
            <w:tcW w:w="7260" w:type="dxa"/>
            <w:vAlign w:val="bottom"/>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Reconciliation of Gross Profit</w:t>
      </w:r>
    </w:p>
    <w:p>
      <w:pPr>
        <w:spacing w:after="0" w:line="38" w:lineRule="exact"/>
        <w:rPr>
          <w:sz w:val="20"/>
          <w:szCs w:val="20"/>
          <w:color w:val="auto"/>
        </w:rPr>
      </w:pPr>
    </w:p>
    <w:p>
      <w:pPr>
        <w:ind w:left="260" w:right="260"/>
        <w:spacing w:after="0" w:line="270" w:lineRule="auto"/>
        <w:rPr>
          <w:sz w:val="20"/>
          <w:szCs w:val="20"/>
          <w:color w:val="auto"/>
        </w:rPr>
      </w:pPr>
      <w:r>
        <w:rPr>
          <w:rFonts w:ascii="Times New Roman" w:cs="Times New Roman" w:eastAsia="Times New Roman" w:hAnsi="Times New Roman"/>
          <w:sz w:val="13"/>
          <w:szCs w:val="13"/>
          <w:color w:val="auto"/>
        </w:rPr>
        <w:t>Operating expenditures, interest (income) and other expense, and taxes are not allocated to individual segments as these are managed on an entity wide group basis. The reconciliation between reportable segment gross profit to consolidated loss before tax is as follows:</w:t>
      </w:r>
    </w:p>
    <w:p>
      <w:pPr>
        <w:spacing w:after="0" w:line="93"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7220" w:type="dxa"/>
            <w:vAlign w:val="bottom"/>
          </w:tcPr>
          <w:p>
            <w:pPr>
              <w:spacing w:after="0"/>
              <w:rPr>
                <w:sz w:val="14"/>
                <w:szCs w:val="14"/>
                <w:color w:val="auto"/>
              </w:rPr>
            </w:pPr>
          </w:p>
        </w:tc>
        <w:tc>
          <w:tcPr>
            <w:tcW w:w="2980" w:type="dxa"/>
            <w:vAlign w:val="bottom"/>
            <w:gridSpan w:val="4"/>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20" w:type="dxa"/>
            <w:vAlign w:val="bottom"/>
          </w:tcPr>
          <w:p>
            <w:pPr>
              <w:spacing w:after="0"/>
              <w:rPr>
                <w:sz w:val="14"/>
                <w:szCs w:val="14"/>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2019</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2018</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3"/>
          </w:tcPr>
          <w:p>
            <w:pPr>
              <w:jc w:val="right"/>
              <w:ind w:right="83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Gross Profit</w:t>
            </w:r>
          </w:p>
        </w:tc>
        <w:tc>
          <w:tcPr>
            <w:tcW w:w="114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105.1</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51.5</w:t>
            </w:r>
          </w:p>
        </w:tc>
        <w:tc>
          <w:tcPr>
            <w:tcW w:w="0" w:type="dxa"/>
            <w:vAlign w:val="bottom"/>
          </w:tcPr>
          <w:p>
            <w:pPr>
              <w:spacing w:after="0"/>
              <w:rPr>
                <w:sz w:val="1"/>
                <w:szCs w:val="1"/>
                <w:color w:val="auto"/>
              </w:rPr>
            </w:pPr>
          </w:p>
        </w:tc>
      </w:tr>
      <w:tr>
        <w:trPr>
          <w:trHeight w:val="202"/>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1140" w:type="dxa"/>
            <w:vAlign w:val="bottom"/>
          </w:tcPr>
          <w:p>
            <w:pPr>
              <w:spacing w:after="0"/>
              <w:rPr>
                <w:sz w:val="17"/>
                <w:szCs w:val="17"/>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(45.5)</w:t>
            </w:r>
          </w:p>
        </w:tc>
        <w:tc>
          <w:tcPr>
            <w:tcW w:w="0" w:type="dxa"/>
            <w:vAlign w:val="bottom"/>
          </w:tcPr>
          <w:p>
            <w:pPr>
              <w:spacing w:after="0"/>
              <w:rPr>
                <w:sz w:val="1"/>
                <w:szCs w:val="1"/>
                <w:color w:val="auto"/>
              </w:rPr>
            </w:pPr>
          </w:p>
        </w:tc>
      </w:tr>
      <w:tr>
        <w:trPr>
          <w:trHeight w:val="20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(60.9)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202"/>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40" w:type="dxa"/>
            <w:vAlign w:val="bottom"/>
          </w:tcPr>
          <w:p>
            <w:pPr>
              <w:spacing w:after="0"/>
              <w:rPr>
                <w:sz w:val="17"/>
                <w:szCs w:val="17"/>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1"/>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tcPr>
          <w:p>
            <w:pPr>
              <w:spacing w:after="0"/>
              <w:rPr>
                <w:sz w:val="14"/>
                <w:szCs w:val="14"/>
                <w:color w:val="auto"/>
              </w:rPr>
            </w:pP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27"/>
        </w:trPr>
        <w:tc>
          <w:tcPr>
            <w:tcW w:w="7220" w:type="dxa"/>
            <w:vAlign w:val="bottom"/>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15. Subsequent Events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Tonic Fitness Technology Acquisition</w:t>
      </w:r>
    </w:p>
    <w:p>
      <w:pPr>
        <w:spacing w:after="0" w:line="178" w:lineRule="exact"/>
        <w:rPr>
          <w:sz w:val="20"/>
          <w:szCs w:val="20"/>
          <w:color w:val="auto"/>
        </w:rPr>
      </w:pPr>
    </w:p>
    <w:p>
      <w:pPr>
        <w:jc w:val="both"/>
        <w:ind w:left="260"/>
        <w:spacing w:after="0" w:line="251" w:lineRule="auto"/>
        <w:rPr>
          <w:sz w:val="20"/>
          <w:szCs w:val="20"/>
          <w:color w:val="auto"/>
        </w:rPr>
      </w:pPr>
      <w:r>
        <w:rPr>
          <w:rFonts w:ascii="Times New Roman" w:cs="Times New Roman" w:eastAsia="Times New Roman" w:hAnsi="Times New Roman"/>
          <w:sz w:val="13"/>
          <w:szCs w:val="13"/>
          <w:color w:val="auto"/>
        </w:rPr>
        <w:t>On October 16, 2019, the Company acquired Tonic Fitness Technology, Inc. (“Tonic”), a manufacturing company located in Taiwan, for a purchase price of approximately $47.4 million, net of cash acquired, which was paid in cash. Upon completion of the transaction, Tonic became a wholly-owned subsidiary of the Company. The Company acquired Tonic in order to have more control over its supply chain and to help the Company scale its production. The acquisition will be accounted for under the acquisition method. The Company is still in the process of identifying and allocating fair values to the tangible and intangible assets and liabilities acquired.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58" w:right="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3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our final prospectus, or Prospectus, dated September 25, 2019 and filed with the U.S. Securities and Exchange Commission, or the SEC, pursuant to Rule 424(b) under the Securities Act of 1933, as amended, or the Securities Act, on September 26, 2019.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our Prospectus.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050505"/>
        </w:rPr>
        <w:t>Peloton is the largest interactive fitness platform in the world with a loyal community of over 1.6 million Members as of September 30, 2019.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050505"/>
        </w:rPr>
        <w:t>Our Connected Fitness Product offerings currently include the Peloton Bike, launched in 2014, and the Peloton Tread, launched in 2018. Our revenue is primarily generated from the sale of our Connected Fitness Products and associated recurring subscription revenue. We have experienced significant growth in sales of our Connected Fitness Products, which, when combined with our low Average Net Monthly Connected Fitness Churn has led to significant growth in Connected Fitness Subscribers. From the three months ended September 30, 2018 to the three months ended September 30, 2019, total revenue grew 103%, and our Connected Fitness Subscriber base grew 103%.</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allows us to generate attractive value from our Connected Fitness Subscribers. When we acquire new Connected Fitness Subscribers, we are able to offset our customer acquisition costs with the gross profit earned on our Connected Fitness Products. This allows for rapid payback of our sales and marketing investments and results in a robust unit economic model.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50505"/>
        </w:rPr>
        <w:t>F</w:t>
      </w:r>
      <w:r>
        <w:rPr>
          <w:rFonts w:ascii="Times New Roman" w:cs="Times New Roman" w:eastAsia="Times New Roman" w:hAnsi="Times New Roman"/>
          <w:sz w:val="13"/>
          <w:szCs w:val="13"/>
          <w:color w:val="000000"/>
        </w:rPr>
        <w:t>or the three months ended September 30, 2019 and 2018:</w:t>
      </w:r>
    </w:p>
    <w:p>
      <w:pPr>
        <w:spacing w:after="0" w:line="185" w:lineRule="exact"/>
        <w:rPr>
          <w:sz w:val="20"/>
          <w:szCs w:val="20"/>
          <w:color w:val="auto"/>
        </w:rPr>
      </w:pPr>
    </w:p>
    <w:p>
      <w:pPr>
        <w:ind w:left="520" w:hanging="255"/>
        <w:spacing w:after="0"/>
        <w:tabs>
          <w:tab w:leader="none" w:pos="5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generated total revenue of $228.0 million and $112.1 million, respectively, representing 103% year-over-year growth;</w:t>
      </w:r>
    </w:p>
    <w:p>
      <w:pPr>
        <w:spacing w:after="0" w:line="4" w:lineRule="exact"/>
        <w:rPr>
          <w:rFonts w:ascii="Times New Roman" w:cs="Times New Roman" w:eastAsia="Times New Roman" w:hAnsi="Times New Roman"/>
          <w:sz w:val="13"/>
          <w:szCs w:val="13"/>
          <w:color w:val="auto"/>
        </w:rPr>
      </w:pPr>
    </w:p>
    <w:p>
      <w:pPr>
        <w:ind w:left="520" w:hanging="255"/>
        <w:spacing w:after="0" w:line="224" w:lineRule="auto"/>
        <w:tabs>
          <w:tab w:leader="none" w:pos="5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had 562,774 and 276,957 Connected Fitness Subscribers, respectively, representing 103% year-over-year growth;</w:t>
      </w:r>
    </w:p>
    <w:p>
      <w:pPr>
        <w:ind w:left="520" w:hanging="255"/>
        <w:spacing w:after="0" w:line="224" w:lineRule="auto"/>
        <w:tabs>
          <w:tab w:leader="none" w:pos="5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Average Net Monthly Connected Fitness Churn was 0.90% and 0.50%, respectively;</w:t>
      </w:r>
    </w:p>
    <w:p>
      <w:pPr>
        <w:ind w:left="520" w:hanging="255"/>
        <w:spacing w:after="0" w:line="224" w:lineRule="auto"/>
        <w:tabs>
          <w:tab w:leader="none" w:pos="5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incurred net losses of $(49.8) million and $(54.5) million, respectively; and</w:t>
      </w:r>
    </w:p>
    <w:p>
      <w:pPr>
        <w:ind w:left="520" w:hanging="255"/>
        <w:spacing w:after="0"/>
        <w:tabs>
          <w:tab w:leader="none" w:pos="5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Adjusted EBITDA was $(21.0) million and $(13.5) million, respectively.</w:t>
      </w:r>
    </w:p>
    <w:p>
      <w:pPr>
        <w:spacing w:after="0" w:line="171"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13"/>
          <w:szCs w:val="13"/>
          <w:color w:val="050505"/>
        </w:rPr>
        <w:t>For a definition of Connected Fitness Subscribers, Average Net Monthly Connected Fitness Churn, Subscription Contribution Margin, and Adjusted EBITDA, see the section titled “—Key Operational and Business Metrics” in Part I, Item 2 of this Quarterly Report on Form 10-Q.</w:t>
      </w:r>
    </w:p>
    <w:p>
      <w:pPr>
        <w:ind w:right="520"/>
        <w:spacing w:after="0" w:line="235" w:lineRule="auto"/>
        <w:rPr>
          <w:sz w:val="20"/>
          <w:szCs w:val="20"/>
          <w:color w:val="auto"/>
        </w:rPr>
      </w:pPr>
      <w:r>
        <w:rPr>
          <w:rFonts w:ascii="Times New Roman" w:cs="Times New Roman" w:eastAsia="Times New Roman" w:hAnsi="Times New Roman"/>
          <w:sz w:val="13"/>
          <w:szCs w:val="13"/>
          <w:color w:val="050505"/>
        </w:rPr>
        <w:t>See the section titled “Non-GAAP Financial Measures” in Part I, Item 2 of this Quarterly Report on Form 10-Q for information regarding our use of Adjusted EBITDA and a reconciliation of net loss to Adjusted EBITDA.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also achieved recent major milestones including:</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Completion of our IPO and Concurrent Private Placement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closed our initial public offering, or our IPO, and a concurrent private placement of 43 million shares on September 30, 2019, raising $1.26 billion.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proceeds from the IPO will help us expand our geographical footprint, continue to build our brand and product awareness, and innovate our products, content, and software features with the goal of creating the best fitness experience in the world for our Members. As of September 30, 2019, we had cash and cash equivalents of $1.4 billion.</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 xml:space="preserve">Launch of Home Trial - </w:t>
      </w:r>
      <w:r>
        <w:rPr>
          <w:rFonts w:ascii="Times New Roman" w:cs="Times New Roman" w:eastAsia="Times New Roman" w:hAnsi="Times New Roman"/>
          <w:sz w:val="13"/>
          <w:szCs w:val="13"/>
          <w:color w:val="auto"/>
        </w:rPr>
        <w:t>In September 2019, we launched Home Trial. First-time Bike purchasers in all of our markets are now able to try the Peloton Bike at home for 30 days after delivery, risk-free. Within the 30-day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trial period customers have unlimited access to our full library of thousands of live and on-demand classes allowing them to try our immersive at-home cardio experience, including access to Peloton Digital where Bike purchasers can also experience our running, strength, yoga and meditation classes as well. Customers can decide to return the Bike at any point within the first 30 days for a full refund, including delivery and subscription fees, and we will pick up the Bike at their home free of charge. Allowing potential Members to try the Peloton Bike at home is an important step in continuing to offer the best Member experience possible, while helping us reduce a known barrier to purchase.</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 xml:space="preserve">Manufacturing Partner Acquisition - </w:t>
      </w:r>
      <w:r>
        <w:rPr>
          <w:rFonts w:ascii="Times New Roman" w:cs="Times New Roman" w:eastAsia="Times New Roman" w:hAnsi="Times New Roman"/>
          <w:sz w:val="13"/>
          <w:szCs w:val="13"/>
          <w:color w:val="auto"/>
        </w:rPr>
        <w:t>In October 2019, we completed the acquisition of one of our long-time, Taiwan-based bike manufacturing partners, Tonic Fitness Technology, Inc., or Tonic. The acquisition of Tonic</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reaffirms our investment in the continued growth of our core Bike business, and our commitment to delivering the highest end-to-end value to our Members. We believe that having greater control over our supply chain will enable us to strengthen and scale production, increase innovation, and allow us to continue to deliver the highest quality connected fitness products in the market.</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International Expansion - </w:t>
      </w:r>
      <w:r>
        <w:rPr>
          <w:rFonts w:ascii="Times New Roman" w:cs="Times New Roman" w:eastAsia="Times New Roman" w:hAnsi="Times New Roman"/>
          <w:sz w:val="13"/>
          <w:szCs w:val="13"/>
          <w:color w:val="auto"/>
        </w:rPr>
        <w:t>In Q2 of fiscal 2020, we will take another important step in our international expansion with the launch of Peloton in Germany. With our entry into Germany, we will be in the three largest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fitness markets in the world (United States, United Kingdom, and Germany). Germany will also mark our first time offering non-English language content to users on our platform. To prepare for our sales efforts in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19" w:name="page20"/>
    <w:bookmarkEnd w:id="19"/>
    <w:p>
      <w:pPr>
        <w:spacing w:after="0" w:line="270" w:lineRule="auto"/>
        <w:rPr>
          <w:sz w:val="20"/>
          <w:szCs w:val="20"/>
          <w:color w:val="auto"/>
        </w:rPr>
      </w:pPr>
      <w:r>
        <w:rPr>
          <w:rFonts w:ascii="Times New Roman" w:cs="Times New Roman" w:eastAsia="Times New Roman" w:hAnsi="Times New Roman"/>
          <w:sz w:val="13"/>
          <w:szCs w:val="13"/>
          <w:color w:val="auto"/>
        </w:rPr>
        <w:t>Germany, we will be opening several retail showrooms across the major metropolitan areas of Germany within the first few months of launch, and plan to begin a full-scale national television and digital media campaign in January 2020 to build brand and product awareness.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Key Operational and Business Metrics</w:t>
      </w:r>
    </w:p>
    <w:p>
      <w:pPr>
        <w:spacing w:after="0" w:line="15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11"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7200" w:type="dxa"/>
            <w:vAlign w:val="bottom"/>
          </w:tcPr>
          <w:p>
            <w:pPr>
              <w:spacing w:after="0"/>
              <w:rPr>
                <w:sz w:val="14"/>
                <w:szCs w:val="14"/>
                <w:color w:val="auto"/>
              </w:rPr>
            </w:pPr>
          </w:p>
        </w:tc>
        <w:tc>
          <w:tcPr>
            <w:tcW w:w="29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71"/>
        </w:trPr>
        <w:tc>
          <w:tcPr>
            <w:tcW w:w="720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2019</w:t>
            </w:r>
          </w:p>
        </w:tc>
        <w:tc>
          <w:tcPr>
            <w:tcW w:w="5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2018</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7"/>
        </w:trPr>
        <w:tc>
          <w:tcPr>
            <w:tcW w:w="7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6"/>
        </w:trPr>
        <w:tc>
          <w:tcPr>
            <w:tcW w:w="7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Connected Fitness Subscribers</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562,774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276,957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78"/>
        </w:trPr>
        <w:tc>
          <w:tcPr>
            <w:tcW w:w="7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Net Monthly Connected Fitness Churn</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7"/>
        </w:trPr>
        <w:tc>
          <w:tcPr>
            <w:tcW w:w="7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Workouts (in millions)</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78"/>
        </w:trPr>
        <w:tc>
          <w:tcPr>
            <w:tcW w:w="7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Monthly Workouts per Connected Fitness Subscriber</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tcPr>
          <w:p>
            <w:pPr>
              <w:spacing w:after="0"/>
              <w:rPr>
                <w:sz w:val="15"/>
                <w:szCs w:val="15"/>
                <w:color w:val="auto"/>
              </w:rPr>
            </w:pPr>
          </w:p>
        </w:tc>
      </w:tr>
      <w:tr>
        <w:trPr>
          <w:trHeight w:val="27"/>
        </w:trPr>
        <w:tc>
          <w:tcPr>
            <w:tcW w:w="7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 Gross Profit (in millions)</w:t>
            </w:r>
          </w:p>
        </w:tc>
        <w:tc>
          <w:tcPr>
            <w:tcW w:w="1100" w:type="dxa"/>
            <w:vAlign w:val="bottom"/>
            <w:tcBorders>
              <w:bottom w:val="single" w:sz="8" w:color="CCEEFF"/>
            </w:tcBorders>
            <w:shd w:val="clear" w:color="auto" w:fill="CCEEFF"/>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300" w:type="dxa"/>
            <w:vAlign w:val="bottom"/>
            <w:tcBorders>
              <w:bottom w:val="single" w:sz="8" w:color="CCEEFF"/>
            </w:tcBorders>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5"/>
        </w:trPr>
        <w:tc>
          <w:tcPr>
            <w:tcW w:w="7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Subscription Contribution (in millions)</w:t>
            </w:r>
            <w:r>
              <w:rPr>
                <w:rFonts w:ascii="Arial" w:cs="Arial" w:eastAsia="Arial" w:hAnsi="Arial"/>
                <w:sz w:val="16"/>
                <w:szCs w:val="16"/>
                <w:color w:val="auto"/>
                <w:vertAlign w:val="superscript"/>
              </w:rPr>
              <w:t>(1)</w:t>
            </w:r>
          </w:p>
        </w:tc>
        <w:tc>
          <w:tcPr>
            <w:tcW w:w="1100" w:type="dxa"/>
            <w:vAlign w:val="bottom"/>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300" w:type="dxa"/>
            <w:vAlign w:val="bottom"/>
            <w:gridSpan w:val="3"/>
          </w:tcPr>
          <w:p>
            <w:pPr>
              <w:jc w:val="right"/>
              <w:ind w:right="10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20" w:type="dxa"/>
            <w:vAlign w:val="bottom"/>
          </w:tcPr>
          <w:p>
            <w:pPr>
              <w:spacing w:after="0"/>
              <w:rPr>
                <w:sz w:val="17"/>
                <w:szCs w:val="17"/>
                <w:color w:val="auto"/>
              </w:rPr>
            </w:pPr>
          </w:p>
        </w:tc>
      </w:tr>
      <w:tr>
        <w:trPr>
          <w:trHeight w:val="18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 Gross Margin</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05"/>
        </w:trPr>
        <w:tc>
          <w:tcPr>
            <w:tcW w:w="7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Subscription Contribution Margin</w:t>
            </w:r>
            <w:r>
              <w:rPr>
                <w:rFonts w:ascii="Arial" w:cs="Arial" w:eastAsia="Arial" w:hAnsi="Arial"/>
                <w:sz w:val="16"/>
                <w:szCs w:val="16"/>
                <w:color w:val="auto"/>
                <w:vertAlign w:val="superscript"/>
              </w:rPr>
              <w:t>(1)</w:t>
            </w:r>
          </w:p>
        </w:tc>
        <w:tc>
          <w:tcPr>
            <w:tcW w:w="1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 millions)</w:t>
            </w:r>
          </w:p>
        </w:tc>
        <w:tc>
          <w:tcPr>
            <w:tcW w:w="1100" w:type="dxa"/>
            <w:vAlign w:val="bottom"/>
            <w:tcBorders>
              <w:bottom w:val="single" w:sz="8" w:color="CCEEFF"/>
            </w:tcBorders>
            <w:shd w:val="clear" w:color="auto" w:fill="CCEEFF"/>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300" w:type="dxa"/>
            <w:vAlign w:val="bottom"/>
            <w:tcBorders>
              <w:bottom w:val="single" w:sz="8" w:color="CCEEFF"/>
            </w:tcBorders>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5"/>
        </w:trPr>
        <w:tc>
          <w:tcPr>
            <w:tcW w:w="7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 (in millions)</w:t>
            </w:r>
            <w:r>
              <w:rPr>
                <w:rFonts w:ascii="Arial" w:cs="Arial" w:eastAsia="Arial" w:hAnsi="Arial"/>
                <w:sz w:val="16"/>
                <w:szCs w:val="16"/>
                <w:color w:val="auto"/>
                <w:vertAlign w:val="superscript"/>
              </w:rPr>
              <w:t>(2)</w:t>
            </w:r>
          </w:p>
        </w:tc>
        <w:tc>
          <w:tcPr>
            <w:tcW w:w="1100" w:type="dxa"/>
            <w:vAlign w:val="bottom"/>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300" w:type="dxa"/>
            <w:vAlign w:val="bottom"/>
            <w:gridSpan w:val="3"/>
          </w:tcPr>
          <w:p>
            <w:pPr>
              <w:jc w:val="right"/>
              <w:ind w:right="10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20" w:type="dxa"/>
            <w:vAlign w:val="bottom"/>
          </w:tcPr>
          <w:p>
            <w:pPr>
              <w:spacing w:after="0"/>
              <w:rPr>
                <w:sz w:val="17"/>
                <w:szCs w:val="17"/>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r>
              <w:rPr>
                <w:rFonts w:ascii="Arial" w:cs="Arial" w:eastAsia="Arial" w:hAnsi="Arial"/>
                <w:sz w:val="16"/>
                <w:szCs w:val="16"/>
                <w:color w:val="auto"/>
                <w:vertAlign w:val="superscript"/>
              </w:rPr>
              <w:t>(2)</w:t>
            </w:r>
          </w:p>
        </w:tc>
        <w:tc>
          <w:tcPr>
            <w:tcW w:w="1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______________________________</w:t>
      </w:r>
    </w:p>
    <w:p>
      <w:pPr>
        <w:spacing w:after="0" w:line="9" w:lineRule="exact"/>
        <w:rPr>
          <w:sz w:val="20"/>
          <w:szCs w:val="20"/>
          <w:color w:val="auto"/>
        </w:rPr>
      </w:pPr>
    </w:p>
    <w:p>
      <w:pPr>
        <w:ind w:left="400" w:right="60" w:hanging="6"/>
        <w:spacing w:after="0" w:line="237" w:lineRule="auto"/>
        <w:tabs>
          <w:tab w:leader="none" w:pos="542"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Please see the section titled “Non-GAAP Financial Measures” in Part I, Item 2 of this Quarterly Report on Form 10-Q for a reconciliation of Subscription Gross Profit to Subscription Contribution and an explanation for why we consider Subscription Contribution to be a helpful metric for investors.</w:t>
      </w:r>
    </w:p>
    <w:p>
      <w:pPr>
        <w:spacing w:after="0" w:line="172" w:lineRule="exact"/>
        <w:rPr>
          <w:rFonts w:ascii="Times New Roman" w:cs="Times New Roman" w:eastAsia="Times New Roman" w:hAnsi="Times New Roman"/>
          <w:sz w:val="10"/>
          <w:szCs w:val="10"/>
          <w:color w:val="auto"/>
        </w:rPr>
      </w:pPr>
    </w:p>
    <w:p>
      <w:pPr>
        <w:ind w:left="540" w:hanging="146"/>
        <w:spacing w:after="0"/>
        <w:tabs>
          <w:tab w:leader="none" w:pos="54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Please see the section titled “Non-GAAP Financial Measures” in Part I, Item 2 of this Quarterly Report on Form 10-Q for a reconciliation of net loss to Adjusted EBITDA and an explanation for why we consider Adjusted EBITDA to be a helpful metric for investors.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Connected Fitness Subscribers</w:t>
      </w:r>
    </w:p>
    <w:p>
      <w:pPr>
        <w:spacing w:after="0" w:line="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Our ability to expand the number of Connected Fitness Subscribers is an indicator of our market penetration and growth. A Connected Fitness Subscriber can represent a person, household, or commercial property, such as a hotel or residential building.</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 Connected Fitness Subscription is either a paid Connected Fitness Subscriber (a Connected Fitness Subscription with a successful credit card billing or with prepaid subscription credits or waivers) or paused Connected Fitness Subscriber (a Connected Fitness Subscription where the Subscriber has requested to “Pause” for up to 3 months). We do not include canceled or unpaid Connected Fitness Subscriptions in the Connected Fitness Subscriber count.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Average Net Monthly Connected Fitness Churn</w:t>
      </w:r>
    </w:p>
    <w:p>
      <w:pPr>
        <w:spacing w:after="0" w:line="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use Average Net Monthly Connected Fitness Churn to measure the retention of our Connected Fitness Subscribers. We define Average Net Monthly Connected Fitness Churn as Connected Fitness Subscriber cancellations, net of reactivations, in the quarter, divided by the average number of beginning Connected Fitness Subscribers in each month, divided by three months. This metric does not include data related to our Digital Subscribers who pay a monthly fee for access to our content library on their own devices.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Total Workouts and Average Monthly Workouts per Connected Fitness Subscriber</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review Total Workouts and Average Monthly Workouts per Connected Fitness Subscriber to measure engagement, which is the leading indicator of retention for our Connected Fitness Subscribers. We define Total Workouts as all workouts completed during a given period. We define a Workout as a Connected Fitness Subscriber either completing at least 50% of an instructor-led or scenic ride or run or ten or more minutes of “Just Ride” or “Just Run” mode. We define Average Monthly Workouts per Connected Fitness Subscriber as the Total Workouts completed in the quarter divided by the average number of Connected Fitness Subscribers in each month, divided by three months.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Subscription Contribution and Subscription Contribution Margin</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use Subscription Contribution and Subscription Contribution Margin to measure our ability to scale and leverage the costs of our Connected Fitness Subscriptions. The continued growth of our Connected Fitness Subscriber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Subscriber base.</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We define Subscription Contribution as subscription revenue less cost of subscription revenue, adjusted to exclude depreciation and amortization expense, and stock-based compensation expense. Subscription Contribution Margin is calculated by dividing Subscription Contribution by subscription revenue. See the section titled “—Non-GAAP Financial Measures—Subscription Contribution and Subscription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3"/>
          <w:szCs w:val="13"/>
          <w:color w:val="auto"/>
        </w:rPr>
        <w:t>Contribution Margin” in Part I, Item 2 of this Quarterly Report on Form 10-Q for information regarding our use of Subscription Contribution and Subscription Contribution Margin and a reconciliation of Subscription Contribution to subscription gross profit.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Adjusted EBITDA and Adjusted EBITDA Margin</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Adjusted EBITDA and Adjusted EBITDA Margin are key performance measures that our management uses to assess our operating performance and the operating leverage in our business. Because Adjusted EBITDA and Adjusted EBITDA Margin facilitate internal comparisons of our historical operating performance on a more consistent basis, we use these measures for business planning purposes. 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leverage in our operating expenses.</w:t>
      </w:r>
    </w:p>
    <w:p>
      <w:pPr>
        <w:spacing w:after="0" w:line="1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3"/>
          <w:szCs w:val="13"/>
          <w:color w:val="050505"/>
        </w:rPr>
        <w:t>We calculate Adjusted EBITDA as net loss adjusted to exclude other income, net, provision for income taxes, depreciation and amortization expense, stock-based compensation expense, transaction costs, and certain litigation expenses, consisting of legal settlements and related fees for specific proceedings that arise outside of the ordinary course of our business. Adjusted EBITDA Margin is calculated by dividing Adjusted EBITDA by total revenue. See the section titled “</w:t>
      </w:r>
      <w:r>
        <w:rPr>
          <w:rFonts w:ascii="Times New Roman" w:cs="Times New Roman" w:eastAsia="Times New Roman" w:hAnsi="Times New Roman"/>
          <w:sz w:val="13"/>
          <w:szCs w:val="13"/>
          <w:color w:val="000000"/>
        </w:rPr>
        <w:t>—Non-GAAP Financial Measures</w:t>
      </w:r>
      <w:r>
        <w:rPr>
          <w:rFonts w:ascii="Times New Roman" w:cs="Times New Roman" w:eastAsia="Times New Roman" w:hAnsi="Times New Roman"/>
          <w:sz w:val="13"/>
          <w:szCs w:val="13"/>
          <w:color w:val="050505"/>
        </w:rPr>
        <w:t>—Adjusted EBITDA and Adjusted EBITDA Margin” in Part I, Item 2 of this Quarterly Report on Form 10-Q for information regarding our use of Adjusted EBITDA and a reconciliation of Adjusted EBITDA to net loss.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Adjusted EBITDA and Adjusted EBITDA Margin</w:t>
      </w:r>
    </w:p>
    <w:p>
      <w:pPr>
        <w:spacing w:after="0" w:line="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calculate Adjusted EBITDA as net loss adjusted to exclude: interest income, net; other income, net; provision for income taxes; depreciation and amortization expense; stock-based compensation expense; costs related to acquisitions; and certain litigation expenses, consisting of legal settlements and related fees for specific proceedings that arise outside of the ordinary course of our business. Adjusted EBITDA Margin is calculated by dividing Adjusted EBITDA by total revenue.</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59" w:lineRule="exact"/>
        <w:rPr>
          <w:sz w:val="20"/>
          <w:szCs w:val="20"/>
          <w:color w:val="auto"/>
        </w:rPr>
      </w:pPr>
    </w:p>
    <w:p>
      <w:pPr>
        <w:jc w:val="both"/>
        <w:ind w:left="520" w:hanging="255"/>
        <w:spacing w:after="0" w:line="249" w:lineRule="auto"/>
        <w:tabs>
          <w:tab w:leader="none" w:pos="51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and Adjusted EBITDA Margin are widely used by investors and securities analysts to measure a company’s operating performance without regard to items such as stock-based compensation expense, depreciation and amortization expense, interest expense, other (income) expense, net, and provision for income taxes that can vary substantially from company to company depending upon their financing, capital structures, and the method by which assets were acquired;</w:t>
      </w:r>
    </w:p>
    <w:p>
      <w:pPr>
        <w:spacing w:after="0" w:line="1" w:lineRule="exact"/>
        <w:rPr>
          <w:rFonts w:ascii="Times New Roman" w:cs="Times New Roman" w:eastAsia="Times New Roman" w:hAnsi="Times New Roman"/>
          <w:sz w:val="13"/>
          <w:szCs w:val="13"/>
          <w:color w:val="auto"/>
        </w:rPr>
      </w:pPr>
    </w:p>
    <w:p>
      <w:pPr>
        <w:ind w:left="520" w:hanging="255"/>
        <w:spacing w:after="0" w:line="242" w:lineRule="auto"/>
        <w:tabs>
          <w:tab w:leader="none" w:pos="51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ind w:left="520" w:hanging="255"/>
        <w:spacing w:after="0" w:line="248" w:lineRule="auto"/>
        <w:tabs>
          <w:tab w:leader="none" w:pos="51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17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159" w:lineRule="exact"/>
        <w:rPr>
          <w:sz w:val="20"/>
          <w:szCs w:val="20"/>
          <w:color w:val="auto"/>
        </w:rPr>
      </w:pPr>
    </w:p>
    <w:p>
      <w:pPr>
        <w:ind w:left="520" w:hanging="255"/>
        <w:spacing w:after="0" w:line="253" w:lineRule="auto"/>
        <w:tabs>
          <w:tab w:leader="none" w:pos="51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ind w:left="520" w:hanging="255"/>
        <w:spacing w:after="0" w:line="242" w:lineRule="auto"/>
        <w:tabs>
          <w:tab w:leader="none" w:pos="51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ind w:left="520" w:hanging="255"/>
        <w:spacing w:after="0" w:line="242" w:lineRule="auto"/>
        <w:tabs>
          <w:tab w:leader="none" w:pos="51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ind w:left="520" w:hanging="255"/>
        <w:spacing w:after="0" w:line="242" w:lineRule="auto"/>
        <w:tabs>
          <w:tab w:leader="none" w:pos="51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and Adjusted EBITDA Margin do not reflect certain litigation expenses, consisting of legal settlements and related fees for specific proceedings, that arise outside of the ordinary course of our business;</w:t>
      </w:r>
    </w:p>
    <w:p>
      <w:pPr>
        <w:ind w:left="520" w:hanging="255"/>
        <w:spacing w:after="0"/>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and Adjusted EBITDA Margin do not reflect transaction costs related to acquisitions; and</w:t>
      </w:r>
    </w:p>
    <w:p>
      <w:pPr>
        <w:spacing w:after="0" w:line="1" w:lineRule="exact"/>
        <w:rPr>
          <w:rFonts w:ascii="Times New Roman" w:cs="Times New Roman" w:eastAsia="Times New Roman" w:hAnsi="Times New Roman"/>
          <w:sz w:val="13"/>
          <w:szCs w:val="13"/>
          <w:color w:val="auto"/>
        </w:rPr>
      </w:pPr>
    </w:p>
    <w:p>
      <w:pPr>
        <w:ind w:left="520" w:hanging="255"/>
        <w:spacing w:after="0" w:line="248" w:lineRule="auto"/>
        <w:tabs>
          <w:tab w:leader="none" w:pos="51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Because of these limitations, Adjusted EBITDA and Adjusted EBITDA Margin should be considered along with other operating and financial performance measures presented in accordance with GAAP.</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29996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77"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color w:val="auto"/>
        </w:rPr>
        <w:t>The following table presents a reconciliation of Adjusted EBITDA to net loss, the most directly comparable financial measure prepared in accordance with GAAP, for each of the periods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gridSpan w:val="2"/>
          </w:tcPr>
          <w:p>
            <w:pPr>
              <w:jc w:val="right"/>
              <w:ind w:right="4375"/>
              <w:spacing w:after="0"/>
              <w:rPr>
                <w:sz w:val="20"/>
                <w:szCs w:val="20"/>
                <w:color w:val="auto"/>
              </w:rPr>
            </w:pPr>
            <w:r>
              <w:rPr>
                <w:rFonts w:ascii="Times New Roman" w:cs="Times New Roman" w:eastAsia="Times New Roman" w:hAnsi="Times New Roman"/>
                <w:sz w:val="13"/>
                <w:szCs w:val="13"/>
                <w:b w:val="1"/>
                <w:bCs w:val="1"/>
                <w:i w:val="1"/>
                <w:iCs w:val="1"/>
                <w:color w:val="auto"/>
                <w:w w:val="98"/>
              </w:rPr>
              <w:t>Adjusted EBITDA and Adjusted EBITDA Margin</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3360" w:type="dxa"/>
            <w:vAlign w:val="bottom"/>
            <w:gridSpan w:val="4"/>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2019</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2018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gridSpan w:val="3"/>
          </w:tcPr>
          <w:p>
            <w:pPr>
              <w:jc w:val="right"/>
              <w:ind w:right="755"/>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0" w:type="dxa"/>
            <w:vAlign w:val="bottom"/>
          </w:tcPr>
          <w:p>
            <w:pPr>
              <w:spacing w:after="0"/>
              <w:rPr>
                <w:sz w:val="17"/>
                <w:szCs w:val="17"/>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Net loss </w:t>
            </w:r>
            <w:r>
              <w:rPr>
                <w:rFonts w:ascii="Times New Roman" w:cs="Times New Roman" w:eastAsia="Times New Roman" w:hAnsi="Times New Roman"/>
                <w:sz w:val="6"/>
                <w:szCs w:val="6"/>
                <w:color w:val="auto"/>
              </w:rPr>
              <w:t>(1)</w:t>
            </w:r>
          </w:p>
        </w:tc>
        <w:tc>
          <w:tcPr>
            <w:tcW w:w="130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7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to exclude the following:</w:t>
            </w: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6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300" w:type="dxa"/>
            <w:vAlign w:val="bottom"/>
          </w:tcPr>
          <w:p>
            <w:pPr>
              <w:spacing w:after="0"/>
              <w:rPr>
                <w:sz w:val="15"/>
                <w:szCs w:val="15"/>
                <w:color w:val="auto"/>
              </w:rPr>
            </w:pP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6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1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300" w:type="dxa"/>
            <w:vAlign w:val="bottom"/>
          </w:tcPr>
          <w:p>
            <w:pPr>
              <w:spacing w:after="0"/>
              <w:rPr>
                <w:sz w:val="15"/>
                <w:szCs w:val="15"/>
                <w:color w:val="auto"/>
              </w:rPr>
            </w:pP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60" w:type="dxa"/>
            <w:vAlign w:val="bottom"/>
          </w:tcPr>
          <w:p>
            <w:pPr>
              <w:spacing w:after="0"/>
              <w:rPr>
                <w:sz w:val="16"/>
                <w:szCs w:val="16"/>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costs</w:t>
            </w:r>
          </w:p>
        </w:tc>
        <w:tc>
          <w:tcPr>
            <w:tcW w:w="1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Litigation expenses</w:t>
            </w:r>
          </w:p>
        </w:tc>
        <w:tc>
          <w:tcPr>
            <w:tcW w:w="1300" w:type="dxa"/>
            <w:vAlign w:val="bottom"/>
          </w:tcPr>
          <w:p>
            <w:pPr>
              <w:spacing w:after="0"/>
              <w:rPr>
                <w:sz w:val="15"/>
                <w:szCs w:val="15"/>
                <w:color w:val="auto"/>
              </w:rPr>
            </w:pP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130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7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60" w:type="dxa"/>
            <w:vAlign w:val="bottom"/>
          </w:tcPr>
          <w:p>
            <w:pPr>
              <w:spacing w:after="0"/>
              <w:rPr>
                <w:sz w:val="14"/>
                <w:szCs w:val="14"/>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p>
        </w:tc>
        <w:tc>
          <w:tcPr>
            <w:tcW w:w="1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w w:val="92"/>
              </w:rPr>
              <w:t>(12.0) %</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5215"/>
              <w:spacing w:after="0"/>
              <w:rPr>
                <w:sz w:val="20"/>
                <w:szCs w:val="20"/>
                <w:color w:val="auto"/>
              </w:rPr>
            </w:pPr>
            <w:r>
              <w:rPr>
                <w:rFonts w:ascii="Times New Roman" w:cs="Times New Roman" w:eastAsia="Times New Roman" w:hAnsi="Times New Roman"/>
                <w:sz w:val="13"/>
                <w:szCs w:val="13"/>
                <w:color w:val="auto"/>
              </w:rPr>
              <w:t>______________________</w:t>
            </w: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00"/>
        <w:spacing w:after="0"/>
        <w:rPr>
          <w:sz w:val="20"/>
          <w:szCs w:val="20"/>
          <w:color w:val="auto"/>
        </w:rPr>
      </w:pPr>
      <w:r>
        <w:rPr>
          <w:rFonts w:ascii="Times New Roman" w:cs="Times New Roman" w:eastAsia="Times New Roman" w:hAnsi="Times New Roman"/>
          <w:sz w:val="10"/>
          <w:szCs w:val="10"/>
          <w:color w:val="auto"/>
        </w:rPr>
        <w:t>(1) Included in net loss are content costs for past use as follows:</w:t>
      </w: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6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r>
      <w:tr>
        <w:trPr>
          <w:trHeight w:val="27"/>
        </w:trPr>
        <w:tc>
          <w:tcPr>
            <w:tcW w:w="6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9"/>
        </w:trPr>
        <w:tc>
          <w:tcPr>
            <w:tcW w:w="6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ind w:right="7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660" w:type="dxa"/>
            <w:vAlign w:val="bottom"/>
          </w:tcPr>
          <w:p>
            <w:pPr>
              <w:spacing w:after="0"/>
              <w:rPr>
                <w:sz w:val="14"/>
                <w:szCs w:val="14"/>
                <w:color w:val="auto"/>
              </w:rPr>
            </w:pPr>
          </w:p>
        </w:tc>
        <w:tc>
          <w:tcPr>
            <w:tcW w:w="1360" w:type="dxa"/>
            <w:vAlign w:val="bottom"/>
          </w:tcPr>
          <w:p>
            <w:pPr>
              <w:jc w:val="right"/>
              <w:ind w:right="755"/>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7"/>
        </w:trPr>
        <w:tc>
          <w:tcPr>
            <w:tcW w:w="6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9"/>
        </w:trPr>
        <w:tc>
          <w:tcPr>
            <w:tcW w:w="6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60" w:type="dxa"/>
            <w:vAlign w:val="bottom"/>
          </w:tcPr>
          <w:p>
            <w:pPr>
              <w:spacing w:after="0"/>
              <w:rPr>
                <w:sz w:val="14"/>
                <w:szCs w:val="14"/>
                <w:color w:val="auto"/>
              </w:rPr>
            </w:pPr>
          </w:p>
        </w:tc>
      </w:tr>
      <w:tr>
        <w:trPr>
          <w:trHeight w:val="27"/>
        </w:trPr>
        <w:tc>
          <w:tcPr>
            <w:tcW w:w="6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Content costs for past use </w:t>
            </w:r>
            <w:r>
              <w:rPr>
                <w:rFonts w:ascii="Times New Roman" w:cs="Times New Roman" w:eastAsia="Times New Roman" w:hAnsi="Times New Roman"/>
                <w:sz w:val="10"/>
                <w:szCs w:val="10"/>
                <w:color w:val="auto"/>
              </w:rPr>
              <w:t>(1)</w:t>
            </w: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0.9</w:t>
            </w:r>
          </w:p>
        </w:tc>
        <w:tc>
          <w:tcPr>
            <w:tcW w:w="6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2.9</w:t>
            </w:r>
          </w:p>
        </w:tc>
      </w:tr>
      <w:tr>
        <w:trPr>
          <w:trHeight w:val="27"/>
        </w:trPr>
        <w:tc>
          <w:tcPr>
            <w:tcW w:w="6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______________________</w:t>
      </w:r>
    </w:p>
    <w:p>
      <w:pPr>
        <w:spacing w:after="0" w:line="9" w:lineRule="exact"/>
        <w:rPr>
          <w:sz w:val="20"/>
          <w:szCs w:val="20"/>
          <w:color w:val="auto"/>
        </w:rPr>
      </w:pPr>
    </w:p>
    <w:p>
      <w:pPr>
        <w:jc w:val="both"/>
        <w:ind w:left="400" w:hanging="6"/>
        <w:spacing w:after="0" w:line="252" w:lineRule="auto"/>
        <w:tabs>
          <w:tab w:leader="none" w:pos="546"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Adjusted EBITDA are content costs for past use. These costs had a negative basis point impact on Adjusted EBITDA Margin of 41 and 256 for three months ended September 30, 2019 and 2018,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Subscription Contribution and Subscription Contribution Margin</w:t>
      </w:r>
    </w:p>
    <w:p>
      <w:pPr>
        <w:spacing w:after="0" w:line="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Our use of Subscription Contribution and Subscription Contribution Margin have limitations as analytical tools, and you should not consider these in isolation or as substitutes for analysis of our financial results as reported under GAAP. Some of these limitations are as follows:</w:t>
      </w:r>
    </w:p>
    <w:p>
      <w:pPr>
        <w:spacing w:after="0" w:line="159" w:lineRule="exact"/>
        <w:rPr>
          <w:sz w:val="20"/>
          <w:szCs w:val="20"/>
          <w:color w:val="auto"/>
        </w:rPr>
      </w:pPr>
    </w:p>
    <w:p>
      <w:pPr>
        <w:ind w:left="520" w:hanging="255"/>
        <w:spacing w:after="0" w:line="253" w:lineRule="auto"/>
        <w:tabs>
          <w:tab w:leader="none" w:pos="51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ind w:left="520" w:hanging="255"/>
        <w:spacing w:after="0" w:line="248" w:lineRule="auto"/>
        <w:tabs>
          <w:tab w:leader="none" w:pos="51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Because of these limitations, Subscription Contribution and Subscription Contribution Margin should be considered along with other operating and financial performance measures presented in accordance with GAAP.</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22" w:name="page23"/>
    <w:bookmarkEnd w:id="22"/>
    <w:tbl>
      <w:tblPr>
        <w:tblLayout w:type="fixed"/>
        <w:tblInd w:w="260" w:type="dxa"/>
        <w:tblCellMar>
          <w:top w:w="0" w:type="dxa"/>
          <w:left w:w="0" w:type="dxa"/>
          <w:bottom w:w="0" w:type="dxa"/>
          <w:right w:w="0" w:type="dxa"/>
        </w:tblCellMar>
      </w:tblPr>
      <w:tr>
        <w:trPr>
          <w:trHeight w:val="169"/>
        </w:trPr>
        <w:tc>
          <w:tcPr>
            <w:tcW w:w="6840" w:type="dxa"/>
            <w:vAlign w:val="bottom"/>
          </w:tcPr>
          <w:p>
            <w:pPr>
              <w:spacing w:after="0"/>
              <w:rPr>
                <w:sz w:val="14"/>
                <w:szCs w:val="14"/>
                <w:color w:val="auto"/>
              </w:rPr>
            </w:pPr>
          </w:p>
        </w:tc>
        <w:tc>
          <w:tcPr>
            <w:tcW w:w="3380" w:type="dxa"/>
            <w:vAlign w:val="bottom"/>
            <w:gridSpan w:val="5"/>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84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840" w:type="dxa"/>
            <w:vAlign w:val="bottom"/>
          </w:tcPr>
          <w:p>
            <w:pPr>
              <w:spacing w:after="0"/>
              <w:rPr>
                <w:sz w:val="14"/>
                <w:szCs w:val="14"/>
                <w:color w:val="auto"/>
              </w:rPr>
            </w:pPr>
          </w:p>
        </w:tc>
        <w:tc>
          <w:tcPr>
            <w:tcW w:w="128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2019</w:t>
            </w:r>
          </w:p>
        </w:tc>
        <w:tc>
          <w:tcPr>
            <w:tcW w:w="540" w:type="dxa"/>
            <w:vAlign w:val="bottom"/>
          </w:tcPr>
          <w:p>
            <w:pPr>
              <w:spacing w:after="0"/>
              <w:rPr>
                <w:sz w:val="14"/>
                <w:szCs w:val="14"/>
                <w:color w:val="auto"/>
              </w:rPr>
            </w:pPr>
          </w:p>
        </w:tc>
        <w:tc>
          <w:tcPr>
            <w:tcW w:w="1560" w:type="dxa"/>
            <w:vAlign w:val="bottom"/>
            <w:gridSpan w:val="3"/>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2018</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00" w:type="dxa"/>
            <w:vAlign w:val="bottom"/>
            <w:gridSpan w:val="4"/>
          </w:tcPr>
          <w:p>
            <w:pPr>
              <w:jc w:val="right"/>
              <w:ind w:right="775"/>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 Revenue</w:t>
            </w:r>
          </w:p>
        </w:tc>
        <w:tc>
          <w:tcPr>
            <w:tcW w:w="1280" w:type="dxa"/>
            <w:vAlign w:val="bottom"/>
            <w:tcBorders>
              <w:bottom w:val="single" w:sz="8" w:color="CCEEFF"/>
            </w:tcBorders>
            <w:shd w:val="clear" w:color="auto" w:fill="CCEEFF"/>
          </w:tcPr>
          <w:p>
            <w:pPr>
              <w:jc w:val="right"/>
              <w:ind w:right="113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560" w:type="dxa"/>
            <w:vAlign w:val="bottom"/>
            <w:tcBorders>
              <w:bottom w:val="single" w:sz="8" w:color="CCEEFF"/>
            </w:tcBorders>
            <w:gridSpan w:val="3"/>
            <w:shd w:val="clear" w:color="auto" w:fill="CCEEFF"/>
          </w:tcPr>
          <w:p>
            <w:pPr>
              <w:jc w:val="right"/>
              <w:ind w:right="119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xml:space="preserve">Less: Cost of Subscription </w:t>
            </w:r>
            <w:r>
              <w:rPr>
                <w:rFonts w:ascii="Times New Roman" w:cs="Times New Roman" w:eastAsia="Times New Roman" w:hAnsi="Times New Roman"/>
                <w:sz w:val="6"/>
                <w:szCs w:val="6"/>
                <w:color w:val="auto"/>
              </w:rPr>
              <w:t>(1)</w:t>
            </w:r>
          </w:p>
        </w:tc>
        <w:tc>
          <w:tcPr>
            <w:tcW w:w="1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 Gross Profit</w:t>
            </w:r>
          </w:p>
        </w:tc>
        <w:tc>
          <w:tcPr>
            <w:tcW w:w="128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560" w:type="dxa"/>
            <w:vAlign w:val="bottom"/>
            <w:gridSpan w:val="3"/>
            <w:shd w:val="clear" w:color="auto" w:fill="CCEEFF"/>
          </w:tcPr>
          <w:p>
            <w:pPr>
              <w:jc w:val="right"/>
              <w:ind w:right="119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Subscription Gross Margin</w:t>
            </w:r>
          </w:p>
        </w:tc>
        <w:tc>
          <w:tcPr>
            <w:tcW w:w="1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40" w:type="dxa"/>
            <w:vAlign w:val="bottom"/>
            <w:tcBorders>
              <w:bottom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Add back:</w:t>
            </w:r>
          </w:p>
        </w:tc>
        <w:tc>
          <w:tcPr>
            <w:tcW w:w="12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1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Subscription Contribution</w:t>
            </w:r>
          </w:p>
        </w:tc>
        <w:tc>
          <w:tcPr>
            <w:tcW w:w="1280" w:type="dxa"/>
            <w:vAlign w:val="bottom"/>
            <w:tcBorders>
              <w:top w:val="single" w:sz="8" w:color="auto"/>
              <w:bottom w:val="single" w:sz="8" w:color="auto"/>
            </w:tcBorders>
          </w:tcPr>
          <w:p>
            <w:pPr>
              <w:jc w:val="right"/>
              <w:ind w:right="113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1195"/>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 Contribution Margin</w:t>
            </w:r>
          </w:p>
        </w:tc>
        <w:tc>
          <w:tcPr>
            <w:tcW w:w="1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____________________</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84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0"/>
        <w:spacing w:after="0"/>
        <w:rPr>
          <w:sz w:val="20"/>
          <w:szCs w:val="20"/>
          <w:color w:val="auto"/>
        </w:rPr>
      </w:pPr>
      <w:r>
        <w:rPr>
          <w:rFonts w:ascii="Times New Roman" w:cs="Times New Roman" w:eastAsia="Times New Roman" w:hAnsi="Times New Roman"/>
          <w:sz w:val="10"/>
          <w:szCs w:val="10"/>
          <w:color w:val="auto"/>
        </w:rPr>
        <w:t>(1) Included in cost of subscription are content costs for past use as follows:</w:t>
      </w:r>
    </w:p>
    <w:p>
      <w:pPr>
        <w:spacing w:after="0" w:line="200" w:lineRule="exact"/>
        <w:rPr>
          <w:sz w:val="20"/>
          <w:szCs w:val="20"/>
          <w:color w:val="auto"/>
        </w:rPr>
      </w:pPr>
    </w:p>
    <w:p>
      <w:pPr>
        <w:spacing w:after="0" w:line="312"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6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r>
      <w:tr>
        <w:trPr>
          <w:trHeight w:val="27"/>
        </w:trPr>
        <w:tc>
          <w:tcPr>
            <w:tcW w:w="6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9"/>
        </w:trPr>
        <w:tc>
          <w:tcPr>
            <w:tcW w:w="6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ind w:right="7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660" w:type="dxa"/>
            <w:vAlign w:val="bottom"/>
          </w:tcPr>
          <w:p>
            <w:pPr>
              <w:spacing w:after="0"/>
              <w:rPr>
                <w:sz w:val="14"/>
                <w:szCs w:val="14"/>
                <w:color w:val="auto"/>
              </w:rPr>
            </w:pPr>
          </w:p>
        </w:tc>
        <w:tc>
          <w:tcPr>
            <w:tcW w:w="1360" w:type="dxa"/>
            <w:vAlign w:val="bottom"/>
          </w:tcPr>
          <w:p>
            <w:pPr>
              <w:jc w:val="right"/>
              <w:ind w:right="755"/>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7"/>
        </w:trPr>
        <w:tc>
          <w:tcPr>
            <w:tcW w:w="6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9"/>
        </w:trPr>
        <w:tc>
          <w:tcPr>
            <w:tcW w:w="6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60" w:type="dxa"/>
            <w:vAlign w:val="bottom"/>
          </w:tcPr>
          <w:p>
            <w:pPr>
              <w:spacing w:after="0"/>
              <w:rPr>
                <w:sz w:val="14"/>
                <w:szCs w:val="14"/>
                <w:color w:val="auto"/>
              </w:rPr>
            </w:pPr>
          </w:p>
        </w:tc>
      </w:tr>
      <w:tr>
        <w:trPr>
          <w:trHeight w:val="27"/>
        </w:trPr>
        <w:tc>
          <w:tcPr>
            <w:tcW w:w="6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Content costs for past use</w:t>
            </w: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0.9</w:t>
            </w:r>
          </w:p>
        </w:tc>
        <w:tc>
          <w:tcPr>
            <w:tcW w:w="6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2.9</w:t>
            </w:r>
          </w:p>
        </w:tc>
      </w:tr>
      <w:tr>
        <w:trPr>
          <w:trHeight w:val="27"/>
        </w:trPr>
        <w:tc>
          <w:tcPr>
            <w:tcW w:w="6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____________________</w:t>
      </w:r>
    </w:p>
    <w:p>
      <w:pPr>
        <w:spacing w:after="0" w:line="9" w:lineRule="exact"/>
        <w:rPr>
          <w:sz w:val="20"/>
          <w:szCs w:val="20"/>
          <w:color w:val="auto"/>
        </w:rPr>
      </w:pPr>
    </w:p>
    <w:p>
      <w:pPr>
        <w:jc w:val="both"/>
        <w:ind w:left="400" w:hanging="6"/>
        <w:spacing w:after="0" w:line="252" w:lineRule="auto"/>
        <w:tabs>
          <w:tab w:leader="none" w:pos="546"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Subscription Contribution and Subscription Contribution Margin are content costs for past use. These costs had a negative basis point impact on Subscription Contribution Margin of 138 and 904 for the three months ended September 30, 2019 and 2018, respectively.</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Components of our Results of Operations</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operate and manage our business in three reportable segments: Connected Fitness Products, Subscription, and Other. We identify our reportable segments based on the information used by management to monitor performance and make operating decisions. See Note 14 of the notes to our condensed consolidated financial statements included in Part I, Item 1 of this Quarterly Report on Form 10-Q for additional information regarding our reportable segments.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Connected Fitness Products</w:t>
      </w:r>
    </w:p>
    <w:p>
      <w:pPr>
        <w:spacing w:after="0" w:line="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Connected Fitness Product revenue consists of sales of our Bike and Tread and related accessories, associated fees for delivery and installation, and extended warranty agreements. Connected Fitness Product revenue is recognized at the time of delivery and is recorded net of returns and discounts and third-party financing program fees.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Subscription</w:t>
      </w:r>
    </w:p>
    <w:p>
      <w:pPr>
        <w:spacing w:after="0" w:line="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Subscription revenue consists of revenue generated from our monthly $39.00 Connected Fitness Subscription and $19.49 Digital Subscription. Subscription revenue also includes revenue generated from guests who pay to take a live class in one of our studios, which has been immaterial to date.</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Historically, we offered a prepaid subscription option where Members earned one free month or three free months of subscription with the upfront purchase of a 12-month subscription or 24-month subscription, respectively. We also offered Connected Fitness Subscribers the ability to purchase a 12-, 24-, or 39-month prepaid subscription with the purchase of a Connected Fitness Product as part of our financing program, which provides 0% APR financing to qualified customers over a term of up to 39 months. The associated financing fees are paid to our third-party partner at the outset of the arrangement and are recorded as a reduction to subscription revenue over the contract term. We terminated both offerings by July 2018 at which point all subsequent future subscriptions became month-to-month. As of September 30, 2019, 90% of our Connected Fitness Subscribers were paying month-to-month subscriptions. We will continue to see an impact to subscription revenue until November 2021 as the revenue under legacy prepaid subscriptions is earned ratably over the remaining service period, which extends up to 39 months from the initial date of subscription activation.</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If a Connected Fitness Subscriber owns both a Bike and a Tread, the price of the Subscription remains $39.00 monthly. As of September 30, 2019, approximately 3% of our Connected Fitness Subscribers owned both a Bike and a Tread.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revenue primarily consists of Peloton branded apparel.</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i w:val="1"/>
          <w:iCs w:val="1"/>
          <w:color w:val="auto"/>
        </w:rPr>
        <w:t>Cost of Revenue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Connected Fitness Products</w:t>
      </w:r>
    </w:p>
    <w:p>
      <w:pPr>
        <w:spacing w:after="0" w:line="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Connected Fitness Product cost of revenue consists of Bike and Tread product costs, including manufacturing costs, duties and other applicable importing costs, shipping and handling costs, packaging, warranty replacement costs, fulfillment costs, warehousing costs, and certain allocated costs related to management, facilities, and personnel-related expenses associated with supply chain logistics. As we launch new Connected Fitness Products, such as the Tread, and continue to grow our presence in new regions where we have not yet achieved economies of scale, we expect to incur higher cost of revenue (as a percentage of sales) for our Connected Fitness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Subscription</w:t>
      </w:r>
    </w:p>
    <w:p>
      <w:pPr>
        <w:spacing w:after="0" w:line="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cost of revenue consists primarily of apparel costs, as well as related warehousing and fulfillment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Sales and Marketing</w:t>
      </w:r>
    </w:p>
    <w:p>
      <w:pPr>
        <w:spacing w:after="0" w:line="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and all expenses related to Peloton Digital, our digital app.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and Administrative</w:t>
      </w:r>
    </w:p>
    <w:p>
      <w:pPr>
        <w:spacing w:after="0" w:line="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and insurance.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expect to incur additional general and administrative expenses as a result of operating as a public company, including expenses related to compliance and reporting obligations of public companies, 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Subscriber base.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Research and Development</w:t>
      </w:r>
    </w:p>
    <w:p>
      <w:pPr>
        <w:spacing w:after="0" w:line="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Research and development expense primarily consists of personnel and facilities-related expenses, consulting and contractor expenses, tooling and prototype materials, and software platform expenses. We capitalize certain qualified costs incurred in connection with the development of internal-use software which may also cause research and development expenses to vary from period to period. We expect our research and 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Income, Net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income, net consists of interest (expense) income associated with our debt financing arrangements, amortization of debt issuance costs and interest income earned on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Provision for Income Taxes</w:t>
      </w:r>
    </w:p>
    <w:p>
      <w:pPr>
        <w:spacing w:after="0" w:line="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provision for income taxes consists primarily of income taxes related to foreign and state jurisdictions in which we conduct business. We maintain a full valuation allowance on our federal and state deferred tax assets as we have concluded that it is more likely than not that the deferred assets will not be utilized.</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3" w:right="21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The following tables set forth our condensed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200"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7260" w:type="dxa"/>
            <w:vAlign w:val="bottom"/>
          </w:tcPr>
          <w:p>
            <w:pPr>
              <w:spacing w:after="0"/>
              <w:rPr>
                <w:sz w:val="14"/>
                <w:szCs w:val="14"/>
                <w:color w:val="auto"/>
              </w:rPr>
            </w:pPr>
          </w:p>
        </w:tc>
        <w:tc>
          <w:tcPr>
            <w:tcW w:w="3000" w:type="dxa"/>
            <w:vAlign w:val="bottom"/>
            <w:gridSpan w:val="4"/>
          </w:tcPr>
          <w:p>
            <w:pPr>
              <w:jc w:val="center"/>
              <w:ind w:left="535"/>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60" w:type="dxa"/>
            <w:vAlign w:val="bottom"/>
          </w:tcPr>
          <w:p>
            <w:pPr>
              <w:spacing w:after="0"/>
              <w:rPr>
                <w:sz w:val="14"/>
                <w:szCs w:val="14"/>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7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40" w:type="dxa"/>
            <w:vAlign w:val="bottom"/>
            <w:gridSpan w:val="3"/>
          </w:tcPr>
          <w:p>
            <w:pPr>
              <w:jc w:val="center"/>
              <w:ind w:right="515"/>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Statement of Operations Data:</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116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157.6</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77.9</w:t>
            </w:r>
          </w:p>
        </w:tc>
        <w:tc>
          <w:tcPr>
            <w:tcW w:w="0" w:type="dxa"/>
            <w:vAlign w:val="bottom"/>
          </w:tcPr>
          <w:p>
            <w:pPr>
              <w:spacing w:after="0"/>
              <w:rPr>
                <w:sz w:val="1"/>
                <w:szCs w:val="1"/>
                <w:color w:val="auto"/>
              </w:rPr>
            </w:pPr>
          </w:p>
        </w:tc>
      </w:tr>
      <w:tr>
        <w:trPr>
          <w:trHeight w:val="17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Subscription</w:t>
            </w: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67.2</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9"/>
        </w:trPr>
        <w:tc>
          <w:tcPr>
            <w:tcW w:w="7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revenue</w:t>
            </w: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228.0</w:t>
            </w: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112.1</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r>
              <w:rPr>
                <w:rFonts w:ascii="Times New Roman" w:cs="Times New Roman" w:eastAsia="Times New Roman" w:hAnsi="Times New Roman"/>
                <w:sz w:val="16"/>
                <w:szCs w:val="16"/>
                <w:color w:val="auto"/>
                <w:vertAlign w:val="superscript"/>
              </w:rPr>
              <w:t>(1)(2)</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89.8</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42.2</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Subscription </w:t>
            </w:r>
            <w:r>
              <w:rPr>
                <w:rFonts w:ascii="Times New Roman" w:cs="Times New Roman" w:eastAsia="Times New Roman" w:hAnsi="Times New Roman"/>
                <w:sz w:val="16"/>
                <w:szCs w:val="16"/>
                <w:color w:val="auto"/>
                <w:vertAlign w:val="superscript"/>
              </w:rPr>
              <w:t>(3)</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7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cost of revenue</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122.9</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60.6</w:t>
            </w:r>
          </w:p>
        </w:tc>
        <w:tc>
          <w:tcPr>
            <w:tcW w:w="0" w:type="dxa"/>
            <w:vAlign w:val="bottom"/>
          </w:tcPr>
          <w:p>
            <w:pPr>
              <w:spacing w:after="0"/>
              <w:rPr>
                <w:sz w:val="1"/>
                <w:szCs w:val="1"/>
                <w:color w:val="auto"/>
              </w:rPr>
            </w:pPr>
          </w:p>
        </w:tc>
      </w:tr>
      <w:tr>
        <w:trPr>
          <w:trHeight w:val="169"/>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51.5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Sales and marketing</w:t>
            </w:r>
            <w:r>
              <w:rPr>
                <w:rFonts w:ascii="Times New Roman" w:cs="Times New Roman" w:eastAsia="Times New Roman" w:hAnsi="Times New Roman"/>
                <w:sz w:val="16"/>
                <w:szCs w:val="16"/>
                <w:color w:val="auto"/>
                <w:vertAlign w:val="superscript"/>
              </w:rPr>
              <w:t>(1)(2)</w:t>
            </w:r>
          </w:p>
        </w:tc>
        <w:tc>
          <w:tcPr>
            <w:tcW w:w="1160" w:type="dxa"/>
            <w:vAlign w:val="bottom"/>
          </w:tcPr>
          <w:p>
            <w:pPr>
              <w:spacing w:after="0"/>
              <w:rPr>
                <w:sz w:val="17"/>
                <w:szCs w:val="17"/>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45.5</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6"/>
                <w:szCs w:val="16"/>
                <w:color w:val="auto"/>
                <w:vertAlign w:val="superscript"/>
              </w:rPr>
              <w:t>(1)(2)</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60.9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205"/>
        </w:trPr>
        <w:tc>
          <w:tcPr>
            <w:tcW w:w="7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16"/>
                <w:szCs w:val="16"/>
                <w:color w:val="auto"/>
                <w:vertAlign w:val="superscript"/>
              </w:rPr>
              <w:t>(1)(2)</w:t>
            </w:r>
          </w:p>
        </w:tc>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156.0</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107.1</w:t>
            </w:r>
          </w:p>
        </w:tc>
        <w:tc>
          <w:tcPr>
            <w:tcW w:w="0" w:type="dxa"/>
            <w:vAlign w:val="bottom"/>
          </w:tcPr>
          <w:p>
            <w:pPr>
              <w:spacing w:after="0"/>
              <w:rPr>
                <w:sz w:val="1"/>
                <w:szCs w:val="1"/>
                <w:color w:val="auto"/>
              </w:rPr>
            </w:pPr>
          </w:p>
        </w:tc>
      </w:tr>
      <w:tr>
        <w:trPr>
          <w:trHeight w:val="169"/>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from operations</w:t>
            </w: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(50.9)</w:t>
            </w: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(55.6)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9"/>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before provision for income tax</w:t>
            </w: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Borders>
              <w:top w:val="single" w:sz="8" w:color="auto"/>
              <w:bottom w:val="single" w:sz="8" w:color="auto"/>
            </w:tcBorders>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(54.5)</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____________________</w:t>
            </w: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2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72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 Includes stock-based compensation expense as follows:</w:t>
            </w:r>
          </w:p>
        </w:tc>
        <w:tc>
          <w:tcPr>
            <w:tcW w:w="1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260" w:type="dxa"/>
            <w:vAlign w:val="bottom"/>
          </w:tcPr>
          <w:p>
            <w:pPr>
              <w:spacing w:after="0"/>
              <w:rPr>
                <w:sz w:val="17"/>
                <w:szCs w:val="17"/>
                <w:color w:val="auto"/>
              </w:rPr>
            </w:pPr>
          </w:p>
        </w:tc>
        <w:tc>
          <w:tcPr>
            <w:tcW w:w="3000" w:type="dxa"/>
            <w:vAlign w:val="bottom"/>
            <w:gridSpan w:val="4"/>
          </w:tcPr>
          <w:p>
            <w:pPr>
              <w:jc w:val="center"/>
              <w:ind w:left="535"/>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60" w:type="dxa"/>
            <w:vAlign w:val="bottom"/>
          </w:tcPr>
          <w:p>
            <w:pPr>
              <w:spacing w:after="0"/>
              <w:rPr>
                <w:sz w:val="14"/>
                <w:szCs w:val="14"/>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gridSpan w:val="3"/>
          </w:tcPr>
          <w:p>
            <w:pPr>
              <w:jc w:val="center"/>
              <w:ind w:right="515"/>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1160" w:type="dxa"/>
            <w:vAlign w:val="bottom"/>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5"/>
                <w:szCs w:val="15"/>
                <w:color w:val="auto"/>
              </w:rPr>
            </w:pPr>
          </w:p>
        </w:tc>
        <w:tc>
          <w:tcPr>
            <w:tcW w:w="1160" w:type="dxa"/>
            <w:vAlign w:val="bottom"/>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Subscription</w:t>
            </w:r>
          </w:p>
        </w:tc>
        <w:tc>
          <w:tcPr>
            <w:tcW w:w="1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16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cost of revenue</w:t>
            </w:r>
          </w:p>
        </w:tc>
        <w:tc>
          <w:tcPr>
            <w:tcW w:w="1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28.3</w:t>
            </w:r>
          </w:p>
        </w:tc>
        <w:tc>
          <w:tcPr>
            <w:tcW w:w="0" w:type="dxa"/>
            <w:vAlign w:val="bottom"/>
          </w:tcPr>
          <w:p>
            <w:pPr>
              <w:spacing w:after="0"/>
              <w:rPr>
                <w:sz w:val="1"/>
                <w:szCs w:val="1"/>
                <w:color w:val="auto"/>
              </w:rPr>
            </w:pPr>
          </w:p>
        </w:tc>
      </w:tr>
      <w:tr>
        <w:trPr>
          <w:trHeight w:val="17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116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____________________</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0"/>
          <w:szCs w:val="10"/>
          <w:color w:val="auto"/>
        </w:rPr>
        <w:t>(2) Includes depreciation and amortization expense as follows: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79" w:right="21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Cost of revenue</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Connected Fitness Products</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Subscription</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Other</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Total cost of revenue</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Sales and marketing</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General and administrative</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Research and development</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Total depreciation and amortization expense</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____________________</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0"/>
          <w:szCs w:val="10"/>
          <w:color w:val="auto"/>
        </w:rPr>
        <w:t>(3) Included in subscription cost of revenue are content costs for past use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Content costs for past use</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227901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79015" cy="698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Pr>
          <w:p>
            <w:pPr>
              <w:spacing w:after="0"/>
              <w:rPr>
                <w:sz w:val="14"/>
                <w:szCs w:val="14"/>
                <w:color w:val="auto"/>
              </w:rPr>
            </w:pPr>
          </w:p>
        </w:tc>
        <w:tc>
          <w:tcPr>
            <w:tcW w:w="1340" w:type="dxa"/>
            <w:vAlign w:val="bottom"/>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7"/>
        </w:trPr>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600"/>
        </w:trPr>
        <w:tc>
          <w:tcPr>
            <w:tcW w:w="40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24"/>
                <w:szCs w:val="24"/>
                <w:color w:val="auto"/>
              </w:rPr>
            </w:pPr>
          </w:p>
        </w:tc>
        <w:tc>
          <w:tcPr>
            <w:tcW w:w="42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w:t>
            </w:r>
          </w:p>
        </w:tc>
      </w:tr>
      <w:tr>
        <w:trPr>
          <w:trHeight w:val="205"/>
        </w:trPr>
        <w:tc>
          <w:tcPr>
            <w:tcW w:w="400" w:type="dxa"/>
            <w:vAlign w:val="bottom"/>
          </w:tcPr>
          <w:p>
            <w:pPr>
              <w:spacing w:after="0"/>
              <w:rPr>
                <w:sz w:val="17"/>
                <w:szCs w:val="17"/>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1.8</w:t>
            </w:r>
          </w:p>
        </w:tc>
      </w:tr>
      <w:tr>
        <w:trPr>
          <w:trHeight w:val="205"/>
        </w:trPr>
        <w:tc>
          <w:tcPr>
            <w:tcW w:w="40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7"/>
                <w:szCs w:val="17"/>
                <w:color w:val="auto"/>
              </w:rPr>
            </w:pP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69"/>
        </w:trPr>
        <w:tc>
          <w:tcPr>
            <w:tcW w:w="400" w:type="dxa"/>
            <w:vAlign w:val="bottom"/>
          </w:tcPr>
          <w:p>
            <w:pPr>
              <w:spacing w:after="0"/>
              <w:rPr>
                <w:sz w:val="14"/>
                <w:szCs w:val="14"/>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1.9</w:t>
            </w:r>
          </w:p>
        </w:tc>
      </w:tr>
      <w:tr>
        <w:trPr>
          <w:trHeight w:val="205"/>
        </w:trPr>
        <w:tc>
          <w:tcPr>
            <w:tcW w:w="400" w:type="dxa"/>
            <w:vAlign w:val="bottom"/>
          </w:tcPr>
          <w:p>
            <w:pPr>
              <w:spacing w:after="0"/>
              <w:rPr>
                <w:sz w:val="17"/>
                <w:szCs w:val="17"/>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0.6</w:t>
            </w:r>
          </w:p>
        </w:tc>
      </w:tr>
      <w:tr>
        <w:trPr>
          <w:trHeight w:val="205"/>
        </w:trPr>
        <w:tc>
          <w:tcPr>
            <w:tcW w:w="400" w:type="dxa"/>
            <w:vAlign w:val="bottom"/>
          </w:tcPr>
          <w:p>
            <w:pPr>
              <w:spacing w:after="0"/>
              <w:rPr>
                <w:sz w:val="17"/>
                <w:szCs w:val="17"/>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1.7</w:t>
            </w:r>
          </w:p>
        </w:tc>
      </w:tr>
      <w:tr>
        <w:trPr>
          <w:trHeight w:val="205"/>
        </w:trPr>
        <w:tc>
          <w:tcPr>
            <w:tcW w:w="40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7"/>
                <w:szCs w:val="17"/>
                <w:color w:val="auto"/>
              </w:rPr>
            </w:pP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69"/>
        </w:trPr>
        <w:tc>
          <w:tcPr>
            <w:tcW w:w="40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42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4.2</w:t>
            </w:r>
          </w:p>
        </w:tc>
      </w:tr>
      <w:tr>
        <w:trPr>
          <w:trHeight w:val="27"/>
        </w:trPr>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-1217295</wp:posOffset>
            </wp:positionV>
            <wp:extent cx="688403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84035" cy="13716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-950595</wp:posOffset>
            </wp:positionV>
            <wp:extent cx="6884035" cy="130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84035" cy="13017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-690245</wp:posOffset>
            </wp:positionV>
            <wp:extent cx="688403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84035" cy="13716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-423545</wp:posOffset>
            </wp:positionV>
            <wp:extent cx="6884035" cy="130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84035" cy="13017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-163830</wp:posOffset>
            </wp:positionV>
            <wp:extent cx="6884035" cy="150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84035" cy="15049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7203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72030" cy="6985"/>
                    </a:xfrm>
                    <a:prstGeom prst="rect">
                      <a:avLst/>
                    </a:prstGeom>
                    <a:noFill/>
                  </pic:spPr>
                </pic:pic>
              </a:graphicData>
            </a:graphic>
          </wp:anchor>
        </w:drawing>
      </w:r>
    </w:p>
    <w:p>
      <w:pPr>
        <w:spacing w:after="0" w:line="46" w:lineRule="exact"/>
        <w:rPr>
          <w:sz w:val="20"/>
          <w:szCs w:val="20"/>
          <w:color w:val="auto"/>
        </w:rPr>
      </w:pPr>
    </w:p>
    <w:p>
      <w:pPr>
        <w:ind w:left="760"/>
        <w:spacing w:after="0"/>
        <w:tabs>
          <w:tab w:leader="none" w:pos="2560" w:val="left"/>
        </w:tabs>
        <w:rPr>
          <w:sz w:val="20"/>
          <w:szCs w:val="20"/>
          <w:color w:val="auto"/>
        </w:rPr>
      </w:pPr>
      <w:r>
        <w:rPr>
          <w:rFonts w:ascii="Times New Roman" w:cs="Times New Roman" w:eastAsia="Times New Roman" w:hAnsi="Times New Roman"/>
          <w:sz w:val="13"/>
          <w:szCs w:val="13"/>
          <w:b w:val="1"/>
          <w:bCs w:val="1"/>
          <w:color w:val="auto"/>
        </w:rPr>
        <w:t>2019</w:t>
      </w:r>
      <w:r>
        <w:rPr>
          <w:sz w:val="20"/>
          <w:szCs w:val="20"/>
          <w:color w:val="auto"/>
        </w:rPr>
        <w:tab/>
      </w:r>
      <w:r>
        <w:rPr>
          <w:rFonts w:ascii="Times New Roman" w:cs="Times New Roman" w:eastAsia="Times New Roman" w:hAnsi="Times New Roman"/>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720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72030" cy="6985"/>
                    </a:xfrm>
                    <a:prstGeom prst="rect">
                      <a:avLst/>
                    </a:prstGeom>
                    <a:noFill/>
                  </pic:spPr>
                </pic:pic>
              </a:graphicData>
            </a:graphic>
          </wp:anchor>
        </w:drawing>
      </w:r>
    </w:p>
    <w:p>
      <w:pPr>
        <w:spacing w:after="0" w:line="4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29210</wp:posOffset>
            </wp:positionV>
            <wp:extent cx="6884035" cy="130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84035" cy="130175"/>
                    </a:xfrm>
                    <a:prstGeom prst="rect">
                      <a:avLst/>
                    </a:prstGeom>
                    <a:noFill/>
                  </pic:spPr>
                </pic:pic>
              </a:graphicData>
            </a:graphic>
          </wp:anchor>
        </w:drawing>
      </w:r>
    </w:p>
    <w:p>
      <w:pPr>
        <w:spacing w:after="0" w:line="37" w:lineRule="exact"/>
        <w:rPr>
          <w:sz w:val="20"/>
          <w:szCs w:val="20"/>
          <w:color w:val="auto"/>
        </w:rPr>
      </w:pPr>
    </w:p>
    <w:p>
      <w:pPr>
        <w:ind w:left="20"/>
        <w:spacing w:after="0"/>
        <w:tabs>
          <w:tab w:leader="none" w:pos="1440" w:val="left"/>
          <w:tab w:leader="none" w:pos="1840" w:val="left"/>
          <w:tab w:leader="none" w:pos="326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0.9</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2.9</w:t>
      </w:r>
    </w:p>
    <w:p>
      <w:pPr>
        <w:spacing w:after="0" w:line="195" w:lineRule="exact"/>
        <w:rPr>
          <w:sz w:val="20"/>
          <w:szCs w:val="20"/>
          <w:color w:val="auto"/>
        </w:rPr>
      </w:pPr>
    </w:p>
    <w:p>
      <w:pPr>
        <w:sectPr>
          <w:pgSz w:w="11900" w:h="16838" w:orient="portrait"/>
          <w:cols w:equalWidth="0" w:num="2">
            <w:col w:w="6800" w:space="720"/>
            <w:col w:w="3940"/>
          </w:cols>
          <w:pgMar w:left="220" w:top="429" w:right="219" w:bottom="1440" w:gutter="0" w:footer="0" w:header="0"/>
        </w:sectPr>
      </w:pPr>
    </w:p>
    <w:p>
      <w:pPr>
        <w:jc w:val="both"/>
        <w:spacing w:after="0" w:line="270" w:lineRule="auto"/>
        <w:rPr>
          <w:sz w:val="20"/>
          <w:szCs w:val="20"/>
          <w:color w:val="auto"/>
        </w:rPr>
      </w:pPr>
      <w:r>
        <w:rPr>
          <w:rFonts w:ascii="Times New Roman" w:cs="Times New Roman" w:eastAsia="Times New Roman" w:hAnsi="Times New Roman"/>
          <w:sz w:val="13"/>
          <w:szCs w:val="13"/>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Comparison of the Three Months Ended September 30, 2019 and 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Revenue</w:t>
            </w:r>
          </w:p>
        </w:tc>
        <w:tc>
          <w:tcPr>
            <w:tcW w:w="3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2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4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480" w:type="dxa"/>
            <w:vAlign w:val="bottom"/>
          </w:tcPr>
          <w:p>
            <w:pPr>
              <w:spacing w:after="0"/>
              <w:rPr>
                <w:sz w:val="14"/>
                <w:szCs w:val="14"/>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2018</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3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gridSpan w:val="4"/>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4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4440" w:type="dxa"/>
            <w:vAlign w:val="bottom"/>
            <w:gridSpan w:val="2"/>
          </w:tcPr>
          <w:p>
            <w:pPr>
              <w:jc w:val="right"/>
              <w:ind w:right="99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1400" w:type="dxa"/>
            <w:vAlign w:val="bottom"/>
            <w:gridSpan w:val="3"/>
          </w:tcPr>
          <w:p>
            <w:pPr>
              <w:jc w:val="right"/>
              <w:ind w:right="10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60" w:type="dxa"/>
            <w:vAlign w:val="bottom"/>
          </w:tcPr>
          <w:p>
            <w:pPr>
              <w:spacing w:after="0"/>
              <w:rPr>
                <w:sz w:val="16"/>
                <w:szCs w:val="16"/>
                <w:color w:val="auto"/>
              </w:rPr>
            </w:pPr>
          </w:p>
        </w:tc>
        <w:tc>
          <w:tcPr>
            <w:tcW w:w="2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Subscription</w:t>
            </w:r>
          </w:p>
        </w:tc>
        <w:tc>
          <w:tcPr>
            <w:tcW w:w="3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revenue</w:t>
            </w:r>
          </w:p>
        </w:tc>
        <w:tc>
          <w:tcPr>
            <w:tcW w:w="444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140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Percentage of revenue</w:t>
            </w:r>
          </w:p>
        </w:tc>
        <w:tc>
          <w:tcPr>
            <w:tcW w:w="3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0" w:type="dxa"/>
            <w:vAlign w:val="bottom"/>
          </w:tcPr>
          <w:p>
            <w:pPr>
              <w:spacing w:after="0"/>
              <w:rPr>
                <w:sz w:val="13"/>
                <w:szCs w:val="13"/>
                <w:color w:val="auto"/>
              </w:rPr>
            </w:pPr>
          </w:p>
        </w:tc>
        <w:tc>
          <w:tcPr>
            <w:tcW w:w="2540" w:type="dxa"/>
            <w:vAlign w:val="bottom"/>
            <w:vMerge w:val="continue"/>
          </w:tcPr>
          <w:p>
            <w:pPr>
              <w:spacing w:after="0"/>
              <w:rPr>
                <w:sz w:val="13"/>
                <w:szCs w:val="13"/>
                <w:color w:val="auto"/>
              </w:rPr>
            </w:pPr>
          </w:p>
        </w:tc>
        <w:tc>
          <w:tcPr>
            <w:tcW w:w="3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3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Subscription</w:t>
            </w:r>
          </w:p>
        </w:tc>
        <w:tc>
          <w:tcPr>
            <w:tcW w:w="3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2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33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Connected Fitness Products revenue for the three months ended September 30, 2019 increased $79.7 million, or 102.3%, compared to the three months ended September 30, 2018. This increase was primarily attributable to the significant growth in number of Connected Fitness Products delivered during the period, which was the result of our growing brand and product awareness, and, to a lesser extent, as a result of the launch of Tread and our entry into our first international market, both of which occurred late in the first quarter of fiscal 2019.</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Subscription revenue for the three months ended September 30, 2019 increased $35.4 million, or 111.7%, compared to the three months ended September 30, 2018. This increase was primarily attributable to the growth in our Connected Fitness Subscribers from 276,957 to 562,774 during the period. The growth of our Connected Fitness Subscribers was primarily driven by the increased number of Connected Fitness Products delivered during the period and our low Average Net Monthly Connected Fitness Churn of 0.90% for three months ended September 30, 2019. We believe engagement is a leading indicator of retention. Our Member engagement continued to grow with 11.7 Average Monthly Workouts per Connected Fitness Subscriber versus 8.9 Workouts in the same period last year. Our Connected Fitness Subscribers worked out with Peloton 19.2 million times, up from 7.1 million workouts in the same period last year, representing 171% year-over-year growth.</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type w:val="continuous"/>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3"/>
          <w:szCs w:val="13"/>
          <w:color w:val="auto"/>
        </w:rPr>
        <w:t>Other revenue for the three months ended September 30, 2019 increased $0.7 million, or 29.6%, compared to the three months ended September 30, 2018. The increase was attributable to the growth of our branded apparel sales during the period.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Cost of Revenue, Gross Profit, and Gross Margin</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3060" w:type="dxa"/>
            <w:vAlign w:val="bottom"/>
            <w:gridSpan w:val="5"/>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500" w:type="dxa"/>
            <w:vAlign w:val="bottom"/>
          </w:tcPr>
          <w:p>
            <w:pPr>
              <w:spacing w:after="0"/>
              <w:rPr>
                <w:sz w:val="14"/>
                <w:szCs w:val="14"/>
                <w:color w:val="auto"/>
              </w:rPr>
            </w:pPr>
          </w:p>
        </w:tc>
        <w:tc>
          <w:tcPr>
            <w:tcW w:w="1420" w:type="dxa"/>
            <w:vAlign w:val="bottom"/>
            <w:gridSpan w:val="3"/>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2018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11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4"/>
            <w:shd w:val="clear" w:color="auto" w:fill="CCEEFF"/>
          </w:tcPr>
          <w:p>
            <w:pPr>
              <w:jc w:val="right"/>
              <w:ind w:right="635"/>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1140" w:type="dxa"/>
            <w:vAlign w:val="bottom"/>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1420" w:type="dxa"/>
            <w:vAlign w:val="bottom"/>
            <w:gridSpan w:val="3"/>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60" w:type="dxa"/>
            <w:vAlign w:val="bottom"/>
          </w:tcPr>
          <w:p>
            <w:pPr>
              <w:spacing w:after="0"/>
              <w:rPr>
                <w:sz w:val="16"/>
                <w:szCs w:val="16"/>
                <w:color w:val="auto"/>
              </w:rPr>
            </w:pPr>
          </w:p>
        </w:tc>
        <w:tc>
          <w:tcPr>
            <w:tcW w:w="5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Subscription</w:t>
            </w:r>
          </w:p>
        </w:tc>
        <w:tc>
          <w:tcPr>
            <w:tcW w:w="1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cost of revenue</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60" w:type="dxa"/>
            <w:vAlign w:val="bottom"/>
          </w:tcPr>
          <w:p>
            <w:pPr>
              <w:spacing w:after="0"/>
              <w:rPr>
                <w:sz w:val="16"/>
                <w:szCs w:val="16"/>
                <w:color w:val="auto"/>
              </w:rPr>
            </w:pPr>
          </w:p>
        </w:tc>
        <w:tc>
          <w:tcPr>
            <w:tcW w:w="5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1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Subscription</w:t>
            </w: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0" w:type="dxa"/>
            <w:vAlign w:val="bottom"/>
          </w:tcPr>
          <w:p>
            <w:pPr>
              <w:spacing w:after="0"/>
              <w:rPr>
                <w:sz w:val="17"/>
                <w:szCs w:val="17"/>
                <w:color w:val="auto"/>
              </w:rPr>
            </w:pPr>
          </w:p>
        </w:tc>
        <w:tc>
          <w:tcPr>
            <w:tcW w:w="5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 %</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5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gross profit</w:t>
            </w:r>
          </w:p>
        </w:tc>
        <w:tc>
          <w:tcPr>
            <w:tcW w:w="1140" w:type="dxa"/>
            <w:vAlign w:val="bottom"/>
            <w:tcBorders>
              <w:top w:val="single" w:sz="8" w:color="auto"/>
              <w:bottom w:val="single" w:sz="8" w:color="auto"/>
            </w:tcBorders>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40" w:type="dxa"/>
            <w:vAlign w:val="bottom"/>
            <w:tcBorders>
              <w:top w:val="single" w:sz="8" w:color="auto"/>
              <w:bottom w:val="single" w:sz="8" w:color="auto"/>
            </w:tcBorders>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 w:type="dxa"/>
            <w:vAlign w:val="bottom"/>
          </w:tcPr>
          <w:p>
            <w:pPr>
              <w:spacing w:after="0"/>
              <w:rPr>
                <w:sz w:val="15"/>
                <w:szCs w:val="15"/>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Margin:</w:t>
            </w:r>
          </w:p>
        </w:tc>
        <w:tc>
          <w:tcPr>
            <w:tcW w:w="11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5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Connected Fitness Products</w:t>
            </w:r>
          </w:p>
        </w:tc>
        <w:tc>
          <w:tcPr>
            <w:tcW w:w="1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Subscription</w:t>
            </w:r>
          </w:p>
        </w:tc>
        <w:tc>
          <w:tcPr>
            <w:tcW w:w="1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5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1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Connected Fitness Product cost of revenue for the three months ended September 30, 2019 increased $47.6 million, or 112.7%, compared to three months ended September 30, 2018. This increase was primarily driven by costs associated with the growth in the number of Connected Fitness Products delivered during the period.</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Our Connected Fitness Product gross margin decreased slightly for the three months ended September 30, 2019 compared to the three months ended September 30, 2018 due to the increasing mix of deliveries of Tread which currently has a lower gross margin than our Bike, and the expansion of our field operations delivery program to support our growth.</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Subscription cost of revenue for the three months ended September 30, 2019 increased $13.2 million, or 81.1%, compared to three months ended September 30, 2018. This increase was primarily driven by an increase of $7.1 million in music royalty and streaming delivery fees driven by increased usage of our platform, an increase of $2.5 million in personnel-related expenses, an increase of $1.8 million in occupancy costs associated with our two new production studios in New York City and London, an increase of $1.8 million in depreciation and amortization expense and an increase of $1.1 million in payment processing fees for our monthly subscription billing. The increase was partially offset by a decrease of $1.9 million in content costs for past use.</w:t>
      </w:r>
    </w:p>
    <w:p>
      <w:pPr>
        <w:spacing w:after="0" w:line="21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2"/>
          <w:szCs w:val="12"/>
          <w:color w:val="auto"/>
        </w:rPr>
        <w:t>Subscription gross margin increased by 743 basis points from the three months ended September 30, 2018 to the three months ended September 30, 2019 primarily driven by a $1.9 million benefit from lower content costs for past use year-over-year. This benefit was offset by year-over-year total studio rent expense, as the same period last year did not include lease expense for our new production studios in New York City and London.</w:t>
      </w:r>
    </w:p>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Other cost of revenue for the three months ended September 30, 2019 increased $1.5 million, or 72.1%, compared to the three months ended September 30, 2018. This increase was primarily attributable to the growth of our branded apparel sales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gross margin decreased during the three months ended September 30, 2019 compared to the three months ended September 30, 2018 due to the impact of sales discounts offered in our referral program.</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45"/>
        </w:trPr>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Sales and Marketing</w:t>
            </w: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4"/>
        </w:trPr>
        <w:tc>
          <w:tcPr>
            <w:tcW w:w="2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40" w:type="dxa"/>
            <w:vAlign w:val="bottom"/>
            <w:gridSpan w:val="3"/>
          </w:tcPr>
          <w:p>
            <w:pPr>
              <w:jc w:val="center"/>
              <w:ind w:left="495"/>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7"/>
        </w:trPr>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gridSpan w:val="2"/>
          </w:tcPr>
          <w:p>
            <w:pPr>
              <w:spacing w:after="0"/>
              <w:rPr>
                <w:sz w:val="2"/>
                <w:szCs w:val="2"/>
                <w:color w:val="auto"/>
              </w:rPr>
            </w:pPr>
          </w:p>
        </w:tc>
      </w:tr>
      <w:tr>
        <w:trPr>
          <w:trHeight w:val="169"/>
        </w:trPr>
        <w:tc>
          <w:tcPr>
            <w:tcW w:w="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46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2019</w:t>
            </w:r>
          </w:p>
        </w:tc>
        <w:tc>
          <w:tcPr>
            <w:tcW w:w="480" w:type="dxa"/>
            <w:vAlign w:val="bottom"/>
          </w:tcPr>
          <w:p>
            <w:pPr>
              <w:spacing w:after="0"/>
              <w:rPr>
                <w:sz w:val="14"/>
                <w:szCs w:val="14"/>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2018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27"/>
        </w:trPr>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180"/>
        </w:trPr>
        <w:tc>
          <w:tcPr>
            <w:tcW w:w="2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00" w:type="dxa"/>
            <w:vAlign w:val="bottom"/>
            <w:gridSpan w:val="2"/>
          </w:tcPr>
          <w:p>
            <w:pPr>
              <w:jc w:val="center"/>
              <w:ind w:right="515"/>
              <w:spacing w:after="0"/>
              <w:rPr>
                <w:sz w:val="20"/>
                <w:szCs w:val="20"/>
                <w:color w:val="auto"/>
              </w:rPr>
            </w:pPr>
            <w:r>
              <w:rPr>
                <w:rFonts w:ascii="Times New Roman" w:cs="Times New Roman" w:eastAsia="Times New Roman" w:hAnsi="Times New Roman"/>
                <w:sz w:val="13"/>
                <w:szCs w:val="13"/>
                <w:b w:val="1"/>
                <w:bCs w:val="1"/>
                <w:color w:val="auto"/>
                <w:w w:val="99"/>
              </w:rPr>
              <w:t>(dollars in millions)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7"/>
        </w:trPr>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85"/>
        </w:trPr>
        <w:tc>
          <w:tcPr>
            <w:tcW w:w="260" w:type="dxa"/>
            <w:vAlign w:val="bottom"/>
          </w:tcPr>
          <w:p>
            <w:pPr>
              <w:spacing w:after="0"/>
              <w:rPr>
                <w:sz w:val="16"/>
                <w:szCs w:val="16"/>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3460" w:type="dxa"/>
            <w:vAlign w:val="bottom"/>
            <w:tcBorders>
              <w:bottom w:val="single" w:sz="8" w:color="CCEEFF"/>
            </w:tcBorders>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420" w:type="dxa"/>
            <w:vAlign w:val="bottom"/>
            <w:tcBorders>
              <w:bottom w:val="single" w:sz="8" w:color="CCEEFF"/>
            </w:tcBorders>
            <w:shd w:val="clear" w:color="auto" w:fill="CCEEFF"/>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70.6 %</w:t>
            </w:r>
          </w:p>
        </w:tc>
        <w:tc>
          <w:tcPr>
            <w:tcW w:w="360" w:type="dxa"/>
            <w:vAlign w:val="bottom"/>
          </w:tcPr>
          <w:p>
            <w:pPr>
              <w:spacing w:after="0"/>
              <w:rPr>
                <w:sz w:val="16"/>
                <w:szCs w:val="16"/>
                <w:color w:val="auto"/>
              </w:rPr>
            </w:pPr>
          </w:p>
        </w:tc>
      </w:tr>
      <w:tr>
        <w:trPr>
          <w:trHeight w:val="189"/>
        </w:trPr>
        <w:tc>
          <w:tcPr>
            <w:tcW w:w="26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As a percentage of total revenue</w:t>
            </w:r>
          </w:p>
        </w:tc>
        <w:tc>
          <w:tcPr>
            <w:tcW w:w="2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42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571"/>
        </w:trPr>
        <w:tc>
          <w:tcPr>
            <w:tcW w:w="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32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27</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82"/>
        </w:trPr>
        <w:tc>
          <w:tcPr>
            <w:tcW w:w="26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27" w:name="page28"/>
    <w:bookmarkEnd w:id="27"/>
    <w:p>
      <w:pPr>
        <w:jc w:val="both"/>
        <w:spacing w:after="0" w:line="249" w:lineRule="auto"/>
        <w:rPr>
          <w:sz w:val="20"/>
          <w:szCs w:val="20"/>
          <w:color w:val="auto"/>
        </w:rPr>
      </w:pPr>
      <w:r>
        <w:rPr>
          <w:rFonts w:ascii="Times New Roman" w:cs="Times New Roman" w:eastAsia="Times New Roman" w:hAnsi="Times New Roman"/>
          <w:sz w:val="13"/>
          <w:szCs w:val="13"/>
          <w:color w:val="auto"/>
        </w:rPr>
        <w:t>Sales and marketing expense for the three months ended September 30, 2019 increased $32.1 million, or 70.6%, compared to the three months ended September 30, 2018. The increase was due primarily to increased spending on advertising and marketing programs of $21.6 million, an increase in personnel-related expenses of $6.8 million, excluding stock-based compensation expense, due to increased headcount, an increase in expenses related to our showrooms and microstores of $3.8 million, an increase in depreciation and amortization expense of $1.1 million, and an increase in payment processing fees of $0.6 million. This increase was partially offset by a decrease in stock-based compensation expense of $2.6 million driven by a $3.9 million charge in the three months ended September 30, 2018 related to a cash tender offer pursuant to which we repurchased shares of our outstanding common stock and convertible preferred stock from existing stockholders, or the Series F Tender Offer.</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General and Administrative</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4"/>
        </w:trPr>
        <w:tc>
          <w:tcPr>
            <w:tcW w:w="26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040" w:type="dxa"/>
            <w:vAlign w:val="bottom"/>
            <w:gridSpan w:val="3"/>
          </w:tcPr>
          <w:p>
            <w:pPr>
              <w:jc w:val="center"/>
              <w:ind w:left="495"/>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7"/>
        </w:trPr>
        <w:tc>
          <w:tcPr>
            <w:tcW w:w="2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169"/>
        </w:trPr>
        <w:tc>
          <w:tcPr>
            <w:tcW w:w="2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2019</w:t>
            </w:r>
          </w:p>
        </w:tc>
        <w:tc>
          <w:tcPr>
            <w:tcW w:w="480" w:type="dxa"/>
            <w:vAlign w:val="bottom"/>
          </w:tcPr>
          <w:p>
            <w:pPr>
              <w:spacing w:after="0"/>
              <w:rPr>
                <w:sz w:val="14"/>
                <w:szCs w:val="14"/>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2018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27"/>
        </w:trPr>
        <w:tc>
          <w:tcPr>
            <w:tcW w:w="2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0"/>
        </w:trPr>
        <w:tc>
          <w:tcPr>
            <w:tcW w:w="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00" w:type="dxa"/>
            <w:vAlign w:val="bottom"/>
            <w:gridSpan w:val="2"/>
          </w:tcPr>
          <w:p>
            <w:pPr>
              <w:jc w:val="center"/>
              <w:ind w:right="515"/>
              <w:spacing w:after="0"/>
              <w:rPr>
                <w:sz w:val="20"/>
                <w:szCs w:val="20"/>
                <w:color w:val="auto"/>
              </w:rPr>
            </w:pPr>
            <w:r>
              <w:rPr>
                <w:rFonts w:ascii="Times New Roman" w:cs="Times New Roman" w:eastAsia="Times New Roman" w:hAnsi="Times New Roman"/>
                <w:sz w:val="13"/>
                <w:szCs w:val="13"/>
                <w:b w:val="1"/>
                <w:bCs w:val="1"/>
                <w:color w:val="auto"/>
                <w:w w:val="99"/>
              </w:rPr>
              <w:t>(dollars in millions)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7"/>
        </w:trPr>
        <w:tc>
          <w:tcPr>
            <w:tcW w:w="2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5"/>
        </w:trPr>
        <w:tc>
          <w:tcPr>
            <w:tcW w:w="260" w:type="dxa"/>
            <w:vAlign w:val="bottom"/>
          </w:tcPr>
          <w:p>
            <w:pPr>
              <w:spacing w:after="0"/>
              <w:rPr>
                <w:sz w:val="16"/>
                <w:szCs w:val="16"/>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140" w:type="dxa"/>
            <w:vAlign w:val="bottom"/>
            <w:tcBorders>
              <w:bottom w:val="single" w:sz="8" w:color="CCEEFF"/>
            </w:tcBorders>
            <w:shd w:val="clear" w:color="auto" w:fill="CCEEFF"/>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420" w:type="dxa"/>
            <w:vAlign w:val="bottom"/>
            <w:tcBorders>
              <w:bottom w:val="single" w:sz="8" w:color="CCEEFF"/>
            </w:tcBorders>
            <w:shd w:val="clear" w:color="auto" w:fill="CCEEFF"/>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21.8 %</w:t>
            </w:r>
          </w:p>
        </w:tc>
      </w:tr>
      <w:tr>
        <w:trPr>
          <w:trHeight w:val="189"/>
        </w:trPr>
        <w:tc>
          <w:tcPr>
            <w:tcW w:w="260" w:type="dxa"/>
            <w:vAlign w:val="bottom"/>
          </w:tcPr>
          <w:p>
            <w:pPr>
              <w:spacing w:after="0"/>
              <w:rPr>
                <w:sz w:val="16"/>
                <w:szCs w:val="16"/>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As a percentage of total revenue</w:t>
            </w:r>
          </w:p>
        </w:tc>
        <w:tc>
          <w:tcPr>
            <w:tcW w:w="1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42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spacing w:after="0"/>
              <w:rPr>
                <w:sz w:val="16"/>
                <w:szCs w:val="16"/>
                <w:color w:val="auto"/>
              </w:rPr>
            </w:pPr>
          </w:p>
        </w:tc>
      </w:tr>
    </w:tbl>
    <w:p>
      <w:pPr>
        <w:spacing w:after="0" w:line="200" w:lineRule="exact"/>
        <w:rPr>
          <w:sz w:val="20"/>
          <w:szCs w:val="20"/>
          <w:color w:val="auto"/>
        </w:rPr>
      </w:pPr>
    </w:p>
    <w:p>
      <w:pPr>
        <w:spacing w:after="0" w:line="2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General and administrative expense for the three months ended September 30, 2019 increased $10.9 million, or 21.8%, compared to the three months ended September 30, 2018. The increase was primarily due to an increase in personnel-related expenses of $9.1 million, excluding stock-based compensation expense, due to increased headcount, an increase in professional fees, comprised of legal, accounting, and consulting fees of $7.5 million, an increase in facilities costs from additional leased spaces of $5.4 million, an increase in cost associated with business operations of $2.4 million, and additional costs due to system implementations of $1.3 million. This increase was partially offset by a decrease in stock-based compensation expense of $14.8 million driven by a $26.2 million charge in the three months ended September 30, 2018 related to the Series F Tender Offer.</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Research and Development</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4"/>
        </w:trPr>
        <w:tc>
          <w:tcPr>
            <w:tcW w:w="26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040" w:type="dxa"/>
            <w:vAlign w:val="bottom"/>
            <w:gridSpan w:val="3"/>
          </w:tcPr>
          <w:p>
            <w:pPr>
              <w:jc w:val="center"/>
              <w:ind w:left="495"/>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7"/>
        </w:trPr>
        <w:tc>
          <w:tcPr>
            <w:tcW w:w="2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169"/>
        </w:trPr>
        <w:tc>
          <w:tcPr>
            <w:tcW w:w="2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2019</w:t>
            </w:r>
          </w:p>
        </w:tc>
        <w:tc>
          <w:tcPr>
            <w:tcW w:w="480" w:type="dxa"/>
            <w:vAlign w:val="bottom"/>
          </w:tcPr>
          <w:p>
            <w:pPr>
              <w:spacing w:after="0"/>
              <w:rPr>
                <w:sz w:val="14"/>
                <w:szCs w:val="14"/>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2018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27"/>
        </w:trPr>
        <w:tc>
          <w:tcPr>
            <w:tcW w:w="2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0"/>
        </w:trPr>
        <w:tc>
          <w:tcPr>
            <w:tcW w:w="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00" w:type="dxa"/>
            <w:vAlign w:val="bottom"/>
            <w:gridSpan w:val="2"/>
          </w:tcPr>
          <w:p>
            <w:pPr>
              <w:jc w:val="center"/>
              <w:ind w:right="515"/>
              <w:spacing w:after="0"/>
              <w:rPr>
                <w:sz w:val="20"/>
                <w:szCs w:val="20"/>
                <w:color w:val="auto"/>
              </w:rPr>
            </w:pPr>
            <w:r>
              <w:rPr>
                <w:rFonts w:ascii="Times New Roman" w:cs="Times New Roman" w:eastAsia="Times New Roman" w:hAnsi="Times New Roman"/>
                <w:sz w:val="13"/>
                <w:szCs w:val="13"/>
                <w:b w:val="1"/>
                <w:bCs w:val="1"/>
                <w:color w:val="auto"/>
                <w:w w:val="99"/>
              </w:rPr>
              <w:t>(dollars in millions)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7"/>
        </w:trPr>
        <w:tc>
          <w:tcPr>
            <w:tcW w:w="2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5"/>
        </w:trPr>
        <w:tc>
          <w:tcPr>
            <w:tcW w:w="260" w:type="dxa"/>
            <w:vAlign w:val="bottom"/>
          </w:tcPr>
          <w:p>
            <w:pPr>
              <w:spacing w:after="0"/>
              <w:rPr>
                <w:sz w:val="16"/>
                <w:szCs w:val="16"/>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40" w:type="dxa"/>
            <w:vAlign w:val="bottom"/>
            <w:tcBorders>
              <w:bottom w:val="single" w:sz="8" w:color="CCEEFF"/>
            </w:tcBorders>
            <w:shd w:val="clear" w:color="auto" w:fill="CCEEFF"/>
          </w:tcPr>
          <w:p>
            <w:pPr>
              <w:jc w:val="right"/>
              <w:ind w:right="995"/>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420" w:type="dxa"/>
            <w:vAlign w:val="bottom"/>
            <w:tcBorders>
              <w:bottom w:val="single" w:sz="8" w:color="CCEEFF"/>
            </w:tcBorders>
            <w:shd w:val="clear" w:color="auto" w:fill="CCEEFF"/>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50.6 %</w:t>
            </w:r>
          </w:p>
        </w:tc>
      </w:tr>
      <w:tr>
        <w:trPr>
          <w:trHeight w:val="189"/>
        </w:trPr>
        <w:tc>
          <w:tcPr>
            <w:tcW w:w="260" w:type="dxa"/>
            <w:vAlign w:val="bottom"/>
          </w:tcPr>
          <w:p>
            <w:pPr>
              <w:spacing w:after="0"/>
              <w:rPr>
                <w:sz w:val="16"/>
                <w:szCs w:val="16"/>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As a percentage of total revenue</w:t>
            </w:r>
          </w:p>
        </w:tc>
        <w:tc>
          <w:tcPr>
            <w:tcW w:w="1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42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spacing w:after="0"/>
              <w:rPr>
                <w:sz w:val="16"/>
                <w:szCs w:val="16"/>
                <w:color w:val="auto"/>
              </w:rPr>
            </w:pPr>
          </w:p>
        </w:tc>
      </w:tr>
    </w:tbl>
    <w:p>
      <w:pPr>
        <w:spacing w:after="0" w:line="200" w:lineRule="exact"/>
        <w:rPr>
          <w:sz w:val="20"/>
          <w:szCs w:val="20"/>
          <w:color w:val="auto"/>
        </w:rPr>
      </w:pPr>
    </w:p>
    <w:p>
      <w:pPr>
        <w:spacing w:after="0" w:line="2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Research and development expense for the three months ended September 30, 2019 increased $5.9 million, or 50.6%, compared to the three months ended September 30, 2018. This increase was due primarily to an increase in personnel-related expenses, which, excluding stock-based compensation expense, increased $5.6 million, due to increased headcount and an increase of $0.8 million in product development and research costs. The increase in cost was partially offset by a decrease in stock-based compensation expense of $0.7 million driven by a $2.5 million charge in the three months ended September 30, 2018 related to the Series F Tender Offer.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Other Income, Net and Provision for Income Taxes</w:t>
            </w: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6"/>
        </w:trPr>
        <w:tc>
          <w:tcPr>
            <w:tcW w:w="26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3040" w:type="dxa"/>
            <w:vAlign w:val="bottom"/>
            <w:gridSpan w:val="3"/>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
        </w:trPr>
        <w:tc>
          <w:tcPr>
            <w:tcW w:w="2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169"/>
        </w:trPr>
        <w:tc>
          <w:tcPr>
            <w:tcW w:w="2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600" w:type="dxa"/>
            <w:vAlign w:val="bottom"/>
          </w:tcPr>
          <w:p>
            <w:pPr>
              <w:spacing w:after="0"/>
              <w:rPr>
                <w:sz w:val="14"/>
                <w:szCs w:val="14"/>
                <w:color w:val="auto"/>
              </w:rPr>
            </w:pPr>
          </w:p>
        </w:tc>
        <w:tc>
          <w:tcPr>
            <w:tcW w:w="132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2018</w:t>
            </w:r>
          </w:p>
        </w:tc>
        <w:tc>
          <w:tcPr>
            <w:tcW w:w="520" w:type="dxa"/>
            <w:vAlign w:val="bottom"/>
          </w:tcPr>
          <w:p>
            <w:pPr>
              <w:spacing w:after="0"/>
              <w:rPr>
                <w:sz w:val="14"/>
                <w:szCs w:val="14"/>
                <w:color w:val="auto"/>
              </w:rPr>
            </w:pPr>
          </w:p>
        </w:tc>
        <w:tc>
          <w:tcPr>
            <w:tcW w:w="138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27"/>
        </w:trPr>
        <w:tc>
          <w:tcPr>
            <w:tcW w:w="2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0"/>
        </w:trPr>
        <w:tc>
          <w:tcPr>
            <w:tcW w:w="2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20" w:type="dxa"/>
            <w:vAlign w:val="bottom"/>
            <w:gridSpan w:val="2"/>
          </w:tcPr>
          <w:p>
            <w:pPr>
              <w:jc w:val="right"/>
              <w:ind w:right="655"/>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7"/>
        </w:trPr>
        <w:tc>
          <w:tcPr>
            <w:tcW w:w="2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5"/>
        </w:trPr>
        <w:tc>
          <w:tcPr>
            <w:tcW w:w="260" w:type="dxa"/>
            <w:vAlign w:val="bottom"/>
          </w:tcPr>
          <w:p>
            <w:pPr>
              <w:spacing w:after="0"/>
              <w:rPr>
                <w:sz w:val="16"/>
                <w:szCs w:val="16"/>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120" w:type="dxa"/>
            <w:vAlign w:val="bottom"/>
            <w:tcBorders>
              <w:bottom w:val="single" w:sz="8" w:color="CCEEFF"/>
            </w:tcBorders>
            <w:shd w:val="clear" w:color="auto" w:fill="CCEEFF"/>
          </w:tcPr>
          <w:p>
            <w:pPr>
              <w:jc w:val="right"/>
              <w:ind w:right="97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1.2</w:t>
            </w:r>
          </w:p>
        </w:tc>
        <w:tc>
          <w:tcPr>
            <w:tcW w:w="1320" w:type="dxa"/>
            <w:vAlign w:val="bottom"/>
            <w:tcBorders>
              <w:bottom w:val="single" w:sz="8" w:color="CCEEFF"/>
            </w:tcBorders>
            <w:shd w:val="clear" w:color="auto" w:fill="CCEEFF"/>
          </w:tcPr>
          <w:p>
            <w:pPr>
              <w:jc w:val="right"/>
              <w:ind w:right="1075"/>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14.4 %</w:t>
            </w:r>
          </w:p>
        </w:tc>
      </w:tr>
      <w:tr>
        <w:trPr>
          <w:trHeight w:val="178"/>
        </w:trPr>
        <w:tc>
          <w:tcPr>
            <w:tcW w:w="260" w:type="dxa"/>
            <w:vAlign w:val="bottom"/>
          </w:tcPr>
          <w:p>
            <w:pPr>
              <w:spacing w:after="0"/>
              <w:rPr>
                <w:sz w:val="15"/>
                <w:szCs w:val="15"/>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120" w:type="dxa"/>
            <w:vAlign w:val="bottom"/>
          </w:tcPr>
          <w:p>
            <w:pPr>
              <w:jc w:val="right"/>
              <w:ind w:right="97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0.1</w:t>
            </w:r>
          </w:p>
        </w:tc>
        <w:tc>
          <w:tcPr>
            <w:tcW w:w="1320" w:type="dxa"/>
            <w:vAlign w:val="bottom"/>
          </w:tcPr>
          <w:p>
            <w:pPr>
              <w:jc w:val="right"/>
              <w:ind w:right="1075"/>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bl>
    <w:p>
      <w:pPr>
        <w:spacing w:after="0" w:line="2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Other income, net, was $1.2 million for the three months ended September 30, 2019 compared to $1.0 million for the three months ended September 30, 2018. The increase in other income, net, was primarily due to an increase of $0.7 million in interest earned on cash, cash equivalents, and short-term investments, partially offset by a $0.5 million increase in interest expense incurred under our amended and restated loan and security agreement, or the Amended Credit Agreement, and the associated amortization of deferred financing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Our operations have been financed primarily through cash flow from operating activities and net proceeds from the sales of our stock. As of September 30, 2019, we had cash and cash equivalents of approximately $1.4 billion and marketable securities $100.4 million. In September 2019, we completed our IPO and a concurrent private placement, in which we issued and sold an aggregate of 43,448,275 shares of our Class A common stock. The price per share to the public in the IPO and in the concurrent private placement was $29.00. We received aggregate net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color w:val="auto"/>
        </w:rPr>
        <w:t>proceeds of $1.2 billion from the IPO and the concurrent private placement, net of the underwriting discounts and before deducting offering costs of approximately $6.3 million.</w:t>
      </w:r>
    </w:p>
    <w:p>
      <w:pPr>
        <w:spacing w:after="0" w:line="3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believe our existing cash and cash equivalent balances, cash flow from operations, marketable securities portfolio, and amounts available for borrowing under our Amended Credit Agreement will be sufficient to meet our working capital and capital expenditure needs for at least the next 12 months. Our future capital requirements may vary materially from those currently planned and will depend on many factors, including our rate of revenue growth, the timing and extent of spending on research and development efforts and other growth initiatives, the expansion of sales and marketing activities, the timing of new Connected Fitness Product introductions, market acceptance of our Connected Fitness Products,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Amended and Restated Credit Agreement</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In June 2019, we entered into the Amended Credit Agreement with JPMorgan Chase Bank, N.A., as administrative agent, lead arranger and bookrunner and Bank of America, N.A., Barclays Bank PLC, Goldman Sachs Lending Partners LLC, and Silicon Valley Bank, as joint syndication agents, which amended and restated the loan and security agreement we previously entered into in November 2017. 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September 30, 2019, we had not drawn on the credit facility and did not have outstanding borrowings under the Amended Credit Agreement. As of September 30, 2019, we had outstanding letters of credit totaling $43.0 million issued primarily to cover security deposits for our operating lease and inventory purchase obligations.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have the option to repay our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Cash Flows</w:t>
            </w: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4"/>
        </w:trPr>
        <w:tc>
          <w:tcPr>
            <w:tcW w:w="26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3000" w:type="dxa"/>
            <w:vAlign w:val="bottom"/>
            <w:gridSpan w:val="3"/>
          </w:tcPr>
          <w:p>
            <w:pPr>
              <w:jc w:val="center"/>
              <w:ind w:left="535"/>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w:t>
            </w:r>
          </w:p>
        </w:tc>
        <w:tc>
          <w:tcPr>
            <w:tcW w:w="580" w:type="dxa"/>
            <w:vAlign w:val="bottom"/>
          </w:tcPr>
          <w:p>
            <w:pPr>
              <w:spacing w:after="0"/>
              <w:rPr>
                <w:sz w:val="16"/>
                <w:szCs w:val="16"/>
                <w:color w:val="auto"/>
              </w:rPr>
            </w:pPr>
          </w:p>
        </w:tc>
      </w:tr>
      <w:tr>
        <w:trPr>
          <w:trHeight w:val="27"/>
        </w:trPr>
        <w:tc>
          <w:tcPr>
            <w:tcW w:w="26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9"/>
        </w:trPr>
        <w:tc>
          <w:tcPr>
            <w:tcW w:w="2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2019</w:t>
            </w:r>
          </w:p>
        </w:tc>
        <w:tc>
          <w:tcPr>
            <w:tcW w:w="640" w:type="dxa"/>
            <w:vAlign w:val="bottom"/>
          </w:tcPr>
          <w:p>
            <w:pPr>
              <w:spacing w:after="0"/>
              <w:rPr>
                <w:sz w:val="14"/>
                <w:szCs w:val="14"/>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Pr>
          <w:p>
            <w:pPr>
              <w:spacing w:after="0"/>
              <w:rPr>
                <w:sz w:val="14"/>
                <w:szCs w:val="14"/>
                <w:color w:val="auto"/>
              </w:rPr>
            </w:pPr>
          </w:p>
        </w:tc>
      </w:tr>
      <w:tr>
        <w:trPr>
          <w:trHeight w:val="28"/>
        </w:trPr>
        <w:tc>
          <w:tcPr>
            <w:tcW w:w="26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78"/>
        </w:trPr>
        <w:tc>
          <w:tcPr>
            <w:tcW w:w="26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80" w:type="dxa"/>
            <w:vAlign w:val="bottom"/>
            <w:gridSpan w:val="2"/>
          </w:tcPr>
          <w:p>
            <w:pPr>
              <w:jc w:val="center"/>
              <w:ind w:right="475"/>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580" w:type="dxa"/>
            <w:vAlign w:val="bottom"/>
          </w:tcPr>
          <w:p>
            <w:pPr>
              <w:spacing w:after="0"/>
              <w:rPr>
                <w:sz w:val="15"/>
                <w:szCs w:val="15"/>
                <w:color w:val="auto"/>
              </w:rPr>
            </w:pPr>
          </w:p>
        </w:tc>
      </w:tr>
      <w:tr>
        <w:trPr>
          <w:trHeight w:val="27"/>
        </w:trPr>
        <w:tc>
          <w:tcPr>
            <w:tcW w:w="26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260" w:type="dxa"/>
            <w:vAlign w:val="bottom"/>
          </w:tcPr>
          <w:p>
            <w:pPr>
              <w:spacing w:after="0"/>
              <w:rPr>
                <w:sz w:val="16"/>
                <w:szCs w:val="16"/>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flows used in operating activities</w:t>
            </w:r>
          </w:p>
        </w:tc>
        <w:tc>
          <w:tcPr>
            <w:tcW w:w="1120" w:type="dxa"/>
            <w:vAlign w:val="bottom"/>
            <w:tcBorders>
              <w:bottom w:val="single" w:sz="8" w:color="CCEEFF"/>
            </w:tcBorders>
            <w:shd w:val="clear" w:color="auto" w:fill="CCEEFF"/>
          </w:tcPr>
          <w:p>
            <w:pPr>
              <w:jc w:val="right"/>
              <w:ind w:right="97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(76.2)</w:t>
            </w:r>
          </w:p>
        </w:tc>
        <w:tc>
          <w:tcPr>
            <w:tcW w:w="124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(30.2)</w:t>
            </w:r>
          </w:p>
        </w:tc>
      </w:tr>
      <w:tr>
        <w:trPr>
          <w:trHeight w:val="178"/>
        </w:trPr>
        <w:tc>
          <w:tcPr>
            <w:tcW w:w="260" w:type="dxa"/>
            <w:vAlign w:val="bottom"/>
          </w:tcPr>
          <w:p>
            <w:pPr>
              <w:spacing w:after="0"/>
              <w:rPr>
                <w:sz w:val="15"/>
                <w:szCs w:val="15"/>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flows provided by (used in) investing activities</w:t>
            </w:r>
          </w:p>
        </w:tc>
        <w:tc>
          <w:tcPr>
            <w:tcW w:w="11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92.8</w:t>
            </w:r>
          </w:p>
        </w:tc>
        <w:tc>
          <w:tcPr>
            <w:tcW w:w="1240" w:type="dxa"/>
            <w:vAlign w:val="bottom"/>
          </w:tcPr>
          <w:p>
            <w:pPr>
              <w:spacing w:after="0"/>
              <w:rPr>
                <w:sz w:val="15"/>
                <w:szCs w:val="15"/>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(11.2)</w:t>
            </w:r>
          </w:p>
        </w:tc>
      </w:tr>
      <w:tr>
        <w:trPr>
          <w:trHeight w:val="27"/>
        </w:trPr>
        <w:tc>
          <w:tcPr>
            <w:tcW w:w="26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8"/>
        </w:trPr>
        <w:tc>
          <w:tcPr>
            <w:tcW w:w="260" w:type="dxa"/>
            <w:vAlign w:val="bottom"/>
          </w:tcPr>
          <w:p>
            <w:pPr>
              <w:spacing w:after="0"/>
              <w:rPr>
                <w:sz w:val="15"/>
                <w:szCs w:val="15"/>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flow provided by financing activities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1,198.4</w:t>
            </w:r>
          </w:p>
        </w:tc>
        <w:tc>
          <w:tcPr>
            <w:tcW w:w="1240" w:type="dxa"/>
            <w:vAlign w:val="bottom"/>
            <w:shd w:val="clear" w:color="auto" w:fill="CCEEFF"/>
          </w:tcPr>
          <w:p>
            <w:pPr>
              <w:spacing w:after="0"/>
              <w:rPr>
                <w:sz w:val="15"/>
                <w:szCs w:val="15"/>
                <w:color w:val="auto"/>
              </w:rPr>
            </w:pP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539.3</w:t>
            </w:r>
          </w:p>
        </w:tc>
      </w:tr>
      <w:tr>
        <w:trPr>
          <w:trHeight w:val="27"/>
        </w:trPr>
        <w:tc>
          <w:tcPr>
            <w:tcW w:w="260" w:type="dxa"/>
            <w:vAlign w:val="bottom"/>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Operating Activities</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Net cash used in operating activities of $76.2 million for the three months ended September 30, 2019 was primarily due to a net loss of $49.8 million and a decrease in net change in operating assets and liabilities of $61.8 million, partially offset by non-cash adjustments of $35.4 million. The decrease in net operating assets and liabilities was primarily due to a $69.1 million increase in inventory levels as we ramp up supply to support demand ahead of the holiday season; partially offset by a $17.5 million increase in accounts payable and accrued expenses related to increased expenditures to support general business growth as well as the timing of payments, and an $8.5 million increase in customer deposits and deferred revenue driven by increased sales and timing. Non-cash adjustments primarily consisted of stock-based compensation expense, right-of use-asset operating lease expense, and depreciation and amortization expense.</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Net cash used in operating activities of $30.2 million for the three months ended September 30, 2018 was primarily due to a net loss of $54.5 million and a decrease in net change in operating assets and liabilities of $16.7 million, partially offset by non-cash adjustments of $41.0 million. The decrease in net change in operating assets and liabilities was primarily due to a $25.8 million increase in inventory levels as a result of our introduction of Peloton Tread, as well as our expansion into the United Kingdom and Canada, and an $8.8 million increase in prepaid expenses and other current assets; partially offset by a $21.9 million increase in accounts payable and accrued expenses related to increased expenditures to support general business growth. Non-cash adjustments primarily consisted of stock-based compensation expense and depreciation and amortization expense.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Investing activities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463" w:right="219" w:bottom="1440" w:gutter="0" w:footer="0" w:header="0"/>
        </w:sectPr>
      </w:pPr>
    </w:p>
    <w:bookmarkStart w:id="29" w:name="page30"/>
    <w:bookmarkEnd w:id="29"/>
    <w:p>
      <w:pPr>
        <w:jc w:val="both"/>
        <w:spacing w:after="0" w:line="270" w:lineRule="auto"/>
        <w:rPr>
          <w:sz w:val="20"/>
          <w:szCs w:val="20"/>
          <w:color w:val="auto"/>
        </w:rPr>
      </w:pPr>
      <w:r>
        <w:rPr>
          <w:rFonts w:ascii="Times New Roman" w:cs="Times New Roman" w:eastAsia="Times New Roman" w:hAnsi="Times New Roman"/>
          <w:sz w:val="13"/>
          <w:szCs w:val="13"/>
          <w:color w:val="auto"/>
        </w:rPr>
        <w:t>Cash provided by investing activities for the three months ended September 30, 2019 of $92.8 million was primarily related to maturities of marketable securities of $115.3 million, partially offset by $22.5 million used for capital expenditures primarily related to the continued build out of our new Peloton Studios in New York and London, our New York City headquarters, and new showrooms.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used in investing activities for the three months ended September 30, 2018 of $11.2 million was for capital expenditures.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Financing activities</w:t>
      </w:r>
    </w:p>
    <w:p>
      <w:pPr>
        <w:spacing w:after="0" w:line="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Net cash provided by financing activities of $1.2 billion for three months ended September 30, 2019 was primarily related to proceeds from our IPO and concurrent private placement, net of the underwriting discount and before deducting offering costs of $6.3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cash provided by financing activities of $539.3 million for the three months ended September 30, 2018 was primarily related to proceeds from the issuance of convertible preferred stock, net of issuance costs.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Contractual Obligations</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There were no material changes in our contractual obligations and commitments during the three months ended September 30, 2019 from the contractual obligations and commitments disclosed in the Prospectus. See Note 9 of the notes to our condensed consolidated financial statements included in Part I, Item 1 of this Quarterly Report on Form 10-Q for additional information regarding contractual obligations and commitments.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did not have any off-balance sheet arrangements as of September 30, 2019.</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21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3"/>
          <w:szCs w:val="13"/>
          <w:color w:val="auto"/>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Note 2 of the notes to our condensed consolidated financial statements in the section titled “—Summary of Significant Accounting Policies” in Part I, Item 1 of this Quarterly Report on Form 10-Q and in the Prospectus.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Except as described in Note 2 of the notes to our condensed consolidated financial statements, there have been no material changes to our critical accounting policies and estimates as compared to the critical accounting policies and estimates disclosed in the Prospectus.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See Note 2 of the notes to our condensed consolidated financial statements in the section titled “—Recently Issued Accounting Pronouncements” in Part I, Item 1 of this Quarterly Report on Form 10-Q for a discussion about new accounting pronouncements adopted and not yet adopted as of the date of this report.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 About Market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Rate Risk</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had cash and cash equivalents and marketable securities of $1.4 billion as of September 30, 2019.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the three months ended September 30, 2019 would not have had a material impact on our condensed consolidated financial statements.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condensed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Risk</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 For example, we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30" w:name="page31"/>
    <w:bookmarkEnd w:id="30"/>
    <w:p>
      <w:pPr>
        <w:jc w:val="both"/>
        <w:spacing w:after="0" w:line="246" w:lineRule="auto"/>
        <w:rPr>
          <w:sz w:val="20"/>
          <w:szCs w:val="20"/>
          <w:color w:val="auto"/>
        </w:rPr>
      </w:pPr>
      <w:r>
        <w:rPr>
          <w:rFonts w:ascii="Times New Roman" w:cs="Times New Roman" w:eastAsia="Times New Roman" w:hAnsi="Times New Roman"/>
          <w:sz w:val="13"/>
          <w:szCs w:val="13"/>
          <w:color w:val="auto"/>
        </w:rPr>
        <w:t>recently purchased Tonic, a contract manufacturer, and our operating expenses incurred in manufacturing our products in Tonic's facilities in Taiwan are denominated in foreign currencies and not in U.S. dollars.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To date, we have not entered into derivatives or hedging transactions, as our exposure to foreign currency exchange rates has historically been partially hedged as our foreign currency denominated inflows have covered our foreign currency denominated expenses. However, we may enter into derivative or hedging transactions in the future if our exposure to foreign currency should become more significant.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Inflation Risk</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Evaluation of Disclosure Controls and Procedures</w:t>
      </w:r>
    </w:p>
    <w:p>
      <w:pPr>
        <w:spacing w:after="0" w:line="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September 30, 2019.</w:t>
      </w:r>
    </w:p>
    <w:p>
      <w:pPr>
        <w:spacing w:after="0" w:line="14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3"/>
          <w:szCs w:val="13"/>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company’s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not effective as of September 30, 2019 due to the material weaknesses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Previously Reported Material Weakness</w:t>
      </w:r>
    </w:p>
    <w:p>
      <w:pPr>
        <w:spacing w:after="0" w:line="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As disclosed in the section titled "Risk Factors" in Part II, Item 1A of this Quarterly Report on Form 10-Q, we previously identified material weaknesses in our internal control over financial reporting related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3"/>
          <w:szCs w:val="13"/>
          <w:color w:val="auto"/>
        </w:rPr>
        <w:t>Accordingly, we have determined that these control deficiencies constituted material weaknesses in our internal control over financial reporting. 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 These deficiencies could result in additional misstatements to our consolidated financial statements that would be material and would not be prevented or detected on a timely basis.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Remediation Plans</w:t>
      </w:r>
    </w:p>
    <w:p>
      <w:pPr>
        <w:spacing w:after="0" w:line="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3"/>
          <w:szCs w:val="13"/>
          <w:color w:val="auto"/>
        </w:rPr>
        <w:t xml:space="preserve">We have commenced measures to remediate the identified material weaknesses. </w:t>
      </w:r>
      <w:r>
        <w:rPr>
          <w:rFonts w:ascii="Times New Roman" w:cs="Times New Roman" w:eastAsia="Times New Roman" w:hAnsi="Times New Roman"/>
          <w:sz w:val="13"/>
          <w:szCs w:val="13"/>
          <w:color w:val="050505"/>
        </w:rPr>
        <w:t>These measures include adding personnel as well as implementing new financial systems and processes. We intend to continue to take steps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50505"/>
        </w:rPr>
        <w:t>to remediate the material weaknesses described above and further evolving our accounting processes. We will not be able to fully remediate these material weaknesses until these steps have been completed and have been operating effectively for a sufficient period of time.</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While we believe that these efforts will improve our internal control over financial reporting, the implementation of our remediation is ongoing and will require validation and testing of the design and operating effectiveness of internal controls over a sustained period of financial reporting cycles.</w:t>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3"/>
          <w:szCs w:val="13"/>
          <w:color w:val="auto"/>
        </w:rPr>
        <w:t>We believe we are making progress toward achieving the effectiveness of our internal controls and disclosure controls.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Internal Control over Financial Reporting</w:t>
      </w:r>
    </w:p>
    <w:p>
      <w:pPr>
        <w:spacing w:after="0" w:line="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We are taking actions to remediate the material weaknesses relating to our internal control over financial reporting, as described above. Except as otherwise described herein, there was no change in our internal control over financial reporting that occurred during the period covered by this Quarterly Report on Form 10-Q that has materially affected, or is reasonably likely to materially affect, our internal control over financial reporting.</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i w:val="1"/>
          <w:iCs w:val="1"/>
          <w:color w:val="auto"/>
        </w:rPr>
        <w:t>Limitations on the Effectiveness of Disclosure Controls and Procedures</w:t>
      </w:r>
    </w:p>
    <w:p>
      <w:pPr>
        <w:spacing w:after="0" w:line="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a discussion of legal proceedings, see Note 9 of the notes to our condensed consolidated financial statements in the section titled “—Legal Proceedings” in Part I, Item 1 of this Quarterly Report on Form 10-Q.</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Further, we are and, from time to time, we may become, involved in legal proceedings or be subject to claims arising in the ordinary course of our business. We are not presently a party to any other legal proceedings that in the opinion of our management, if determined adversely to us, would individually or taken together have a material adverse effect on our business, operating results, financial condition, or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2"/>
          <w:szCs w:val="12"/>
          <w:i w:val="1"/>
          <w:iCs w:val="1"/>
          <w:color w:val="auto"/>
        </w:rPr>
        <w:t>Investing in our Class A common stock involves a high degree of risk. You should carefully consider the risks and uncertainties described below, together with all of the other information in this Quarterly Report on Form 10-Q and the Prospectus, including the section titled “Management’s Discussion and Analysis of Financial Condition and Results of Operations” and our condensed consolidated financial statements and the accompanying notes and the information contained in our other public filings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incurred operating losses in the past, expect to incur operating losses in the future, and may not achieve or maintain profitability in the future.</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have incurred operating losses each year since our inception in 2012, including net losses of $(71.1) million, $(47.9) million, and $(195.6) million for fiscal 2017, 2018, and 2019, respectively, and had a net loss of $(49.8) million in the three months ended September 30, 2019 and expect to continue to incur net losses for the foreseeable future. We expect our operating expenses to increase in the future as we increase our sales and marketing efforts, continue to invest in research and development, expand our operating and retail infrastructure, add content and software features to our platform, expand into new geographies, develop new Connected Fitness Products and in connection with legal, accounting, and other expenses related to operating as a public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or if we cannot capitalize on growth opportunities. If our revenue does not grow at a greater rate than our operating expenses, we will not be able to achieve and maintain profitability.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unable to attract and retain Subscribers, which could have an adverse effect on our business and rate of growth.</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168" w:lineRule="exact"/>
        <w:rPr>
          <w:sz w:val="20"/>
          <w:szCs w:val="20"/>
          <w:color w:val="auto"/>
        </w:rPr>
      </w:pPr>
    </w:p>
    <w:p>
      <w:pPr>
        <w:ind w:left="520" w:hanging="255"/>
        <w:spacing w:after="0" w:line="270" w:lineRule="auto"/>
        <w:tabs>
          <w:tab w:leader="none" w:pos="511"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failure to introduce new features, products, or services that Members find engaging or our introduction of new products or services, or changes to existing products and services that are not favorably received;</w:t>
      </w:r>
    </w:p>
    <w:p>
      <w:pPr>
        <w:spacing w:after="0" w:line="8"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harm to our brand and reputation;</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pricing and perceived value of our offerings;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inability to deliver quality products, content, and services;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Members engaging with competitive products and services;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technical or other problems preventing Members from accessing our content and services in a rapid and reliable manner or otherwise affecting the Member experience;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32" w:name="page33"/>
    <w:bookmarkEnd w:id="32"/>
    <w:p>
      <w:pPr>
        <w:ind w:left="520" w:hanging="255"/>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unsatisfactory experiences with the delivery, installation, or service of our Connected Fitness Products;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decline in the public’s interest in indoor cycling or running, or other fitness disciplines that we invest most heavily in; and</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deteriorating general economic conditions or a change in consumer spending preferences or buying trends.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Additionally, further expansion into international markets such as Canada, the United Kingdom, and Germany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3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w:t>
      </w:r>
    </w:p>
    <w:p>
      <w:pPr>
        <w:spacing w:after="0" w:line="1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Moreover, we must successfully manage introductions of new or enhanced products and services, which could adversely impact the sales of our existing products and services. For instance, consumers may choose to forgo purchasing existing products or services in advance of new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gross margins and operating results.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operate in a highly competitive market and we may be unable to compete successfully against existing and future competitors.</w:t>
      </w:r>
    </w:p>
    <w:p>
      <w:pPr>
        <w:spacing w:after="0" w:line="19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2"/>
          <w:szCs w:val="12"/>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33" w:name="page34"/>
    <w:bookmarkEnd w:id="33"/>
    <w:p>
      <w:pPr>
        <w:jc w:val="both"/>
        <w:spacing w:after="0" w:line="247" w:lineRule="auto"/>
        <w:rPr>
          <w:sz w:val="20"/>
          <w:szCs w:val="20"/>
          <w:color w:val="auto"/>
        </w:rPr>
      </w:pPr>
      <w:r>
        <w:rPr>
          <w:rFonts w:ascii="Times New Roman" w:cs="Times New Roman" w:eastAsia="Times New Roman" w:hAnsi="Times New Roman"/>
          <w:sz w:val="13"/>
          <w:szCs w:val="13"/>
          <w:color w:val="auto"/>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derive a significant majority of our revenue from sales of our Bike. A decline in sales of our Bike would negatively affect our future revenue and operating results.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Our Connected Fitness Products are sold in highly competitive markets with limited barriers to entry. Introduction by competitors of comparable products at lower price points, a maturing product lifecycle, a decline in consumer spending, or other factors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manufacture certain components of our Connected Fitness Products in-house, and we also rely on a limited number of contract manufacturers and suppliers to manufacture and transport our Connected Fitness Products. If our internal manufacturing abilities are compromised in any way, we would be reliant on a limited number of contract manufacturers for all of our manufacturing needs. Our reliance on a limited number of contract manufacturers for each of our Connected Fitness Products increases our risks, since we do not currently have alternative or replacement contract manufacturers beyond these key parties. In the event of interruption from any of our contract manufacturers, our own manufacturing capabilities, or suppliers, we may not be able to increase capacity from other sources or develop alternate or secondary sources without incurring material additional costs and substantial delays. Furthermore, both our own and our contract manufacturers’ primary facilities are located in Taiwan. Thus, our business could be adversely affected if one or more of our suppliers is impacted by a natural disaster or other interruption at a particular location.</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If we experience a significant increase in demand for our Connected Fitness Products, or if we need to replace an existing supplier or partner, we may be unable to supplement or replace them on terms that are acceptable to us, which may undermine our ability to deliver our products to Members in a timely manner. For example, if we require additional manufacturing support,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contract manufacturers, or logistics partners could have an adverse effect on our business, financial condition and operating results.</w:t>
      </w:r>
    </w:p>
    <w:p>
      <w:pPr>
        <w:spacing w:after="0" w:line="3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limited control over our suppliers, contract manufacturers, and logistics partners, which subjects us to risks, such as the following:</w:t>
      </w:r>
    </w:p>
    <w:p>
      <w:pPr>
        <w:spacing w:after="0" w:line="195" w:lineRule="exact"/>
        <w:rPr>
          <w:sz w:val="20"/>
          <w:szCs w:val="20"/>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to satisfy demand for our Connected Fitness Products;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control over delivery timing and product reliability;</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ability to monitor the manufacturing process and components used in our Connected Fitness Products;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limited ability to develop comprehensive manufacturing specifications that take into account any materials shortages or substitutions;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variance in the manufacturing capability of our third-party manufacturers;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increases;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a significant supplier, manufacturer, or logistics partner to perform its obligations to us for technical, market, or other reasons;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variance in the quality of last mile services provided by our third-party logistics partners;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establishing additional supplier, manufacturer, or logistics partner relationships if we experience difficulties with our existing suppliers, manufacturers, or logistics partners;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shortages of materials or components;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misappropriation of our intellectual property;</w:t>
      </w:r>
    </w:p>
    <w:p>
      <w:pPr>
        <w:spacing w:after="0" w:line="44" w:lineRule="exact"/>
        <w:rPr>
          <w:rFonts w:ascii="Times New Roman" w:cs="Times New Roman" w:eastAsia="Times New Roman" w:hAnsi="Times New Roman"/>
          <w:sz w:val="13"/>
          <w:szCs w:val="13"/>
          <w:color w:val="auto"/>
        </w:rPr>
      </w:pPr>
    </w:p>
    <w:p>
      <w:pPr>
        <w:ind w:left="520" w:hanging="255"/>
        <w:spacing w:after="0" w:line="270"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8"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local economic conditions in the jurisdictions where our suppliers, manufacturers, and logistics partners are located;</w:t>
      </w:r>
    </w:p>
    <w:p>
      <w:pPr>
        <w:spacing w:after="0" w:line="44" w:lineRule="exact"/>
        <w:rPr>
          <w:rFonts w:ascii="Times New Roman" w:cs="Times New Roman" w:eastAsia="Times New Roman" w:hAnsi="Times New Roman"/>
          <w:sz w:val="13"/>
          <w:szCs w:val="13"/>
          <w:color w:val="auto"/>
        </w:rPr>
      </w:pPr>
    </w:p>
    <w:p>
      <w:pPr>
        <w:ind w:left="520" w:hanging="255"/>
        <w:spacing w:after="0" w:line="270"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34" w:name="page35"/>
    <w:bookmarkEnd w:id="34"/>
    <w:p>
      <w:pPr>
        <w:ind w:left="520" w:hanging="255"/>
        <w:spacing w:after="0"/>
        <w:tabs>
          <w:tab w:leader="none" w:pos="5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insufficient warranties and indemnities on components supplied to our manufacturers or performance by our partners.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also rely on our logistics partners, including last mile warehouse and delivery partners, to complete a substantial percentage of our deliveries to customers, with the rest of the deliveries handled by our own last mile team.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occurrence of any of these risks, especially during seasons of peak demand, could cause us to experience a significant disruption in our ability to produce and deliver our products to our customers.</w:t>
      </w:r>
    </w:p>
    <w:p>
      <w:pPr>
        <w:spacing w:after="0" w:line="1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 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 those licenses, and (c) 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These challenges, and others concerning the licensing of music on our platform, may subject us to significant liability for copyright infringement, breach of contract, or other claims. For additional information, see Note 9 of the notes to our condensed consolidated financial statements in the section titled “—Legal Proceedings” in Part I, Item 1 of this Quarterly Report on Form 10-Q.</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success depends on our ability to maintain the value and reputation of the Peloton brand.</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Such negative publicity also could have an adverse effect on the size, engagement and loyalty of our Member base and result in decreased revenue, which could have an adverse effect on our business, financial condition, and operating results.</w:t>
      </w:r>
    </w:p>
    <w:p>
      <w:pPr>
        <w:spacing w:after="0" w:line="17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have expanded our operations rapidly and have limited operating experience at our current size. For example, between June 30, 2017 and September 30, 2019, our employee headcount increased from 443 to 2,373, and we expect headcount growth 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35" w:name="page36"/>
    <w:bookmarkEnd w:id="35"/>
    <w:p>
      <w:pPr>
        <w:jc w:val="both"/>
        <w:spacing w:after="0" w:line="247" w:lineRule="auto"/>
        <w:rPr>
          <w:sz w:val="20"/>
          <w:szCs w:val="20"/>
          <w:color w:val="auto"/>
        </w:rPr>
      </w:pPr>
      <w:r>
        <w:rPr>
          <w:rFonts w:ascii="Times New Roman" w:cs="Times New Roman" w:eastAsia="Times New Roman" w:hAnsi="Times New Roman"/>
          <w:sz w:val="13"/>
          <w:szCs w:val="13"/>
          <w:color w:val="auto"/>
        </w:rPr>
        <w:t>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deliver and service our Connected Fitness Products, exposes us to risk and disruption at many points that are critical to successfully operating our business and may make it more difficult for us to scale our business.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1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If the information provided to us or obtained by such third parties does not comprehensively or accurately identify the ownership of musical compositions, or if we are unable to determine which musical compositions correspond to specific sound recordings,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Given the high level of content concentration in the music industry, the market power of a few licensors, and the lack of transparent ownership information for compositions, we may be unable to license a large amount of music or the music of certain popular artists, and our business, financial condition, and operating results could be materially harmed.</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license agreements are complex and impose numerous obligations on us, including obligations to, among other things:</w:t>
      </w:r>
    </w:p>
    <w:p>
      <w:pPr>
        <w:spacing w:after="0" w:line="195" w:lineRule="exact"/>
        <w:rPr>
          <w:sz w:val="20"/>
          <w:szCs w:val="20"/>
          <w:color w:val="auto"/>
        </w:rPr>
      </w:pPr>
    </w:p>
    <w:p>
      <w:pPr>
        <w:ind w:left="520" w:hanging="255"/>
        <w:spacing w:after="0"/>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 and make payments based on complex royalty structures, which requires tracking usage of content in our service that may have inaccurate or incomplete metadata necessary for such calculation;</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periodic reports on the exploitation of the content in specified formats;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 that we will obtain all necessary publishing licenses and consents and pay all associated fees, royalties, and other amounts due for the licensing of musical compositions;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 with certain marketing and advertising restrictions;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the licensor the right to audit our compliance with the terms of such agreements; and</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 with certain security and technical specifications.</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color w:val="auto"/>
        </w:rPr>
        <w:t>that our estimates underperform relative to our expectations, and our content costs do not exceed such minimum guarantees and advance payments, our margins may be adversely affected.</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could be adversely affected from an accident, safety incident, or workforce disruption.</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3"/>
          <w:szCs w:val="13"/>
          <w:color w:val="auto"/>
        </w:rPr>
        <w:t>Our internal manufacturing processes and related activities, as well as our in-house warehousing and last-mile logistics activities, could expose us to significant personal injury claims that could subject us to substantial liability. While we maintain liability insurance in amounts and of the type generally consistent with industry practice, the amount of such coverage may not be adequate to cover fully all claims, and we may be forced to bear substantial losses from an accident or safety incident resulting from our manufacturing, warehousing, or last-mile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such as the employees in our manufacturing facility, could also mount a corporate campaign, resulting in negative publicity or other actions that require attention by our management team and our employees. Negative publicity, work stoppages, or strikes by unions could have an adverse effect on our business, prospects, financial condition, and operating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is affected by seasonality.</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For example, we generated approximately 64%, 63%, and 63% of our full fiscal year total revenue during the second and third quarters of fiscal 2017, 2018, and 2019, respectively. Accordingly, adverse events that occur during these months could have a disproportionate effect on our operating results for the entire fiscal year. Moreover, as a result of higher sales during the period from November through February, our working capital needs are greater during the second and third quarters of the fiscal year. As a result of quarterly fluctuations caused by these and other factors, comparisons of our operating results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products and services may be affected from time to time by design and manufacturing defects that could adversely affect our business and result in harm to our reputation.</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such defects could make our products and services unsafe, create a risk of environmental or property damage and personal injury, and subject us to the hazards and uncertainties of product liability claims and related litigation. In addition, from time to time we may experience outages, service slowdowns, or errors that affect our fitness and wellness programming. As a result, our services may not perform as anticipated and may not meet customer expectations. There can be no assurance that we will be able to detect and fix all issues and defects in the hardware, software, and services we offer. Failure to do so could result in widespread technical and performance issues affecting our products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37" w:name="page38"/>
    <w:bookmarkEnd w:id="37"/>
    <w:p>
      <w:pPr>
        <w:jc w:val="both"/>
        <w:spacing w:after="0" w:line="251" w:lineRule="auto"/>
        <w:rPr>
          <w:sz w:val="20"/>
          <w:szCs w:val="20"/>
          <w:color w:val="auto"/>
        </w:rPr>
      </w:pPr>
      <w:r>
        <w:rPr>
          <w:rFonts w:ascii="Times New Roman" w:cs="Times New Roman" w:eastAsia="Times New Roman" w:hAnsi="Times New Roman"/>
          <w:sz w:val="13"/>
          <w:szCs w:val="13"/>
          <w:color w:val="auto"/>
        </w:rPr>
        <w:t>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fail to offer high-quality Member support, our business and reputation will suffer.</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quarterly operating results and other operating metrics may fluctuate from quarter to quarter, which makes these metrics difficult to predict.</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68" w:lineRule="exact"/>
        <w:rPr>
          <w:sz w:val="20"/>
          <w:szCs w:val="20"/>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continued market acceptance of, and the growth of the connected fitness and wellness market;</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and attract new Subscribers;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development and improvement of the quality of the Peloton experience, including, enhancing existing and creating new Connected Fitness Products, services, technology, features, and content;</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continued development and upgrading of our proprietary technology platform;</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success of new product, service, feature, and content introductions by us or our competitors or any other change in the competitive landscape of our market;</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pricing pressure as a result of competition or otherwise;</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or disruptions in our supply chain;</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errors in our forecasting of the demand for our products and services, which could lead to lower revenue or increased costs, or both;</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marketing, sales, and other operating expenses that we may incur to grow and expand our operations and to remain competitive;</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maintain and open new showrooms;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continued maintenance and expansion of last mile delivery and maintenance services for our Connected Fitness Products;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 expansion into international markets, including Canada, the United Kingdom, and Germany;</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seasonal fluctuations in subscriptions and usage of Connected Fitness Products by our Members, each of which may change as our products and services evolve or as our business grows;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diversification and growth of our revenue sources;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gross margins and operating margins;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constraints on the availability of consumer financing or increased down payment requirements to finance purchases of our Connected Fitness Products;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system failures or breaches of security or privacy;</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litigation judgments, settlements, or other litigation-related costs, including content costs for past use;</w:t>
      </w:r>
    </w:p>
    <w:p>
      <w:pPr>
        <w:spacing w:after="0" w:line="44" w:lineRule="exact"/>
        <w:rPr>
          <w:rFonts w:ascii="Times New Roman" w:cs="Times New Roman" w:eastAsia="Times New Roman" w:hAnsi="Times New Roman"/>
          <w:sz w:val="13"/>
          <w:szCs w:val="13"/>
          <w:color w:val="auto"/>
        </w:rPr>
      </w:pPr>
    </w:p>
    <w:p>
      <w:pPr>
        <w:ind w:left="520" w:hanging="255"/>
        <w:spacing w:after="0" w:line="270" w:lineRule="auto"/>
        <w:tabs>
          <w:tab w:leader="none" w:pos="51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legislative or regulatory environment, including with respect to privacy, consumer product safety, and advertising, or enforcement by government regulators, including fines, orders, or consent decrees;</w:t>
      </w:r>
    </w:p>
    <w:p>
      <w:pPr>
        <w:spacing w:after="0" w:line="8"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currency exchange rates and changes in the proportion of our revenue and expenses denominated in foreign currencies;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our effective tax rate;</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accounting standards, policies, guidance, interpretations, or principles; and</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business or macroeconomic conditions, including lower consumer confidence, recessionary conditions, increased unemployment rates, or stagnant or declining wages.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one of the factors above or the cumulative effect of some of the factors above may result in significant fluctuations in our operating results.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38" w:name="page39"/>
    <w:bookmarkEnd w:id="38"/>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All of the fitness and wellness content offered on our platform is produced in one of our four production studios, three of which are located in New York City. Due to our reliance on a limited number of studios in a concentrated location, any incident involving our studios, or affecting New York City at-large, could render our studios inaccessible or unusable and could inhibit our ability to produce and deliver new fitness and wellness content for our Members.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plan to expand into international markets, which will expose us to significant risks.</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159" w:lineRule="exact"/>
        <w:rPr>
          <w:sz w:val="20"/>
          <w:szCs w:val="20"/>
          <w:color w:val="auto"/>
        </w:rPr>
      </w:pPr>
    </w:p>
    <w:p>
      <w:pPr>
        <w:ind w:left="520" w:hanging="255"/>
        <w:spacing w:after="0" w:line="270" w:lineRule="auto"/>
        <w:tabs>
          <w:tab w:leader="none" w:pos="51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8"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need to vary pricing and margins to effectively compete in international markets;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need to adapt and localize products for specific countries, including obtaining rights to third-party intellectual property, including music, used in each country;</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competition from local providers of similar products and services;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protect and enforce intellectual property rights abroad;</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need to offer content and customer support in various languages;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understanding and complying with local laws, regulations, and customs in other jurisdictions;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anti-bribery laws, such as the U.S. Foreign Corrupt Practices Act, or FCPA, and the U.K. Bribery Act 2010, or U.K. Bribery Act, by us, our employees, and our business partners;</w:t>
      </w:r>
    </w:p>
    <w:p>
      <w:pPr>
        <w:spacing w:after="0" w:line="44" w:lineRule="exact"/>
        <w:rPr>
          <w:rFonts w:ascii="Times New Roman" w:cs="Times New Roman" w:eastAsia="Times New Roman" w:hAnsi="Times New Roman"/>
          <w:sz w:val="13"/>
          <w:szCs w:val="13"/>
          <w:color w:val="auto"/>
        </w:rPr>
      </w:pPr>
    </w:p>
    <w:p>
      <w:pPr>
        <w:ind w:left="520" w:hanging="255"/>
        <w:spacing w:after="0" w:line="270" w:lineRule="auto"/>
        <w:tabs>
          <w:tab w:leader="none" w:pos="51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8"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varying levels of internet technology adoption and infrastructure, and increased or varying network and hosting service provider costs;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tariffs and other non-tariff barriers, such as quotas and local content rules, as well as tax consequences;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currency exchange rates and the requirements of currency control regulations, which might restrict or prohibit conversion of other currencies into U.S. dollars; and</w:t>
      </w:r>
    </w:p>
    <w:p>
      <w:pPr>
        <w:spacing w:after="0" w:line="44" w:lineRule="exact"/>
        <w:rPr>
          <w:rFonts w:ascii="Times New Roman" w:cs="Times New Roman" w:eastAsia="Times New Roman" w:hAnsi="Times New Roman"/>
          <w:sz w:val="13"/>
          <w:szCs w:val="13"/>
          <w:color w:val="auto"/>
        </w:rPr>
      </w:pPr>
    </w:p>
    <w:p>
      <w:pPr>
        <w:ind w:left="520" w:hanging="255"/>
        <w:spacing w:after="0" w:line="270" w:lineRule="auto"/>
        <w:tabs>
          <w:tab w:leader="none" w:pos="51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political or social unrest or economic instability in a specific country or region in which we operate, including, for example, the effects of “Brexit,” which could have an adverse impact on our operations in that location.</w:t>
      </w:r>
    </w:p>
    <w:p>
      <w:pPr>
        <w:spacing w:after="0" w:line="19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In addition to expanding our operations into international markets through the sale of our Connected Fitness Products and the production of our platform content, we have, and may in the future, expand our international operations through acquisitions of, or investments in, foreign entities, which may result in additional operational costs and risks. For example, as a result of our recent acquisition of Tonic, one of our manufacturing partners and a Taiwanese entity, we own and are responsible for managing a manufacturing plant in Taiwan. This acquisition requires us to, among other things, fulfill Tonic’s obligations under existing service contracts that are unrelated to our current business, address the difficulties of managing a new workforce in a foreign country with different labor laws, customs, and language barriers, and successfully maintain relationships with Tonic’s current suppliers and contract partners.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We may in the future experience component shortages, and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4" w:right="219" w:bottom="1440" w:gutter="0" w:footer="0" w:header="0"/>
        </w:sectPr>
      </w:pPr>
    </w:p>
    <w:bookmarkStart w:id="39" w:name="page40"/>
    <w:bookmarkEnd w:id="39"/>
    <w:p>
      <w:pPr>
        <w:jc w:val="both"/>
        <w:spacing w:after="0" w:line="251" w:lineRule="auto"/>
        <w:rPr>
          <w:sz w:val="20"/>
          <w:szCs w:val="20"/>
          <w:color w:val="auto"/>
        </w:rPr>
      </w:pPr>
      <w:r>
        <w:rPr>
          <w:rFonts w:ascii="Times New Roman" w:cs="Times New Roman" w:eastAsia="Times New Roman" w:hAnsi="Times New Roman"/>
          <w:sz w:val="13"/>
          <w:szCs w:val="13"/>
          <w:color w:val="auto"/>
        </w:rPr>
        <w:t>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Moreover, volatile economic conditions may make it more likely that our suppliers may be unable to timely deliver supplies, or at all, and there is no guarantee that we will be able to timely locate alternative suppliers of comparable quality at an acceptable price. Further, since the beginning of 2018,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Online sales of our Connected Fitness Products through www.onepeloton.com represented over 50% of our units sold in the U.S. for fiscal 2019.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operating results could be adversely affected if we are unable to accurately forecast consumer demand for our products and services and adequately manage our inventory.</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This risk may be exacerbated by the fact that we may not carry a significant amount of inventory and may not be able to satisfy short-term demand increases. If we fail to accurately forecast consumer demand, we may experience excess inventory levels or a shortage of products available for sale.</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sustain pricing levels for our Connected Fitness Products and subscriptions, our business could be adversely affected.</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If we are unable to sustain pricing levels for our Bike, Tread, and subscription services, whether due to competitive pressure or otherwise, our gross margins could be significantly reduced. Further, our decisions around the development of new products and services are grounded in assumptions about eventual pricing levels. If there is price compression in the market after these decisions are made, it could have a negative effect on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revenue could decline due to changes in credit markets and decisions made by credit providers.</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future success depends on the continuing efforts of our key employees and our ability to attract and retain highly skilled personnel and senior management.</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cannot maintain our “One Peloton” culture as we grow, we could lose the innovation, teamwork, and passion that we believe contribute to our success and our business may be harmed.</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Any failure to preserve our culture could negatively affect our future success, including our ability to retain and recruit personnel and to effectively focus on and pursue our corporate objectives.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a limited operating history with which to evaluate and predict the profitability of our subscription model. Additionally, we may introduce new revenue models in the future.</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majority of our Subscribers are on month-to-month subscription terms and may cancel their subscriptions at any time. We have limited historical data with respect to rates of Subscriber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3" w:right="219" w:bottom="1440" w:gutter="0" w:footer="0" w:header="0"/>
        </w:sectPr>
      </w:pPr>
    </w:p>
    <w:bookmarkStart w:id="41" w:name="page42"/>
    <w:bookmarkEnd w:id="41"/>
    <w:p>
      <w:pPr>
        <w:jc w:val="both"/>
        <w:spacing w:after="0" w:line="270" w:lineRule="auto"/>
        <w:rPr>
          <w:sz w:val="20"/>
          <w:szCs w:val="20"/>
          <w:color w:val="auto"/>
        </w:rPr>
      </w:pPr>
      <w:r>
        <w:rPr>
          <w:rFonts w:ascii="Times New Roman" w:cs="Times New Roman" w:eastAsia="Times New Roman" w:hAnsi="Times New Roman"/>
          <w:sz w:val="13"/>
          <w:szCs w:val="13"/>
          <w:color w:val="auto"/>
        </w:rPr>
        <w:t>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intellectual property rights are valuable, and any inability to protect them could reduce the value of our products, services, and brand.</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order to protect our brand and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been, and in the future may be, sued by third parties for alleged infringement of their proprietary rights.</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fraud, or security attacks. The level of service provided by these providers, or regular or prolonged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42" w:name="page43"/>
    <w:bookmarkEnd w:id="42"/>
    <w:p>
      <w:pPr>
        <w:jc w:val="both"/>
        <w:spacing w:after="0" w:line="270" w:lineRule="auto"/>
        <w:rPr>
          <w:sz w:val="20"/>
          <w:szCs w:val="20"/>
          <w:color w:val="auto"/>
        </w:rPr>
      </w:pPr>
      <w:r>
        <w:rPr>
          <w:rFonts w:ascii="Times New Roman" w:cs="Times New Roman" w:eastAsia="Times New Roman" w:hAnsi="Times New Roman"/>
          <w:sz w:val="13"/>
          <w:szCs w:val="13"/>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face risks, such as unforeseen costs and potential liability in connection with content we produce, license, and distribute through our platform.</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Member engagement on mobile devices depends upon effective operation with mobile operating systems, networks, and standards that we do not control.</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A significant and growing portion of our Members access our platform through Peloton Digital and there is no guarantee that popular mobile devices will continue to support Peloton Digital or that mobile device users will use Peloton Digital rather than competing products. We are dependent on the interoperability of Peloton Digital with popular mobile operating systems that we do not control, such as Android and iOS, and any changes in such systems that degrade the functionality of our digital offering or give preferential treatment to competitors could adversely affect our platform’s usage on mobile devices. Additionally, in order to deliver high-quality mobile content, it is important that our digital offering is designed effectively and works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 In the event that it is more difficult for our Members to access and use our platform on their mobile devices or Members find our mobile offerings do not effectively meet their needs, our competitors develop products and services that are perceived to operate more effectively on mobile devices, or if our Members choose not to access or use our platform on their mobile devices or use mobile products that do not offer access to our platform, our Member growth and Member engagement could be adversely impacted.</w:t>
      </w:r>
    </w:p>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3"/>
          <w:szCs w:val="13"/>
          <w:color w:val="auto"/>
        </w:rPr>
        <w:t>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Cybersecurity risks could adversely affect our business and disrupt our operations.</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may be subject to warranty claims that could result in significant direct or indirect costs, or we could experience greater returns than expected, either of which could have an adverse effect on our business, financial condition, and operating results.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generally provide a minimum 12-month limited warranty on all of our Connected Fitness Products. The occurrence of any material defects in our Connected Fitness Products could make us liable for damages and warranty claims in excess of our current reserves, which could result in an adverse effect on our business prospects, liquidity, financial condition, and cash flows if warranty claims were to materially exceed anticipated levels. In addition, we could incur significant costs to correct any defects, warranty claims, or other problems, including costs related to product recalls.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or our Subscribers may be subject to sales and other taxes, and we may be subject to liabilities on past sales for taxes, surcharges, and fees.</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color w:val="auto"/>
        </w:rPr>
        <w:t>We continue to analyze our exposure for taxes and liabilities and have accrued $5.7 million and $4.1 million for fiscal 2018 and 2019, respectively, for loss contingencies resulting from potential taxes and liabilities.</w:t>
      </w:r>
    </w:p>
    <w:p>
      <w:pPr>
        <w:spacing w:after="0" w:line="1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4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3"/>
          <w:szCs w:val="13"/>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and particularly the intellectual property infringement matters that we are currently facing or could face,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make content unavailable, or require us to stop offering certain features, all of which could negatively affect our membership and revenue growth. See Note 9 of the notes to our condensed consolidated financial statements in the section titled “—Legal Proceedings” in Part I, Item 1 of this Quarterly Report on Form 10-Q.</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how we market our products and services could adversely affect our marketing expenses and subscription levels.</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or if we fail to promote our products and services efficiently and effectively, our ability to acquire new Members and our financial condition may suffer.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 economic downturn or economic uncertainty may adversely affect consumer discretionary spending and demand for our products and services.</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entered into the Amended Credit Agreement with JPMorgan Chase Bank, N.A., Bank of America, N.A., Barclays Bank PLC, Goldman Sachs Lending Partners LLC, and Silicon Valley Bank in June 2019, which amended and restated the loan and security agreement that we previously entered into in November 2017, providing for a $250.0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the section titled "Management's Discussion and Analysis of Financial Condition and Results of Operations—Liquidity and Capital Resources—Amended and Restated Credit Agreement” in Part I, Item 2 of this Quarterly Report on Form 10-Q for additional information.</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engage in merger and acquisition activities, which could require significant management attention, disrupt our business, dilute stockholder value, and adversely affect our operating results.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45" w:name="page46"/>
    <w:bookmarkEnd w:id="45"/>
    <w:p>
      <w:pPr>
        <w:jc w:val="both"/>
        <w:spacing w:after="0" w:line="246" w:lineRule="auto"/>
        <w:rPr>
          <w:sz w:val="20"/>
          <w:szCs w:val="20"/>
          <w:color w:val="auto"/>
        </w:rPr>
      </w:pPr>
      <w:r>
        <w:rPr>
          <w:rFonts w:ascii="Times New Roman" w:cs="Times New Roman" w:eastAsia="Times New Roman" w:hAnsi="Times New Roman"/>
          <w:sz w:val="13"/>
          <w:szCs w:val="13"/>
          <w:color w:val="auto"/>
        </w:rPr>
        <w:t>As part of our business strategy, we have made or may in the future make investments in other companies, products, or technologies. For example, in June 2018, we acquired Neurotic Media, to develop a proprietary music platform that our instructors use to curate class playlists, and in October 2019, we acquired Tonic, one of our manufacturing partners. 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Moreover,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expect that our existing cash and cash equivalents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payment processing risk</w:t>
      </w:r>
      <w:r>
        <w:rPr>
          <w:rFonts w:ascii="Times New Roman" w:cs="Times New Roman" w:eastAsia="Times New Roman" w:hAnsi="Times New Roman"/>
          <w:sz w:val="13"/>
          <w:szCs w:val="13"/>
          <w:color w:val="auto"/>
        </w:rPr>
        <w:t>.</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ability to use our net operating loss to offset future taxable income may be subject to certain limitations.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As of June 30, 2019, we had U.S. federal net operating loss carryforwards, or NOLs, and state NOLs of approximately $112.6 million and $95.8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In general, under Section 382 of the Internal Revenue Code of 1986, as amended, or the Code, a corporation that undergoes an “ownership change” is subject to limitations on its ability to utilize its NOLs to offset future taxable income. We have undergone two ownership changes on November 30, 2015 and April 18, 2017 and our NOLs arising before those dates are subject to one or more Section 382 limitations which may materially limit the use of such NOLs to offset our future taxable income. In addition, our IPO, as well as future changes in our stock ownership, the causes of which may be outside of our control, could result in an additional ownership change under Section 382 of the Code. Our NOLs may also be impaired under state laws. In addition, under the 2017 Tax Cuts and Jobs Act tax losses generated in taxable years beginning after December 31, 2017 may be utilized to offset no more than 80% of taxable income annually. This change 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face exposure to foreign currency exchange rate fluctuations.</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While we have historically transacted in U.S. dollars with the majority of our Subscribers and suppliers, we have transacted in some foreign currencies, such as the Canadian Dollar and U.K Pound Sterling, and may transact in more foreign currencies in the future. Further, certain of our</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46" w:name="page47"/>
    <w:bookmarkEnd w:id="46"/>
    <w:p>
      <w:pPr>
        <w:jc w:val="both"/>
        <w:spacing w:after="0" w:line="246" w:lineRule="auto"/>
        <w:rPr>
          <w:sz w:val="20"/>
          <w:szCs w:val="20"/>
          <w:color w:val="auto"/>
        </w:rPr>
      </w:pPr>
      <w:r>
        <w:rPr>
          <w:rFonts w:ascii="Times New Roman" w:cs="Times New Roman" w:eastAsia="Times New Roman" w:hAnsi="Times New Roman"/>
          <w:sz w:val="13"/>
          <w:szCs w:val="13"/>
          <w:color w:val="auto"/>
        </w:rPr>
        <w:t>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governmental export and import controls and economic sanctions laws that could subject us to liability and impair our ability to compete in international markets.</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6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due to changes in such laws and rules, we may have to modify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13"/>
          <w:szCs w:val="13"/>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are subject to the reporting requirements of the Securities Exchange Act of 1934, as amended, or the Exchange Act, the Sarbanes-Oxley Act of 2002, or the Sarbanes-Oxley Act, the rules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In the course of preparing our financial statements for fiscal 2018, we identified material weaknesses in our internal control over financial reporting.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new rules and regulations applicable to public companies, and stockholder litigation brought against recently public companies, have made it more expensive for us to obtain and maintain director and officer liability insurance, and we may be required to incur substantially higher costs to obtain and maintain the same or similar coverage. These factors could also make it more difficult for us to attract and retain qualified members on our board of directors, or our Board of Directors, and qualified executive officers.</w:t>
      </w:r>
    </w:p>
    <w:p>
      <w:pPr>
        <w:spacing w:after="0" w:line="16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have identified material weaknesses in our internal control over financial reporting and if our 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the course of preparing our financial statements for fiscal 2018, we identified material weaknesses in our internal control over financial reporting. The material weakness had not been remediated as of September 30,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To address our material weaknesses, we have added personnel as well as implemented new financial systems and processes. We intend to continue to take steps to remediate the material weaknesses described above through hiring additional qualified accounting and financial reporting personnel, and further evolving our accounting processes. We will not be able to fully remediate these material weaknesses until these steps have been completed and have been operating effectively for a sufficient period of time.</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48" w:name="page49"/>
    <w:bookmarkEnd w:id="48"/>
    <w:p>
      <w:pPr>
        <w:jc w:val="both"/>
        <w:spacing w:after="0" w:line="246" w:lineRule="auto"/>
        <w:rPr>
          <w:sz w:val="20"/>
          <w:szCs w:val="20"/>
          <w:color w:val="auto"/>
        </w:rPr>
      </w:pPr>
      <w:r>
        <w:rPr>
          <w:rFonts w:ascii="Times New Roman" w:cs="Times New Roman" w:eastAsia="Times New Roman" w:hAnsi="Times New Roman"/>
          <w:sz w:val="13"/>
          <w:szCs w:val="13"/>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our estimates or judgments relating to our critical accounting policies prove to be incorrect, our operating results could be adversely affected.</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 Item 2 of this Quarterly Report on Form 10-Q.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reported financial results may be negatively impacted by the changes in GAAP.</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For example, in February 2016, the FASB issued ASU No. 2016-02, or Topic 842, Leases, which requires recognition of lease assets and lease liabilities on the balance sheet by lessees for leases classified as operating leases with a term of more than 12 months. Topic 842 is effective for financial statements issued for fiscal years beginning after December 15, 2019, and interim periods within those fiscal years. We early adopted this standard as of July 1, 2019. The most significant change related to the recognition of new right-of-use assets and lease liabilities on our balance sheet for real estate operating leases, as well as the de-recognition of the build-to-suit asset and liability. See Note 2 of the notes to our condensed consolidated financial statements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our success in implementing our business strategy, which is subject to many risks and uncertainties.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management team has limited experience managing a public company.</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 is subject to the risk of earthquakes, fire, power outages, floods, and other catastrophic events, and to interruption by manmade problems such as terrorism.</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Our business is vulnerable to damage or interruption from earthquakes, fires, floods, power losses, telecommunications failures, terrorist attacks, acts of war, human errors, break-ins, and similar events. The third-party systems and operations and contract manufacturers we rely on are subject to similar risks. For example, a significant natural disaster, such as an earthquake, fire, or flood, could have an adverse effect on our business, financial condition and operating results, and our insurance coverage may be insufficient to compensate us for losses that may occur. Acts of terrorism, which may be targeted at metropolitan areas that have higher population density than rural areas, could also cause disruptions in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the Ownership of Our Class A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stock price of our Class A common stock has been, and will likely continue to be, volatile and you could lose all or part of your investment.</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market price of our Class A common stock has been, and will likely continue to be, volatile. Since shares of our Class A common stock were sold in our IPO in September 2019 at a price of $29.00 per share, our stock price has ranged from $20.46 to $27.98 through October 31, 2019. In addition to the factors discussed in this Quarterly Report on Form 10-Q, the market price of our Class A common stock may fluctuate significantly in response to numerous factors, many of which are beyond our control, including:</w:t>
      </w:r>
    </w:p>
    <w:p>
      <w:pPr>
        <w:spacing w:after="0" w:line="168" w:lineRule="exact"/>
        <w:rPr>
          <w:sz w:val="20"/>
          <w:szCs w:val="20"/>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overall performance of the equity markets and the performance of technology companies in particular;</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variations in our operating results, cash flows, and other financial metrics and non-financial metrics, and how those results compare to analyst expectations;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financial projections we may provide to the public or our failure to meet these projections;</w:t>
      </w:r>
    </w:p>
    <w:p>
      <w:pPr>
        <w:spacing w:after="0" w:line="44" w:lineRule="exact"/>
        <w:rPr>
          <w:rFonts w:ascii="Times New Roman" w:cs="Times New Roman" w:eastAsia="Times New Roman" w:hAnsi="Times New Roman"/>
          <w:sz w:val="13"/>
          <w:szCs w:val="13"/>
          <w:color w:val="auto"/>
        </w:rPr>
      </w:pPr>
    </w:p>
    <w:p>
      <w:pPr>
        <w:ind w:left="520" w:hanging="255"/>
        <w:spacing w:after="0" w:line="270" w:lineRule="auto"/>
        <w:tabs>
          <w:tab w:leader="none" w:pos="51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8"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recruitment or departure of key personnel;</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economy as a whole and market conditions in our industry;</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publicity related to problems in our manufacturing or the real or perceived quality of our products, as well as the failure to timely launch new products or services that gain market acceptance;</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rumors and market speculation involving us or other companies in our industry;</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by us or our competitors of new products, services, features and content, significant technical innovations, acquisitions, strategic partnerships, joint ventures, or capital commitments;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laws or regulations or new interpretations of existing laws or regulations applicable to our business;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lawsuits threatened or filed against us, litigation involving our industry, or both;</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developments or disputes concerning our or other parties’ products, services, or intellectual property rights;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events or factors, including those resulting from war, incidents of terrorism, or responses to these events;</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expiration of contractual lock-up or market standoff agreements; and</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of shares of our Class A common stock by us or our stockholders.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1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3"/>
          <w:szCs w:val="13"/>
          <w:color w:val="auto"/>
        </w:rPr>
        <w:t>There are a total of 280,267,575 shares of our Class A common stock and Class B common stock outstanding as of September 30, 2019. Of these shares, the 40,000,000 shares of our Class A common stock sold in our IPO are freely tradable, except for any shares purchased by our “affiliates” as defined in Rule 144 under the Securities Act. The holders of the remaining shares, including a</w:t>
      </w:r>
      <w:r>
        <w:rPr>
          <w:rFonts w:ascii="Times New Roman" w:cs="Times New Roman" w:eastAsia="Times New Roman" w:hAnsi="Times New Roman"/>
          <w:sz w:val="13"/>
          <w:szCs w:val="13"/>
          <w:color w:val="050505"/>
        </w:rPr>
        <w:t>ll of our directors, executive officers,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50505"/>
        </w:rPr>
        <w:t xml:space="preserve">substantially all of the holders of our common stock, or securities exercisable for or convertible into our common stock outstanding immediately prior to our IPO, as well as the holders of the shares of our Class A common stock issued in a private placement concurrent with our IPO, have </w:t>
      </w:r>
      <w:r>
        <w:rPr>
          <w:rFonts w:ascii="Times New Roman" w:cs="Times New Roman" w:eastAsia="Times New Roman" w:hAnsi="Times New Roman"/>
          <w:sz w:val="13"/>
          <w:szCs w:val="13"/>
          <w:color w:val="000000"/>
        </w:rPr>
        <w:t>entered into market standoff agreements with us or lock-up agreements with the underwriters of our IPO that prohibit them from selling,</w:t>
      </w:r>
      <w:r>
        <w:rPr>
          <w:rFonts w:ascii="Times New Roman" w:cs="Times New Roman" w:eastAsia="Times New Roman" w:hAnsi="Times New Roman"/>
          <w:sz w:val="13"/>
          <w:szCs w:val="13"/>
          <w:color w:val="050505"/>
        </w:rPr>
        <w:t xml:space="preserve"> </w:t>
      </w:r>
      <w:r>
        <w:rPr>
          <w:rFonts w:ascii="Times New Roman" w:cs="Times New Roman" w:eastAsia="Times New Roman" w:hAnsi="Times New Roman"/>
          <w:sz w:val="13"/>
          <w:szCs w:val="13"/>
          <w:color w:val="000000"/>
        </w:rPr>
        <w:t>contracting to sell, granting any option for the sale of, transferring, or otherwise disposing of any shares of common stock, stock options, or any security or instrument related to common stock or stock options for a period of 180 days from the date of the final prospectus used in connection with our IPO, subject to early termination as described below. We refer to such period as the lock-up period.</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3" w:right="219" w:bottom="1440" w:gutter="0" w:footer="0" w:header="0"/>
        </w:sectPr>
      </w:pPr>
    </w:p>
    <w:bookmarkStart w:id="50" w:name="page51"/>
    <w:bookmarkEnd w:id="50"/>
    <w:p>
      <w:pPr>
        <w:jc w:val="both"/>
        <w:spacing w:after="0" w:line="251" w:lineRule="auto"/>
        <w:rPr>
          <w:sz w:val="20"/>
          <w:szCs w:val="20"/>
          <w:color w:val="auto"/>
        </w:rPr>
      </w:pPr>
      <w:r>
        <w:rPr>
          <w:rFonts w:ascii="Times New Roman" w:cs="Times New Roman" w:eastAsia="Times New Roman" w:hAnsi="Times New Roman"/>
          <w:sz w:val="13"/>
          <w:szCs w:val="13"/>
          <w:color w:val="auto"/>
        </w:rPr>
        <w:t>Pursuant to the lock-up agreements with the underwriters, if (1) at least 120 days have elapsed since the date of the Prospectus, (2) we have publicly released our earnings results for the quarterly period during which our IPO occurred, and (3)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When the applicable lock-up and market standoff periods described above expire, we and our security holders subject to a lock-up agreement or market standoff agreement will be able to sell our shares in the public market.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3"/>
          <w:szCs w:val="13"/>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3"/>
          <w:szCs w:val="13"/>
          <w:color w:val="auto"/>
        </w:rPr>
        <w:t>In addition, as of September 30, 2019, we had options outstanding that, if fully exercised, would result in the issuance of 64,044,612 shares of Class B common stock and 231,350 shares of Class A common stock. We have filed a registration statement to register shares reserved for future issuance under our equity compensation plans. Subject to the satisfaction of applicable vesting requirements and expiration of the market standoff agreements and lock-up agreements referred to above, the shares issued upon exercise of outstanding stock options will be available for immediate resale in the open market.</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Our Class B common stock has 20 votes per share and our Class A common stock has one vote per share. As of September 30, 2019,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dual class structure of our common stock may adversely affect the trading market for our Class A common stock.</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are an “emerging growth company” and intend to take advantage of the reduced disclosure requirements applicable to emerging growth companies which may make our Class A common stock less attractive to investors.</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We will remain an emerging growth company until the earliest of (1) the last day of the fiscal year in which we have total annual gross revenue of $1.07 billion or more; (2) the last day of the fiscal year following the fifth anniversary of the date of the completion of the IPO; (3) the date on which we have issued more than $1.0 billion in nonconvertible debt during the previous three years; and (4) the date on which we are deemed to be a “large accelerated filer” under the rules of the SEC. For so long as we remain an emerging growth company, we are permitted to, and intend to, rely on exemptions from certain disclosure requirements that are applicable to other public companies that are not “emerging growth companies,” including:</w:t>
      </w:r>
    </w:p>
    <w:p>
      <w:pPr>
        <w:spacing w:after="0" w:line="172" w:lineRule="exact"/>
        <w:rPr>
          <w:sz w:val="20"/>
          <w:szCs w:val="20"/>
          <w:color w:val="auto"/>
        </w:rPr>
      </w:pPr>
    </w:p>
    <w:p>
      <w:pPr>
        <w:ind w:left="520" w:hanging="255"/>
        <w:spacing w:after="0"/>
        <w:tabs>
          <w:tab w:leader="none" w:pos="5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being required to comply with the auditor attestation requirements of Section 404 of the Sarbanes-Oxley Act;</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disclosure obligations regarding executive compensation; and</w:t>
      </w:r>
    </w:p>
    <w:p>
      <w:pPr>
        <w:spacing w:after="0" w:line="44"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exemptions from the requirements of holding a nonbinding advisory vote on executive compensation and shareholder approval of any golden parachute payments not previously approved.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51" w:name="page52"/>
    <w:bookmarkEnd w:id="51"/>
    <w:p>
      <w:pPr>
        <w:jc w:val="both"/>
        <w:spacing w:after="0" w:line="247" w:lineRule="auto"/>
        <w:rPr>
          <w:sz w:val="20"/>
          <w:szCs w:val="20"/>
          <w:color w:val="auto"/>
        </w:rPr>
      </w:pPr>
      <w:r>
        <w:rPr>
          <w:rFonts w:ascii="Times New Roman" w:cs="Times New Roman" w:eastAsia="Times New Roman" w:hAnsi="Times New Roman"/>
          <w:sz w:val="13"/>
          <w:szCs w:val="13"/>
          <w:color w:val="auto"/>
        </w:rPr>
        <w:t>We currently intend to take advantage of the available exemptions described above. We have taken advantage of reduced reporting burdens in our periodic reports and proxy statements. In particular, we have not included all of the executive compensation information that would be required if we were not an emerging growth company. We cannot predict if investors will find our Class A common stock less attractive if we rely on these exemptions. Furthermore, under the JOBS Act, emerging growth companies can also delay adopting new or revised accounting standards until such time as those standards apply to private companies. We have irrevocably elected not to avail ourselves of this accommodation allowing for delayed adoption of new or revised accounting standards and, therefore, we will be subject to the same new or revised accounting standards as other public companies that are not emerging growth companies. If some investors find our Class A common stock less attractive as a result of these decisions, there may be a less active trading market for our Class A common stock and the price of our Class A common stock may be more volatile.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trading market for our Class A common stock depends in part on the research and reports that securities or industry analysts publish about us or our business, our market, and our competitors. We do not have any control over these analysts.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do not intend to pay dividends for the foreseeable future.</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Provisions in our charter documents and under Delaware law could make an acquisition of us, which may be beneficial to our stockholders, more difficult, limit attempts by our stockholders to replace or remove our current management, limit our stockholders’ ability to obtain a favorable judicial forum for disputes with us or our directors, officers, or employees, and limit the market price of our Class A common stock.</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Provisions in our restated certificate of incorporation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include provisions that:</w:t>
      </w:r>
    </w:p>
    <w:p>
      <w:pPr>
        <w:spacing w:after="0" w:line="152" w:lineRule="exact"/>
        <w:rPr>
          <w:sz w:val="20"/>
          <w:szCs w:val="20"/>
          <w:color w:val="auto"/>
        </w:rPr>
      </w:pP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that our Board of Directors is classified into three classes of directors with staggered three-year terms;</w:t>
      </w:r>
    </w:p>
    <w:p>
      <w:pPr>
        <w:spacing w:after="0" w:line="15"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 the Board of Directors to establish the number of directors and fill any vacancies and newly-created directorships;</w:t>
      </w:r>
    </w:p>
    <w:p>
      <w:pPr>
        <w:spacing w:after="0" w:line="1"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 super-majority voting to amend some provisions in our restated certificate of incorporation and restated bylaws;</w:t>
      </w:r>
    </w:p>
    <w:p>
      <w:pPr>
        <w:spacing w:after="0" w:line="1"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the issuance of “blank check” preferred stock that our Board of Directors could use to implement a stockholder rights plan;</w:t>
      </w:r>
    </w:p>
    <w:p>
      <w:pPr>
        <w:spacing w:after="0" w:line="1"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that only the chairman of our Board of Directors, our chief executive officer, or a majority of our Board of Directors will be authorized to call a special meeting of stockholders;</w:t>
      </w:r>
    </w:p>
    <w:p>
      <w:pPr>
        <w:spacing w:after="0" w:line="1"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eliminate the ability of our stockholders to call special meetings of stockholders;</w:t>
      </w:r>
    </w:p>
    <w:p>
      <w:pPr>
        <w:spacing w:after="0" w:line="1"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prohibit cumulative voting;</w:t>
      </w:r>
    </w:p>
    <w:p>
      <w:pPr>
        <w:spacing w:after="0" w:line="1"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that directors may only be removed “for cause” and only with the approval of two-thirds of our stockholders;</w:t>
      </w:r>
    </w:p>
    <w:p>
      <w:pPr>
        <w:spacing w:after="0" w:line="1" w:lineRule="exact"/>
        <w:rPr>
          <w:rFonts w:ascii="Times New Roman" w:cs="Times New Roman" w:eastAsia="Times New Roman" w:hAnsi="Times New Roman"/>
          <w:sz w:val="13"/>
          <w:szCs w:val="13"/>
          <w:color w:val="auto"/>
        </w:rPr>
      </w:pPr>
    </w:p>
    <w:p>
      <w:pPr>
        <w:jc w:val="both"/>
        <w:ind w:left="520" w:hanging="255"/>
        <w:spacing w:after="0" w:line="242" w:lineRule="auto"/>
        <w:tabs>
          <w:tab w:leader="none" w:pos="51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prohibit stockholder action by written consent, which requires all stockholder actions to be taken at a meeting of our stockholders;</w:t>
      </w:r>
    </w:p>
    <w:p>
      <w:pPr>
        <w:spacing w:after="0" w:line="1"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that the Board of Directors is expressly authorized to make, alter, or repeal our bylaws; and</w:t>
      </w:r>
    </w:p>
    <w:p>
      <w:pPr>
        <w:spacing w:after="0" w:line="1"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 advance notice requirements for nominations for election to our Board of Directors or for proposing matters that can be acted upon by stockholders at annual stockholder meetings.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In addition, 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Delaware General Corporation Law, or DGCL, our restated certificate of incorporation, or our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does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52" w:name="page53"/>
    <w:bookmarkEnd w:id="52"/>
    <w:p>
      <w:pPr>
        <w:jc w:val="both"/>
        <w:spacing w:after="0" w:line="270" w:lineRule="auto"/>
        <w:rPr>
          <w:sz w:val="20"/>
          <w:szCs w:val="20"/>
          <w:color w:val="auto"/>
        </w:rPr>
      </w:pPr>
      <w:r>
        <w:rPr>
          <w:rFonts w:ascii="Times New Roman" w:cs="Times New Roman" w:eastAsia="Times New Roman" w:hAnsi="Times New Roman"/>
          <w:sz w:val="13"/>
          <w:szCs w:val="13"/>
          <w:color w:val="auto"/>
        </w:rPr>
        <w:t>Moreover, Section 203 of the DGCL may discourage, delay, or prevent a change in control of our company. Section 203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Unregistered Sales of Equity Securities</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From July 1, 2019 through September 26, 2019 (the date of the filing of our registration statement on Form S-8), we granted stock options to purchase an aggregate of 883,550 shares of Class B common stock under our 2015 Stock Plan, with a weighted-average per share exercise price of $23.40, and we issued 595,282 shares of Class B common stock upon exercise of stock options under our 2015 Stock Plan. These shares were issued pursuant to benefit plans and contracts related to compensation in reliance upon the exemption from registration requirements of Rule 701 of the Securities Act.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Concurrently with our IPO, entities affiliated with TCV, an existing stockholder, purchased from us approximately $100.0 million of shares of our Class A common stock at a price per share equal to the IPO price in a private placement. This transaction was exempt from the registration requirements of the Securities Act in reliance upon Section 4(2) of the Securities Act.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Additionally, we issued 238,253 shares of our Class B common stock upon the net exercise of an outstanding warrant to purchase 240,000 shares of our Class B common stock at an exercise price of $0.19 per share. This transaction was exempt from the registration requirements of the Securities Act in reliance upon Section 4(2) of the Securities 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Use of Proceeds</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On September 25, 2019, our Registration Statement on Form S-1, as amended (Reg. No. 333-233482), was declared effective in connection with the IPO of our Class A common stock, pursuant to which we issued and sold 40,000,000 shares of Class A common stock. The price per share to the public was $29.00. We received aggregate proceeds of $1.2 billion from the IPO and concurrent private placement, net of the underwriting discount and before deducting offering costs of $6.3 million. The managing underwriters of our IPO were Goldman Sachs &amp; Co. LLC and J.P. Morgan Securities LLC. No payments were made to our directors or officers or their associates, holders of 10% or more of any class of our equity securities, or to our affiliates in connection with the issuance and sale of the securities registered. In addition to the shares of Class A common stock sold in the IPO, entities affiliated with TCV purchased from us approximately $100.0 million of shares of our Class A common stock at a purchase price equal to the IPO price.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has been no material change in the planned use of proceeds from our IPO as described in the Prospectus relating to that offering dated September 25, 2019.</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387" w:right="2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547370" cy="3236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7370" cy="323659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 w:type="dxa"/>
            <w:vAlign w:val="bottom"/>
            <w:shd w:val="clear" w:color="auto" w:fill="FEFEFE"/>
          </w:tcPr>
          <w:p>
            <w:pPr>
              <w:spacing w:after="0"/>
              <w:rPr>
                <w:sz w:val="17"/>
                <w:szCs w:val="17"/>
                <w:color w:val="auto"/>
              </w:rPr>
            </w:pPr>
          </w:p>
        </w:tc>
        <w:tc>
          <w:tcPr>
            <w:tcW w:w="180" w:type="dxa"/>
            <w:vAlign w:val="bottom"/>
            <w:tcBorders>
              <w:bottom w:val="single" w:sz="8" w:color="FEFEFE"/>
              <w:right w:val="single" w:sz="8" w:color="FEFEFE"/>
            </w:tcBorders>
            <w:shd w:val="clear" w:color="auto" w:fill="FEFEFE"/>
          </w:tcPr>
          <w:p>
            <w:pPr>
              <w:spacing w:after="0"/>
              <w:rPr>
                <w:sz w:val="17"/>
                <w:szCs w:val="17"/>
                <w:color w:val="auto"/>
              </w:rPr>
            </w:pPr>
          </w:p>
        </w:tc>
        <w:tc>
          <w:tcPr>
            <w:tcW w:w="900" w:type="dxa"/>
            <w:vAlign w:val="bottom"/>
            <w:tcBorders>
              <w:bottom w:val="single" w:sz="8" w:color="FEFEFE"/>
            </w:tcBorders>
            <w:shd w:val="clear" w:color="auto" w:fill="FEFEFE"/>
          </w:tcPr>
          <w:p>
            <w:pPr>
              <w:spacing w:after="0"/>
              <w:rPr>
                <w:sz w:val="17"/>
                <w:szCs w:val="17"/>
                <w:color w:val="auto"/>
              </w:rPr>
            </w:pPr>
          </w:p>
        </w:tc>
        <w:tc>
          <w:tcPr>
            <w:tcW w:w="260" w:type="dxa"/>
            <w:vAlign w:val="bottom"/>
            <w:tcBorders>
              <w:bottom w:val="single" w:sz="8" w:color="FEFEFE"/>
            </w:tcBorders>
            <w:shd w:val="clear" w:color="auto" w:fill="FEFEFE"/>
          </w:tcPr>
          <w:p>
            <w:pPr>
              <w:spacing w:after="0"/>
              <w:rPr>
                <w:sz w:val="17"/>
                <w:szCs w:val="17"/>
                <w:color w:val="auto"/>
              </w:rPr>
            </w:pPr>
          </w:p>
        </w:tc>
        <w:tc>
          <w:tcPr>
            <w:tcW w:w="760" w:type="dxa"/>
            <w:vAlign w:val="bottom"/>
            <w:tcBorders>
              <w:bottom w:val="single" w:sz="8" w:color="FEFEFE"/>
            </w:tcBorders>
            <w:shd w:val="clear" w:color="auto" w:fill="FEFEFE"/>
          </w:tcPr>
          <w:p>
            <w:pPr>
              <w:spacing w:after="0"/>
              <w:rPr>
                <w:sz w:val="17"/>
                <w:szCs w:val="17"/>
                <w:color w:val="auto"/>
              </w:rPr>
            </w:pPr>
          </w:p>
        </w:tc>
        <w:tc>
          <w:tcPr>
            <w:tcW w:w="300" w:type="dxa"/>
            <w:vAlign w:val="bottom"/>
            <w:tcBorders>
              <w:bottom w:val="single" w:sz="8" w:color="FEFEFE"/>
            </w:tcBorders>
            <w:shd w:val="clear" w:color="auto" w:fill="FEFEFE"/>
          </w:tcPr>
          <w:p>
            <w:pPr>
              <w:spacing w:after="0"/>
              <w:rPr>
                <w:sz w:val="17"/>
                <w:szCs w:val="17"/>
                <w:color w:val="auto"/>
              </w:rPr>
            </w:pPr>
          </w:p>
        </w:tc>
        <w:tc>
          <w:tcPr>
            <w:tcW w:w="2200" w:type="dxa"/>
            <w:vAlign w:val="bottom"/>
            <w:tcBorders>
              <w:bottom w:val="single" w:sz="8" w:color="FEFEFE"/>
            </w:tcBorders>
            <w:shd w:val="clear" w:color="auto" w:fill="FEFEFE"/>
          </w:tcPr>
          <w:p>
            <w:pPr>
              <w:spacing w:after="0"/>
              <w:rPr>
                <w:sz w:val="17"/>
                <w:szCs w:val="17"/>
                <w:color w:val="auto"/>
              </w:rPr>
            </w:pPr>
          </w:p>
        </w:tc>
        <w:tc>
          <w:tcPr>
            <w:tcW w:w="160" w:type="dxa"/>
            <w:vAlign w:val="bottom"/>
            <w:tcBorders>
              <w:bottom w:val="single" w:sz="8" w:color="FEFEFE"/>
            </w:tcBorders>
            <w:shd w:val="clear" w:color="auto" w:fill="FEFEFE"/>
          </w:tcPr>
          <w:p>
            <w:pPr>
              <w:spacing w:after="0"/>
              <w:rPr>
                <w:sz w:val="17"/>
                <w:szCs w:val="17"/>
                <w:color w:val="auto"/>
              </w:rPr>
            </w:pPr>
          </w:p>
        </w:tc>
        <w:tc>
          <w:tcPr>
            <w:tcW w:w="840" w:type="dxa"/>
            <w:vAlign w:val="bottom"/>
            <w:tcBorders>
              <w:bottom w:val="single" w:sz="8" w:color="auto"/>
            </w:tcBorders>
            <w:shd w:val="clear" w:color="auto" w:fill="FEFEFE"/>
          </w:tcPr>
          <w:p>
            <w:pPr>
              <w:spacing w:after="0"/>
              <w:rPr>
                <w:sz w:val="17"/>
                <w:szCs w:val="17"/>
                <w:color w:val="auto"/>
              </w:rPr>
            </w:pPr>
          </w:p>
        </w:tc>
        <w:tc>
          <w:tcPr>
            <w:tcW w:w="2260" w:type="dxa"/>
            <w:vAlign w:val="bottom"/>
            <w:tcBorders>
              <w:bottom w:val="single" w:sz="8" w:color="auto"/>
            </w:tcBorders>
            <w:gridSpan w:val="2"/>
            <w:shd w:val="clear" w:color="auto" w:fill="FEFEFE"/>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40" w:type="dxa"/>
            <w:vAlign w:val="bottom"/>
            <w:tcBorders>
              <w:bottom w:val="single" w:sz="8" w:color="auto"/>
            </w:tcBorders>
            <w:shd w:val="clear" w:color="auto" w:fill="FEFEFE"/>
          </w:tcPr>
          <w:p>
            <w:pPr>
              <w:spacing w:after="0"/>
              <w:rPr>
                <w:sz w:val="17"/>
                <w:szCs w:val="17"/>
                <w:color w:val="auto"/>
              </w:rPr>
            </w:pPr>
          </w:p>
        </w:tc>
      </w:tr>
      <w:tr>
        <w:trPr>
          <w:trHeight w:val="151"/>
        </w:trPr>
        <w:tc>
          <w:tcPr>
            <w:tcW w:w="86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80" w:type="dxa"/>
            <w:vAlign w:val="bottom"/>
            <w:tcBorders>
              <w:right w:val="single" w:sz="8" w:color="FEFEFE"/>
            </w:tcBorders>
            <w:shd w:val="clear" w:color="auto" w:fill="FEFEFE"/>
          </w:tcPr>
          <w:p>
            <w:pPr>
              <w:spacing w:after="0"/>
              <w:rPr>
                <w:sz w:val="13"/>
                <w:szCs w:val="13"/>
                <w:color w:val="auto"/>
              </w:rPr>
            </w:pPr>
          </w:p>
        </w:tc>
        <w:tc>
          <w:tcPr>
            <w:tcW w:w="900" w:type="dxa"/>
            <w:vAlign w:val="bottom"/>
            <w:shd w:val="clear" w:color="auto" w:fill="FEFEFE"/>
          </w:tcPr>
          <w:p>
            <w:pPr>
              <w:spacing w:after="0"/>
              <w:rPr>
                <w:sz w:val="13"/>
                <w:szCs w:val="13"/>
                <w:color w:val="auto"/>
              </w:rPr>
            </w:pPr>
          </w:p>
        </w:tc>
        <w:tc>
          <w:tcPr>
            <w:tcW w:w="260" w:type="dxa"/>
            <w:vAlign w:val="bottom"/>
            <w:shd w:val="clear" w:color="auto" w:fill="FEFEFE"/>
          </w:tcPr>
          <w:p>
            <w:pPr>
              <w:spacing w:after="0"/>
              <w:rPr>
                <w:sz w:val="13"/>
                <w:szCs w:val="13"/>
                <w:color w:val="auto"/>
              </w:rPr>
            </w:pPr>
          </w:p>
        </w:tc>
        <w:tc>
          <w:tcPr>
            <w:tcW w:w="760" w:type="dxa"/>
            <w:vAlign w:val="bottom"/>
            <w:shd w:val="clear" w:color="auto" w:fill="FEFEFE"/>
          </w:tcPr>
          <w:p>
            <w:pPr>
              <w:spacing w:after="0"/>
              <w:rPr>
                <w:sz w:val="13"/>
                <w:szCs w:val="13"/>
                <w:color w:val="auto"/>
              </w:rPr>
            </w:pPr>
          </w:p>
        </w:tc>
        <w:tc>
          <w:tcPr>
            <w:tcW w:w="2660" w:type="dxa"/>
            <w:vAlign w:val="bottom"/>
            <w:gridSpan w:val="3"/>
            <w:shd w:val="clear" w:color="auto" w:fill="FEFEFE"/>
          </w:tcPr>
          <w:p>
            <w:pPr>
              <w:ind w:left="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3"/>
                <w:szCs w:val="13"/>
                <w:b w:val="1"/>
                <w:bCs w:val="1"/>
                <w:color w:val="auto"/>
              </w:rPr>
              <w:t>Form</w:t>
            </w:r>
          </w:p>
        </w:tc>
        <w:tc>
          <w:tcPr>
            <w:tcW w:w="11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140" w:type="dxa"/>
            <w:vAlign w:val="bottom"/>
            <w:shd w:val="clear" w:color="auto" w:fill="FEFEFE"/>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40" w:type="dxa"/>
            <w:vAlign w:val="bottom"/>
            <w:shd w:val="clear" w:color="auto" w:fill="FEFEFE"/>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w w:val="97"/>
              </w:rPr>
              <w:t>Filing Date</w:t>
            </w:r>
          </w:p>
        </w:tc>
      </w:tr>
      <w:tr>
        <w:trPr>
          <w:trHeight w:val="196"/>
        </w:trPr>
        <w:tc>
          <w:tcPr>
            <w:tcW w:w="86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Borders>
              <w:bottom w:val="single" w:sz="8" w:color="FEFEFE"/>
              <w:right w:val="single" w:sz="8" w:color="FEFEFE"/>
            </w:tcBorders>
            <w:shd w:val="clear" w:color="auto" w:fill="FEFEFE"/>
          </w:tcPr>
          <w:p>
            <w:pPr>
              <w:spacing w:after="0"/>
              <w:rPr>
                <w:sz w:val="17"/>
                <w:szCs w:val="17"/>
                <w:color w:val="auto"/>
              </w:rPr>
            </w:pPr>
          </w:p>
        </w:tc>
        <w:tc>
          <w:tcPr>
            <w:tcW w:w="900" w:type="dxa"/>
            <w:vAlign w:val="bottom"/>
            <w:tcBorders>
              <w:bottom w:val="single" w:sz="8" w:color="FEFEFE"/>
            </w:tcBorders>
            <w:shd w:val="clear" w:color="auto" w:fill="FEFEFE"/>
          </w:tcPr>
          <w:p>
            <w:pPr>
              <w:spacing w:after="0"/>
              <w:rPr>
                <w:sz w:val="17"/>
                <w:szCs w:val="17"/>
                <w:color w:val="auto"/>
              </w:rPr>
            </w:pPr>
          </w:p>
        </w:tc>
        <w:tc>
          <w:tcPr>
            <w:tcW w:w="260" w:type="dxa"/>
            <w:vAlign w:val="bottom"/>
            <w:tcBorders>
              <w:bottom w:val="single" w:sz="8" w:color="FEFEFE"/>
            </w:tcBorders>
            <w:shd w:val="clear" w:color="auto" w:fill="FEFEFE"/>
          </w:tcPr>
          <w:p>
            <w:pPr>
              <w:spacing w:after="0"/>
              <w:rPr>
                <w:sz w:val="17"/>
                <w:szCs w:val="17"/>
                <w:color w:val="auto"/>
              </w:rPr>
            </w:pPr>
          </w:p>
        </w:tc>
        <w:tc>
          <w:tcPr>
            <w:tcW w:w="760" w:type="dxa"/>
            <w:vAlign w:val="bottom"/>
            <w:tcBorders>
              <w:bottom w:val="single" w:sz="8" w:color="FEFEFE"/>
            </w:tcBorders>
            <w:shd w:val="clear" w:color="auto" w:fill="FEFEFE"/>
          </w:tcPr>
          <w:p>
            <w:pPr>
              <w:spacing w:after="0"/>
              <w:rPr>
                <w:sz w:val="17"/>
                <w:szCs w:val="17"/>
                <w:color w:val="auto"/>
              </w:rPr>
            </w:pPr>
          </w:p>
        </w:tc>
        <w:tc>
          <w:tcPr>
            <w:tcW w:w="300" w:type="dxa"/>
            <w:vAlign w:val="bottom"/>
            <w:tcBorders>
              <w:bottom w:val="single" w:sz="8" w:color="FEFEFE"/>
            </w:tcBorders>
            <w:shd w:val="clear" w:color="auto" w:fill="FEFEFE"/>
          </w:tcPr>
          <w:p>
            <w:pPr>
              <w:spacing w:after="0"/>
              <w:rPr>
                <w:sz w:val="17"/>
                <w:szCs w:val="17"/>
                <w:color w:val="auto"/>
              </w:rPr>
            </w:pPr>
          </w:p>
        </w:tc>
        <w:tc>
          <w:tcPr>
            <w:tcW w:w="2200" w:type="dxa"/>
            <w:vAlign w:val="bottom"/>
            <w:tcBorders>
              <w:bottom w:val="single" w:sz="8" w:color="FEFEFE"/>
            </w:tcBorders>
            <w:shd w:val="clear" w:color="auto" w:fill="FEFEFE"/>
          </w:tcPr>
          <w:p>
            <w:pPr>
              <w:spacing w:after="0"/>
              <w:rPr>
                <w:sz w:val="17"/>
                <w:szCs w:val="17"/>
                <w:color w:val="auto"/>
              </w:rPr>
            </w:pPr>
          </w:p>
        </w:tc>
        <w:tc>
          <w:tcPr>
            <w:tcW w:w="160" w:type="dxa"/>
            <w:vAlign w:val="bottom"/>
            <w:tcBorders>
              <w:bottom w:val="single" w:sz="8" w:color="FEFEFE"/>
            </w:tcBorders>
            <w:shd w:val="clear" w:color="auto" w:fill="FEFEFE"/>
          </w:tcPr>
          <w:p>
            <w:pPr>
              <w:spacing w:after="0"/>
              <w:rPr>
                <w:sz w:val="17"/>
                <w:szCs w:val="17"/>
                <w:color w:val="auto"/>
              </w:rPr>
            </w:pPr>
          </w:p>
        </w:tc>
        <w:tc>
          <w:tcPr>
            <w:tcW w:w="840" w:type="dxa"/>
            <w:vAlign w:val="bottom"/>
            <w:tcBorders>
              <w:bottom w:val="single" w:sz="8" w:color="FEFEFE"/>
            </w:tcBorders>
            <w:shd w:val="clear" w:color="auto" w:fill="FEFEFE"/>
          </w:tcPr>
          <w:p>
            <w:pPr>
              <w:spacing w:after="0"/>
              <w:rPr>
                <w:sz w:val="17"/>
                <w:szCs w:val="17"/>
                <w:color w:val="auto"/>
              </w:rPr>
            </w:pPr>
          </w:p>
        </w:tc>
        <w:tc>
          <w:tcPr>
            <w:tcW w:w="1120" w:type="dxa"/>
            <w:vAlign w:val="bottom"/>
            <w:tcBorders>
              <w:bottom w:val="single" w:sz="8" w:color="FEFEFE"/>
            </w:tcBorders>
            <w:shd w:val="clear" w:color="auto" w:fill="FEFEFE"/>
          </w:tcPr>
          <w:p>
            <w:pPr>
              <w:spacing w:after="0"/>
              <w:rPr>
                <w:sz w:val="17"/>
                <w:szCs w:val="17"/>
                <w:color w:val="auto"/>
              </w:rPr>
            </w:pPr>
          </w:p>
        </w:tc>
        <w:tc>
          <w:tcPr>
            <w:tcW w:w="1140" w:type="dxa"/>
            <w:vAlign w:val="bottom"/>
            <w:tcBorders>
              <w:bottom w:val="single" w:sz="8" w:color="FEFEFE"/>
            </w:tcBorders>
            <w:shd w:val="clear" w:color="auto" w:fill="FEFEFE"/>
          </w:tcPr>
          <w:p>
            <w:pPr>
              <w:spacing w:after="0"/>
              <w:rPr>
                <w:sz w:val="17"/>
                <w:szCs w:val="17"/>
                <w:color w:val="auto"/>
              </w:rPr>
            </w:pPr>
          </w:p>
        </w:tc>
        <w:tc>
          <w:tcPr>
            <w:tcW w:w="1040" w:type="dxa"/>
            <w:vAlign w:val="bottom"/>
            <w:tcBorders>
              <w:bottom w:val="single" w:sz="8" w:color="FEFEFE"/>
            </w:tcBorders>
            <w:shd w:val="clear" w:color="auto" w:fill="FEFEFE"/>
          </w:tcPr>
          <w:p>
            <w:pPr>
              <w:spacing w:after="0"/>
              <w:rPr>
                <w:sz w:val="17"/>
                <w:szCs w:val="17"/>
                <w:color w:val="auto"/>
              </w:rPr>
            </w:pPr>
          </w:p>
        </w:tc>
      </w:tr>
      <w:tr>
        <w:trPr>
          <w:trHeight w:val="176"/>
        </w:trPr>
        <w:tc>
          <w:tcPr>
            <w:tcW w:w="8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3"/>
                <w:szCs w:val="13"/>
                <w:color w:val="auto"/>
              </w:rPr>
              <w:t>3.1</w:t>
            </w:r>
          </w:p>
        </w:tc>
        <w:tc>
          <w:tcPr>
            <w:tcW w:w="180" w:type="dxa"/>
            <w:vAlign w:val="bottom"/>
            <w:tcBorders>
              <w:right w:val="single" w:sz="8" w:color="FEFEFE"/>
            </w:tcBorders>
          </w:tcPr>
          <w:p>
            <w:pPr>
              <w:spacing w:after="0"/>
              <w:rPr>
                <w:sz w:val="15"/>
                <w:szCs w:val="15"/>
                <w:color w:val="auto"/>
              </w:rPr>
            </w:pPr>
          </w:p>
        </w:tc>
        <w:tc>
          <w:tcPr>
            <w:tcW w:w="4580" w:type="dxa"/>
            <w:vAlign w:val="bottom"/>
            <w:tcBorders>
              <w:top w:val="single" w:sz="8" w:color="auto"/>
            </w:tcBorders>
            <w:gridSpan w:val="6"/>
            <w:shd w:val="clear" w:color="auto" w:fill="FEFEFE"/>
          </w:tcPr>
          <w:p>
            <w:pPr>
              <w:spacing w:after="0" w:line="120" w:lineRule="exact"/>
              <w:rPr>
                <w:rFonts w:ascii="Times New Roman" w:cs="Times New Roman" w:eastAsia="Times New Roman" w:hAnsi="Times New Roman"/>
                <w:sz w:val="13"/>
                <w:szCs w:val="13"/>
                <w:color w:val="0000FF"/>
              </w:rPr>
            </w:pPr>
            <w:hyperlink w:anchor="page56">
              <w:r>
                <w:rPr>
                  <w:rFonts w:ascii="Times New Roman" w:cs="Times New Roman" w:eastAsia="Times New Roman" w:hAnsi="Times New Roman"/>
                  <w:sz w:val="13"/>
                  <w:szCs w:val="13"/>
                  <w:color w:val="0000FF"/>
                </w:rPr>
                <w:t>Restated Certificate of Incorporation.</w:t>
              </w:r>
            </w:hyperlink>
          </w:p>
        </w:tc>
        <w:tc>
          <w:tcPr>
            <w:tcW w:w="840" w:type="dxa"/>
            <w:vAlign w:val="bottom"/>
            <w:tcBorders>
              <w:top w:val="single" w:sz="8" w:color="auto"/>
            </w:tcBorders>
            <w:shd w:val="clear" w:color="auto" w:fill="FEFEFE"/>
          </w:tcPr>
          <w:p>
            <w:pPr>
              <w:spacing w:after="0"/>
              <w:rPr>
                <w:sz w:val="15"/>
                <w:szCs w:val="15"/>
                <w:color w:val="auto"/>
              </w:rPr>
            </w:pPr>
          </w:p>
        </w:tc>
        <w:tc>
          <w:tcPr>
            <w:tcW w:w="1120" w:type="dxa"/>
            <w:vAlign w:val="bottom"/>
            <w:tcBorders>
              <w:top w:val="single" w:sz="8" w:color="auto"/>
            </w:tcBorders>
            <w:shd w:val="clear" w:color="auto" w:fill="FEFEFE"/>
          </w:tcPr>
          <w:p>
            <w:pPr>
              <w:spacing w:after="0"/>
              <w:rPr>
                <w:sz w:val="15"/>
                <w:szCs w:val="15"/>
                <w:color w:val="auto"/>
              </w:rPr>
            </w:pPr>
          </w:p>
        </w:tc>
        <w:tc>
          <w:tcPr>
            <w:tcW w:w="1140" w:type="dxa"/>
            <w:vAlign w:val="bottom"/>
            <w:tcBorders>
              <w:top w:val="single" w:sz="8" w:color="auto"/>
            </w:tcBorders>
            <w:shd w:val="clear" w:color="auto" w:fill="FEFEFE"/>
          </w:tcPr>
          <w:p>
            <w:pPr>
              <w:spacing w:after="0"/>
              <w:rPr>
                <w:sz w:val="15"/>
                <w:szCs w:val="15"/>
                <w:color w:val="auto"/>
              </w:rPr>
            </w:pPr>
          </w:p>
        </w:tc>
        <w:tc>
          <w:tcPr>
            <w:tcW w:w="1040" w:type="dxa"/>
            <w:vAlign w:val="bottom"/>
            <w:tcBorders>
              <w:top w:val="single" w:sz="8" w:color="auto"/>
            </w:tcBorders>
            <w:shd w:val="clear" w:color="auto" w:fill="FEFEFE"/>
          </w:tcPr>
          <w:p>
            <w:pPr>
              <w:spacing w:after="0"/>
              <w:rPr>
                <w:sz w:val="15"/>
                <w:szCs w:val="15"/>
                <w:color w:val="auto"/>
              </w:rPr>
            </w:pPr>
          </w:p>
        </w:tc>
      </w:tr>
      <w:tr>
        <w:trPr>
          <w:trHeight w:val="185"/>
        </w:trPr>
        <w:tc>
          <w:tcPr>
            <w:tcW w:w="8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3.2</w:t>
            </w:r>
          </w:p>
        </w:tc>
        <w:tc>
          <w:tcPr>
            <w:tcW w:w="180" w:type="dxa"/>
            <w:vAlign w:val="bottom"/>
          </w:tcPr>
          <w:p>
            <w:pPr>
              <w:spacing w:after="0"/>
              <w:rPr>
                <w:sz w:val="16"/>
                <w:szCs w:val="16"/>
                <w:color w:val="auto"/>
              </w:rPr>
            </w:pPr>
          </w:p>
        </w:tc>
        <w:tc>
          <w:tcPr>
            <w:tcW w:w="900" w:type="dxa"/>
            <w:vAlign w:val="bottom"/>
            <w:tcBorders>
              <w:top w:val="single" w:sz="8" w:color="0000FF"/>
              <w:bottom w:val="single" w:sz="8" w:color="0000FF"/>
            </w:tcBorders>
          </w:tcPr>
          <w:p>
            <w:pPr>
              <w:spacing w:after="0" w:line="120" w:lineRule="exact"/>
              <w:rPr>
                <w:rFonts w:ascii="Times New Roman" w:cs="Times New Roman" w:eastAsia="Times New Roman" w:hAnsi="Times New Roman"/>
                <w:sz w:val="13"/>
                <w:szCs w:val="13"/>
                <w:color w:val="0000FF"/>
                <w:w w:val="97"/>
              </w:rPr>
            </w:pPr>
            <w:hyperlink w:anchor="page71">
              <w:r>
                <w:rPr>
                  <w:rFonts w:ascii="Times New Roman" w:cs="Times New Roman" w:eastAsia="Times New Roman" w:hAnsi="Times New Roman"/>
                  <w:sz w:val="13"/>
                  <w:szCs w:val="13"/>
                  <w:color w:val="0000FF"/>
                  <w:w w:val="97"/>
                </w:rPr>
                <w:t>Restated Bylaws.</w:t>
              </w:r>
            </w:hyperlink>
          </w:p>
        </w:tc>
        <w:tc>
          <w:tcPr>
            <w:tcW w:w="1020" w:type="dxa"/>
            <w:vAlign w:val="bottom"/>
            <w:tcBorders>
              <w:top w:val="single" w:sz="8" w:color="0000FF"/>
            </w:tcBorders>
            <w:gridSpan w:val="2"/>
          </w:tcPr>
          <w:p>
            <w:pPr>
              <w:spacing w:after="0"/>
              <w:rPr>
                <w:sz w:val="16"/>
                <w:szCs w:val="16"/>
                <w:color w:val="auto"/>
              </w:rPr>
            </w:pPr>
          </w:p>
        </w:tc>
        <w:tc>
          <w:tcPr>
            <w:tcW w:w="2660" w:type="dxa"/>
            <w:vAlign w:val="bottom"/>
            <w:tcBorders>
              <w:top w:val="single" w:sz="8" w:color="FEFEFE"/>
            </w:tcBorders>
            <w:gridSpan w:val="3"/>
          </w:tcPr>
          <w:p>
            <w:pPr>
              <w:spacing w:after="0"/>
              <w:rPr>
                <w:sz w:val="16"/>
                <w:szCs w:val="16"/>
                <w:color w:val="auto"/>
              </w:rPr>
            </w:pPr>
          </w:p>
        </w:tc>
        <w:tc>
          <w:tcPr>
            <w:tcW w:w="840" w:type="dxa"/>
            <w:vAlign w:val="bottom"/>
            <w:tcBorders>
              <w:top w:val="single" w:sz="8" w:color="FEFEFE"/>
              <w:bottom w:val="single" w:sz="8" w:color="FEFEFE"/>
            </w:tcBorders>
            <w:shd w:val="clear" w:color="auto" w:fill="FEFEFE"/>
          </w:tcPr>
          <w:p>
            <w:pPr>
              <w:spacing w:after="0"/>
              <w:rPr>
                <w:sz w:val="16"/>
                <w:szCs w:val="16"/>
                <w:color w:val="auto"/>
              </w:rPr>
            </w:pPr>
          </w:p>
        </w:tc>
        <w:tc>
          <w:tcPr>
            <w:tcW w:w="1120" w:type="dxa"/>
            <w:vAlign w:val="bottom"/>
            <w:tcBorders>
              <w:top w:val="single" w:sz="8" w:color="FEFEFE"/>
              <w:bottom w:val="single" w:sz="8" w:color="FEFEFE"/>
            </w:tcBorders>
            <w:shd w:val="clear" w:color="auto" w:fill="FEFEFE"/>
          </w:tcPr>
          <w:p>
            <w:pPr>
              <w:spacing w:after="0"/>
              <w:rPr>
                <w:sz w:val="16"/>
                <w:szCs w:val="16"/>
                <w:color w:val="auto"/>
              </w:rPr>
            </w:pPr>
          </w:p>
        </w:tc>
        <w:tc>
          <w:tcPr>
            <w:tcW w:w="1140" w:type="dxa"/>
            <w:vAlign w:val="bottom"/>
            <w:tcBorders>
              <w:top w:val="single" w:sz="8" w:color="FEFEFE"/>
              <w:bottom w:val="single" w:sz="8" w:color="FEFEFE"/>
            </w:tcBorders>
            <w:shd w:val="clear" w:color="auto" w:fill="FEFEFE"/>
          </w:tcPr>
          <w:p>
            <w:pPr>
              <w:spacing w:after="0"/>
              <w:rPr>
                <w:sz w:val="16"/>
                <w:szCs w:val="16"/>
                <w:color w:val="auto"/>
              </w:rPr>
            </w:pPr>
          </w:p>
        </w:tc>
        <w:tc>
          <w:tcPr>
            <w:tcW w:w="1040" w:type="dxa"/>
            <w:vAlign w:val="bottom"/>
            <w:tcBorders>
              <w:top w:val="single" w:sz="8" w:color="FEFEFE"/>
              <w:bottom w:val="single" w:sz="8" w:color="FEFEFE"/>
            </w:tcBorders>
            <w:shd w:val="clear" w:color="auto" w:fill="FEFEFE"/>
          </w:tcPr>
          <w:p>
            <w:pPr>
              <w:spacing w:after="0"/>
              <w:rPr>
                <w:sz w:val="16"/>
                <w:szCs w:val="16"/>
                <w:color w:val="auto"/>
              </w:rPr>
            </w:pPr>
          </w:p>
        </w:tc>
      </w:tr>
      <w:tr>
        <w:trPr>
          <w:trHeight w:val="140"/>
        </w:trPr>
        <w:tc>
          <w:tcPr>
            <w:tcW w:w="8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4.1</w:t>
            </w:r>
          </w:p>
        </w:tc>
        <w:tc>
          <w:tcPr>
            <w:tcW w:w="180" w:type="dxa"/>
            <w:vAlign w:val="bottom"/>
          </w:tcPr>
          <w:p>
            <w:pPr>
              <w:spacing w:after="0"/>
              <w:rPr>
                <w:sz w:val="12"/>
                <w:szCs w:val="12"/>
                <w:color w:val="auto"/>
              </w:rPr>
            </w:pPr>
          </w:p>
        </w:tc>
        <w:tc>
          <w:tcPr>
            <w:tcW w:w="4580" w:type="dxa"/>
            <w:vAlign w:val="bottom"/>
            <w:gridSpan w:val="6"/>
          </w:tcPr>
          <w:p>
            <w:pPr>
              <w:spacing w:after="0" w:line="123" w:lineRule="exact"/>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Form of Class A common stock certificate.</w:t>
              </w:r>
            </w:hyperlink>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rPr>
              <w:t>S-1/A</w:t>
            </w:r>
          </w:p>
        </w:tc>
        <w:tc>
          <w:tcPr>
            <w:tcW w:w="1120" w:type="dxa"/>
            <w:vAlign w:val="bottom"/>
            <w:shd w:val="clear" w:color="auto" w:fill="FEFEFE"/>
          </w:tcPr>
          <w:p>
            <w:pPr>
              <w:jc w:val="center"/>
              <w:spacing w:after="0" w:line="120" w:lineRule="exact"/>
              <w:rPr>
                <w:sz w:val="20"/>
                <w:szCs w:val="20"/>
                <w:color w:val="auto"/>
              </w:rPr>
            </w:pPr>
            <w:r>
              <w:rPr>
                <w:rFonts w:ascii="Times New Roman" w:cs="Times New Roman" w:eastAsia="Times New Roman" w:hAnsi="Times New Roman"/>
                <w:sz w:val="13"/>
                <w:szCs w:val="13"/>
                <w:color w:val="auto"/>
              </w:rPr>
              <w:t>333-233482</w:t>
            </w:r>
          </w:p>
        </w:tc>
        <w:tc>
          <w:tcPr>
            <w:tcW w:w="1140" w:type="dxa"/>
            <w:vAlign w:val="bottom"/>
            <w:shd w:val="clear" w:color="auto" w:fill="FEFEFE"/>
          </w:tcPr>
          <w:p>
            <w:pPr>
              <w:jc w:val="right"/>
              <w:ind w:right="355"/>
              <w:spacing w:after="0" w:line="120" w:lineRule="exact"/>
              <w:rPr>
                <w:sz w:val="20"/>
                <w:szCs w:val="20"/>
                <w:color w:val="auto"/>
              </w:rPr>
            </w:pPr>
            <w:r>
              <w:rPr>
                <w:rFonts w:ascii="Times New Roman" w:cs="Times New Roman" w:eastAsia="Times New Roman" w:hAnsi="Times New Roman"/>
                <w:sz w:val="13"/>
                <w:szCs w:val="13"/>
                <w:color w:val="auto"/>
              </w:rPr>
              <w:t>4.1</w:t>
            </w:r>
          </w:p>
        </w:tc>
        <w:tc>
          <w:tcPr>
            <w:tcW w:w="1040" w:type="dxa"/>
            <w:vAlign w:val="bottom"/>
            <w:shd w:val="clear" w:color="auto" w:fill="FEFEFE"/>
          </w:tcPr>
          <w:p>
            <w:pPr>
              <w:jc w:val="center"/>
              <w:ind w:left="95"/>
              <w:spacing w:after="0" w:line="120" w:lineRule="exact"/>
              <w:rPr>
                <w:sz w:val="20"/>
                <w:szCs w:val="20"/>
                <w:color w:val="auto"/>
              </w:rPr>
            </w:pPr>
            <w:r>
              <w:rPr>
                <w:rFonts w:ascii="Times New Roman" w:cs="Times New Roman" w:eastAsia="Times New Roman" w:hAnsi="Times New Roman"/>
                <w:sz w:val="13"/>
                <w:szCs w:val="13"/>
                <w:color w:val="auto"/>
              </w:rPr>
              <w:t>9/10/19</w:t>
            </w:r>
          </w:p>
        </w:tc>
      </w:tr>
      <w:tr>
        <w:trPr>
          <w:trHeight w:val="45"/>
        </w:trPr>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tcBorders>
              <w:bottom w:val="single" w:sz="8" w:color="FEFEFE"/>
            </w:tcBorders>
            <w:shd w:val="clear" w:color="auto" w:fill="FEFEFE"/>
          </w:tcPr>
          <w:p>
            <w:pPr>
              <w:spacing w:after="0"/>
              <w:rPr>
                <w:sz w:val="3"/>
                <w:szCs w:val="3"/>
                <w:color w:val="auto"/>
              </w:rPr>
            </w:pPr>
          </w:p>
        </w:tc>
        <w:tc>
          <w:tcPr>
            <w:tcW w:w="1140" w:type="dxa"/>
            <w:vAlign w:val="bottom"/>
            <w:tcBorders>
              <w:bottom w:val="single" w:sz="8" w:color="FEFEFE"/>
            </w:tcBorders>
            <w:shd w:val="clear" w:color="auto" w:fill="FEFEFE"/>
          </w:tcPr>
          <w:p>
            <w:pPr>
              <w:spacing w:after="0"/>
              <w:rPr>
                <w:sz w:val="3"/>
                <w:szCs w:val="3"/>
                <w:color w:val="auto"/>
              </w:rPr>
            </w:pPr>
          </w:p>
        </w:tc>
        <w:tc>
          <w:tcPr>
            <w:tcW w:w="1040" w:type="dxa"/>
            <w:vAlign w:val="bottom"/>
            <w:tcBorders>
              <w:bottom w:val="single" w:sz="8" w:color="FEFEFE"/>
            </w:tcBorders>
            <w:shd w:val="clear" w:color="auto" w:fill="FEFEFE"/>
          </w:tcPr>
          <w:p>
            <w:pPr>
              <w:spacing w:after="0"/>
              <w:rPr>
                <w:sz w:val="3"/>
                <w:szCs w:val="3"/>
                <w:color w:val="auto"/>
              </w:rPr>
            </w:pPr>
          </w:p>
        </w:tc>
      </w:tr>
      <w:tr>
        <w:trPr>
          <w:trHeight w:val="140"/>
        </w:trPr>
        <w:tc>
          <w:tcPr>
            <w:tcW w:w="8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10.1</w:t>
            </w:r>
          </w:p>
        </w:tc>
        <w:tc>
          <w:tcPr>
            <w:tcW w:w="180" w:type="dxa"/>
            <w:vAlign w:val="bottom"/>
          </w:tcPr>
          <w:p>
            <w:pPr>
              <w:spacing w:after="0"/>
              <w:rPr>
                <w:sz w:val="12"/>
                <w:szCs w:val="12"/>
                <w:color w:val="auto"/>
              </w:rPr>
            </w:pPr>
          </w:p>
        </w:tc>
        <w:tc>
          <w:tcPr>
            <w:tcW w:w="4580" w:type="dxa"/>
            <w:vAlign w:val="bottom"/>
            <w:gridSpan w:val="6"/>
          </w:tcPr>
          <w:p>
            <w:pPr>
              <w:spacing w:after="0" w:line="123"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Form of Indemnification Agreement by and between Peloton and each of its directors</w:t>
              </w:r>
            </w:hyperlink>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w w:val="99"/>
              </w:rPr>
              <w:t>S-1</w:t>
            </w:r>
          </w:p>
        </w:tc>
        <w:tc>
          <w:tcPr>
            <w:tcW w:w="11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rPr>
              <w:t>333-233482</w:t>
            </w:r>
          </w:p>
        </w:tc>
        <w:tc>
          <w:tcPr>
            <w:tcW w:w="1140" w:type="dxa"/>
            <w:vAlign w:val="bottom"/>
            <w:shd w:val="clear" w:color="auto" w:fill="FEFEFE"/>
          </w:tcPr>
          <w:p>
            <w:pPr>
              <w:jc w:val="right"/>
              <w:ind w:right="315"/>
              <w:spacing w:after="0" w:line="120" w:lineRule="exact"/>
              <w:rPr>
                <w:sz w:val="20"/>
                <w:szCs w:val="20"/>
                <w:color w:val="auto"/>
              </w:rPr>
            </w:pPr>
            <w:r>
              <w:rPr>
                <w:rFonts w:ascii="Times New Roman" w:cs="Times New Roman" w:eastAsia="Times New Roman" w:hAnsi="Times New Roman"/>
                <w:sz w:val="13"/>
                <w:szCs w:val="13"/>
                <w:color w:val="auto"/>
              </w:rPr>
              <w:t>10.1</w:t>
            </w:r>
          </w:p>
        </w:tc>
        <w:tc>
          <w:tcPr>
            <w:tcW w:w="1040" w:type="dxa"/>
            <w:vAlign w:val="bottom"/>
            <w:shd w:val="clear" w:color="auto" w:fill="FEFEFE"/>
          </w:tcPr>
          <w:p>
            <w:pPr>
              <w:jc w:val="center"/>
              <w:ind w:left="95"/>
              <w:spacing w:after="0" w:line="120" w:lineRule="exact"/>
              <w:rPr>
                <w:sz w:val="20"/>
                <w:szCs w:val="20"/>
                <w:color w:val="auto"/>
              </w:rPr>
            </w:pPr>
            <w:r>
              <w:rPr>
                <w:rFonts w:ascii="Times New Roman" w:cs="Times New Roman" w:eastAsia="Times New Roman" w:hAnsi="Times New Roman"/>
                <w:sz w:val="13"/>
                <w:szCs w:val="13"/>
                <w:color w:val="auto"/>
              </w:rPr>
              <w:t>8/27/19</w:t>
            </w:r>
          </w:p>
        </w:tc>
      </w:tr>
      <w:tr>
        <w:trPr>
          <w:trHeight w:val="120"/>
        </w:trPr>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20" w:type="dxa"/>
            <w:vAlign w:val="bottom"/>
            <w:tcBorders>
              <w:top w:val="single" w:sz="8" w:color="0000FF"/>
            </w:tcBorders>
            <w:gridSpan w:val="5"/>
          </w:tcPr>
          <w:p>
            <w:pPr>
              <w:spacing w:after="0" w:line="120"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and executive officers.</w:t>
              </w:r>
            </w:hyperlink>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Borders>
              <w:top w:val="single" w:sz="8" w:color="FEFEFE"/>
            </w:tcBorders>
            <w:shd w:val="clear" w:color="auto" w:fill="FEFEFE"/>
          </w:tcPr>
          <w:p>
            <w:pPr>
              <w:spacing w:after="0"/>
              <w:rPr>
                <w:sz w:val="10"/>
                <w:szCs w:val="10"/>
                <w:color w:val="auto"/>
              </w:rPr>
            </w:pPr>
          </w:p>
        </w:tc>
        <w:tc>
          <w:tcPr>
            <w:tcW w:w="1040" w:type="dxa"/>
            <w:vAlign w:val="bottom"/>
            <w:tcBorders>
              <w:top w:val="single" w:sz="8" w:color="FEFEFE"/>
            </w:tcBorders>
            <w:shd w:val="clear" w:color="auto" w:fill="FEFEFE"/>
          </w:tcPr>
          <w:p>
            <w:pPr>
              <w:spacing w:after="0"/>
              <w:rPr>
                <w:sz w:val="10"/>
                <w:szCs w:val="10"/>
                <w:color w:val="auto"/>
              </w:rPr>
            </w:pPr>
          </w:p>
        </w:tc>
      </w:tr>
      <w:tr>
        <w:trPr>
          <w:trHeight w:val="23"/>
        </w:trPr>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top w:val="single" w:sz="8" w:color="FEFEFE"/>
            </w:tcBorders>
            <w:shd w:val="clear" w:color="auto" w:fill="FEFEFE"/>
          </w:tcPr>
          <w:p>
            <w:pPr>
              <w:spacing w:after="0"/>
              <w:rPr>
                <w:sz w:val="2"/>
                <w:szCs w:val="2"/>
                <w:color w:val="auto"/>
              </w:rPr>
            </w:pPr>
          </w:p>
        </w:tc>
        <w:tc>
          <w:tcPr>
            <w:tcW w:w="1040" w:type="dxa"/>
            <w:vAlign w:val="bottom"/>
            <w:tcBorders>
              <w:top w:val="single" w:sz="8" w:color="FEFEFE"/>
            </w:tcBorders>
            <w:shd w:val="clear" w:color="auto" w:fill="FEFEF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-834390</wp:posOffset>
            </wp:positionV>
            <wp:extent cx="5645785" cy="3107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645785" cy="3107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1"/>
          <w:szCs w:val="11"/>
          <w:b w:val="1"/>
          <w:bCs w:val="1"/>
          <w:color w:val="auto"/>
        </w:rPr>
        <w:t>Filed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-81280</wp:posOffset>
            </wp:positionV>
            <wp:extent cx="472440" cy="3236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472440" cy="3236595"/>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11"/>
          <w:szCs w:val="11"/>
          <w:b w:val="1"/>
          <w:bCs w:val="1"/>
          <w:color w:val="auto"/>
        </w:rPr>
        <w:t>Furnished</w:t>
      </w:r>
    </w:p>
    <w:p>
      <w:pPr>
        <w:ind w:left="20"/>
        <w:spacing w:after="0"/>
        <w:rPr>
          <w:sz w:val="20"/>
          <w:szCs w:val="20"/>
          <w:color w:val="auto"/>
        </w:rPr>
      </w:pPr>
      <w:r>
        <w:rPr>
          <w:rFonts w:ascii="Times New Roman" w:cs="Times New Roman" w:eastAsia="Times New Roman" w:hAnsi="Times New Roman"/>
          <w:sz w:val="11"/>
          <w:szCs w:val="11"/>
          <w:b w:val="1"/>
          <w:bCs w:val="1"/>
          <w:color w:val="auto"/>
        </w:rPr>
        <w:t>Herewith</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X</w:t>
      </w:r>
    </w:p>
    <w:p>
      <w:pPr>
        <w:spacing w:after="0" w:line="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X</w:t>
      </w:r>
    </w:p>
    <w:p>
      <w:pPr>
        <w:spacing w:after="0" w:line="603" w:lineRule="exact"/>
        <w:rPr>
          <w:sz w:val="20"/>
          <w:szCs w:val="20"/>
          <w:color w:val="auto"/>
        </w:rPr>
      </w:pPr>
    </w:p>
    <w:p>
      <w:pPr>
        <w:sectPr>
          <w:pgSz w:w="11900" w:h="16838" w:orient="portrait"/>
          <w:cols w:equalWidth="0" w:num="2">
            <w:col w:w="9760" w:space="120"/>
            <w:col w:w="1280"/>
          </w:cols>
          <w:pgMar w:left="220" w:top="773" w:right="519" w:bottom="1440" w:gutter="0" w:footer="0" w:header="0"/>
        </w:sectPr>
      </w:pP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10.3</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10.4</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10.5</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31.1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3"/>
          <w:szCs w:val="13"/>
          <w:u w:val="single" w:color="auto"/>
          <w:color w:val="0000FF"/>
        </w:rPr>
      </w:pPr>
      <w:hyperlink r:id="rId113">
        <w:r>
          <w:rPr>
            <w:rFonts w:ascii="Times New Roman" w:cs="Times New Roman" w:eastAsia="Times New Roman" w:hAnsi="Times New Roman"/>
            <w:sz w:val="13"/>
            <w:szCs w:val="13"/>
            <w:u w:val="single" w:color="auto"/>
            <w:color w:val="0000FF"/>
          </w:rPr>
          <w:t>2019 Equity Incentive Plan and forms of award agreements thereunder.</w:t>
        </w:r>
      </w:hyperlink>
    </w:p>
    <w:p>
      <w:pPr>
        <w:spacing w:after="0" w:line="55"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14">
        <w:r>
          <w:rPr>
            <w:rFonts w:ascii="Times New Roman" w:cs="Times New Roman" w:eastAsia="Times New Roman" w:hAnsi="Times New Roman"/>
            <w:sz w:val="13"/>
            <w:szCs w:val="13"/>
            <w:u w:val="single" w:color="auto"/>
            <w:color w:val="0000FF"/>
          </w:rPr>
          <w:t>2019 Employee Stock Purchase Plan and form of subscription agreement thereunder.</w:t>
        </w:r>
      </w:hyperlink>
    </w:p>
    <w:p>
      <w:pPr>
        <w:spacing w:after="0" w:line="55"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15">
        <w:r>
          <w:rPr>
            <w:rFonts w:ascii="Times New Roman" w:cs="Times New Roman" w:eastAsia="Times New Roman" w:hAnsi="Times New Roman"/>
            <w:sz w:val="13"/>
            <w:szCs w:val="13"/>
            <w:u w:val="single" w:color="auto"/>
            <w:color w:val="0000FF"/>
          </w:rPr>
          <w:t>Offer Letter, dated September 9, 2019, by and between Peloton and John Foley.</w:t>
        </w:r>
      </w:hyperlink>
    </w:p>
    <w:p>
      <w:pPr>
        <w:spacing w:after="0" w:line="55" w:lineRule="exact"/>
        <w:rPr>
          <w:sz w:val="20"/>
          <w:szCs w:val="20"/>
          <w:color w:val="auto"/>
        </w:rPr>
      </w:pPr>
    </w:p>
    <w:p>
      <w:pPr>
        <w:spacing w:after="0" w:line="239" w:lineRule="auto"/>
        <w:rPr>
          <w:rFonts w:ascii="Times New Roman" w:cs="Times New Roman" w:eastAsia="Times New Roman" w:hAnsi="Times New Roman"/>
          <w:sz w:val="13"/>
          <w:szCs w:val="13"/>
          <w:u w:val="single" w:color="auto"/>
          <w:color w:val="0000FF"/>
        </w:rPr>
      </w:pPr>
      <w:hyperlink w:anchor="page100">
        <w:r>
          <w:rPr>
            <w:rFonts w:ascii="Times New Roman" w:cs="Times New Roman" w:eastAsia="Times New Roman" w:hAnsi="Times New Roman"/>
            <w:sz w:val="13"/>
            <w:szCs w:val="13"/>
            <w:u w:val="single" w:color="auto"/>
            <w:color w:val="0000FF"/>
          </w:rPr>
          <w:t>Certification of Principal Executive Officer Pursuant to Rules 13a-14(a) and 15d-14(a)</w:t>
        </w:r>
      </w:hyperlink>
      <w:r>
        <w:rPr>
          <w:rFonts w:ascii="Times New Roman" w:cs="Times New Roman" w:eastAsia="Times New Roman" w:hAnsi="Times New Roman"/>
          <w:sz w:val="13"/>
          <w:szCs w:val="13"/>
          <w:u w:val="single" w:color="auto"/>
          <w:color w:val="0000FF"/>
        </w:rPr>
        <w:t xml:space="preserve"> </w:t>
      </w:r>
      <w:hyperlink w:anchor="page100">
        <w:r>
          <w:rPr>
            <w:rFonts w:ascii="Times New Roman" w:cs="Times New Roman" w:eastAsia="Times New Roman" w:hAnsi="Times New Roman"/>
            <w:sz w:val="13"/>
            <w:szCs w:val="13"/>
            <w:u w:val="single" w:color="auto"/>
            <w:color w:val="0000FF"/>
          </w:rPr>
          <w:t>under the Exchange Act, as Adopted Pursuant to Section 302 of the Sarbanes-Oxley Act</w:t>
        </w:r>
      </w:hyperlink>
      <w:r>
        <w:rPr>
          <w:rFonts w:ascii="Times New Roman" w:cs="Times New Roman" w:eastAsia="Times New Roman" w:hAnsi="Times New Roman"/>
          <w:sz w:val="13"/>
          <w:szCs w:val="13"/>
          <w:u w:val="single" w:color="auto"/>
          <w:color w:val="0000FF"/>
        </w:rPr>
        <w:t xml:space="preserve"> </w:t>
      </w:r>
      <w:hyperlink w:anchor="page100">
        <w:r>
          <w:rPr>
            <w:rFonts w:ascii="Times New Roman" w:cs="Times New Roman" w:eastAsia="Times New Roman" w:hAnsi="Times New Roman"/>
            <w:sz w:val="13"/>
            <w:szCs w:val="13"/>
            <w:u w:val="single" w:color="auto"/>
            <w:color w:val="0000FF"/>
          </w:rPr>
          <w:t>of 2002.</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67"/>
        </w:trPr>
        <w:tc>
          <w:tcPr>
            <w:tcW w:w="580" w:type="dxa"/>
            <w:vAlign w:val="bottom"/>
          </w:tcPr>
          <w:p>
            <w:pPr>
              <w:jc w:val="center"/>
              <w:ind w:right="195"/>
              <w:spacing w:after="0"/>
              <w:rPr>
                <w:sz w:val="20"/>
                <w:szCs w:val="20"/>
                <w:color w:val="auto"/>
              </w:rPr>
            </w:pPr>
            <w:r>
              <w:rPr>
                <w:rFonts w:ascii="Times New Roman" w:cs="Times New Roman" w:eastAsia="Times New Roman" w:hAnsi="Times New Roman"/>
                <w:sz w:val="13"/>
                <w:szCs w:val="13"/>
                <w:color w:val="auto"/>
              </w:rPr>
              <w:t>S-1/A</w:t>
            </w:r>
          </w:p>
        </w:tc>
        <w:tc>
          <w:tcPr>
            <w:tcW w:w="12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rPr>
              <w:t>333-233482</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9/10/19</w:t>
            </w:r>
          </w:p>
        </w:tc>
      </w:tr>
      <w:tr>
        <w:trPr>
          <w:trHeight w:val="205"/>
        </w:trPr>
        <w:tc>
          <w:tcPr>
            <w:tcW w:w="580" w:type="dxa"/>
            <w:vAlign w:val="bottom"/>
          </w:tcPr>
          <w:p>
            <w:pPr>
              <w:jc w:val="center"/>
              <w:ind w:right="175"/>
              <w:spacing w:after="0"/>
              <w:rPr>
                <w:sz w:val="20"/>
                <w:szCs w:val="20"/>
                <w:color w:val="auto"/>
              </w:rPr>
            </w:pPr>
            <w:r>
              <w:rPr>
                <w:rFonts w:ascii="Times New Roman" w:cs="Times New Roman" w:eastAsia="Times New Roman" w:hAnsi="Times New Roman"/>
                <w:sz w:val="13"/>
                <w:szCs w:val="13"/>
                <w:color w:val="auto"/>
                <w:w w:val="99"/>
              </w:rPr>
              <w:t>S-8</w:t>
            </w:r>
          </w:p>
        </w:tc>
        <w:tc>
          <w:tcPr>
            <w:tcW w:w="12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rPr>
              <w:t>333-233941</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4.8</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9/26/19</w:t>
            </w:r>
          </w:p>
        </w:tc>
      </w:tr>
      <w:tr>
        <w:trPr>
          <w:trHeight w:val="205"/>
        </w:trPr>
        <w:tc>
          <w:tcPr>
            <w:tcW w:w="580" w:type="dxa"/>
            <w:vAlign w:val="bottom"/>
          </w:tcPr>
          <w:p>
            <w:pPr>
              <w:jc w:val="center"/>
              <w:ind w:right="195"/>
              <w:spacing w:after="0"/>
              <w:rPr>
                <w:sz w:val="20"/>
                <w:szCs w:val="20"/>
                <w:color w:val="auto"/>
              </w:rPr>
            </w:pPr>
            <w:r>
              <w:rPr>
                <w:rFonts w:ascii="Times New Roman" w:cs="Times New Roman" w:eastAsia="Times New Roman" w:hAnsi="Times New Roman"/>
                <w:sz w:val="13"/>
                <w:szCs w:val="13"/>
                <w:color w:val="auto"/>
              </w:rPr>
              <w:t>S-1/A</w:t>
            </w:r>
          </w:p>
        </w:tc>
        <w:tc>
          <w:tcPr>
            <w:tcW w:w="12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rPr>
              <w:t>333-233482</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9/10/19</w:t>
            </w:r>
          </w:p>
        </w:tc>
      </w:tr>
    </w:tbl>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200" w:lineRule="exact"/>
        <w:rPr>
          <w:rFonts w:ascii="Times New Roman" w:cs="Times New Roman" w:eastAsia="Times New Roman" w:hAnsi="Times New Roman"/>
          <w:sz w:val="13"/>
          <w:szCs w:val="13"/>
          <w:u w:val="single" w:color="auto"/>
          <w:color w:val="0000FF"/>
        </w:rPr>
      </w:pPr>
    </w:p>
    <w:p>
      <w:pPr>
        <w:spacing w:after="0" w:line="397" w:lineRule="exact"/>
        <w:rPr>
          <w:rFonts w:ascii="Times New Roman" w:cs="Times New Roman" w:eastAsia="Times New Roman" w:hAnsi="Times New Roman"/>
          <w:sz w:val="13"/>
          <w:szCs w:val="13"/>
          <w:u w:val="single" w:color="auto"/>
          <w:color w:val="0000FF"/>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323" w:lineRule="exact"/>
        <w:rPr>
          <w:rFonts w:ascii="Times New Roman" w:cs="Times New Roman" w:eastAsia="Times New Roman" w:hAnsi="Times New Roman"/>
          <w:sz w:val="13"/>
          <w:szCs w:val="13"/>
          <w:u w:val="single" w:color="auto"/>
          <w:color w:val="0000FF"/>
        </w:rPr>
      </w:pPr>
    </w:p>
    <w:p>
      <w:pPr>
        <w:sectPr>
          <w:pgSz w:w="11900" w:h="16838" w:orient="portrait"/>
          <w:cols w:equalWidth="0" w:num="4">
            <w:col w:w="860" w:space="180"/>
            <w:col w:w="4560" w:space="280"/>
            <w:col w:w="3640" w:space="560"/>
            <w:col w:w="1080"/>
          </w:cols>
          <w:pgMar w:left="220" w:top="773" w:right="519" w:bottom="1440" w:gutter="0" w:footer="0" w:header="0"/>
          <w:type w:val="continuous"/>
        </w:sectPr>
      </w:pPr>
    </w:p>
    <w:tbl>
      <w:tblPr>
        <w:tblLayout w:type="fixed"/>
        <w:tblInd w:w="360" w:type="dxa"/>
        <w:tblCellMar>
          <w:top w:w="0" w:type="dxa"/>
          <w:left w:w="0" w:type="dxa"/>
          <w:bottom w:w="0" w:type="dxa"/>
          <w:right w:w="0" w:type="dxa"/>
        </w:tblCellMar>
      </w:tblPr>
      <w:tr>
        <w:trPr>
          <w:trHeight w:val="149"/>
        </w:trPr>
        <w:tc>
          <w:tcPr>
            <w:tcW w:w="6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31.2</w:t>
            </w:r>
          </w:p>
        </w:tc>
        <w:tc>
          <w:tcPr>
            <w:tcW w:w="4580" w:type="dxa"/>
            <w:vAlign w:val="bottom"/>
            <w:gridSpan w:val="7"/>
          </w:tcPr>
          <w:p>
            <w:pPr>
              <w:spacing w:after="0"/>
              <w:rPr>
                <w:rFonts w:ascii="Times New Roman" w:cs="Times New Roman" w:eastAsia="Times New Roman" w:hAnsi="Times New Roman"/>
                <w:sz w:val="13"/>
                <w:szCs w:val="13"/>
                <w:color w:val="0000FF"/>
              </w:rPr>
            </w:pPr>
            <w:hyperlink w:anchor="page101">
              <w:r>
                <w:rPr>
                  <w:rFonts w:ascii="Times New Roman" w:cs="Times New Roman" w:eastAsia="Times New Roman" w:hAnsi="Times New Roman"/>
                  <w:sz w:val="13"/>
                  <w:szCs w:val="13"/>
                  <w:color w:val="0000FF"/>
                </w:rPr>
                <w:t>Certification of Principal Financial Officer Pursuant to Rules 13a-14(a) and 15d-14(a)</w:t>
              </w:r>
            </w:hyperlink>
          </w:p>
        </w:tc>
      </w:tr>
      <w:tr>
        <w:trPr>
          <w:trHeight w:val="20"/>
        </w:trPr>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0"/>
        </w:trPr>
        <w:tc>
          <w:tcPr>
            <w:tcW w:w="680" w:type="dxa"/>
            <w:vAlign w:val="bottom"/>
          </w:tcPr>
          <w:p>
            <w:pPr>
              <w:spacing w:after="0"/>
              <w:rPr>
                <w:sz w:val="10"/>
                <w:szCs w:val="10"/>
                <w:color w:val="auto"/>
              </w:rPr>
            </w:pPr>
          </w:p>
        </w:tc>
        <w:tc>
          <w:tcPr>
            <w:tcW w:w="4580" w:type="dxa"/>
            <w:vAlign w:val="bottom"/>
            <w:gridSpan w:val="7"/>
          </w:tcPr>
          <w:p>
            <w:pPr>
              <w:spacing w:after="0" w:line="120" w:lineRule="exact"/>
              <w:rPr>
                <w:rFonts w:ascii="Times New Roman" w:cs="Times New Roman" w:eastAsia="Times New Roman" w:hAnsi="Times New Roman"/>
                <w:sz w:val="13"/>
                <w:szCs w:val="13"/>
                <w:color w:val="0000FF"/>
                <w:w w:val="99"/>
              </w:rPr>
            </w:pPr>
            <w:hyperlink w:anchor="page101">
              <w:r>
                <w:rPr>
                  <w:rFonts w:ascii="Times New Roman" w:cs="Times New Roman" w:eastAsia="Times New Roman" w:hAnsi="Times New Roman"/>
                  <w:sz w:val="13"/>
                  <w:szCs w:val="13"/>
                  <w:color w:val="0000FF"/>
                  <w:w w:val="99"/>
                </w:rPr>
                <w:t>under the Exchange Act, as Adopted Pursuant to Section 302 of the Sarbanes-Oxley Act</w:t>
              </w:r>
            </w:hyperlink>
          </w:p>
        </w:tc>
      </w:tr>
      <w:tr>
        <w:trPr>
          <w:trHeight w:val="120"/>
        </w:trPr>
        <w:tc>
          <w:tcPr>
            <w:tcW w:w="680" w:type="dxa"/>
            <w:vAlign w:val="bottom"/>
          </w:tcPr>
          <w:p>
            <w:pPr>
              <w:spacing w:after="0"/>
              <w:rPr>
                <w:sz w:val="10"/>
                <w:szCs w:val="10"/>
                <w:color w:val="auto"/>
              </w:rPr>
            </w:pPr>
          </w:p>
        </w:tc>
        <w:tc>
          <w:tcPr>
            <w:tcW w:w="4560" w:type="dxa"/>
            <w:vAlign w:val="bottom"/>
            <w:tcBorders>
              <w:top w:val="single" w:sz="8" w:color="0000FF"/>
            </w:tcBorders>
            <w:gridSpan w:val="6"/>
          </w:tcPr>
          <w:p>
            <w:pPr>
              <w:spacing w:after="0" w:line="120" w:lineRule="exact"/>
              <w:rPr>
                <w:rFonts w:ascii="Times New Roman" w:cs="Times New Roman" w:eastAsia="Times New Roman" w:hAnsi="Times New Roman"/>
                <w:sz w:val="13"/>
                <w:szCs w:val="13"/>
                <w:color w:val="0000FF"/>
              </w:rPr>
            </w:pPr>
            <w:hyperlink w:anchor="page101">
              <w:r>
                <w:rPr>
                  <w:rFonts w:ascii="Times New Roman" w:cs="Times New Roman" w:eastAsia="Times New Roman" w:hAnsi="Times New Roman"/>
                  <w:sz w:val="13"/>
                  <w:szCs w:val="13"/>
                  <w:color w:val="0000FF"/>
                </w:rPr>
                <w:t>of 2002.</w:t>
              </w:r>
            </w:hyperlink>
          </w:p>
        </w:tc>
        <w:tc>
          <w:tcPr>
            <w:tcW w:w="20" w:type="dxa"/>
            <w:vAlign w:val="bottom"/>
          </w:tcPr>
          <w:p>
            <w:pPr>
              <w:spacing w:after="0"/>
              <w:rPr>
                <w:sz w:val="10"/>
                <w:szCs w:val="10"/>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3"/>
        </w:trPr>
        <w:tc>
          <w:tcPr>
            <w:tcW w:w="6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32.1*</w:t>
            </w:r>
          </w:p>
        </w:tc>
        <w:tc>
          <w:tcPr>
            <w:tcW w:w="4580" w:type="dxa"/>
            <w:vAlign w:val="bottom"/>
            <w:gridSpan w:val="7"/>
          </w:tcPr>
          <w:p>
            <w:pPr>
              <w:spacing w:after="0"/>
              <w:rPr>
                <w:rFonts w:ascii="Times New Roman" w:cs="Times New Roman" w:eastAsia="Times New Roman" w:hAnsi="Times New Roman"/>
                <w:sz w:val="13"/>
                <w:szCs w:val="13"/>
                <w:color w:val="0000FF"/>
              </w:rPr>
            </w:pPr>
            <w:hyperlink w:anchor="page102">
              <w:r>
                <w:rPr>
                  <w:rFonts w:ascii="Times New Roman" w:cs="Times New Roman" w:eastAsia="Times New Roman" w:hAnsi="Times New Roman"/>
                  <w:sz w:val="13"/>
                  <w:szCs w:val="13"/>
                  <w:color w:val="0000FF"/>
                </w:rPr>
                <w:t>Certification of Principal Executive Officer Pursuant to 18 U.S.C. Section 1350, as</w:t>
              </w:r>
            </w:hyperlink>
          </w:p>
        </w:tc>
      </w:tr>
      <w:tr>
        <w:trPr>
          <w:trHeight w:val="120"/>
        </w:trPr>
        <w:tc>
          <w:tcPr>
            <w:tcW w:w="680" w:type="dxa"/>
            <w:vAlign w:val="bottom"/>
          </w:tcPr>
          <w:p>
            <w:pPr>
              <w:spacing w:after="0"/>
              <w:rPr>
                <w:sz w:val="10"/>
                <w:szCs w:val="10"/>
                <w:color w:val="auto"/>
              </w:rPr>
            </w:pPr>
          </w:p>
        </w:tc>
        <w:tc>
          <w:tcPr>
            <w:tcW w:w="3580" w:type="dxa"/>
            <w:vAlign w:val="bottom"/>
            <w:tcBorders>
              <w:top w:val="single" w:sz="8" w:color="0000FF"/>
              <w:bottom w:val="single" w:sz="8" w:color="0000FF"/>
            </w:tcBorders>
            <w:gridSpan w:val="2"/>
          </w:tcPr>
          <w:p>
            <w:pPr>
              <w:spacing w:after="0" w:line="120" w:lineRule="exact"/>
              <w:rPr>
                <w:rFonts w:ascii="Times New Roman" w:cs="Times New Roman" w:eastAsia="Times New Roman" w:hAnsi="Times New Roman"/>
                <w:sz w:val="13"/>
                <w:szCs w:val="13"/>
                <w:color w:val="0000FF"/>
                <w:w w:val="98"/>
              </w:rPr>
            </w:pPr>
            <w:hyperlink w:anchor="page102">
              <w:r>
                <w:rPr>
                  <w:rFonts w:ascii="Times New Roman" w:cs="Times New Roman" w:eastAsia="Times New Roman" w:hAnsi="Times New Roman"/>
                  <w:sz w:val="13"/>
                  <w:szCs w:val="13"/>
                  <w:color w:val="0000FF"/>
                  <w:w w:val="98"/>
                </w:rPr>
                <w:t>Adopted Pursuant to Section 906 of the Sarbanes-Oxley Act of 2002.</w:t>
              </w:r>
            </w:hyperlink>
          </w:p>
        </w:tc>
        <w:tc>
          <w:tcPr>
            <w:tcW w:w="700" w:type="dxa"/>
            <w:vAlign w:val="bottom"/>
            <w:tcBorders>
              <w:top w:val="single" w:sz="8" w:color="0000FF"/>
            </w:tcBorders>
            <w:gridSpan w:val="2"/>
          </w:tcPr>
          <w:p>
            <w:pPr>
              <w:spacing w:after="0"/>
              <w:rPr>
                <w:sz w:val="10"/>
                <w:szCs w:val="10"/>
                <w:color w:val="auto"/>
              </w:rPr>
            </w:pPr>
          </w:p>
        </w:tc>
        <w:tc>
          <w:tcPr>
            <w:tcW w:w="300" w:type="dxa"/>
            <w:vAlign w:val="bottom"/>
            <w:gridSpan w:val="3"/>
          </w:tcPr>
          <w:p>
            <w:pPr>
              <w:spacing w:after="0"/>
              <w:rPr>
                <w:sz w:val="10"/>
                <w:szCs w:val="10"/>
                <w:color w:val="auto"/>
              </w:rPr>
            </w:pPr>
          </w:p>
        </w:tc>
      </w:tr>
      <w:tr>
        <w:trPr>
          <w:trHeight w:val="163"/>
        </w:trPr>
        <w:tc>
          <w:tcPr>
            <w:tcW w:w="6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32.2*</w:t>
            </w:r>
          </w:p>
        </w:tc>
        <w:tc>
          <w:tcPr>
            <w:tcW w:w="4580" w:type="dxa"/>
            <w:vAlign w:val="bottom"/>
            <w:gridSpan w:val="7"/>
          </w:tcPr>
          <w:p>
            <w:pPr>
              <w:spacing w:after="0"/>
              <w:rPr>
                <w:rFonts w:ascii="Times New Roman" w:cs="Times New Roman" w:eastAsia="Times New Roman" w:hAnsi="Times New Roman"/>
                <w:sz w:val="13"/>
                <w:szCs w:val="13"/>
                <w:color w:val="0000FF"/>
              </w:rPr>
            </w:pPr>
            <w:hyperlink w:anchor="page103">
              <w:r>
                <w:rPr>
                  <w:rFonts w:ascii="Times New Roman" w:cs="Times New Roman" w:eastAsia="Times New Roman" w:hAnsi="Times New Roman"/>
                  <w:sz w:val="13"/>
                  <w:szCs w:val="13"/>
                  <w:color w:val="0000FF"/>
                </w:rPr>
                <w:t>Certification of Principal Financial Officer Pursuant to 18 U.S.C. Section 1350, as</w:t>
              </w:r>
            </w:hyperlink>
          </w:p>
        </w:tc>
      </w:tr>
      <w:tr>
        <w:trPr>
          <w:trHeight w:val="120"/>
        </w:trPr>
        <w:tc>
          <w:tcPr>
            <w:tcW w:w="680" w:type="dxa"/>
            <w:vAlign w:val="bottom"/>
          </w:tcPr>
          <w:p>
            <w:pPr>
              <w:spacing w:after="0"/>
              <w:rPr>
                <w:sz w:val="10"/>
                <w:szCs w:val="10"/>
                <w:color w:val="auto"/>
              </w:rPr>
            </w:pPr>
          </w:p>
        </w:tc>
        <w:tc>
          <w:tcPr>
            <w:tcW w:w="3580" w:type="dxa"/>
            <w:vAlign w:val="bottom"/>
            <w:tcBorders>
              <w:top w:val="single" w:sz="8" w:color="0000FF"/>
              <w:bottom w:val="single" w:sz="8" w:color="0000FF"/>
            </w:tcBorders>
            <w:gridSpan w:val="2"/>
          </w:tcPr>
          <w:p>
            <w:pPr>
              <w:spacing w:after="0" w:line="120" w:lineRule="exact"/>
              <w:rPr>
                <w:rFonts w:ascii="Times New Roman" w:cs="Times New Roman" w:eastAsia="Times New Roman" w:hAnsi="Times New Roman"/>
                <w:sz w:val="13"/>
                <w:szCs w:val="13"/>
                <w:color w:val="0000FF"/>
                <w:w w:val="98"/>
              </w:rPr>
            </w:pPr>
            <w:hyperlink w:anchor="page103">
              <w:r>
                <w:rPr>
                  <w:rFonts w:ascii="Times New Roman" w:cs="Times New Roman" w:eastAsia="Times New Roman" w:hAnsi="Times New Roman"/>
                  <w:sz w:val="13"/>
                  <w:szCs w:val="13"/>
                  <w:color w:val="0000FF"/>
                  <w:w w:val="98"/>
                </w:rPr>
                <w:t>Adopted Pursuant to Section 906 of the Sarbanes-Oxley Act of 2002.</w:t>
              </w:r>
            </w:hyperlink>
          </w:p>
        </w:tc>
        <w:tc>
          <w:tcPr>
            <w:tcW w:w="660" w:type="dxa"/>
            <w:vAlign w:val="bottom"/>
            <w:tcBorders>
              <w:top w:val="single" w:sz="8" w:color="0000FF"/>
            </w:tcBorders>
          </w:tcPr>
          <w:p>
            <w:pPr>
              <w:spacing w:after="0"/>
              <w:rPr>
                <w:sz w:val="10"/>
                <w:szCs w:val="10"/>
                <w:color w:val="auto"/>
              </w:rPr>
            </w:pPr>
          </w:p>
        </w:tc>
        <w:tc>
          <w:tcPr>
            <w:tcW w:w="340" w:type="dxa"/>
            <w:vAlign w:val="bottom"/>
            <w:gridSpan w:val="4"/>
          </w:tcPr>
          <w:p>
            <w:pPr>
              <w:spacing w:after="0"/>
              <w:rPr>
                <w:sz w:val="10"/>
                <w:szCs w:val="10"/>
                <w:color w:val="auto"/>
              </w:rPr>
            </w:pPr>
          </w:p>
        </w:tc>
      </w:tr>
      <w:tr>
        <w:trPr>
          <w:trHeight w:val="196"/>
        </w:trPr>
        <w:tc>
          <w:tcPr>
            <w:tcW w:w="6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101.INS</w:t>
            </w:r>
          </w:p>
        </w:tc>
        <w:tc>
          <w:tcPr>
            <w:tcW w:w="45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XBRL Instance Document - the instance document does not appear in the Interactive</w:t>
            </w:r>
          </w:p>
        </w:tc>
      </w:tr>
      <w:tr>
        <w:trPr>
          <w:trHeight w:val="167"/>
        </w:trPr>
        <w:tc>
          <w:tcPr>
            <w:tcW w:w="680" w:type="dxa"/>
            <w:vAlign w:val="bottom"/>
          </w:tcPr>
          <w:p>
            <w:pPr>
              <w:spacing w:after="0"/>
              <w:rPr>
                <w:sz w:val="14"/>
                <w:szCs w:val="14"/>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Data File because its XBRL tags are embedded within the Inline XBRL document.</w:t>
            </w:r>
          </w:p>
        </w:tc>
      </w:tr>
      <w:tr>
        <w:trPr>
          <w:trHeight w:val="205"/>
        </w:trPr>
        <w:tc>
          <w:tcPr>
            <w:tcW w:w="6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9"/>
              </w:rPr>
              <w:t>101.SCH</w:t>
            </w:r>
          </w:p>
        </w:tc>
        <w:tc>
          <w:tcPr>
            <w:tcW w:w="45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XBRL Taxonomy Extension Schema Document.</w:t>
            </w:r>
          </w:p>
        </w:tc>
      </w:tr>
      <w:tr>
        <w:trPr>
          <w:trHeight w:val="205"/>
        </w:trPr>
        <w:tc>
          <w:tcPr>
            <w:tcW w:w="6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8"/>
              </w:rPr>
              <w:t>101.CAL</w:t>
            </w:r>
          </w:p>
        </w:tc>
        <w:tc>
          <w:tcPr>
            <w:tcW w:w="45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XBRL Taxonomy Extension Calculation Linkbase Document.</w:t>
            </w:r>
          </w:p>
        </w:tc>
      </w:tr>
      <w:tr>
        <w:trPr>
          <w:trHeight w:val="205"/>
        </w:trPr>
        <w:tc>
          <w:tcPr>
            <w:tcW w:w="6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101.DEF</w:t>
            </w:r>
          </w:p>
        </w:tc>
        <w:tc>
          <w:tcPr>
            <w:tcW w:w="45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XBRL Taxonomy Extension Definition Linkbase Document.</w:t>
            </w:r>
          </w:p>
        </w:tc>
      </w:tr>
      <w:tr>
        <w:trPr>
          <w:trHeight w:val="205"/>
        </w:trPr>
        <w:tc>
          <w:tcPr>
            <w:tcW w:w="6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8"/>
              </w:rPr>
              <w:t>101.LAB</w:t>
            </w:r>
          </w:p>
        </w:tc>
        <w:tc>
          <w:tcPr>
            <w:tcW w:w="45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XBRL Taxonomy Extension Label Linkbase Document.</w:t>
            </w:r>
          </w:p>
        </w:tc>
      </w:tr>
      <w:tr>
        <w:trPr>
          <w:trHeight w:val="205"/>
        </w:trPr>
        <w:tc>
          <w:tcPr>
            <w:tcW w:w="68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101.PRE</w:t>
            </w:r>
          </w:p>
        </w:tc>
        <w:tc>
          <w:tcPr>
            <w:tcW w:w="45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X</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244" w:lineRule="exact"/>
        <w:rPr>
          <w:sz w:val="20"/>
          <w:szCs w:val="20"/>
          <w:color w:val="auto"/>
        </w:rPr>
      </w:pPr>
    </w:p>
    <w:p>
      <w:pPr>
        <w:sectPr>
          <w:pgSz w:w="11900" w:h="16838" w:orient="portrait"/>
          <w:cols w:equalWidth="0" w:num="2">
            <w:col w:w="9360" w:space="720"/>
            <w:col w:w="1080"/>
          </w:cols>
          <w:pgMar w:left="220" w:top="773" w:right="519" w:bottom="1440" w:gutter="0" w:footer="0" w:header="0"/>
          <w:type w:val="continuous"/>
        </w:sectPr>
      </w:pPr>
    </w:p>
    <w:p>
      <w:pPr>
        <w:ind w:firstLine="6"/>
        <w:spacing w:after="0" w:line="256" w:lineRule="auto"/>
        <w:tabs>
          <w:tab w:leader="none" w:pos="97"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9996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160"/>
          </w:cols>
          <w:pgMar w:left="220" w:top="773" w:right="519" w:bottom="1440" w:gutter="0" w:footer="0" w:header="0"/>
          <w:type w:val="continuous"/>
        </w:sectPr>
      </w:pPr>
    </w:p>
    <w:bookmarkStart w:id="54" w:name="page55"/>
    <w:bookmarkEnd w:id="54"/>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6, 2019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60"/>
        <w:spacing w:after="0"/>
        <w:tabs>
          <w:tab w:leader="none" w:pos="7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27940</wp:posOffset>
            </wp:positionV>
            <wp:extent cx="179959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1799590" cy="6985"/>
                    </a:xfrm>
                    <a:prstGeom prst="rect">
                      <a:avLst/>
                    </a:prstGeom>
                    <a:noFill/>
                  </pic:spPr>
                </pic:pic>
              </a:graphicData>
            </a:graphic>
          </wp:anchor>
        </w:drawing>
      </w:r>
    </w:p>
    <w:p>
      <w:pPr>
        <w:spacing w:after="0" w:line="35"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3"/>
          <w:szCs w:val="13"/>
          <w:color w:val="auto"/>
        </w:rPr>
        <w:t>John Foley</w:t>
      </w:r>
    </w:p>
    <w:p>
      <w:pPr>
        <w:ind w:left="7900"/>
        <w:spacing w:after="0" w:line="232" w:lineRule="auto"/>
        <w:rPr>
          <w:sz w:val="20"/>
          <w:szCs w:val="20"/>
          <w:color w:val="auto"/>
        </w:rPr>
      </w:pPr>
      <w:r>
        <w:rPr>
          <w:rFonts w:ascii="Times New Roman" w:cs="Times New Roman" w:eastAsia="Times New Roman" w:hAnsi="Times New Roman"/>
          <w:sz w:val="13"/>
          <w:szCs w:val="13"/>
          <w:color w:val="auto"/>
        </w:rPr>
        <w:t>Chief Executive Officer</w:t>
      </w:r>
    </w:p>
    <w:p>
      <w:pPr>
        <w:ind w:left="790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p>
      <w:pPr>
        <w:spacing w:after="0" w:line="200" w:lineRule="exact"/>
        <w:rPr>
          <w:sz w:val="20"/>
          <w:szCs w:val="20"/>
          <w:color w:val="auto"/>
        </w:rPr>
      </w:pPr>
    </w:p>
    <w:p>
      <w:pPr>
        <w:spacing w:after="0" w:line="391" w:lineRule="exact"/>
        <w:rPr>
          <w:sz w:val="20"/>
          <w:szCs w:val="20"/>
          <w:color w:val="auto"/>
        </w:rPr>
      </w:pPr>
    </w:p>
    <w:p>
      <w:pPr>
        <w:ind w:left="5060"/>
        <w:spacing w:after="0"/>
        <w:tabs>
          <w:tab w:leader="none" w:pos="7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27940</wp:posOffset>
            </wp:positionV>
            <wp:extent cx="179959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1799590" cy="6985"/>
                    </a:xfrm>
                    <a:prstGeom prst="rect">
                      <a:avLst/>
                    </a:prstGeom>
                    <a:noFill/>
                  </pic:spPr>
                </pic:pic>
              </a:graphicData>
            </a:graphic>
          </wp:anchor>
        </w:drawing>
      </w:r>
    </w:p>
    <w:p>
      <w:pPr>
        <w:spacing w:after="0" w:line="35"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3"/>
          <w:szCs w:val="13"/>
          <w:color w:val="auto"/>
        </w:rPr>
        <w:t>Jill Woodworth</w:t>
      </w:r>
    </w:p>
    <w:p>
      <w:pPr>
        <w:ind w:left="7900"/>
        <w:spacing w:after="0" w:line="232" w:lineRule="auto"/>
        <w:rPr>
          <w:sz w:val="20"/>
          <w:szCs w:val="20"/>
          <w:color w:val="auto"/>
        </w:rPr>
      </w:pPr>
      <w:r>
        <w:rPr>
          <w:rFonts w:ascii="Times New Roman" w:cs="Times New Roman" w:eastAsia="Times New Roman" w:hAnsi="Times New Roman"/>
          <w:sz w:val="13"/>
          <w:szCs w:val="13"/>
          <w:color w:val="auto"/>
        </w:rPr>
        <w:t>Chief Financial Officer</w:t>
      </w:r>
    </w:p>
    <w:p>
      <w:pPr>
        <w:ind w:left="7900"/>
        <w:spacing w:after="0"/>
        <w:rPr>
          <w:sz w:val="20"/>
          <w:szCs w:val="20"/>
          <w:color w:val="auto"/>
        </w:rPr>
      </w:pPr>
      <w:r>
        <w:rPr>
          <w:rFonts w:ascii="Times New Roman" w:cs="Times New Roman" w:eastAsia="Times New Roman" w:hAnsi="Times New Roman"/>
          <w:sz w:val="13"/>
          <w:szCs w:val="13"/>
          <w:i w:val="1"/>
          <w:iCs w:val="1"/>
          <w:color w:val="auto"/>
        </w:rPr>
        <w:t>(Principal Financial and Accounting Officer)</w:t>
      </w:r>
    </w:p>
    <w:p>
      <w:pPr>
        <w:spacing w:after="0" w:line="200" w:lineRule="exact"/>
        <w:rPr>
          <w:sz w:val="20"/>
          <w:szCs w:val="20"/>
          <w:color w:val="auto"/>
        </w:rPr>
      </w:pP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680"/>
          </w:cols>
          <w:pgMar w:left="220" w:top="386" w:right="999" w:bottom="1440"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John Foley, certify that:</w:t>
      </w:r>
    </w:p>
    <w:p>
      <w:pPr>
        <w:spacing w:after="0" w:line="195" w:lineRule="exact"/>
        <w:rPr>
          <w:sz w:val="20"/>
          <w:szCs w:val="20"/>
          <w:color w:val="auto"/>
        </w:rPr>
      </w:pPr>
    </w:p>
    <w:p>
      <w:pPr>
        <w:ind w:left="520" w:hanging="514"/>
        <w:spacing w:after="0"/>
        <w:tabs>
          <w:tab w:leader="none" w:pos="5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Peloton Interactive, Inc.;</w:t>
      </w:r>
    </w:p>
    <w:p>
      <w:pPr>
        <w:spacing w:after="0" w:line="195" w:lineRule="exact"/>
        <w:rPr>
          <w:rFonts w:ascii="Times New Roman" w:cs="Times New Roman" w:eastAsia="Times New Roman" w:hAnsi="Times New Roman"/>
          <w:sz w:val="13"/>
          <w:szCs w:val="13"/>
          <w:color w:val="auto"/>
        </w:rPr>
      </w:pPr>
    </w:p>
    <w:p>
      <w:pPr>
        <w:ind w:firstLine="6"/>
        <w:spacing w:after="0" w:line="270" w:lineRule="auto"/>
        <w:tabs>
          <w:tab w:leader="none" w:pos="50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3"/>
          <w:szCs w:val="13"/>
          <w:color w:val="auto"/>
        </w:rPr>
      </w:pPr>
    </w:p>
    <w:p>
      <w:pPr>
        <w:ind w:firstLine="6"/>
        <w:spacing w:after="0" w:line="270" w:lineRule="auto"/>
        <w:tabs>
          <w:tab w:leader="none" w:pos="50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3"/>
          <w:szCs w:val="13"/>
          <w:color w:val="auto"/>
        </w:rPr>
      </w:pPr>
    </w:p>
    <w:p>
      <w:pPr>
        <w:ind w:left="520" w:hanging="514"/>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for the registrant and</w:t>
      </w:r>
    </w:p>
    <w:p>
      <w:pPr>
        <w:spacing w:after="0" w:line="2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have:</w:t>
      </w:r>
    </w:p>
    <w:p>
      <w:pPr>
        <w:spacing w:after="0" w:line="181" w:lineRule="exact"/>
        <w:rPr>
          <w:rFonts w:ascii="Times New Roman" w:cs="Times New Roman" w:eastAsia="Times New Roman" w:hAnsi="Times New Roman"/>
          <w:sz w:val="12"/>
          <w:szCs w:val="12"/>
          <w:color w:val="auto"/>
        </w:rPr>
      </w:pPr>
    </w:p>
    <w:p>
      <w:pPr>
        <w:ind w:left="520" w:hanging="255"/>
        <w:spacing w:after="0" w:line="270" w:lineRule="auto"/>
        <w:tabs>
          <w:tab w:leader="none" w:pos="502"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Times New Roman" w:cs="Times New Roman" w:eastAsia="Times New Roman" w:hAnsi="Times New Roman"/>
          <w:sz w:val="13"/>
          <w:szCs w:val="13"/>
          <w:color w:val="auto"/>
        </w:rPr>
      </w:pPr>
    </w:p>
    <w:p>
      <w:pPr>
        <w:ind w:left="520" w:hanging="255"/>
        <w:spacing w:after="0" w:line="270" w:lineRule="auto"/>
        <w:tabs>
          <w:tab w:leader="none" w:pos="509"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3"/>
          <w:szCs w:val="13"/>
          <w:color w:val="auto"/>
        </w:rPr>
      </w:pPr>
    </w:p>
    <w:p>
      <w:pPr>
        <w:ind w:left="520" w:hanging="255"/>
        <w:spacing w:after="0" w:line="270" w:lineRule="auto"/>
        <w:tabs>
          <w:tab w:leader="none" w:pos="502"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9" w:lineRule="exact"/>
        <w:rPr>
          <w:rFonts w:ascii="Times New Roman" w:cs="Times New Roman" w:eastAsia="Times New Roman" w:hAnsi="Times New Roman"/>
          <w:sz w:val="13"/>
          <w:szCs w:val="13"/>
          <w:color w:val="auto"/>
        </w:rPr>
      </w:pPr>
    </w:p>
    <w:p>
      <w:pPr>
        <w:ind w:firstLine="6"/>
        <w:spacing w:after="0" w:line="253" w:lineRule="auto"/>
        <w:tabs>
          <w:tab w:leader="none" w:pos="50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100" w:hanging="255"/>
        <w:spacing w:after="0" w:line="248" w:lineRule="auto"/>
        <w:tabs>
          <w:tab w:leader="none" w:pos="502"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6, 2019</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John Foley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John Foley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p>
      <w:pPr>
        <w:sectPr>
          <w:pgSz w:w="11900" w:h="16838" w:orient="portrait"/>
          <w:cols w:equalWidth="0" w:num="1">
            <w:col w:w="11460"/>
          </w:cols>
          <w:pgMar w:left="220" w:top="125" w:right="2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Jill Woodworth, certify that:</w:t>
      </w:r>
    </w:p>
    <w:p>
      <w:pPr>
        <w:spacing w:after="0" w:line="195" w:lineRule="exact"/>
        <w:rPr>
          <w:sz w:val="20"/>
          <w:szCs w:val="20"/>
          <w:color w:val="auto"/>
        </w:rPr>
      </w:pPr>
    </w:p>
    <w:p>
      <w:pPr>
        <w:ind w:left="520" w:hanging="514"/>
        <w:spacing w:after="0"/>
        <w:tabs>
          <w:tab w:leader="none" w:pos="5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Peloton Interactive, Inc.;</w:t>
      </w:r>
    </w:p>
    <w:p>
      <w:pPr>
        <w:spacing w:after="0" w:line="195" w:lineRule="exact"/>
        <w:rPr>
          <w:rFonts w:ascii="Times New Roman" w:cs="Times New Roman" w:eastAsia="Times New Roman" w:hAnsi="Times New Roman"/>
          <w:sz w:val="13"/>
          <w:szCs w:val="13"/>
          <w:color w:val="auto"/>
        </w:rPr>
      </w:pPr>
    </w:p>
    <w:p>
      <w:pPr>
        <w:ind w:firstLine="6"/>
        <w:spacing w:after="0" w:line="270" w:lineRule="auto"/>
        <w:tabs>
          <w:tab w:leader="none" w:pos="507"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3"/>
          <w:szCs w:val="13"/>
          <w:color w:val="auto"/>
        </w:rPr>
      </w:pPr>
    </w:p>
    <w:p>
      <w:pPr>
        <w:ind w:firstLine="6"/>
        <w:spacing w:after="0" w:line="270" w:lineRule="auto"/>
        <w:tabs>
          <w:tab w:leader="none" w:pos="507"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3"/>
          <w:szCs w:val="13"/>
          <w:color w:val="auto"/>
        </w:rPr>
      </w:pPr>
    </w:p>
    <w:p>
      <w:pPr>
        <w:ind w:left="520" w:hanging="514"/>
        <w:spacing w:after="0"/>
        <w:tabs>
          <w:tab w:leader="none" w:pos="5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for the registrant and</w:t>
      </w:r>
    </w:p>
    <w:p>
      <w:pPr>
        <w:spacing w:after="0" w:line="2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have:</w:t>
      </w:r>
    </w:p>
    <w:p>
      <w:pPr>
        <w:spacing w:after="0" w:line="181" w:lineRule="exact"/>
        <w:rPr>
          <w:rFonts w:ascii="Times New Roman" w:cs="Times New Roman" w:eastAsia="Times New Roman" w:hAnsi="Times New Roman"/>
          <w:sz w:val="12"/>
          <w:szCs w:val="12"/>
          <w:color w:val="auto"/>
        </w:rPr>
      </w:pPr>
    </w:p>
    <w:p>
      <w:pPr>
        <w:ind w:left="520" w:hanging="255"/>
        <w:spacing w:after="0" w:line="270" w:lineRule="auto"/>
        <w:tabs>
          <w:tab w:leader="none" w:pos="502"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Times New Roman" w:cs="Times New Roman" w:eastAsia="Times New Roman" w:hAnsi="Times New Roman"/>
          <w:sz w:val="13"/>
          <w:szCs w:val="13"/>
          <w:color w:val="auto"/>
        </w:rPr>
      </w:pPr>
    </w:p>
    <w:p>
      <w:pPr>
        <w:ind w:left="520" w:hanging="255"/>
        <w:spacing w:after="0" w:line="270" w:lineRule="auto"/>
        <w:tabs>
          <w:tab w:leader="none" w:pos="509"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3"/>
          <w:szCs w:val="13"/>
          <w:color w:val="auto"/>
        </w:rPr>
      </w:pPr>
    </w:p>
    <w:p>
      <w:pPr>
        <w:ind w:left="520" w:hanging="255"/>
        <w:spacing w:after="0" w:line="270" w:lineRule="auto"/>
        <w:tabs>
          <w:tab w:leader="none" w:pos="502"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9" w:lineRule="exact"/>
        <w:rPr>
          <w:rFonts w:ascii="Times New Roman" w:cs="Times New Roman" w:eastAsia="Times New Roman" w:hAnsi="Times New Roman"/>
          <w:sz w:val="13"/>
          <w:szCs w:val="13"/>
          <w:color w:val="auto"/>
        </w:rPr>
      </w:pPr>
    </w:p>
    <w:p>
      <w:pPr>
        <w:ind w:firstLine="6"/>
        <w:spacing w:after="0" w:line="253" w:lineRule="auto"/>
        <w:tabs>
          <w:tab w:leader="none" w:pos="507"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100" w:hanging="255"/>
        <w:spacing w:after="0" w:line="248" w:lineRule="auto"/>
        <w:tabs>
          <w:tab w:leader="none" w:pos="502"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6, 2019</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Jill Woodworth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Jill Woodworth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(Principal Financial and Accounting Officer)</w:t>
      </w:r>
    </w:p>
    <w:p>
      <w:pPr>
        <w:sectPr>
          <w:pgSz w:w="11900" w:h="16838" w:orient="portrait"/>
          <w:cols w:equalWidth="0" w:num="1">
            <w:col w:w="11460"/>
          </w:cols>
          <w:pgMar w:left="220" w:top="125" w:right="2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I, John Foley, Chief Executive Officer of Peloton Interactive, Inc. (the “Company”), do hereby certify, pursuant to 18 U.S.C. Section 1350, as adopted pursuant to Section 906 of the Sarbanes-Oxley Act of 2002, that to the best of my knowledge:</w:t>
      </w:r>
    </w:p>
    <w:p>
      <w:pPr>
        <w:spacing w:after="0" w:line="159" w:lineRule="exact"/>
        <w:rPr>
          <w:sz w:val="20"/>
          <w:szCs w:val="20"/>
          <w:color w:val="auto"/>
        </w:rPr>
      </w:pPr>
    </w:p>
    <w:p>
      <w:pPr>
        <w:ind w:left="520" w:hanging="255"/>
        <w:spacing w:after="0" w:line="270" w:lineRule="auto"/>
        <w:tabs>
          <w:tab w:leader="none" w:pos="509"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Quarterly Report on Form 10-Q of the Company for the fiscal quarter ended September 30, 2019 (the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6, 2019</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John Foley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John Foley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p>
      <w:pPr>
        <w:sectPr>
          <w:pgSz w:w="11900" w:h="16838" w:orient="portrait"/>
          <w:cols w:equalWidth="0" w:num="1">
            <w:col w:w="11460"/>
          </w:cols>
          <w:pgMar w:left="220" w:top="125" w:right="2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159" w:lineRule="exact"/>
        <w:rPr>
          <w:sz w:val="20"/>
          <w:szCs w:val="20"/>
          <w:color w:val="auto"/>
        </w:rPr>
      </w:pPr>
    </w:p>
    <w:p>
      <w:pPr>
        <w:ind w:left="520" w:hanging="255"/>
        <w:spacing w:after="0" w:line="270" w:lineRule="auto"/>
        <w:tabs>
          <w:tab w:leader="none" w:pos="509"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Quarterly Report on Form 10-Q of the Company for the fiscal quarter ended September 30, 2019 (the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13"/>
          <w:szCs w:val="13"/>
          <w:color w:val="auto"/>
        </w:rPr>
      </w:pPr>
    </w:p>
    <w:p>
      <w:pPr>
        <w:ind w:left="520" w:hanging="255"/>
        <w:spacing w:after="0"/>
        <w:tabs>
          <w:tab w:leader="none" w:pos="5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6, 2019</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Jill Woodworth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Jill Woodworth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(Principal Financial and Accounting Officer)</w:t>
      </w:r>
    </w:p>
    <w:sectPr>
      <w:pgSz w:w="11900" w:h="16838" w:orient="portrait"/>
      <w:cols w:equalWidth="0" w:num="1">
        <w:col w:w="11460"/>
      </w:cols>
      <w:pgMar w:left="22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19B500D"/>
    <w:multiLevelType w:val="hybridMultilevel"/>
    <w:lvl w:ilvl="0">
      <w:lvlJc w:val="left"/>
      <w:lvlText w:val="%1."/>
      <w:numFmt w:val="decimal"/>
      <w:start w:val="842"/>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lvl w:ilvl="1">
      <w:lvlJc w:val="left"/>
      <w:lvlText w:val="(%2)"/>
      <w:numFmt w:val="decimal"/>
      <w:start w:val="1"/>
    </w:lvl>
  </w:abstractNum>
  <w:abstractNum w:abstractNumId="6">
    <w:nsid w:val="7C83E458"/>
    <w:multiLevelType w:val="hybridMultilevel"/>
    <w:lvl w:ilvl="0">
      <w:lvlJc w:val="left"/>
      <w:lvlText w:val="%1."/>
      <w:numFmt w:val="decimal"/>
      <w:start w:val="5"/>
    </w:lvl>
    <w:lvl w:ilvl="1">
      <w:lvlJc w:val="left"/>
      <w:lvlText w:val="%2"/>
      <w:numFmt w:val="decimal"/>
      <w:start w:val="1"/>
    </w:lvl>
  </w:abstractNum>
  <w:abstractNum w:abstractNumId="7">
    <w:nsid w:val="257130A3"/>
    <w:multiLevelType w:val="hybridMultilevel"/>
    <w:lvl w:ilvl="0">
      <w:lvlJc w:val="left"/>
      <w:lvlText w:val="%1."/>
      <w:numFmt w:val="decimal"/>
      <w:start w:val="9"/>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09" Type="http://schemas.openxmlformats.org/officeDocument/2006/relationships/hyperlink" Target="http://www.sec.gov/Archives/edgar/data/1639825/000119312519242158/d738839dex41.htm" TargetMode="External"/><Relationship Id="rId110" Type="http://schemas.openxmlformats.org/officeDocument/2006/relationships/hyperlink" Target="http://www.sec.gov/Archives/edgar/data/1639825/000119312519230923/d738839dex101.htm" TargetMode="External"/><Relationship Id="rId113" Type="http://schemas.openxmlformats.org/officeDocument/2006/relationships/hyperlink" Target="http://www.sec.gov/Archives/edgar/data/1639825/000119312519242158/d738839dex103.htm" TargetMode="External"/><Relationship Id="rId114" Type="http://schemas.openxmlformats.org/officeDocument/2006/relationships/hyperlink" Target="http://www.sec.gov/Archives/edgar/data/1639825/000119312519255141/d807881dex48.htm" TargetMode="External"/><Relationship Id="rId115" Type="http://schemas.openxmlformats.org/officeDocument/2006/relationships/hyperlink" Target="http://www.sec.gov/Archives/edgar/data/1639825/000119312519242158/d738839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2019-12-28T02:23:00Z</dcterms:created>
  <dcterms:modified xsi:type="dcterms:W3CDTF">2019-12-28T02:23:00Z</dcterms:modified>
</cp:coreProperties>
</file>