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58055.xml.htm"/>
      <w:bookmarkStart w:id="1" w:name="kswkform4_17891580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Thomas-Graham Pamela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PELOTON INTERACTIVE,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441 NINTH AVENUE, SIXTH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PELOTON INTERACTIVE, INC.</w:t>
              </w:r>
            </w:hyperlink>
            <w:r>
              <w:rPr/>
              <w:t xml:space="preserve"> [ </w:t>
            </w:r>
            <w:r>
              <w:rPr>
                <w:rFonts w:ascii="Times;serif" w:hAnsi="Times;serif"/>
                <w:color w:val="0000FF"/>
                <w:sz w:val="24"/>
                <w:shd w:fill="FFFFFF" w:val="clear"/>
              </w:rPr>
              <w:t>PTON</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8,458</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143,234</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8,458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8,459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as to 25% of the total shares quarterly on each of March 9, 2026, June 9, 2026, September 9, 2026, and the earlier of (i) December 9, 2026 and (ii) the 2026 annual meeting of stockholders, subject to the Reporting Person's provision of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Tammy Albarran as attorney-in-fact for Pamela Thomas-Graham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7431" TargetMode="External"/><Relationship Id="rId5" Type="http://schemas.openxmlformats.org/officeDocument/2006/relationships/hyperlink" Target="http://www.sec.gov/cgi-bin/browse-edgar?action=getcompany&amp;CIK=000163982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666</Words>
  <Characters>3554</Characters>
  <CharactersWithSpaces>4139</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