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40" w:hanging="377"/>
        <w:spacing w:after="0"/>
        <w:tabs>
          <w:tab w:leader="none" w:pos="5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June 30, 2024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1" w:lineRule="exact"/>
        <w:rPr>
          <w:sz w:val="24"/>
          <w:szCs w:val="24"/>
          <w:color w:val="auto"/>
        </w:rPr>
      </w:pPr>
    </w:p>
    <w:p>
      <w:pPr>
        <w:ind w:left="540" w:hanging="377"/>
        <w:spacing w:after="0"/>
        <w:tabs>
          <w:tab w:leader="none" w:pos="5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001-39058</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Peloton Interactive, Inc.</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37465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88" w:lineRule="exact"/>
        <w:rPr>
          <w:sz w:val="24"/>
          <w:szCs w:val="24"/>
          <w:color w:val="auto"/>
        </w:rPr>
      </w:pPr>
    </w:p>
    <w:tbl>
      <w:tblPr>
        <w:tblLayout w:type="fixed"/>
        <w:tblInd w:w="1120" w:type="dxa"/>
        <w:tblCellMar>
          <w:top w:w="0" w:type="dxa"/>
          <w:left w:w="0" w:type="dxa"/>
          <w:bottom w:w="0" w:type="dxa"/>
          <w:right w:w="0" w:type="dxa"/>
        </w:tblCellMar>
      </w:tblPr>
      <w:tr>
        <w:trPr>
          <w:trHeight w:val="247"/>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rPr>
              <w:t>Delaware</w:t>
            </w:r>
          </w:p>
        </w:tc>
        <w:tc>
          <w:tcPr>
            <w:tcW w:w="5600" w:type="dxa"/>
            <w:vAlign w:val="bottom"/>
            <w:gridSpan w:val="3"/>
          </w:tcPr>
          <w:p>
            <w:pPr>
              <w:jc w:val="right"/>
              <w:ind w:right="8"/>
              <w:spacing w:after="0"/>
              <w:rPr>
                <w:sz w:val="20"/>
                <w:szCs w:val="20"/>
                <w:color w:val="auto"/>
              </w:rPr>
            </w:pPr>
            <w:r>
              <w:rPr>
                <w:rFonts w:ascii="Arial" w:cs="Arial" w:eastAsia="Arial" w:hAnsi="Arial"/>
                <w:sz w:val="18"/>
                <w:szCs w:val="18"/>
                <w:b w:val="1"/>
                <w:bCs w:val="1"/>
                <w:color w:val="auto"/>
              </w:rPr>
              <w:t>47-3533761</w:t>
            </w:r>
          </w:p>
        </w:tc>
      </w:tr>
      <w:tr>
        <w:trPr>
          <w:trHeight w:val="183"/>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(State or other jurisdiction of</w:t>
            </w:r>
          </w:p>
        </w:tc>
        <w:tc>
          <w:tcPr>
            <w:tcW w:w="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960" w:type="dxa"/>
            <w:vAlign w:val="bottom"/>
          </w:tcPr>
          <w:p>
            <w:pPr>
              <w:jc w:val="center"/>
              <w:ind w:left="1748"/>
              <w:spacing w:after="0"/>
              <w:rPr>
                <w:sz w:val="20"/>
                <w:szCs w:val="20"/>
                <w:color w:val="auto"/>
              </w:rPr>
            </w:pPr>
            <w:r>
              <w:rPr>
                <w:rFonts w:ascii="Arial" w:cs="Arial" w:eastAsia="Arial" w:hAnsi="Arial"/>
                <w:sz w:val="14"/>
                <w:szCs w:val="14"/>
                <w:i w:val="1"/>
                <w:iCs w:val="1"/>
                <w:color w:val="auto"/>
              </w:rPr>
              <w:t>(I.R.S. Employer</w:t>
            </w:r>
          </w:p>
        </w:tc>
      </w:tr>
      <w:tr>
        <w:trPr>
          <w:trHeight w:val="188"/>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incorporation or organization)</w:t>
            </w:r>
          </w:p>
        </w:tc>
        <w:tc>
          <w:tcPr>
            <w:tcW w:w="9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960" w:type="dxa"/>
            <w:vAlign w:val="bottom"/>
          </w:tcPr>
          <w:p>
            <w:pPr>
              <w:jc w:val="center"/>
              <w:ind w:left="1768"/>
              <w:spacing w:after="0"/>
              <w:rPr>
                <w:sz w:val="20"/>
                <w:szCs w:val="20"/>
                <w:color w:val="auto"/>
              </w:rPr>
            </w:pPr>
            <w:r>
              <w:rPr>
                <w:rFonts w:ascii="Arial" w:cs="Arial" w:eastAsia="Arial" w:hAnsi="Arial"/>
                <w:sz w:val="14"/>
                <w:szCs w:val="14"/>
                <w:i w:val="1"/>
                <w:iCs w:val="1"/>
                <w:color w:val="auto"/>
              </w:rPr>
              <w:t>Identification No.)</w:t>
            </w:r>
          </w:p>
        </w:tc>
      </w:tr>
      <w:tr>
        <w:trPr>
          <w:trHeight w:val="246"/>
        </w:trPr>
        <w:tc>
          <w:tcPr>
            <w:tcW w:w="2680" w:type="dxa"/>
            <w:vAlign w:val="bottom"/>
          </w:tcPr>
          <w:p>
            <w:pPr>
              <w:jc w:val="center"/>
              <w:ind w:right="59"/>
              <w:spacing w:after="0"/>
              <w:rPr>
                <w:sz w:val="20"/>
                <w:szCs w:val="20"/>
                <w:color w:val="auto"/>
              </w:rPr>
            </w:pPr>
            <w:r>
              <w:rPr>
                <w:rFonts w:ascii="Arial" w:cs="Arial" w:eastAsia="Arial" w:hAnsi="Arial"/>
                <w:sz w:val="18"/>
                <w:szCs w:val="18"/>
                <w:b w:val="1"/>
                <w:bCs w:val="1"/>
                <w:color w:val="auto"/>
                <w:w w:val="99"/>
              </w:rPr>
              <w:t>441 Ninth Avenue, Sixth Floor</w:t>
            </w:r>
          </w:p>
        </w:tc>
        <w:tc>
          <w:tcPr>
            <w:tcW w:w="5600" w:type="dxa"/>
            <w:vAlign w:val="bottom"/>
            <w:gridSpan w:val="3"/>
          </w:tcPr>
          <w:p>
            <w:pPr>
              <w:jc w:val="right"/>
              <w:ind w:right="248"/>
              <w:spacing w:after="0"/>
              <w:rPr>
                <w:sz w:val="20"/>
                <w:szCs w:val="20"/>
                <w:color w:val="auto"/>
              </w:rPr>
            </w:pPr>
            <w:r>
              <w:rPr>
                <w:rFonts w:ascii="Arial" w:cs="Arial" w:eastAsia="Arial" w:hAnsi="Arial"/>
                <w:sz w:val="18"/>
                <w:szCs w:val="18"/>
                <w:b w:val="1"/>
                <w:bCs w:val="1"/>
                <w:color w:val="auto"/>
              </w:rPr>
              <w:t>10001</w:t>
            </w:r>
          </w:p>
        </w:tc>
      </w:tr>
      <w:tr>
        <w:trPr>
          <w:trHeight w:val="241"/>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w w:val="98"/>
              </w:rPr>
              <w:t>New York, New York</w:t>
            </w:r>
          </w:p>
        </w:tc>
        <w:tc>
          <w:tcPr>
            <w:tcW w:w="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960" w:type="dxa"/>
            <w:vAlign w:val="bottom"/>
          </w:tcPr>
          <w:p>
            <w:pPr>
              <w:jc w:val="center"/>
              <w:ind w:left="1768"/>
              <w:spacing w:after="0"/>
              <w:rPr>
                <w:sz w:val="20"/>
                <w:szCs w:val="20"/>
                <w:color w:val="auto"/>
              </w:rPr>
            </w:pPr>
            <w:r>
              <w:rPr>
                <w:rFonts w:ascii="Arial" w:cs="Arial" w:eastAsia="Arial" w:hAnsi="Arial"/>
                <w:sz w:val="14"/>
                <w:szCs w:val="14"/>
                <w:i w:val="1"/>
                <w:iCs w:val="1"/>
                <w:color w:val="auto"/>
              </w:rPr>
              <w:t>(Zip Code)</w:t>
            </w:r>
          </w:p>
        </w:tc>
      </w:tr>
      <w:tr>
        <w:trPr>
          <w:trHeight w:val="188"/>
        </w:trPr>
        <w:tc>
          <w:tcPr>
            <w:tcW w:w="2680" w:type="dxa"/>
            <w:vAlign w:val="bottom"/>
          </w:tcPr>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tc>
        <w:tc>
          <w:tcPr>
            <w:tcW w:w="9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190"/>
        </w:trPr>
        <w:tc>
          <w:tcPr>
            <w:tcW w:w="2680" w:type="dxa"/>
            <w:vAlign w:val="bottom"/>
          </w:tcPr>
          <w:p>
            <w:pPr>
              <w:spacing w:after="0"/>
              <w:rPr>
                <w:sz w:val="16"/>
                <w:szCs w:val="16"/>
                <w:color w:val="auto"/>
              </w:rPr>
            </w:pPr>
          </w:p>
        </w:tc>
        <w:tc>
          <w:tcPr>
            <w:tcW w:w="2640" w:type="dxa"/>
            <w:vAlign w:val="bottom"/>
            <w:gridSpan w:val="2"/>
          </w:tcPr>
          <w:p>
            <w:pPr>
              <w:jc w:val="right"/>
              <w:ind w:right="200"/>
              <w:spacing w:after="0" w:line="190" w:lineRule="exact"/>
              <w:rPr>
                <w:sz w:val="20"/>
                <w:szCs w:val="20"/>
                <w:color w:val="auto"/>
              </w:rPr>
            </w:pPr>
            <w:r>
              <w:rPr>
                <w:rFonts w:ascii="Arial" w:cs="Arial" w:eastAsia="Arial" w:hAnsi="Arial"/>
                <w:sz w:val="18"/>
                <w:szCs w:val="18"/>
                <w:b w:val="1"/>
                <w:bCs w:val="1"/>
                <w:color w:val="auto"/>
              </w:rPr>
              <w:t>(929) 567-0006</w:t>
            </w:r>
          </w:p>
        </w:tc>
        <w:tc>
          <w:tcPr>
            <w:tcW w:w="2960" w:type="dxa"/>
            <w:vAlign w:val="bottom"/>
          </w:tcPr>
          <w:p>
            <w:pPr>
              <w:spacing w:after="0"/>
              <w:rPr>
                <w:sz w:val="16"/>
                <w:szCs w:val="16"/>
                <w:color w:val="auto"/>
              </w:rPr>
            </w:pPr>
          </w:p>
        </w:tc>
      </w:tr>
      <w:tr>
        <w:trPr>
          <w:trHeight w:val="188"/>
        </w:trPr>
        <w:tc>
          <w:tcPr>
            <w:tcW w:w="2680" w:type="dxa"/>
            <w:vAlign w:val="bottom"/>
          </w:tcPr>
          <w:p>
            <w:pPr>
              <w:spacing w:after="0"/>
              <w:rPr>
                <w:sz w:val="16"/>
                <w:szCs w:val="16"/>
                <w:color w:val="auto"/>
              </w:rPr>
            </w:pPr>
          </w:p>
        </w:tc>
        <w:tc>
          <w:tcPr>
            <w:tcW w:w="5600" w:type="dxa"/>
            <w:vAlign w:val="bottom"/>
            <w:gridSpan w:val="3"/>
          </w:tcPr>
          <w:p>
            <w:pPr>
              <w:jc w:val="center"/>
              <w:ind w:right="1868"/>
              <w:spacing w:after="0"/>
              <w:rPr>
                <w:sz w:val="20"/>
                <w:szCs w:val="20"/>
                <w:color w:val="auto"/>
              </w:rPr>
            </w:pPr>
            <w:r>
              <w:rPr>
                <w:rFonts w:ascii="Arial" w:cs="Arial" w:eastAsia="Arial" w:hAnsi="Arial"/>
                <w:sz w:val="14"/>
                <w:szCs w:val="14"/>
                <w:i w:val="1"/>
                <w:iCs w:val="1"/>
                <w:color w:val="auto"/>
              </w:rPr>
              <w:t>(Registrant’s telephone number, including area code)</w:t>
            </w:r>
          </w:p>
        </w:tc>
      </w:tr>
      <w:tr>
        <w:trPr>
          <w:trHeight w:val="62"/>
        </w:trPr>
        <w:tc>
          <w:tcPr>
            <w:tcW w:w="2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960" w:type="dxa"/>
            <w:vAlign w:val="bottom"/>
          </w:tcPr>
          <w:p>
            <w:pPr>
              <w:spacing w:after="0"/>
              <w:rPr>
                <w:sz w:val="5"/>
                <w:szCs w:val="5"/>
                <w:color w:val="auto"/>
              </w:rPr>
            </w:pPr>
          </w:p>
        </w:tc>
      </w:tr>
    </w:tbl>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 w:lineRule="exact"/>
        <w:rPr>
          <w:sz w:val="24"/>
          <w:szCs w:val="24"/>
          <w:color w:val="auto"/>
        </w:rPr>
      </w:pPr>
    </w:p>
    <w:tbl>
      <w:tblPr>
        <w:tblLayout w:type="fixed"/>
        <w:tblInd w:w="650" w:type="dxa"/>
        <w:tblCellMar>
          <w:top w:w="0" w:type="dxa"/>
          <w:left w:w="0" w:type="dxa"/>
          <w:bottom w:w="0" w:type="dxa"/>
          <w:right w:w="0" w:type="dxa"/>
        </w:tblCellMar>
      </w:tblPr>
      <w:tr>
        <w:trPr>
          <w:trHeight w:val="290"/>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34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Class A common stock, $0.000025 par</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PTON</w:t>
            </w:r>
          </w:p>
        </w:tc>
        <w:tc>
          <w:tcPr>
            <w:tcW w:w="4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153"/>
        </w:trPr>
        <w:tc>
          <w:tcPr>
            <w:tcW w:w="3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value per share</w:t>
            </w:r>
          </w:p>
        </w:tc>
        <w:tc>
          <w:tcPr>
            <w:tcW w:w="2120" w:type="dxa"/>
            <w:vAlign w:val="bottom"/>
            <w:tcBorders>
              <w:right w:val="single" w:sz="8" w:color="auto"/>
            </w:tcBorders>
            <w:vMerge w:val="continue"/>
          </w:tcPr>
          <w:p>
            <w:pPr>
              <w:spacing w:after="0"/>
              <w:rPr>
                <w:sz w:val="13"/>
                <w:szCs w:val="13"/>
                <w:color w:val="auto"/>
              </w:rPr>
            </w:pPr>
          </w:p>
        </w:tc>
        <w:tc>
          <w:tcPr>
            <w:tcW w:w="4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4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120" w:type="dxa"/>
            <w:vAlign w:val="bottom"/>
            <w:tcBorders>
              <w:bottom w:val="single" w:sz="8" w:color="auto"/>
              <w:right w:val="single" w:sz="8" w:color="auto"/>
            </w:tcBorders>
          </w:tcPr>
          <w:p>
            <w:pPr>
              <w:spacing w:after="0"/>
              <w:rPr>
                <w:sz w:val="7"/>
                <w:szCs w:val="7"/>
                <w:color w:val="auto"/>
              </w:rPr>
            </w:pPr>
          </w:p>
        </w:tc>
        <w:tc>
          <w:tcPr>
            <w:tcW w:w="4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12" w:lineRule="exact"/>
        <w:rPr>
          <w:sz w:val="24"/>
          <w:szCs w:val="24"/>
          <w:color w:val="auto"/>
        </w:rPr>
      </w:pPr>
    </w:p>
    <w:p>
      <w:pPr>
        <w:ind w:right="680"/>
        <w:spacing w:after="0" w:line="402"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Indicate by check mark if the registrant is not required to file reports pursuant to Section 13 or Section 15(d) of the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24" w:lineRule="exact"/>
        <w:rPr>
          <w:sz w:val="24"/>
          <w:szCs w:val="24"/>
          <w:color w:val="auto"/>
        </w:rPr>
      </w:pPr>
    </w:p>
    <w:p>
      <w:pPr>
        <w:ind w:right="6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79" w:lineRule="exact"/>
        <w:rPr>
          <w:sz w:val="24"/>
          <w:szCs w:val="24"/>
          <w:color w:val="auto"/>
        </w:rPr>
      </w:pPr>
    </w:p>
    <w:p>
      <w:pPr>
        <w:ind w:right="26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79" w:lineRule="exact"/>
        <w:rPr>
          <w:sz w:val="24"/>
          <w:szCs w:val="24"/>
          <w:color w:val="auto"/>
        </w:rPr>
      </w:pPr>
    </w:p>
    <w:p>
      <w:pPr>
        <w:ind w:right="340"/>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880" w:type="dxa"/>
            <w:vAlign w:val="bottom"/>
          </w:tcPr>
          <w:p>
            <w:pPr>
              <w:jc w:val="center"/>
              <w:ind w:left="1170"/>
              <w:spacing w:after="0"/>
              <w:rPr>
                <w:sz w:val="20"/>
                <w:szCs w:val="20"/>
                <w:color w:val="auto"/>
              </w:rPr>
            </w:pPr>
            <w:r>
              <w:rPr>
                <w:rFonts w:ascii="Arial" w:cs="Arial" w:eastAsia="Arial" w:hAnsi="Arial"/>
                <w:sz w:val="18"/>
                <w:szCs w:val="18"/>
                <w:color w:val="auto"/>
                <w:w w:val="99"/>
              </w:rPr>
              <w:t>Large 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3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rPr>
              <w:t>☐</w:t>
            </w:r>
          </w:p>
        </w:tc>
      </w:tr>
      <w:tr>
        <w:trPr>
          <w:trHeight w:val="283"/>
        </w:trPr>
        <w:tc>
          <w:tcPr>
            <w:tcW w:w="3880" w:type="dxa"/>
            <w:vAlign w:val="bottom"/>
          </w:tcPr>
          <w:p>
            <w:pPr>
              <w:jc w:val="center"/>
              <w:ind w:left="1130"/>
              <w:spacing w:after="0"/>
              <w:rPr>
                <w:sz w:val="20"/>
                <w:szCs w:val="20"/>
                <w:color w:val="auto"/>
              </w:rPr>
            </w:pPr>
            <w:r>
              <w:rPr>
                <w:rFonts w:ascii="Arial" w:cs="Arial" w:eastAsia="Arial" w:hAnsi="Arial"/>
                <w:sz w:val="18"/>
                <w:szCs w:val="18"/>
                <w:color w:val="auto"/>
                <w:w w:val="99"/>
              </w:rPr>
              <w:t>Non-accelerated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3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rPr>
              <w:t>☐</w:t>
            </w:r>
          </w:p>
        </w:tc>
      </w:tr>
      <w:tr>
        <w:trPr>
          <w:trHeight w:val="303"/>
        </w:trPr>
        <w:tc>
          <w:tcPr>
            <w:tcW w:w="3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4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rPr>
              <w:t>☐</w:t>
            </w:r>
          </w:p>
        </w:tc>
      </w:tr>
      <w:tr>
        <w:trPr>
          <w:trHeight w:val="964"/>
        </w:trPr>
        <w:tc>
          <w:tcPr>
            <w:tcW w:w="38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 w:name="page2"/>
    <w:bookmarkEnd w:id="1"/>
    <w:p>
      <w:pPr>
        <w:ind w:right="20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56" w:lineRule="exact"/>
        <w:rPr>
          <w:sz w:val="20"/>
          <w:szCs w:val="20"/>
          <w:color w:val="auto"/>
        </w:rPr>
      </w:pPr>
    </w:p>
    <w:p>
      <w:pPr>
        <w:ind w:right="1580"/>
        <w:spacing w:after="0" w:line="203"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w:t>
      </w:r>
    </w:p>
    <w:p>
      <w:pPr>
        <w:spacing w:after="0" w:line="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7262(b)) by the registered public accounting firm that prepared or issued its audit report. </w:t>
      </w:r>
      <w:r>
        <w:rPr>
          <w:rFonts w:ascii="MS PGothic" w:cs="MS PGothic" w:eastAsia="MS PGothic" w:hAnsi="MS PGothic"/>
          <w:sz w:val="18"/>
          <w:szCs w:val="18"/>
          <w:color w:val="auto"/>
          <w:highlight w:val="black"/>
        </w:rPr>
        <w:t>☒</w:t>
      </w:r>
    </w:p>
    <w:p>
      <w:pPr>
        <w:spacing w:after="0" w:line="171" w:lineRule="exact"/>
        <w:rPr>
          <w:sz w:val="20"/>
          <w:szCs w:val="20"/>
          <w:color w:val="auto"/>
        </w:rPr>
      </w:pPr>
    </w:p>
    <w:p>
      <w:pPr>
        <w:ind w:right="420"/>
        <w:spacing w:after="0" w:line="21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29" w:lineRule="exact"/>
        <w:rPr>
          <w:sz w:val="20"/>
          <w:szCs w:val="20"/>
          <w:color w:val="auto"/>
        </w:rPr>
      </w:pPr>
    </w:p>
    <w:p>
      <w:pPr>
        <w:ind w:right="640"/>
        <w:spacing w:after="0" w:line="206"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7"/>
          <w:szCs w:val="17"/>
          <w:color w:val="auto"/>
        </w:rPr>
        <w:t>☐</w:t>
      </w:r>
    </w:p>
    <w:p>
      <w:pPr>
        <w:spacing w:after="0" w:line="116" w:lineRule="exact"/>
        <w:rPr>
          <w:sz w:val="20"/>
          <w:szCs w:val="20"/>
          <w:color w:val="auto"/>
        </w:rPr>
      </w:pPr>
    </w:p>
    <w:p>
      <w:pPr>
        <w:spacing w:after="0" w:line="207" w:lineRule="exact"/>
        <w:tabs>
          <w:tab w:leader="none" w:pos="8380" w:val="left"/>
          <w:tab w:leader="none" w:pos="91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highlight w:val="black"/>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highlight w:val="black"/>
        </w:rPr>
        <w:t>☒</w:t>
      </w:r>
    </w:p>
    <w:p>
      <w:pPr>
        <w:spacing w:after="0" w:line="23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aggregate market value of the voting and non-voting stock held by non-affiliates of the registrant as of December 29, 2023, the last business day of the registrant's most recently completed second fiscal quarter, was $ 2.1 billion based upon the closing price reported for such date on The Nasdaq Global Select Market.</w:t>
      </w:r>
    </w:p>
    <w:p>
      <w:pPr>
        <w:spacing w:after="0" w:line="16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July 31, 2024, the number of shares of the registrant’s Class A common stock outstanding was 358,277,802 and the number of shares of the registrant’s Class B common stock outstanding was 18,141,608.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Portions of the registrant’s definitive proxy statement for its 2024 Annual Meeting of Stockholders, or Proxy Statement, to be filed within 120 days after the end of the fiscal year covered by this Annual Report on Form 10-K, are incorporated by reference in Part III. Except with respect to information specifically incorporated by reference in this Annual Report, the Proxy Statement shall not be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1247775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80" w:type="dxa"/>
            <w:vAlign w:val="bottom"/>
            <w:gridSpan w:val="8"/>
          </w:tcPr>
          <w:p>
            <w:pPr>
              <w:jc w:val="center"/>
              <w:ind w:right="2440"/>
              <w:spacing w:after="0"/>
              <w:rPr>
                <w:sz w:val="20"/>
                <w:szCs w:val="20"/>
                <w:color w:val="auto"/>
              </w:rPr>
            </w:pPr>
            <w:r>
              <w:rPr>
                <w:rFonts w:ascii="Arial" w:cs="Arial" w:eastAsia="Arial" w:hAnsi="Arial"/>
                <w:sz w:val="16"/>
                <w:szCs w:val="16"/>
                <w:b w:val="1"/>
                <w:bCs w:val="1"/>
                <w:color w:val="auto"/>
              </w:rPr>
              <w:t>TABLE OF CONTENTS</w:t>
            </w:r>
          </w:p>
        </w:tc>
        <w:tc>
          <w:tcPr>
            <w:tcW w:w="2080" w:type="dxa"/>
            <w:vAlign w:val="bottom"/>
            <w:gridSpan w:val="6"/>
            <w:vMerge w:val="restart"/>
          </w:tcPr>
          <w:p>
            <w:pPr>
              <w:ind w:left="1680"/>
              <w:spacing w:after="0"/>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4"/>
                <w:szCs w:val="24"/>
                <w:color w:val="auto"/>
              </w:rPr>
            </w:pPr>
          </w:p>
        </w:tc>
        <w:tc>
          <w:tcPr>
            <w:tcW w:w="8020" w:type="dxa"/>
            <w:vAlign w:val="bottom"/>
            <w:gridSpan w:val="26"/>
          </w:tcPr>
          <w:p>
            <w:pPr>
              <w:spacing w:after="0"/>
              <w:rPr>
                <w:sz w:val="20"/>
                <w:szCs w:val="20"/>
                <w:color w:val="auto"/>
              </w:rPr>
            </w:pPr>
            <w:r>
              <w:rPr>
                <w:rFonts w:ascii="Arial" w:cs="Arial" w:eastAsia="Arial" w:hAnsi="Arial"/>
                <w:sz w:val="16"/>
                <w:szCs w:val="16"/>
                <w:color w:val="0000FF"/>
              </w:rPr>
              <w:t>Special Note Regarding Forward</w:t>
            </w:r>
            <w:r>
              <w:rPr>
                <w:rFonts w:ascii="Arial" w:cs="Arial" w:eastAsia="Arial" w:hAnsi="Arial"/>
                <w:sz w:val="16"/>
                <w:szCs w:val="16"/>
                <w:color w:val="000000"/>
              </w:rPr>
              <w:t>-</w:t>
            </w:r>
            <w:r>
              <w:rPr>
                <w:rFonts w:ascii="Arial" w:cs="Arial" w:eastAsia="Arial" w:hAnsi="Arial"/>
                <w:sz w:val="16"/>
                <w:szCs w:val="16"/>
                <w:color w:val="0000FF"/>
              </w:rPr>
              <w:t>Looking Statements</w:t>
            </w:r>
          </w:p>
        </w:tc>
        <w:tc>
          <w:tcPr>
            <w:tcW w:w="1960" w:type="dxa"/>
            <w:vAlign w:val="bottom"/>
            <w:gridSpan w:val="4"/>
          </w:tcPr>
          <w:p>
            <w:pPr>
              <w:jc w:val="center"/>
              <w:ind w:left="1719"/>
              <w:spacing w:after="0"/>
              <w:rPr>
                <w:sz w:val="20"/>
                <w:szCs w:val="20"/>
                <w:color w:val="auto"/>
              </w:rPr>
            </w:pPr>
            <w:r>
              <w:rPr>
                <w:rFonts w:ascii="Arial" w:cs="Arial" w:eastAsia="Arial" w:hAnsi="Arial"/>
                <w:sz w:val="16"/>
                <w:szCs w:val="16"/>
                <w:color w:val="0000FF"/>
                <w:w w:val="89"/>
              </w:rPr>
              <w:t>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340" w:type="dxa"/>
            <w:vAlign w:val="bottom"/>
            <w:gridSpan w:val="13"/>
          </w:tcPr>
          <w:p>
            <w:pPr>
              <w:spacing w:after="0"/>
              <w:rPr>
                <w:sz w:val="20"/>
                <w:szCs w:val="20"/>
                <w:color w:val="auto"/>
              </w:rPr>
            </w:pPr>
            <w:r>
              <w:rPr>
                <w:rFonts w:ascii="Arial" w:cs="Arial" w:eastAsia="Arial" w:hAnsi="Arial"/>
                <w:sz w:val="16"/>
                <w:szCs w:val="16"/>
                <w:color w:val="0000FF"/>
              </w:rPr>
              <w:t>Risk Factor Summary</w:t>
            </w:r>
          </w:p>
        </w:tc>
        <w:tc>
          <w:tcPr>
            <w:tcW w:w="60" w:type="dxa"/>
            <w:vAlign w:val="bottom"/>
          </w:tcPr>
          <w:p>
            <w:pPr>
              <w:spacing w:after="0"/>
              <w:rPr>
                <w:sz w:val="17"/>
                <w:szCs w:val="17"/>
                <w:color w:val="auto"/>
              </w:rPr>
            </w:pPr>
          </w:p>
        </w:tc>
        <w:tc>
          <w:tcPr>
            <w:tcW w:w="1440" w:type="dxa"/>
            <w:vAlign w:val="bottom"/>
            <w:gridSpan w:val="4"/>
          </w:tcPr>
          <w:p>
            <w:pPr>
              <w:spacing w:after="0"/>
              <w:rPr>
                <w:sz w:val="17"/>
                <w:szCs w:val="17"/>
                <w:color w:val="auto"/>
              </w:rPr>
            </w:pPr>
          </w:p>
        </w:tc>
        <w:tc>
          <w:tcPr>
            <w:tcW w:w="4180" w:type="dxa"/>
            <w:vAlign w:val="bottom"/>
            <w:gridSpan w:val="8"/>
          </w:tcPr>
          <w:p>
            <w:pPr>
              <w:spacing w:after="0"/>
              <w:rPr>
                <w:sz w:val="17"/>
                <w:szCs w:val="17"/>
                <w:color w:val="auto"/>
              </w:rPr>
            </w:pPr>
          </w:p>
        </w:tc>
        <w:tc>
          <w:tcPr>
            <w:tcW w:w="1960" w:type="dxa"/>
            <w:vAlign w:val="bottom"/>
            <w:gridSpan w:val="4"/>
          </w:tcPr>
          <w:p>
            <w:pPr>
              <w:jc w:val="center"/>
              <w:ind w:left="1719"/>
              <w:spacing w:after="0"/>
              <w:rPr>
                <w:sz w:val="20"/>
                <w:szCs w:val="20"/>
                <w:color w:val="auto"/>
              </w:rPr>
            </w:pPr>
            <w:r>
              <w:rPr>
                <w:rFonts w:ascii="Arial" w:cs="Arial" w:eastAsia="Arial" w:hAnsi="Arial"/>
                <w:sz w:val="16"/>
                <w:szCs w:val="16"/>
                <w:color w:val="0000FF"/>
                <w:w w:val="89"/>
              </w:rPr>
              <w:t>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6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80" w:type="dxa"/>
            <w:vAlign w:val="bottom"/>
            <w:gridSpan w:val="6"/>
          </w:tcPr>
          <w:p>
            <w:pPr>
              <w:ind w:left="300"/>
              <w:spacing w:after="0"/>
              <w:rPr>
                <w:sz w:val="20"/>
                <w:szCs w:val="20"/>
                <w:color w:val="auto"/>
              </w:rPr>
            </w:pPr>
            <w:r>
              <w:rPr>
                <w:rFonts w:ascii="Arial" w:cs="Arial" w:eastAsia="Arial" w:hAnsi="Arial"/>
                <w:sz w:val="16"/>
                <w:szCs w:val="16"/>
                <w:b w:val="1"/>
                <w:bCs w:val="1"/>
                <w:color w:val="auto"/>
              </w:rPr>
              <w:t>Part I</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Arial" w:cs="Arial" w:eastAsia="Arial" w:hAnsi="Arial"/>
                <w:sz w:val="16"/>
                <w:szCs w:val="16"/>
                <w:color w:val="auto"/>
              </w:rPr>
              <w:t>Item 1.</w:t>
            </w:r>
          </w:p>
        </w:tc>
        <w:tc>
          <w:tcPr>
            <w:tcW w:w="660" w:type="dxa"/>
            <w:vAlign w:val="bottom"/>
            <w:gridSpan w:val="2"/>
          </w:tcPr>
          <w:p>
            <w:pPr>
              <w:spacing w:after="0" w:line="176" w:lineRule="exact"/>
              <w:rPr>
                <w:sz w:val="20"/>
                <w:szCs w:val="20"/>
                <w:color w:val="auto"/>
              </w:rPr>
            </w:pPr>
            <w:r>
              <w:rPr>
                <w:rFonts w:ascii="Arial" w:cs="Arial" w:eastAsia="Arial" w:hAnsi="Arial"/>
                <w:sz w:val="16"/>
                <w:szCs w:val="16"/>
                <w:color w:val="0000FF"/>
                <w:w w:val="98"/>
              </w:rPr>
              <w:t>Business</w:t>
            </w:r>
          </w:p>
        </w:tc>
        <w:tc>
          <w:tcPr>
            <w:tcW w:w="7360" w:type="dxa"/>
            <w:vAlign w:val="bottom"/>
            <w:gridSpan w:val="24"/>
          </w:tcPr>
          <w:p>
            <w:pPr>
              <w:spacing w:after="0"/>
              <w:rPr>
                <w:sz w:val="15"/>
                <w:szCs w:val="15"/>
                <w:color w:val="auto"/>
              </w:rPr>
            </w:pPr>
          </w:p>
        </w:tc>
        <w:tc>
          <w:tcPr>
            <w:tcW w:w="1960" w:type="dxa"/>
            <w:vAlign w:val="bottom"/>
            <w:gridSpan w:val="4"/>
          </w:tcPr>
          <w:p>
            <w:pPr>
              <w:jc w:val="center"/>
              <w:ind w:left="1719"/>
              <w:spacing w:after="0" w:line="176" w:lineRule="exact"/>
              <w:rPr>
                <w:sz w:val="20"/>
                <w:szCs w:val="20"/>
                <w:color w:val="auto"/>
              </w:rPr>
            </w:pPr>
            <w:r>
              <w:rPr>
                <w:rFonts w:ascii="Arial" w:cs="Arial" w:eastAsia="Arial" w:hAnsi="Arial"/>
                <w:sz w:val="16"/>
                <w:szCs w:val="16"/>
                <w:color w:val="0000FF"/>
                <w:w w:val="89"/>
              </w:rPr>
              <w:t>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gridSpan w:val="4"/>
          </w:tcPr>
          <w:p>
            <w:pPr>
              <w:spacing w:after="0"/>
              <w:rPr>
                <w:sz w:val="20"/>
                <w:szCs w:val="20"/>
                <w:color w:val="auto"/>
              </w:rPr>
            </w:pPr>
            <w:r>
              <w:rPr>
                <w:rFonts w:ascii="Arial" w:cs="Arial" w:eastAsia="Arial" w:hAnsi="Arial"/>
                <w:sz w:val="16"/>
                <w:szCs w:val="16"/>
                <w:color w:val="0000FF"/>
                <w:w w:val="98"/>
              </w:rPr>
              <w:t>Risk Factors</w:t>
            </w:r>
          </w:p>
        </w:tc>
        <w:tc>
          <w:tcPr>
            <w:tcW w:w="7120" w:type="dxa"/>
            <w:vAlign w:val="bottom"/>
            <w:gridSpan w:val="22"/>
          </w:tcPr>
          <w:p>
            <w:pPr>
              <w:spacing w:after="0"/>
              <w:rPr>
                <w:sz w:val="17"/>
                <w:szCs w:val="17"/>
                <w:color w:val="auto"/>
              </w:rPr>
            </w:pPr>
          </w:p>
        </w:tc>
        <w:tc>
          <w:tcPr>
            <w:tcW w:w="1960" w:type="dxa"/>
            <w:vAlign w:val="bottom"/>
            <w:gridSpan w:val="4"/>
          </w:tcPr>
          <w:p>
            <w:pPr>
              <w:jc w:val="center"/>
              <w:ind w:left="1719"/>
              <w:spacing w:after="0"/>
              <w:rPr>
                <w:sz w:val="20"/>
                <w:szCs w:val="20"/>
                <w:color w:val="auto"/>
              </w:rPr>
            </w:pPr>
            <w:r>
              <w:rPr>
                <w:rFonts w:ascii="Arial" w:cs="Arial" w:eastAsia="Arial" w:hAnsi="Arial"/>
                <w:sz w:val="16"/>
                <w:szCs w:val="16"/>
                <w:color w:val="0000FF"/>
                <w:w w:val="89"/>
              </w:rPr>
              <w:t>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1B.</w:t>
            </w:r>
          </w:p>
        </w:tc>
        <w:tc>
          <w:tcPr>
            <w:tcW w:w="2020" w:type="dxa"/>
            <w:vAlign w:val="bottom"/>
            <w:gridSpan w:val="12"/>
          </w:tcPr>
          <w:p>
            <w:pPr>
              <w:spacing w:after="0"/>
              <w:rPr>
                <w:sz w:val="20"/>
                <w:szCs w:val="20"/>
                <w:color w:val="auto"/>
              </w:rPr>
            </w:pPr>
            <w:r>
              <w:rPr>
                <w:rFonts w:ascii="Arial" w:cs="Arial" w:eastAsia="Arial" w:hAnsi="Arial"/>
                <w:sz w:val="16"/>
                <w:szCs w:val="16"/>
                <w:color w:val="0000FF"/>
                <w:w w:val="99"/>
              </w:rPr>
              <w:t>Unresolved Staff Comments</w:t>
            </w:r>
          </w:p>
        </w:tc>
        <w:tc>
          <w:tcPr>
            <w:tcW w:w="6000" w:type="dxa"/>
            <w:vAlign w:val="bottom"/>
            <w:gridSpan w:val="14"/>
          </w:tcPr>
          <w:p>
            <w:pPr>
              <w:spacing w:after="0"/>
              <w:rPr>
                <w:sz w:val="17"/>
                <w:szCs w:val="17"/>
                <w:color w:val="auto"/>
              </w:rPr>
            </w:pPr>
          </w:p>
        </w:tc>
        <w:tc>
          <w:tcPr>
            <w:tcW w:w="1960" w:type="dxa"/>
            <w:vAlign w:val="bottom"/>
            <w:gridSpan w:val="4"/>
          </w:tcPr>
          <w:p>
            <w:pPr>
              <w:jc w:val="center"/>
              <w:ind w:left="1699"/>
              <w:spacing w:after="0"/>
              <w:rPr>
                <w:sz w:val="20"/>
                <w:szCs w:val="20"/>
                <w:color w:val="auto"/>
              </w:rPr>
            </w:pPr>
            <w:r>
              <w:rPr>
                <w:rFonts w:ascii="Arial" w:cs="Arial" w:eastAsia="Arial" w:hAnsi="Arial"/>
                <w:sz w:val="16"/>
                <w:szCs w:val="16"/>
                <w:color w:val="0000FF"/>
              </w:rPr>
              <w:t>38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1C.</w:t>
            </w:r>
          </w:p>
        </w:tc>
        <w:tc>
          <w:tcPr>
            <w:tcW w:w="2020" w:type="dxa"/>
            <w:vAlign w:val="bottom"/>
            <w:gridSpan w:val="12"/>
          </w:tcPr>
          <w:p>
            <w:pPr>
              <w:spacing w:after="0"/>
              <w:rPr>
                <w:sz w:val="20"/>
                <w:szCs w:val="20"/>
                <w:color w:val="auto"/>
              </w:rPr>
            </w:pPr>
            <w:r>
              <w:rPr>
                <w:rFonts w:ascii="Arial" w:cs="Arial" w:eastAsia="Arial" w:hAnsi="Arial"/>
                <w:sz w:val="16"/>
                <w:szCs w:val="16"/>
                <w:color w:val="0000FF"/>
              </w:rPr>
              <w:t>Cybersecurity</w:t>
            </w:r>
          </w:p>
        </w:tc>
        <w:tc>
          <w:tcPr>
            <w:tcW w:w="6000" w:type="dxa"/>
            <w:vAlign w:val="bottom"/>
            <w:gridSpan w:val="14"/>
          </w:tcPr>
          <w:p>
            <w:pPr>
              <w:spacing w:after="0"/>
              <w:rPr>
                <w:sz w:val="17"/>
                <w:szCs w:val="17"/>
                <w:color w:val="auto"/>
              </w:rPr>
            </w:pPr>
          </w:p>
        </w:tc>
        <w:tc>
          <w:tcPr>
            <w:tcW w:w="1960" w:type="dxa"/>
            <w:vAlign w:val="bottom"/>
            <w:gridSpan w:val="4"/>
          </w:tcPr>
          <w:p>
            <w:pPr>
              <w:jc w:val="center"/>
              <w:ind w:left="1699"/>
              <w:spacing w:after="0"/>
              <w:rPr>
                <w:sz w:val="20"/>
                <w:szCs w:val="20"/>
                <w:color w:val="auto"/>
              </w:rPr>
            </w:pPr>
            <w:r>
              <w:rPr>
                <w:rFonts w:ascii="Arial" w:cs="Arial" w:eastAsia="Arial" w:hAnsi="Arial"/>
                <w:sz w:val="16"/>
                <w:szCs w:val="16"/>
                <w:color w:val="0000FF"/>
              </w:rPr>
              <w:t>38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2.</w:t>
            </w:r>
          </w:p>
        </w:tc>
        <w:tc>
          <w:tcPr>
            <w:tcW w:w="740" w:type="dxa"/>
            <w:vAlign w:val="bottom"/>
            <w:gridSpan w:val="3"/>
          </w:tcPr>
          <w:p>
            <w:pPr>
              <w:spacing w:after="0"/>
              <w:rPr>
                <w:sz w:val="20"/>
                <w:szCs w:val="20"/>
                <w:color w:val="auto"/>
              </w:rPr>
            </w:pPr>
            <w:r>
              <w:rPr>
                <w:rFonts w:ascii="Arial" w:cs="Arial" w:eastAsia="Arial" w:hAnsi="Arial"/>
                <w:sz w:val="16"/>
                <w:szCs w:val="16"/>
                <w:color w:val="0000FF"/>
                <w:w w:val="95"/>
              </w:rPr>
              <w:t>Properties</w:t>
            </w:r>
          </w:p>
        </w:tc>
        <w:tc>
          <w:tcPr>
            <w:tcW w:w="240" w:type="dxa"/>
            <w:vAlign w:val="bottom"/>
            <w:gridSpan w:val="2"/>
          </w:tcPr>
          <w:p>
            <w:pPr>
              <w:spacing w:after="0"/>
              <w:rPr>
                <w:sz w:val="17"/>
                <w:szCs w:val="17"/>
                <w:color w:val="auto"/>
              </w:rPr>
            </w:pPr>
          </w:p>
        </w:tc>
        <w:tc>
          <w:tcPr>
            <w:tcW w:w="7040" w:type="dxa"/>
            <w:vAlign w:val="bottom"/>
            <w:gridSpan w:val="21"/>
          </w:tcPr>
          <w:p>
            <w:pPr>
              <w:spacing w:after="0"/>
              <w:rPr>
                <w:sz w:val="17"/>
                <w:szCs w:val="17"/>
                <w:color w:val="auto"/>
              </w:rPr>
            </w:pPr>
          </w:p>
        </w:tc>
        <w:tc>
          <w:tcPr>
            <w:tcW w:w="1960" w:type="dxa"/>
            <w:vAlign w:val="bottom"/>
            <w:gridSpan w:val="4"/>
          </w:tcPr>
          <w:p>
            <w:pPr>
              <w:jc w:val="center"/>
              <w:ind w:left="1699"/>
              <w:spacing w:after="0"/>
              <w:rPr>
                <w:sz w:val="20"/>
                <w:szCs w:val="20"/>
                <w:color w:val="auto"/>
              </w:rPr>
            </w:pPr>
            <w:r>
              <w:rPr>
                <w:rFonts w:ascii="Arial" w:cs="Arial" w:eastAsia="Arial" w:hAnsi="Arial"/>
                <w:sz w:val="16"/>
                <w:szCs w:val="16"/>
                <w:color w:val="0000FF"/>
              </w:rPr>
              <w:t>39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3.</w:t>
            </w:r>
          </w:p>
        </w:tc>
        <w:tc>
          <w:tcPr>
            <w:tcW w:w="1340" w:type="dxa"/>
            <w:vAlign w:val="bottom"/>
            <w:gridSpan w:val="7"/>
          </w:tcPr>
          <w:p>
            <w:pPr>
              <w:spacing w:after="0"/>
              <w:rPr>
                <w:sz w:val="20"/>
                <w:szCs w:val="20"/>
                <w:color w:val="auto"/>
              </w:rPr>
            </w:pPr>
            <w:r>
              <w:rPr>
                <w:rFonts w:ascii="Arial" w:cs="Arial" w:eastAsia="Arial" w:hAnsi="Arial"/>
                <w:sz w:val="16"/>
                <w:szCs w:val="16"/>
                <w:color w:val="0000FF"/>
                <w:w w:val="99"/>
              </w:rPr>
              <w:t>Legal Proceedings</w:t>
            </w:r>
          </w:p>
        </w:tc>
        <w:tc>
          <w:tcPr>
            <w:tcW w:w="6680" w:type="dxa"/>
            <w:vAlign w:val="bottom"/>
            <w:gridSpan w:val="19"/>
          </w:tcPr>
          <w:p>
            <w:pPr>
              <w:spacing w:after="0"/>
              <w:rPr>
                <w:sz w:val="17"/>
                <w:szCs w:val="17"/>
                <w:color w:val="auto"/>
              </w:rPr>
            </w:pPr>
          </w:p>
        </w:tc>
        <w:tc>
          <w:tcPr>
            <w:tcW w:w="1960" w:type="dxa"/>
            <w:vAlign w:val="bottom"/>
            <w:gridSpan w:val="4"/>
          </w:tcPr>
          <w:p>
            <w:pPr>
              <w:jc w:val="center"/>
              <w:ind w:left="1699"/>
              <w:spacing w:after="0"/>
              <w:rPr>
                <w:sz w:val="20"/>
                <w:szCs w:val="20"/>
                <w:color w:val="auto"/>
              </w:rPr>
            </w:pPr>
            <w:r>
              <w:rPr>
                <w:rFonts w:ascii="Arial" w:cs="Arial" w:eastAsia="Arial" w:hAnsi="Arial"/>
                <w:sz w:val="16"/>
                <w:szCs w:val="16"/>
                <w:color w:val="0000FF"/>
              </w:rPr>
              <w:t>40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4.</w:t>
            </w:r>
          </w:p>
        </w:tc>
        <w:tc>
          <w:tcPr>
            <w:tcW w:w="8020" w:type="dxa"/>
            <w:vAlign w:val="bottom"/>
            <w:gridSpan w:val="26"/>
          </w:tcPr>
          <w:p>
            <w:pPr>
              <w:spacing w:after="0"/>
              <w:rPr>
                <w:sz w:val="20"/>
                <w:szCs w:val="20"/>
                <w:color w:val="auto"/>
              </w:rPr>
            </w:pPr>
            <w:r>
              <w:rPr>
                <w:rFonts w:ascii="Arial" w:cs="Arial" w:eastAsia="Arial" w:hAnsi="Arial"/>
                <w:sz w:val="16"/>
                <w:szCs w:val="16"/>
                <w:color w:val="0000FF"/>
              </w:rPr>
              <w:t>Mine Safety Disclosures</w:t>
            </w:r>
          </w:p>
        </w:tc>
        <w:tc>
          <w:tcPr>
            <w:tcW w:w="1960" w:type="dxa"/>
            <w:vAlign w:val="bottom"/>
            <w:gridSpan w:val="4"/>
          </w:tcPr>
          <w:p>
            <w:pPr>
              <w:jc w:val="center"/>
              <w:ind w:left="1699"/>
              <w:spacing w:after="0"/>
              <w:rPr>
                <w:sz w:val="20"/>
                <w:szCs w:val="20"/>
                <w:color w:val="auto"/>
              </w:rPr>
            </w:pPr>
            <w:r>
              <w:rPr>
                <w:rFonts w:ascii="Arial" w:cs="Arial" w:eastAsia="Arial" w:hAnsi="Arial"/>
                <w:sz w:val="16"/>
                <w:szCs w:val="16"/>
                <w:color w:val="0000FF"/>
              </w:rPr>
              <w:t>40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80" w:type="dxa"/>
            <w:vAlign w:val="bottom"/>
            <w:gridSpan w:val="6"/>
          </w:tcPr>
          <w:p>
            <w:pPr>
              <w:ind w:left="280"/>
              <w:spacing w:after="0"/>
              <w:rPr>
                <w:sz w:val="20"/>
                <w:szCs w:val="20"/>
                <w:color w:val="auto"/>
              </w:rPr>
            </w:pPr>
            <w:r>
              <w:rPr>
                <w:rFonts w:ascii="Arial" w:cs="Arial" w:eastAsia="Arial" w:hAnsi="Arial"/>
                <w:sz w:val="16"/>
                <w:szCs w:val="16"/>
                <w:b w:val="1"/>
                <w:bCs w:val="1"/>
                <w:color w:val="auto"/>
              </w:rPr>
              <w:t>Part II</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9"/>
        </w:trPr>
        <w:tc>
          <w:tcPr>
            <w:tcW w:w="860" w:type="dxa"/>
            <w:vAlign w:val="bottom"/>
          </w:tcPr>
          <w:p>
            <w:pPr>
              <w:spacing w:after="0"/>
              <w:rPr>
                <w:sz w:val="20"/>
                <w:szCs w:val="20"/>
                <w:color w:val="auto"/>
              </w:rPr>
            </w:pPr>
            <w:r>
              <w:rPr>
                <w:rFonts w:ascii="Arial" w:cs="Arial" w:eastAsia="Arial" w:hAnsi="Arial"/>
                <w:sz w:val="16"/>
                <w:szCs w:val="16"/>
                <w:color w:val="auto"/>
              </w:rPr>
              <w:t>Item 5.</w:t>
            </w:r>
          </w:p>
        </w:tc>
        <w:tc>
          <w:tcPr>
            <w:tcW w:w="8020" w:type="dxa"/>
            <w:vAlign w:val="bottom"/>
            <w:gridSpan w:val="26"/>
          </w:tcPr>
          <w:p>
            <w:pPr>
              <w:spacing w:after="0"/>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1960" w:type="dxa"/>
            <w:vAlign w:val="bottom"/>
            <w:gridSpan w:val="4"/>
          </w:tcPr>
          <w:p>
            <w:pPr>
              <w:jc w:val="center"/>
              <w:ind w:left="1699"/>
              <w:spacing w:after="0"/>
              <w:rPr>
                <w:sz w:val="20"/>
                <w:szCs w:val="20"/>
                <w:color w:val="auto"/>
              </w:rPr>
            </w:pPr>
            <w:r>
              <w:rPr>
                <w:rFonts w:ascii="Arial" w:cs="Arial" w:eastAsia="Arial" w:hAnsi="Arial"/>
                <w:sz w:val="16"/>
                <w:szCs w:val="16"/>
                <w:color w:val="0000FF"/>
              </w:rPr>
              <w:t>41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6.</w:t>
            </w:r>
          </w:p>
        </w:tc>
        <w:tc>
          <w:tcPr>
            <w:tcW w:w="740" w:type="dxa"/>
            <w:vAlign w:val="bottom"/>
            <w:gridSpan w:val="3"/>
          </w:tcPr>
          <w:p>
            <w:pPr>
              <w:spacing w:after="0"/>
              <w:rPr>
                <w:sz w:val="20"/>
                <w:szCs w:val="20"/>
                <w:color w:val="auto"/>
              </w:rPr>
            </w:pPr>
            <w:r>
              <w:rPr>
                <w:rFonts w:ascii="Arial" w:cs="Arial" w:eastAsia="Arial" w:hAnsi="Arial"/>
                <w:sz w:val="16"/>
                <w:szCs w:val="16"/>
                <w:color w:val="0000FF"/>
                <w:w w:val="90"/>
              </w:rPr>
              <w:t>[Reserved]</w:t>
            </w:r>
          </w:p>
        </w:tc>
        <w:tc>
          <w:tcPr>
            <w:tcW w:w="7280" w:type="dxa"/>
            <w:vAlign w:val="bottom"/>
            <w:gridSpan w:val="23"/>
          </w:tcPr>
          <w:p>
            <w:pPr>
              <w:spacing w:after="0"/>
              <w:rPr>
                <w:sz w:val="17"/>
                <w:szCs w:val="17"/>
                <w:color w:val="auto"/>
              </w:rPr>
            </w:pPr>
          </w:p>
        </w:tc>
        <w:tc>
          <w:tcPr>
            <w:tcW w:w="1960" w:type="dxa"/>
            <w:vAlign w:val="bottom"/>
            <w:gridSpan w:val="4"/>
          </w:tcPr>
          <w:p>
            <w:pPr>
              <w:jc w:val="center"/>
              <w:ind w:left="1699"/>
              <w:spacing w:after="0"/>
              <w:rPr>
                <w:sz w:val="20"/>
                <w:szCs w:val="20"/>
                <w:color w:val="auto"/>
              </w:rPr>
            </w:pPr>
            <w:r>
              <w:rPr>
                <w:rFonts w:ascii="Arial" w:cs="Arial" w:eastAsia="Arial" w:hAnsi="Arial"/>
                <w:sz w:val="16"/>
                <w:szCs w:val="16"/>
                <w:color w:val="0000FF"/>
              </w:rPr>
              <w:t>42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7.</w:t>
            </w:r>
          </w:p>
        </w:tc>
        <w:tc>
          <w:tcPr>
            <w:tcW w:w="8020" w:type="dxa"/>
            <w:vAlign w:val="bottom"/>
            <w:gridSpan w:val="26"/>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960" w:type="dxa"/>
            <w:vAlign w:val="bottom"/>
            <w:gridSpan w:val="4"/>
          </w:tcPr>
          <w:p>
            <w:pPr>
              <w:jc w:val="center"/>
              <w:ind w:left="1699"/>
              <w:spacing w:after="0"/>
              <w:rPr>
                <w:sz w:val="20"/>
                <w:szCs w:val="20"/>
                <w:color w:val="auto"/>
              </w:rPr>
            </w:pPr>
            <w:r>
              <w:rPr>
                <w:rFonts w:ascii="Arial" w:cs="Arial" w:eastAsia="Arial" w:hAnsi="Arial"/>
                <w:sz w:val="16"/>
                <w:szCs w:val="16"/>
                <w:color w:val="0000FF"/>
              </w:rPr>
              <w:t>43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7A.</w:t>
            </w:r>
          </w:p>
        </w:tc>
        <w:tc>
          <w:tcPr>
            <w:tcW w:w="4240" w:type="dxa"/>
            <w:vAlign w:val="bottom"/>
            <w:gridSpan w:val="20"/>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20" w:type="dxa"/>
            <w:vAlign w:val="bottom"/>
            <w:gridSpan w:val="3"/>
          </w:tcPr>
          <w:p>
            <w:pPr>
              <w:spacing w:after="0"/>
              <w:rPr>
                <w:sz w:val="17"/>
                <w:szCs w:val="17"/>
                <w:color w:val="auto"/>
              </w:rPr>
            </w:pPr>
          </w:p>
        </w:tc>
        <w:tc>
          <w:tcPr>
            <w:tcW w:w="1660" w:type="dxa"/>
            <w:vAlign w:val="bottom"/>
            <w:gridSpan w:val="3"/>
          </w:tcPr>
          <w:p>
            <w:pPr>
              <w:spacing w:after="0"/>
              <w:rPr>
                <w:sz w:val="17"/>
                <w:szCs w:val="17"/>
                <w:color w:val="auto"/>
              </w:rPr>
            </w:pPr>
          </w:p>
        </w:tc>
        <w:tc>
          <w:tcPr>
            <w:tcW w:w="1960" w:type="dxa"/>
            <w:vAlign w:val="bottom"/>
            <w:gridSpan w:val="4"/>
          </w:tcPr>
          <w:p>
            <w:pPr>
              <w:jc w:val="center"/>
              <w:ind w:left="1699"/>
              <w:spacing w:after="0"/>
              <w:rPr>
                <w:sz w:val="20"/>
                <w:szCs w:val="20"/>
                <w:color w:val="auto"/>
              </w:rPr>
            </w:pPr>
            <w:r>
              <w:rPr>
                <w:rFonts w:ascii="Arial" w:cs="Arial" w:eastAsia="Arial" w:hAnsi="Arial"/>
                <w:sz w:val="16"/>
                <w:szCs w:val="16"/>
                <w:color w:val="0000FF"/>
              </w:rPr>
              <w:t>65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8.</w:t>
            </w:r>
          </w:p>
        </w:tc>
        <w:tc>
          <w:tcPr>
            <w:tcW w:w="4240" w:type="dxa"/>
            <w:vAlign w:val="bottom"/>
            <w:gridSpan w:val="20"/>
          </w:tcPr>
          <w:p>
            <w:pPr>
              <w:spacing w:after="0"/>
              <w:rPr>
                <w:sz w:val="20"/>
                <w:szCs w:val="20"/>
                <w:color w:val="auto"/>
              </w:rPr>
            </w:pPr>
            <w:r>
              <w:rPr>
                <w:rFonts w:ascii="Arial" w:cs="Arial" w:eastAsia="Arial" w:hAnsi="Arial"/>
                <w:sz w:val="16"/>
                <w:szCs w:val="16"/>
                <w:color w:val="0000FF"/>
              </w:rPr>
              <w:t>Financial Statements and Supplementary Data</w:t>
            </w:r>
          </w:p>
        </w:tc>
        <w:tc>
          <w:tcPr>
            <w:tcW w:w="3780" w:type="dxa"/>
            <w:vAlign w:val="bottom"/>
            <w:gridSpan w:val="6"/>
          </w:tcPr>
          <w:p>
            <w:pPr>
              <w:spacing w:after="0"/>
              <w:rPr>
                <w:sz w:val="17"/>
                <w:szCs w:val="17"/>
                <w:color w:val="auto"/>
              </w:rPr>
            </w:pPr>
          </w:p>
        </w:tc>
        <w:tc>
          <w:tcPr>
            <w:tcW w:w="1960" w:type="dxa"/>
            <w:vAlign w:val="bottom"/>
            <w:gridSpan w:val="4"/>
          </w:tcPr>
          <w:p>
            <w:pPr>
              <w:jc w:val="center"/>
              <w:ind w:left="1699"/>
              <w:spacing w:after="0"/>
              <w:rPr>
                <w:sz w:val="20"/>
                <w:szCs w:val="20"/>
                <w:color w:val="auto"/>
              </w:rPr>
            </w:pPr>
            <w:r>
              <w:rPr>
                <w:rFonts w:ascii="Arial" w:cs="Arial" w:eastAsia="Arial" w:hAnsi="Arial"/>
                <w:sz w:val="16"/>
                <w:szCs w:val="16"/>
                <w:color w:val="0000FF"/>
              </w:rPr>
              <w:t>66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9.</w:t>
            </w:r>
          </w:p>
        </w:tc>
        <w:tc>
          <w:tcPr>
            <w:tcW w:w="6420" w:type="dxa"/>
            <w:vAlign w:val="bottom"/>
            <w:tcBorders>
              <w:bottom w:val="single" w:sz="8" w:color="0000FF"/>
            </w:tcBorders>
            <w:gridSpan w:val="24"/>
          </w:tcPr>
          <w:p>
            <w:pPr>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1600" w:type="dxa"/>
            <w:vAlign w:val="bottom"/>
            <w:gridSpan w:val="2"/>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Borders>
              <w:bottom w:val="single" w:sz="8" w:color="0000FF"/>
            </w:tcBorders>
            <w:gridSpan w:val="4"/>
          </w:tcPr>
          <w:p>
            <w:pPr>
              <w:jc w:val="center"/>
              <w:spacing w:after="0"/>
              <w:rPr>
                <w:sz w:val="20"/>
                <w:szCs w:val="20"/>
                <w:color w:val="auto"/>
              </w:rPr>
            </w:pPr>
            <w:r>
              <w:rPr>
                <w:rFonts w:ascii="Arial" w:cs="Arial" w:eastAsia="Arial" w:hAnsi="Arial"/>
                <w:sz w:val="16"/>
                <w:szCs w:val="16"/>
                <w:color w:val="0000FF"/>
              </w:rPr>
              <w:t>107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9A.</w:t>
            </w:r>
          </w:p>
        </w:tc>
        <w:tc>
          <w:tcPr>
            <w:tcW w:w="8020" w:type="dxa"/>
            <w:vAlign w:val="bottom"/>
            <w:gridSpan w:val="26"/>
          </w:tcPr>
          <w:p>
            <w:pPr>
              <w:spacing w:after="0"/>
              <w:rPr>
                <w:sz w:val="20"/>
                <w:szCs w:val="20"/>
                <w:color w:val="auto"/>
              </w:rPr>
            </w:pPr>
            <w:r>
              <w:rPr>
                <w:rFonts w:ascii="Arial" w:cs="Arial" w:eastAsia="Arial" w:hAnsi="Arial"/>
                <w:sz w:val="16"/>
                <w:szCs w:val="16"/>
                <w:color w:val="0000FF"/>
              </w:rPr>
              <w:t>Controls and Procedures</w:t>
            </w:r>
          </w:p>
        </w:tc>
        <w:tc>
          <w:tcPr>
            <w:tcW w:w="2080" w:type="dxa"/>
            <w:vAlign w:val="bottom"/>
            <w:gridSpan w:val="6"/>
          </w:tcPr>
          <w:p>
            <w:pPr>
              <w:jc w:val="center"/>
              <w:ind w:left="1599"/>
              <w:spacing w:after="0"/>
              <w:rPr>
                <w:sz w:val="20"/>
                <w:szCs w:val="20"/>
                <w:color w:val="auto"/>
              </w:rPr>
            </w:pPr>
            <w:r>
              <w:rPr>
                <w:rFonts w:ascii="Arial" w:cs="Arial" w:eastAsia="Arial" w:hAnsi="Arial"/>
                <w:sz w:val="16"/>
                <w:szCs w:val="16"/>
                <w:color w:val="0000FF"/>
              </w:rPr>
              <w:t>108</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9B.</w:t>
            </w:r>
          </w:p>
        </w:tc>
        <w:tc>
          <w:tcPr>
            <w:tcW w:w="126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w w:val="99"/>
              </w:rPr>
              <w:t>Other Information</w:t>
            </w:r>
          </w:p>
        </w:tc>
        <w:tc>
          <w:tcPr>
            <w:tcW w:w="520" w:type="dxa"/>
            <w:vAlign w:val="bottom"/>
            <w:tcBorders>
              <w:top w:val="single" w:sz="8" w:color="0000FF"/>
            </w:tcBorders>
            <w:gridSpan w:val="5"/>
          </w:tcPr>
          <w:p>
            <w:pPr>
              <w:spacing w:after="0"/>
              <w:rPr>
                <w:sz w:val="17"/>
                <w:szCs w:val="17"/>
                <w:color w:val="auto"/>
              </w:rPr>
            </w:pPr>
          </w:p>
        </w:tc>
        <w:tc>
          <w:tcPr>
            <w:tcW w:w="6240" w:type="dxa"/>
            <w:vAlign w:val="bottom"/>
            <w:gridSpan w:val="15"/>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Borders>
              <w:top w:val="single" w:sz="8" w:color="0000FF"/>
            </w:tcBorders>
            <w:gridSpan w:val="4"/>
          </w:tcPr>
          <w:p>
            <w:pPr>
              <w:jc w:val="center"/>
              <w:spacing w:after="0"/>
              <w:rPr>
                <w:sz w:val="20"/>
                <w:szCs w:val="20"/>
                <w:color w:val="auto"/>
              </w:rPr>
            </w:pPr>
            <w:r>
              <w:rPr>
                <w:rFonts w:ascii="Arial" w:cs="Arial" w:eastAsia="Arial" w:hAnsi="Arial"/>
                <w:sz w:val="16"/>
                <w:szCs w:val="16"/>
                <w:color w:val="0000FF"/>
                <w:w w:val="89"/>
              </w:rPr>
              <w:t>111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9C.</w:t>
            </w:r>
          </w:p>
        </w:tc>
        <w:tc>
          <w:tcPr>
            <w:tcW w:w="4860" w:type="dxa"/>
            <w:vAlign w:val="bottom"/>
            <w:gridSpan w:val="21"/>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3160" w:type="dxa"/>
            <w:vAlign w:val="bottom"/>
            <w:gridSpan w:val="5"/>
          </w:tcPr>
          <w:p>
            <w:pPr>
              <w:spacing w:after="0"/>
              <w:rPr>
                <w:sz w:val="17"/>
                <w:szCs w:val="17"/>
                <w:color w:val="auto"/>
              </w:rPr>
            </w:pPr>
          </w:p>
        </w:tc>
        <w:tc>
          <w:tcPr>
            <w:tcW w:w="2000" w:type="dxa"/>
            <w:vAlign w:val="bottom"/>
            <w:gridSpan w:val="5"/>
          </w:tcPr>
          <w:p>
            <w:pPr>
              <w:jc w:val="center"/>
              <w:ind w:left="1659"/>
              <w:spacing w:after="0"/>
              <w:rPr>
                <w:sz w:val="20"/>
                <w:szCs w:val="20"/>
                <w:color w:val="auto"/>
              </w:rPr>
            </w:pPr>
            <w:r>
              <w:rPr>
                <w:rFonts w:ascii="Arial" w:cs="Arial" w:eastAsia="Arial" w:hAnsi="Arial"/>
                <w:sz w:val="16"/>
                <w:szCs w:val="16"/>
                <w:color w:val="0000FF"/>
                <w:w w:val="97"/>
              </w:rPr>
              <w:t>112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gridSpan w:val="6"/>
          </w:tcPr>
          <w:p>
            <w:pPr>
              <w:jc w:val="center"/>
              <w:ind w:right="2840"/>
              <w:spacing w:after="0"/>
              <w:rPr>
                <w:sz w:val="20"/>
                <w:szCs w:val="20"/>
                <w:color w:val="auto"/>
              </w:rPr>
            </w:pPr>
            <w:r>
              <w:rPr>
                <w:rFonts w:ascii="Arial" w:cs="Arial" w:eastAsia="Arial" w:hAnsi="Arial"/>
                <w:sz w:val="16"/>
                <w:szCs w:val="16"/>
                <w:b w:val="1"/>
                <w:bCs w:val="1"/>
                <w:color w:val="auto"/>
              </w:rPr>
              <w:t>Part III</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Arial" w:cs="Arial" w:eastAsia="Arial" w:hAnsi="Arial"/>
                <w:sz w:val="16"/>
                <w:szCs w:val="16"/>
                <w:color w:val="auto"/>
              </w:rPr>
              <w:t>Item 10.</w:t>
            </w:r>
          </w:p>
        </w:tc>
        <w:tc>
          <w:tcPr>
            <w:tcW w:w="8020" w:type="dxa"/>
            <w:vAlign w:val="bottom"/>
            <w:gridSpan w:val="26"/>
          </w:tcPr>
          <w:p>
            <w:pPr>
              <w:spacing w:after="0" w:line="176" w:lineRule="exact"/>
              <w:rPr>
                <w:sz w:val="20"/>
                <w:szCs w:val="20"/>
                <w:color w:val="auto"/>
              </w:rPr>
            </w:pPr>
            <w:r>
              <w:rPr>
                <w:rFonts w:ascii="Arial" w:cs="Arial" w:eastAsia="Arial" w:hAnsi="Arial"/>
                <w:sz w:val="16"/>
                <w:szCs w:val="16"/>
                <w:color w:val="0000FF"/>
              </w:rPr>
              <w:t>Directors, Executive Officers and Corporate Governance</w:t>
            </w:r>
          </w:p>
        </w:tc>
        <w:tc>
          <w:tcPr>
            <w:tcW w:w="2000" w:type="dxa"/>
            <w:vAlign w:val="bottom"/>
            <w:gridSpan w:val="5"/>
          </w:tcPr>
          <w:p>
            <w:pPr>
              <w:jc w:val="center"/>
              <w:ind w:left="1659"/>
              <w:spacing w:after="0" w:line="176" w:lineRule="exact"/>
              <w:rPr>
                <w:sz w:val="20"/>
                <w:szCs w:val="20"/>
                <w:color w:val="auto"/>
              </w:rPr>
            </w:pPr>
            <w:r>
              <w:rPr>
                <w:rFonts w:ascii="Arial" w:cs="Arial" w:eastAsia="Arial" w:hAnsi="Arial"/>
                <w:sz w:val="16"/>
                <w:szCs w:val="16"/>
                <w:color w:val="0000FF"/>
                <w:w w:val="97"/>
              </w:rPr>
              <w:t>112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11.</w:t>
            </w:r>
          </w:p>
        </w:tc>
        <w:tc>
          <w:tcPr>
            <w:tcW w:w="4040" w:type="dxa"/>
            <w:vAlign w:val="bottom"/>
            <w:gridSpan w:val="19"/>
          </w:tcPr>
          <w:p>
            <w:pPr>
              <w:spacing w:after="0"/>
              <w:rPr>
                <w:sz w:val="20"/>
                <w:szCs w:val="20"/>
                <w:color w:val="auto"/>
              </w:rPr>
            </w:pPr>
            <w:r>
              <w:rPr>
                <w:rFonts w:ascii="Arial" w:cs="Arial" w:eastAsia="Arial" w:hAnsi="Arial"/>
                <w:sz w:val="16"/>
                <w:szCs w:val="16"/>
                <w:color w:val="0000FF"/>
              </w:rPr>
              <w:t>Executive Compensation</w:t>
            </w:r>
          </w:p>
        </w:tc>
        <w:tc>
          <w:tcPr>
            <w:tcW w:w="3980" w:type="dxa"/>
            <w:vAlign w:val="bottom"/>
            <w:gridSpan w:val="7"/>
          </w:tcPr>
          <w:p>
            <w:pPr>
              <w:spacing w:after="0"/>
              <w:rPr>
                <w:sz w:val="17"/>
                <w:szCs w:val="17"/>
                <w:color w:val="auto"/>
              </w:rPr>
            </w:pPr>
          </w:p>
        </w:tc>
        <w:tc>
          <w:tcPr>
            <w:tcW w:w="2000" w:type="dxa"/>
            <w:vAlign w:val="bottom"/>
            <w:gridSpan w:val="5"/>
          </w:tcPr>
          <w:p>
            <w:pPr>
              <w:jc w:val="center"/>
              <w:ind w:left="1659"/>
              <w:spacing w:after="0"/>
              <w:rPr>
                <w:sz w:val="20"/>
                <w:szCs w:val="20"/>
                <w:color w:val="auto"/>
              </w:rPr>
            </w:pPr>
            <w:r>
              <w:rPr>
                <w:rFonts w:ascii="Arial" w:cs="Arial" w:eastAsia="Arial" w:hAnsi="Arial"/>
                <w:sz w:val="16"/>
                <w:szCs w:val="16"/>
                <w:color w:val="0000FF"/>
                <w:w w:val="97"/>
              </w:rPr>
              <w:t>112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12.</w:t>
            </w:r>
          </w:p>
        </w:tc>
        <w:tc>
          <w:tcPr>
            <w:tcW w:w="8020" w:type="dxa"/>
            <w:vAlign w:val="bottom"/>
            <w:gridSpan w:val="26"/>
          </w:tcPr>
          <w:p>
            <w:pPr>
              <w:spacing w:after="0"/>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2000" w:type="dxa"/>
            <w:vAlign w:val="bottom"/>
            <w:gridSpan w:val="5"/>
          </w:tcPr>
          <w:p>
            <w:pPr>
              <w:jc w:val="center"/>
              <w:ind w:left="1659"/>
              <w:spacing w:after="0"/>
              <w:rPr>
                <w:sz w:val="20"/>
                <w:szCs w:val="20"/>
                <w:color w:val="auto"/>
              </w:rPr>
            </w:pPr>
            <w:r>
              <w:rPr>
                <w:rFonts w:ascii="Arial" w:cs="Arial" w:eastAsia="Arial" w:hAnsi="Arial"/>
                <w:sz w:val="16"/>
                <w:szCs w:val="16"/>
                <w:color w:val="0000FF"/>
                <w:w w:val="97"/>
              </w:rPr>
              <w:t>112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1360" w:type="dxa"/>
            <w:vAlign w:val="bottom"/>
            <w:gridSpan w:val="7"/>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gridSpan w:val="6"/>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13.</w:t>
            </w:r>
          </w:p>
        </w:tc>
        <w:tc>
          <w:tcPr>
            <w:tcW w:w="7200" w:type="dxa"/>
            <w:vAlign w:val="bottom"/>
            <w:gridSpan w:val="25"/>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820" w:type="dxa"/>
            <w:vAlign w:val="bottom"/>
          </w:tcPr>
          <w:p>
            <w:pPr>
              <w:spacing w:after="0"/>
              <w:rPr>
                <w:sz w:val="17"/>
                <w:szCs w:val="17"/>
                <w:color w:val="auto"/>
              </w:rPr>
            </w:pPr>
          </w:p>
        </w:tc>
        <w:tc>
          <w:tcPr>
            <w:tcW w:w="2000" w:type="dxa"/>
            <w:vAlign w:val="bottom"/>
            <w:gridSpan w:val="5"/>
          </w:tcPr>
          <w:p>
            <w:pPr>
              <w:jc w:val="center"/>
              <w:ind w:left="1659"/>
              <w:spacing w:after="0"/>
              <w:rPr>
                <w:sz w:val="20"/>
                <w:szCs w:val="20"/>
                <w:color w:val="auto"/>
              </w:rPr>
            </w:pPr>
            <w:r>
              <w:rPr>
                <w:rFonts w:ascii="Arial" w:cs="Arial" w:eastAsia="Arial" w:hAnsi="Arial"/>
                <w:sz w:val="16"/>
                <w:szCs w:val="16"/>
                <w:color w:val="0000FF"/>
                <w:w w:val="97"/>
              </w:rPr>
              <w:t>112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14.</w:t>
            </w:r>
          </w:p>
        </w:tc>
        <w:tc>
          <w:tcPr>
            <w:tcW w:w="5460" w:type="dxa"/>
            <w:vAlign w:val="bottom"/>
            <w:gridSpan w:val="22"/>
          </w:tcPr>
          <w:p>
            <w:pPr>
              <w:spacing w:after="0"/>
              <w:rPr>
                <w:sz w:val="20"/>
                <w:szCs w:val="20"/>
                <w:color w:val="auto"/>
              </w:rPr>
            </w:pPr>
            <w:r>
              <w:rPr>
                <w:rFonts w:ascii="Arial" w:cs="Arial" w:eastAsia="Arial" w:hAnsi="Arial"/>
                <w:sz w:val="16"/>
                <w:szCs w:val="16"/>
                <w:color w:val="0000FF"/>
              </w:rPr>
              <w:t>Principal Accountant Fees and Services</w:t>
            </w:r>
          </w:p>
        </w:tc>
        <w:tc>
          <w:tcPr>
            <w:tcW w:w="2560" w:type="dxa"/>
            <w:vAlign w:val="bottom"/>
            <w:gridSpan w:val="4"/>
          </w:tcPr>
          <w:p>
            <w:pPr>
              <w:spacing w:after="0"/>
              <w:rPr>
                <w:sz w:val="17"/>
                <w:szCs w:val="17"/>
                <w:color w:val="auto"/>
              </w:rPr>
            </w:pPr>
          </w:p>
        </w:tc>
        <w:tc>
          <w:tcPr>
            <w:tcW w:w="2000" w:type="dxa"/>
            <w:vAlign w:val="bottom"/>
            <w:gridSpan w:val="5"/>
          </w:tcPr>
          <w:p>
            <w:pPr>
              <w:jc w:val="center"/>
              <w:ind w:left="1659"/>
              <w:spacing w:after="0"/>
              <w:rPr>
                <w:sz w:val="20"/>
                <w:szCs w:val="20"/>
                <w:color w:val="auto"/>
              </w:rPr>
            </w:pPr>
            <w:r>
              <w:rPr>
                <w:rFonts w:ascii="Arial" w:cs="Arial" w:eastAsia="Arial" w:hAnsi="Arial"/>
                <w:sz w:val="16"/>
                <w:szCs w:val="16"/>
                <w:color w:val="0000FF"/>
                <w:w w:val="97"/>
              </w:rPr>
              <w:t>112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8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gridSpan w:val="6"/>
          </w:tcPr>
          <w:p>
            <w:pPr>
              <w:jc w:val="center"/>
              <w:ind w:right="2840"/>
              <w:spacing w:after="0"/>
              <w:rPr>
                <w:sz w:val="20"/>
                <w:szCs w:val="20"/>
                <w:color w:val="auto"/>
              </w:rPr>
            </w:pPr>
            <w:r>
              <w:rPr>
                <w:rFonts w:ascii="Arial" w:cs="Arial" w:eastAsia="Arial" w:hAnsi="Arial"/>
                <w:sz w:val="16"/>
                <w:szCs w:val="16"/>
                <w:b w:val="1"/>
                <w:bCs w:val="1"/>
                <w:color w:val="auto"/>
                <w:w w:val="98"/>
              </w:rPr>
              <w:t>Part IV</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Arial" w:cs="Arial" w:eastAsia="Arial" w:hAnsi="Arial"/>
                <w:sz w:val="16"/>
                <w:szCs w:val="16"/>
                <w:color w:val="auto"/>
              </w:rPr>
              <w:t>Item 15.</w:t>
            </w:r>
          </w:p>
        </w:tc>
        <w:tc>
          <w:tcPr>
            <w:tcW w:w="3080" w:type="dxa"/>
            <w:vAlign w:val="bottom"/>
            <w:gridSpan w:val="16"/>
          </w:tcPr>
          <w:p>
            <w:pPr>
              <w:spacing w:after="0" w:line="176" w:lineRule="exact"/>
              <w:rPr>
                <w:sz w:val="20"/>
                <w:szCs w:val="20"/>
                <w:color w:val="auto"/>
              </w:rPr>
            </w:pPr>
            <w:r>
              <w:rPr>
                <w:rFonts w:ascii="Arial" w:cs="Arial" w:eastAsia="Arial" w:hAnsi="Arial"/>
                <w:sz w:val="16"/>
                <w:szCs w:val="16"/>
                <w:color w:val="0000FF"/>
              </w:rPr>
              <w:t>Exhibit and Financial Statement Schedules</w:t>
            </w:r>
          </w:p>
        </w:tc>
        <w:tc>
          <w:tcPr>
            <w:tcW w:w="4940" w:type="dxa"/>
            <w:vAlign w:val="bottom"/>
            <w:gridSpan w:val="10"/>
          </w:tcPr>
          <w:p>
            <w:pPr>
              <w:spacing w:after="0"/>
              <w:rPr>
                <w:sz w:val="15"/>
                <w:szCs w:val="15"/>
                <w:color w:val="auto"/>
              </w:rPr>
            </w:pPr>
          </w:p>
        </w:tc>
        <w:tc>
          <w:tcPr>
            <w:tcW w:w="2000" w:type="dxa"/>
            <w:vAlign w:val="bottom"/>
            <w:gridSpan w:val="5"/>
          </w:tcPr>
          <w:p>
            <w:pPr>
              <w:jc w:val="center"/>
              <w:ind w:left="1659"/>
              <w:spacing w:after="0" w:line="176" w:lineRule="exact"/>
              <w:rPr>
                <w:sz w:val="20"/>
                <w:szCs w:val="20"/>
                <w:color w:val="auto"/>
              </w:rPr>
            </w:pPr>
            <w:r>
              <w:rPr>
                <w:rFonts w:ascii="Arial" w:cs="Arial" w:eastAsia="Arial" w:hAnsi="Arial"/>
                <w:sz w:val="16"/>
                <w:szCs w:val="16"/>
                <w:color w:val="0000FF"/>
                <w:w w:val="97"/>
              </w:rPr>
              <w:t>113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4940" w:type="dxa"/>
            <w:vAlign w:val="bottom"/>
            <w:gridSpan w:val="10"/>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Item 16.</w:t>
            </w:r>
          </w:p>
        </w:tc>
        <w:tc>
          <w:tcPr>
            <w:tcW w:w="1500" w:type="dxa"/>
            <w:vAlign w:val="bottom"/>
            <w:gridSpan w:val="8"/>
          </w:tcPr>
          <w:p>
            <w:pPr>
              <w:spacing w:after="0"/>
              <w:rPr>
                <w:sz w:val="20"/>
                <w:szCs w:val="20"/>
                <w:color w:val="auto"/>
              </w:rPr>
            </w:pPr>
            <w:r>
              <w:rPr>
                <w:rFonts w:ascii="Arial" w:cs="Arial" w:eastAsia="Arial" w:hAnsi="Arial"/>
                <w:sz w:val="16"/>
                <w:szCs w:val="16"/>
                <w:color w:val="0000FF"/>
                <w:w w:val="99"/>
              </w:rPr>
              <w:t>Form 10-K Summary</w:t>
            </w:r>
          </w:p>
        </w:tc>
        <w:tc>
          <w:tcPr>
            <w:tcW w:w="1580" w:type="dxa"/>
            <w:vAlign w:val="bottom"/>
            <w:gridSpan w:val="8"/>
          </w:tcPr>
          <w:p>
            <w:pPr>
              <w:spacing w:after="0"/>
              <w:rPr>
                <w:sz w:val="17"/>
                <w:szCs w:val="17"/>
                <w:color w:val="auto"/>
              </w:rPr>
            </w:pPr>
          </w:p>
        </w:tc>
        <w:tc>
          <w:tcPr>
            <w:tcW w:w="4940" w:type="dxa"/>
            <w:vAlign w:val="bottom"/>
            <w:gridSpan w:val="10"/>
          </w:tcPr>
          <w:p>
            <w:pPr>
              <w:spacing w:after="0"/>
              <w:rPr>
                <w:sz w:val="17"/>
                <w:szCs w:val="17"/>
                <w:color w:val="auto"/>
              </w:rPr>
            </w:pPr>
          </w:p>
        </w:tc>
        <w:tc>
          <w:tcPr>
            <w:tcW w:w="2000" w:type="dxa"/>
            <w:vAlign w:val="bottom"/>
            <w:gridSpan w:val="5"/>
          </w:tcPr>
          <w:p>
            <w:pPr>
              <w:jc w:val="center"/>
              <w:ind w:left="1659"/>
              <w:spacing w:after="0"/>
              <w:rPr>
                <w:sz w:val="20"/>
                <w:szCs w:val="20"/>
                <w:color w:val="auto"/>
              </w:rPr>
            </w:pPr>
            <w:r>
              <w:rPr>
                <w:rFonts w:ascii="Arial" w:cs="Arial" w:eastAsia="Arial" w:hAnsi="Arial"/>
                <w:sz w:val="16"/>
                <w:szCs w:val="16"/>
                <w:color w:val="0000FF"/>
                <w:w w:val="97"/>
              </w:rPr>
              <w:t>116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6520" w:type="dxa"/>
            <w:vAlign w:val="bottom"/>
            <w:gridSpan w:val="18"/>
          </w:tcPr>
          <w:p>
            <w:pPr>
              <w:spacing w:after="0" w:line="20" w:lineRule="exact"/>
              <w:rPr>
                <w:sz w:val="1"/>
                <w:szCs w:val="1"/>
                <w:color w:val="auto"/>
              </w:rPr>
            </w:pPr>
          </w:p>
        </w:tc>
        <w:tc>
          <w:tcPr>
            <w:tcW w:w="184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880" w:type="dxa"/>
            <w:vAlign w:val="bottom"/>
            <w:gridSpan w:val="27"/>
          </w:tcPr>
          <w:p>
            <w:pPr>
              <w:spacing w:after="0"/>
              <w:rPr>
                <w:sz w:val="20"/>
                <w:szCs w:val="20"/>
                <w:color w:val="auto"/>
              </w:rPr>
            </w:pPr>
            <w:r>
              <w:rPr>
                <w:rFonts w:ascii="Arial" w:cs="Arial" w:eastAsia="Arial" w:hAnsi="Arial"/>
                <w:sz w:val="16"/>
                <w:szCs w:val="16"/>
                <w:color w:val="0000FF"/>
              </w:rPr>
              <w:t>SIGNATURES</w:t>
            </w:r>
          </w:p>
        </w:tc>
        <w:tc>
          <w:tcPr>
            <w:tcW w:w="2000" w:type="dxa"/>
            <w:vAlign w:val="bottom"/>
            <w:gridSpan w:val="5"/>
          </w:tcPr>
          <w:p>
            <w:pPr>
              <w:jc w:val="center"/>
              <w:ind w:left="1659"/>
              <w:spacing w:after="0"/>
              <w:rPr>
                <w:sz w:val="20"/>
                <w:szCs w:val="20"/>
                <w:color w:val="auto"/>
              </w:rPr>
            </w:pPr>
            <w:r>
              <w:rPr>
                <w:rFonts w:ascii="Arial" w:cs="Arial" w:eastAsia="Arial" w:hAnsi="Arial"/>
                <w:sz w:val="16"/>
                <w:szCs w:val="16"/>
                <w:color w:val="0000FF"/>
                <w:w w:val="97"/>
              </w:rPr>
              <w:t>117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536575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40" w:top="652"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Annual Report on Form 10-K other than statements of historical fact, including, without limitation, statements regarding our execution of and timing of and the expected benefits from our restructuring initiative and cost-saving measures, the cost savings and other efficiencies of expanding relationships with our third-party partners, details regarding and the timing of the launch of new products and services, our new initiatives with retailer partners and our efforts to optimize our retail showroom footprint, the prices of our products and services in the future,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2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but not limited to:</w:t>
      </w:r>
    </w:p>
    <w:p>
      <w:pPr>
        <w:spacing w:after="0" w:line="20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and maintain future profitability;</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maintain Subscribers;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accurately forecast consumer demand for our products and services and adequately manage our inventory;</w:t>
      </w:r>
    </w:p>
    <w:p>
      <w:pPr>
        <w:spacing w:after="0" w:line="248" w:lineRule="exact"/>
        <w:rPr>
          <w:rFonts w:ascii="Arial" w:cs="Arial" w:eastAsia="Arial" w:hAnsi="Arial"/>
          <w:sz w:val="16"/>
          <w:szCs w:val="16"/>
          <w:color w:val="auto"/>
        </w:rPr>
      </w:pPr>
    </w:p>
    <w:p>
      <w:pPr>
        <w:ind w:left="660" w:right="2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and achieve the expected benefits of our restructuring initiatives and other cost-saving measures and whether our efforts will result in further actions or additional asset impairment charges that adversely affect our business;</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effectively manage our growth and costs;</w:t>
      </w:r>
    </w:p>
    <w:p>
      <w:pPr>
        <w:spacing w:after="0" w:line="234" w:lineRule="exact"/>
        <w:rPr>
          <w:rFonts w:ascii="Arial" w:cs="Arial" w:eastAsia="Arial" w:hAnsi="Arial"/>
          <w:sz w:val="16"/>
          <w:szCs w:val="16"/>
          <w:color w:val="auto"/>
        </w:rPr>
      </w:pPr>
    </w:p>
    <w:p>
      <w:pPr>
        <w:ind w:left="66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anticipate consumer preferences and successfully develop and offer new products and services in a timely manner, or effectively manage the introduction of new or enhanced products and services;</w:t>
      </w:r>
    </w:p>
    <w:p>
      <w:pPr>
        <w:spacing w:after="0" w:line="210"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demand for our products and services and growth of the Connected Fitness Products market;</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value and reputation of the Peloton brand;</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disruptions or failures of information technology systems, or websites;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 limited number of suppliers, contract manufacturers, and logistics partners for our Connected Fitness Products;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lack of control over suppliers, contract manufacturers and logistics partners for our Connected Fitness Products;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predict our long-term performance and declines in our revenue growth as our business matures;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declines in sales of our Connected Fitness Products;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p>
    <w:p>
      <w:pPr>
        <w:spacing w:after="0" w:line="9"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effects of increased competition in our markets and our ability to compete effectively;</w:t>
      </w:r>
    </w:p>
    <w:p>
      <w:pPr>
        <w:spacing w:after="0" w:line="23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dependence on third-party licenses for use of music in our content;</w:t>
      </w:r>
    </w:p>
    <w:p>
      <w:pPr>
        <w:spacing w:after="0" w:line="2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actual or perceived defects in, or safety of, our products, including any impact of product recalls or legal or regulatory claims, proceedings or investigations involving our products;</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increases in component costs, long lead times, supply shortages or other supply chain disruptions;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accidents, safety incidents or workforce disruptions;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seasonality or other fluctuations in our quarterly results;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generate class content;</w:t>
      </w:r>
    </w:p>
    <w:p>
      <w:pPr>
        <w:spacing w:after="0" w:line="248"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acquisitions or dispositions, including the acquisition of Precor, and our ability to integrate any such acquired companies into our operations and control environment;</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expansion into international markets;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payment processing, cybersecurity, or data privacy;</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Peloton App and its ability to work with a range of mobile and streaming technologies, systems, networks, and standards;</w:t>
      </w:r>
    </w:p>
    <w:p>
      <w:pPr>
        <w:spacing w:after="0" w:line="248"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effectively price and market our Connected Fitness Products and subscriptions and our limited operating history with which to predict the profitability of our subscription model;</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inaccuracies in, or failure to achieve, operational and business metrics or forecasts of market growth;</w:t>
      </w:r>
    </w:p>
    <w:p>
      <w:pPr>
        <w:sectPr>
          <w:pgSz w:w="11900" w:h="16838" w:orient="portrait"/>
          <w:cols w:equalWidth="0" w:num="1">
            <w:col w:w="11240"/>
          </w:cols>
          <w:pgMar w:left="320" w:top="607" w:right="339" w:bottom="21" w:gutter="0" w:footer="0" w:header="0"/>
        </w:sectPr>
      </w:pPr>
    </w:p>
    <w:bookmarkStart w:id="4" w:name="page5"/>
    <w:bookmarkEnd w:id="4"/>
    <w:p>
      <w:pPr>
        <w:ind w:left="660" w:hanging="328"/>
        <w:spacing w:after="0" w:line="28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maintain effective internal control over financial and management systems and remediate material weaknesses, including with respect to Precor;</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impacts from warranty claims or product returns;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2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stay in compliance with laws and regulations that currently apply or become applicable to our business both in the United States and internationally;</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reliance on third parties for computing, storage, processing and similar services and delivery and installation of our products;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attract and retain highly skilled personnel and maintain our culture;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related to our common stock and indebtedness; and</w:t>
      </w:r>
    </w:p>
    <w:p>
      <w:pPr>
        <w:spacing w:after="0" w:line="261"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those risks and uncertainties described in the sections titled “Management’s Discussion and Analysis of Financial Condition and Results of Operations” in Part II, Item 7 and “Risk Factors” in Part I, Item 1A of this Annual Report on Form 10-K, as such factors may be updated in our filings with the Securities and Exchange Commission (the “SEC”).</w:t>
      </w:r>
    </w:p>
    <w:p>
      <w:pPr>
        <w:spacing w:after="0" w:line="21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Annual Report on Form 10-K, and we undertake no obligation to update any of these forward-looking statements for any reason after the date of this Annual Report on Form 10-K or to conform these statements to actual results or revised expectations, except as required by law.</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You should read this Annual Report on Form 10-K, and the documents that we reference in this Annual Report on Form 10-K and have filed with the SEC, with the understanding that our actual future results, performance, and events and circumstances may be materially different from what we expect.</w:t>
      </w:r>
    </w:p>
    <w:p>
      <w:pPr>
        <w:spacing w:after="0" w:line="1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this Annual Report on Form 10-K, the words “we,” “us,” “our,” and "Peloton" refer to Peloton Interactive, Inc. and its wholly owned subsidiaries, unless the context requires otherwise.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business is subject to numerous risks and uncertainties, including those described in Part I, Item 1A, "Risk Factors" in this Annual Report on Form 10-K. You should carefully consider these risks and uncertainties when investing in our Class A common stock. Some of the principal risks and uncertainties include the following:</w:t>
      </w:r>
    </w:p>
    <w:p>
      <w:pPr>
        <w:spacing w:after="0" w:line="191"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incurred operating losses in the past, may incur operating losses in the future, and may not achieve or maintain profitability in the future.</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be unable to attract and retain Subscribers, which could have an adverse effect on our business and rate of growth.</w:t>
      </w:r>
    </w:p>
    <w:p>
      <w:pPr>
        <w:spacing w:after="0" w:line="59"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operating results have been, and could in the future be, adversely affected if we are unable to accurately forecast consumer demand for our products and services and adequately manage our inventory.</w:t>
      </w:r>
    </w:p>
    <w:p>
      <w:pPr>
        <w:spacing w:after="0" w:line="7"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color w:val="auto"/>
        </w:rPr>
        <w:t>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p>
    <w:p>
      <w:pPr>
        <w:spacing w:after="0" w:line="7" w:lineRule="exact"/>
        <w:rPr>
          <w:rFonts w:ascii="Arial" w:cs="Arial" w:eastAsia="Arial" w:hAnsi="Arial"/>
          <w:sz w:val="16"/>
          <w:szCs w:val="16"/>
          <w:b w:val="1"/>
          <w:bCs w:val="1"/>
          <w:i w:val="1"/>
          <w:iCs w:val="1"/>
          <w:color w:val="auto"/>
        </w:rPr>
      </w:pPr>
    </w:p>
    <w:p>
      <w:pPr>
        <w:jc w:val="both"/>
        <w:ind w:left="660" w:hanging="328"/>
        <w:spacing w:after="0" w:line="26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evolved rapidly in recent years and continues to establish its operating experience at the appropriate scale. If we are unable to manage our longer-term growth, intervening changes and costs, or implement restructuring initiatives effectively, our brand, company culture, and financial performance may suffer.</w:t>
      </w:r>
    </w:p>
    <w:p>
      <w:pPr>
        <w:spacing w:after="0" w:line="22" w:lineRule="exact"/>
        <w:rPr>
          <w:rFonts w:ascii="Arial" w:cs="Arial" w:eastAsia="Arial" w:hAnsi="Arial"/>
          <w:sz w:val="16"/>
          <w:szCs w:val="16"/>
          <w:color w:val="auto"/>
        </w:rPr>
      </w:pPr>
    </w:p>
    <w:p>
      <w:pPr>
        <w:ind w:left="660" w:right="20" w:hanging="328"/>
        <w:spacing w:after="0" w:line="281"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are unable to anticipate consumer preferences and successfully develop and offer new, innovative, and updated products and services in a timely manner, or effectively manage the introduction of new or enhanced products and services, our business may be adversely affected.</w:t>
      </w:r>
    </w:p>
    <w:p>
      <w:pPr>
        <w:spacing w:after="0" w:line="1" w:lineRule="exact"/>
        <w:rPr>
          <w:rFonts w:ascii="Arial" w:cs="Arial" w:eastAsia="Arial" w:hAnsi="Arial"/>
          <w:sz w:val="16"/>
          <w:szCs w:val="16"/>
          <w:color w:val="auto"/>
        </w:rPr>
      </w:pPr>
    </w:p>
    <w:p>
      <w:pPr>
        <w:ind w:left="660" w:right="20" w:hanging="328"/>
        <w:spacing w:after="0" w:line="290" w:lineRule="auto"/>
        <w:tabs>
          <w:tab w:leader="none" w:pos="649"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color w:val="auto"/>
        </w:rPr>
        <w:t>The connected fitness market is relatively new and, if the general market and specific demand for our products and services does not resume growth, or fails to grow as much as we expect, our business, financial condition, and operating results may be adversely affected.</w:t>
      </w: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past financial results may not be indicative of our future performance.</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success depends on our ability to maintain the value and reputation of the Peloton brand.</w:t>
      </w:r>
    </w:p>
    <w:p>
      <w:pPr>
        <w:spacing w:after="0" w:line="59"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major disruption or failure of our information technology systems or websites, or our failure to successfully implement upgrades and new technology effectively, could adversely affect our business and operations.</w:t>
      </w:r>
    </w:p>
    <w:p>
      <w:pPr>
        <w:spacing w:after="0" w:line="7"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rely on a limited number of suppliers, contract manufacturers, and logistics partners for our Connected Fitness Products. A loss of any of these partners or an interruption or inability of these partners to satisfy our demand needs could negatively affect our business.</w:t>
      </w:r>
    </w:p>
    <w:p>
      <w:pPr>
        <w:spacing w:after="0" w:line="7"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1" w:lineRule="exact"/>
        <w:rPr>
          <w:rFonts w:ascii="Arial" w:cs="Arial" w:eastAsia="Arial" w:hAnsi="Arial"/>
          <w:sz w:val="16"/>
          <w:szCs w:val="16"/>
          <w:color w:val="auto"/>
        </w:rPr>
      </w:pPr>
    </w:p>
    <w:p>
      <w:pPr>
        <w:ind w:left="660" w:hanging="328"/>
        <w:spacing w:after="0" w:line="290"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derive a substantial portion of our revenue from sales of our Connected Fitness Products. A decline in sales of our Connected Fitness Products would negatively affect our future revenue and operating results.</w:t>
      </w: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operate in a highly competitive market, and we may be unable to compete successfully against existing and future competitors.</w:t>
      </w:r>
    </w:p>
    <w:p>
      <w:pPr>
        <w:spacing w:after="0" w:line="72"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1"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From time to time, we may be subject to legal proceedings, government inquiries or investigations, or disputes that could cause us to incur significant expenses, divert our management’s attention, and materially harm our business, financial condition, and operating results.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Overview</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050505"/>
        </w:rPr>
        <w:t xml:space="preserve">Peloton is a leading global fitness company with a highly engaged community of over </w:t>
      </w:r>
      <w:r>
        <w:rPr>
          <w:rFonts w:ascii="Arial" w:cs="Arial" w:eastAsia="Arial" w:hAnsi="Arial"/>
          <w:sz w:val="16"/>
          <w:szCs w:val="16"/>
          <w:color w:val="000000"/>
        </w:rPr>
        <w:t>6.4 million Members as of</w:t>
      </w:r>
      <w:r>
        <w:rPr>
          <w:rFonts w:ascii="Arial" w:cs="Arial" w:eastAsia="Arial" w:hAnsi="Arial"/>
          <w:sz w:val="16"/>
          <w:szCs w:val="16"/>
          <w:color w:val="050505"/>
        </w:rPr>
        <w:t xml:space="preserve"> June 30, 2024 </w:t>
      </w:r>
      <w:r>
        <w:rPr>
          <w:rFonts w:ascii="Arial" w:cs="Arial" w:eastAsia="Arial" w:hAnsi="Arial"/>
          <w:sz w:val="16"/>
          <w:szCs w:val="16"/>
          <w:color w:val="000000"/>
        </w:rPr>
        <w:t>across the United States,</w:t>
      </w:r>
      <w:r>
        <w:rPr>
          <w:rFonts w:ascii="Arial" w:cs="Arial" w:eastAsia="Arial" w:hAnsi="Arial"/>
          <w:sz w:val="16"/>
          <w:szCs w:val="16"/>
          <w:color w:val="050505"/>
        </w:rPr>
        <w:t xml:space="preserve"> </w:t>
      </w:r>
      <w:r>
        <w:rPr>
          <w:rFonts w:ascii="Arial" w:cs="Arial" w:eastAsia="Arial" w:hAnsi="Arial"/>
          <w:sz w:val="16"/>
          <w:szCs w:val="16"/>
          <w:color w:val="000000"/>
        </w:rPr>
        <w:t>United Kingdom, Canada, Germany, Australia, and Austria. A category innovator at the nexus of fitness, technology, and media, Peloton's first-of-its-kind subscription platform seamlessly combines innovative hardware, distinctive software, and exclusive content. Its world-renowned Instructors coach and motivate Members to be the best version of themselves anytime, anywhere. Founded in 2012 and headquartered in New York City, Peloton continues to scale across the markets in which it operates. We define a “Member” as any individual who has a Peloton account through a paid Connected Fitness Subscription or a paid Peloton App Subscription, and completes 1 or more workouts in the trailing 12 month period. We define a completed workout as either completing at least 50% of an Instructor-led class, Scenic ride, run, or row, or ten or more minutes of “Just Ride”, “Just Run”, or “Just Row” mode.</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define a “Paid Connected Fitness Subscription” as a person, household, or commercial property, such as a hotel or residential building, who has paid for a subscription to a Connected Fitness Product (a Connected Fitness Subscription with a successful credit card billing or with prepaid subscription credits or waivers). “Paid App Subscriptions” include all App One and App+ subscriptions for which we are currently receiving payment.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Our Products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provide Members with expert instruction and world class content to create impactful and entertaining workout experiences for anyone, anywhere, and at any stage in their fitness journey. At home, outdoors, traveling, or at the gym, we offer an immersive and personalized experience. With tens-of-thousands of classes available across many fitness modalities, Members can access Peloton content via our hardware or via the Peloton App, on their phone, tablet, or TV, allowing them to workout when, where, and how they want.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Our Connected Fitness Products include:</w:t>
      </w:r>
    </w:p>
    <w:p>
      <w:pPr>
        <w:spacing w:after="0" w:line="262" w:lineRule="exact"/>
        <w:rPr>
          <w:sz w:val="20"/>
          <w:szCs w:val="20"/>
          <w:color w:val="auto"/>
        </w:rPr>
      </w:pPr>
    </w:p>
    <w:p>
      <w:pPr>
        <w:jc w:val="both"/>
        <w:ind w:left="660" w:hanging="328"/>
        <w:spacing w:after="0" w:line="266" w:lineRule="auto"/>
        <w:tabs>
          <w:tab w:leader="none" w:pos="649"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Peloton Bike: </w:t>
      </w:r>
      <w:r>
        <w:rPr>
          <w:rFonts w:ascii="Arial" w:cs="Arial" w:eastAsia="Arial" w:hAnsi="Arial"/>
          <w:sz w:val="16"/>
          <w:szCs w:val="16"/>
          <w:color w:val="auto"/>
        </w:rPr>
        <w:t>The original Peloton Bike combines fitness, technology, and media to connect riders to live and on-demand workouts led by Peloton</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Instructors. The Peloton Bike also offers alternative workout experiences like Entertainment (video streaming), Scenic (guided, time, and distance based rides filmed in locations around the world), and Lanebreak (game inspired workout experience). It has a 21.5” HD touchscreen.</w:t>
      </w:r>
    </w:p>
    <w:p>
      <w:pPr>
        <w:spacing w:after="0" w:line="211" w:lineRule="exact"/>
        <w:rPr>
          <w:rFonts w:ascii="Arial" w:cs="Arial" w:eastAsia="Arial" w:hAnsi="Arial"/>
          <w:sz w:val="16"/>
          <w:szCs w:val="16"/>
          <w:b w:val="1"/>
          <w:bCs w:val="1"/>
          <w:color w:val="auto"/>
        </w:rPr>
      </w:pPr>
    </w:p>
    <w:p>
      <w:pPr>
        <w:jc w:val="both"/>
        <w:ind w:left="660" w:hanging="328"/>
        <w:spacing w:after="0" w:line="265" w:lineRule="auto"/>
        <w:tabs>
          <w:tab w:leader="none" w:pos="663" w:val="left"/>
        </w:tabs>
        <w:numPr>
          <w:ilvl w:val="0"/>
          <w:numId w:val="7"/>
        </w:numPr>
        <w:rPr>
          <w:rFonts w:ascii="Arial" w:cs="Arial" w:eastAsia="Arial" w:hAnsi="Arial"/>
          <w:sz w:val="16"/>
          <w:szCs w:val="16"/>
          <w:i w:val="1"/>
          <w:iCs w:val="1"/>
          <w:color w:val="auto"/>
        </w:rPr>
      </w:pPr>
      <w:r>
        <w:rPr>
          <w:rFonts w:ascii="Arial" w:cs="Arial" w:eastAsia="Arial" w:hAnsi="Arial"/>
          <w:sz w:val="16"/>
          <w:szCs w:val="16"/>
          <w:b w:val="1"/>
          <w:bCs w:val="1"/>
          <w:color w:val="auto"/>
        </w:rPr>
        <w:t xml:space="preserve">Peloton Bike+: </w:t>
      </w:r>
      <w:r>
        <w:rPr>
          <w:rFonts w:ascii="Arial" w:cs="Arial" w:eastAsia="Arial" w:hAnsi="Arial"/>
          <w:sz w:val="16"/>
          <w:szCs w:val="16"/>
          <w:color w:val="auto"/>
        </w:rPr>
        <w:t>The Peloton Bike+ includes all Bike features and unlocks an even more dynamic workout experience with a rotating screen</w:t>
      </w:r>
      <w:r>
        <w:rPr>
          <w:rFonts w:ascii="Arial" w:cs="Arial" w:eastAsia="Arial" w:hAnsi="Arial"/>
          <w:sz w:val="16"/>
          <w:szCs w:val="16"/>
          <w:b w:val="1"/>
          <w:bCs w:val="1"/>
          <w:color w:val="auto"/>
        </w:rPr>
        <w:t xml:space="preserve"> </w:t>
      </w:r>
      <w:r>
        <w:rPr>
          <w:rFonts w:ascii="Arial" w:cs="Arial" w:eastAsia="Arial" w:hAnsi="Arial"/>
          <w:sz w:val="16"/>
          <w:szCs w:val="16"/>
          <w:color w:val="auto"/>
        </w:rPr>
        <w:t>improving the off-bike workout experience, as well as automatic resistance control with the Bike+ electronic braking system, and a 23.8” HD touchscreen. Designed to keep riders motivated and effortlessly moving from cardio to strength, yoga, and more, the Peloton Bike+ unlocks an even more seamless and integrated total workout experience.</w:t>
      </w:r>
    </w:p>
    <w:p>
      <w:pPr>
        <w:spacing w:after="0" w:line="199" w:lineRule="exact"/>
        <w:rPr>
          <w:rFonts w:ascii="Arial" w:cs="Arial" w:eastAsia="Arial" w:hAnsi="Arial"/>
          <w:sz w:val="16"/>
          <w:szCs w:val="16"/>
          <w:i w:val="1"/>
          <w:iCs w:val="1"/>
          <w:color w:val="auto"/>
        </w:rPr>
      </w:pPr>
    </w:p>
    <w:p>
      <w:pPr>
        <w:jc w:val="both"/>
        <w:ind w:left="660" w:hanging="328"/>
        <w:spacing w:after="0" w:line="275" w:lineRule="auto"/>
        <w:tabs>
          <w:tab w:leader="none" w:pos="649"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 xml:space="preserve">Peloton Tread: </w:t>
      </w:r>
      <w:r>
        <w:rPr>
          <w:rFonts w:ascii="Arial" w:cs="Arial" w:eastAsia="Arial" w:hAnsi="Arial"/>
          <w:sz w:val="16"/>
          <w:szCs w:val="16"/>
          <w:color w:val="auto"/>
        </w:rPr>
        <w:t>The Peloton Tread combines a cutting-edge treadmill design with Peloton’s compelling Instructor-led running and Tread Bootcamp</w:t>
      </w:r>
      <w:r>
        <w:rPr>
          <w:rFonts w:ascii="Arial" w:cs="Arial" w:eastAsia="Arial" w:hAnsi="Arial"/>
          <w:sz w:val="16"/>
          <w:szCs w:val="16"/>
          <w:b w:val="1"/>
          <w:bCs w:val="1"/>
          <w:color w:val="auto"/>
        </w:rPr>
        <w:t xml:space="preserve"> </w:t>
      </w:r>
      <w:r>
        <w:rPr>
          <w:rFonts w:ascii="Arial" w:cs="Arial" w:eastAsia="Arial" w:hAnsi="Arial"/>
          <w:sz w:val="16"/>
          <w:szCs w:val="16"/>
          <w:color w:val="auto"/>
        </w:rPr>
        <w:t>content, as well as Entertainment, Scenic and Lanebreak. The Tread includes fundamental design elements unique to Peloton, like dial control knobs, jump buttons, and an auto-incline feature. It has a 23.8” HD touchscreen.</w:t>
      </w:r>
    </w:p>
    <w:p>
      <w:pPr>
        <w:spacing w:after="0" w:line="191" w:lineRule="exact"/>
        <w:rPr>
          <w:rFonts w:ascii="Arial" w:cs="Arial" w:eastAsia="Arial" w:hAnsi="Arial"/>
          <w:sz w:val="16"/>
          <w:szCs w:val="16"/>
          <w:b w:val="1"/>
          <w:bCs w:val="1"/>
          <w:i w:val="1"/>
          <w:iCs w:val="1"/>
          <w:color w:val="auto"/>
        </w:rPr>
      </w:pPr>
    </w:p>
    <w:p>
      <w:pPr>
        <w:ind w:left="660" w:right="20" w:hanging="328"/>
        <w:spacing w:after="0" w:line="304" w:lineRule="auto"/>
        <w:tabs>
          <w:tab w:leader="none" w:pos="649"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 xml:space="preserve">Peloton Tread+: </w:t>
      </w:r>
      <w:r>
        <w:rPr>
          <w:rFonts w:ascii="Arial" w:cs="Arial" w:eastAsia="Arial" w:hAnsi="Arial"/>
          <w:sz w:val="16"/>
          <w:szCs w:val="16"/>
          <w:color w:val="auto"/>
        </w:rPr>
        <w:t>The Peloton Tread+ includes all Tread features and unlocks an elevated comfort experience with slat belt technology. It has an</w:t>
      </w:r>
      <w:r>
        <w:rPr>
          <w:rFonts w:ascii="Arial" w:cs="Arial" w:eastAsia="Arial" w:hAnsi="Arial"/>
          <w:sz w:val="16"/>
          <w:szCs w:val="16"/>
          <w:b w:val="1"/>
          <w:bCs w:val="1"/>
          <w:color w:val="auto"/>
        </w:rPr>
        <w:t xml:space="preserve"> </w:t>
      </w:r>
      <w:r>
        <w:rPr>
          <w:rFonts w:ascii="Arial" w:cs="Arial" w:eastAsia="Arial" w:hAnsi="Arial"/>
          <w:sz w:val="16"/>
          <w:szCs w:val="16"/>
          <w:color w:val="auto"/>
        </w:rPr>
        <w:t>upgraded 32” touchscreen and powerful sound bar designed for the highest quality home workout experience.</w:t>
      </w:r>
    </w:p>
    <w:p>
      <w:pPr>
        <w:spacing w:after="0" w:line="168" w:lineRule="exact"/>
        <w:rPr>
          <w:rFonts w:ascii="Arial" w:cs="Arial" w:eastAsia="Arial" w:hAnsi="Arial"/>
          <w:sz w:val="16"/>
          <w:szCs w:val="16"/>
          <w:b w:val="1"/>
          <w:bCs w:val="1"/>
          <w:i w:val="1"/>
          <w:iCs w:val="1"/>
          <w:color w:val="auto"/>
        </w:rPr>
      </w:pPr>
    </w:p>
    <w:p>
      <w:pPr>
        <w:jc w:val="both"/>
        <w:ind w:left="660" w:hanging="328"/>
        <w:spacing w:after="0" w:line="275" w:lineRule="auto"/>
        <w:tabs>
          <w:tab w:leader="none" w:pos="649"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 xml:space="preserve">Peloton Guide: </w:t>
      </w:r>
      <w:r>
        <w:rPr>
          <w:rFonts w:ascii="Arial" w:cs="Arial" w:eastAsia="Arial" w:hAnsi="Arial"/>
          <w:sz w:val="16"/>
          <w:szCs w:val="16"/>
          <w:color w:val="auto"/>
        </w:rPr>
        <w:t>Peloton’s first connected strength product, Peloton Guide, is an AI-powered personal trainer that connects to televisions and offers</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personalized strength training routines, as well as rep and progress tracking. It features exclusive strength programs and workouts only available on Peloton Guide.</w:t>
      </w:r>
    </w:p>
    <w:p>
      <w:pPr>
        <w:spacing w:after="0" w:line="191" w:lineRule="exact"/>
        <w:rPr>
          <w:rFonts w:ascii="Arial" w:cs="Arial" w:eastAsia="Arial" w:hAnsi="Arial"/>
          <w:sz w:val="16"/>
          <w:szCs w:val="16"/>
          <w:b w:val="1"/>
          <w:bCs w:val="1"/>
          <w:i w:val="1"/>
          <w:iCs w:val="1"/>
          <w:color w:val="auto"/>
        </w:rPr>
      </w:pPr>
    </w:p>
    <w:p>
      <w:pPr>
        <w:jc w:val="both"/>
        <w:ind w:left="660" w:hanging="328"/>
        <w:spacing w:after="0" w:line="275" w:lineRule="auto"/>
        <w:tabs>
          <w:tab w:leader="none" w:pos="649"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 xml:space="preserve">Peloton Row: </w:t>
      </w:r>
      <w:r>
        <w:rPr>
          <w:rFonts w:ascii="Arial" w:cs="Arial" w:eastAsia="Arial" w:hAnsi="Arial"/>
          <w:sz w:val="16"/>
          <w:szCs w:val="16"/>
          <w:color w:val="auto"/>
        </w:rPr>
        <w:t>Peloton Row combines the innovative software, premium hardware design, and exclusive Peloton content to deliver a unique low-impact, full-body cardio, and strength workout. Peloton Row employs proprietary form assistance and form guidance technology for rowers and also features personalized pace target technology. It has a 23.8” HD rotating touchscreen.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Our Connected Fitness Products also include certain Precor products.</w:t>
      </w:r>
    </w:p>
    <w:p>
      <w:pPr>
        <w:spacing w:after="0" w:line="2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Financing options are available for most Peloton products. In select markets, we also provide the opportunity via the Peloton Rental program to rent certain Peloton products and access fitness content for one monthly fee.</w:t>
      </w:r>
    </w:p>
    <w:p>
      <w:pPr>
        <w:spacing w:after="0" w:line="19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Peloton content is accessed via a Membership, and we have created a number of ways for consumers to engage with Peloton’s fitness experience. Monthly membership options include:</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 w:name="page8"/>
    <w:bookmarkEnd w:id="7"/>
    <w:p>
      <w:pPr>
        <w:jc w:val="both"/>
        <w:ind w:left="660" w:hanging="328"/>
        <w:spacing w:after="0" w:line="265" w:lineRule="auto"/>
        <w:tabs>
          <w:tab w:leader="none" w:pos="649" w:val="left"/>
        </w:tabs>
        <w:numPr>
          <w:ilvl w:val="0"/>
          <w:numId w:val="8"/>
        </w:numPr>
        <w:rPr>
          <w:rFonts w:ascii="Arial" w:cs="Arial" w:eastAsia="Arial" w:hAnsi="Arial"/>
          <w:sz w:val="16"/>
          <w:szCs w:val="16"/>
          <w:b w:val="1"/>
          <w:bCs w:val="1"/>
          <w:i w:val="1"/>
          <w:iCs w:val="1"/>
          <w:color w:val="050505"/>
        </w:rPr>
      </w:pPr>
      <w:r>
        <w:rPr>
          <w:rFonts w:ascii="Arial" w:cs="Arial" w:eastAsia="Arial" w:hAnsi="Arial"/>
          <w:sz w:val="16"/>
          <w:szCs w:val="16"/>
          <w:b w:val="1"/>
          <w:bCs w:val="1"/>
          <w:color w:val="auto"/>
        </w:rPr>
        <w:t xml:space="preserve">All-Access Membership: </w:t>
      </w:r>
      <w:r>
        <w:rPr>
          <w:rFonts w:ascii="Arial" w:cs="Arial" w:eastAsia="Arial" w:hAnsi="Arial"/>
          <w:sz w:val="16"/>
          <w:szCs w:val="16"/>
          <w:color w:val="auto"/>
        </w:rPr>
        <w:t>The Peloton All-Access Membership is the most value-packed Peloton Membership. With this membership, the entire</w:t>
      </w:r>
      <w:r>
        <w:rPr>
          <w:rFonts w:ascii="Arial" w:cs="Arial" w:eastAsia="Arial" w:hAnsi="Arial"/>
          <w:sz w:val="16"/>
          <w:szCs w:val="16"/>
          <w:b w:val="1"/>
          <w:bCs w:val="1"/>
          <w:color w:val="auto"/>
        </w:rPr>
        <w:t xml:space="preserve"> </w:t>
      </w:r>
      <w:r>
        <w:rPr>
          <w:rFonts w:ascii="Arial" w:cs="Arial" w:eastAsia="Arial" w:hAnsi="Arial"/>
          <w:sz w:val="16"/>
          <w:szCs w:val="16"/>
          <w:color w:val="auto"/>
        </w:rPr>
        <w:t>household can create a unique profile to access the full library of classes and receive tailored content recommendations across many fitness and wellness modalities on the Peloton Bike, Bike+, Tread, Tread+, Row, Guide, and the Peloton App. The All-Access Membership also offers advanced metrics and progress tracking features to help members reach their goals, and the ability to diversify their workout experience through Scenic content, game-inspired experiences including Lanebreak, and the ability to stream favorite TV shows, movies, and sports.</w:t>
      </w:r>
    </w:p>
    <w:p>
      <w:pPr>
        <w:spacing w:after="0" w:line="199" w:lineRule="exact"/>
        <w:rPr>
          <w:rFonts w:ascii="Arial" w:cs="Arial" w:eastAsia="Arial" w:hAnsi="Arial"/>
          <w:sz w:val="16"/>
          <w:szCs w:val="16"/>
          <w:b w:val="1"/>
          <w:bCs w:val="1"/>
          <w:i w:val="1"/>
          <w:iCs w:val="1"/>
          <w:color w:val="050505"/>
        </w:rPr>
      </w:pPr>
    </w:p>
    <w:p>
      <w:pPr>
        <w:jc w:val="both"/>
        <w:ind w:left="660" w:hanging="328"/>
        <w:spacing w:after="0" w:line="26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Peloton App Membership: </w:t>
      </w:r>
      <w:r>
        <w:rPr>
          <w:rFonts w:ascii="Arial" w:cs="Arial" w:eastAsia="Arial" w:hAnsi="Arial"/>
          <w:sz w:val="16"/>
          <w:szCs w:val="16"/>
          <w:color w:val="auto"/>
        </w:rPr>
        <w:t>Access to the Peloton App is available with an All-Access or Guide Membership for Members who have Connected</w:t>
      </w:r>
      <w:r>
        <w:rPr>
          <w:rFonts w:ascii="Arial" w:cs="Arial" w:eastAsia="Arial" w:hAnsi="Arial"/>
          <w:sz w:val="16"/>
          <w:szCs w:val="16"/>
          <w:b w:val="1"/>
          <w:bCs w:val="1"/>
          <w:color w:val="auto"/>
        </w:rPr>
        <w:t xml:space="preserve"> </w:t>
      </w:r>
      <w:r>
        <w:rPr>
          <w:rFonts w:ascii="Arial" w:cs="Arial" w:eastAsia="Arial" w:hAnsi="Arial"/>
          <w:sz w:val="16"/>
          <w:szCs w:val="16"/>
          <w:color w:val="auto"/>
        </w:rPr>
        <w:t>Fitness Products or through a standalone App Membership (App+ or App One). Peloton App+ provides unlimited access to Peloton’s entire library of content, excluding Lanebreak and Scenic classes. Peloton App One is designed for Members who want unlimited access to thousands of classes across Strength, Yoga, Outdoor Running, HIIT, and more. App One Members can also take a limited number of equipment-based cardio classes per month (Bike/Tread/Row).</w:t>
      </w:r>
    </w:p>
    <w:p>
      <w:pPr>
        <w:spacing w:after="0" w:line="19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Guide Membership: </w:t>
      </w:r>
      <w:r>
        <w:rPr>
          <w:rFonts w:ascii="Arial" w:cs="Arial" w:eastAsia="Arial" w:hAnsi="Arial"/>
          <w:sz w:val="16"/>
          <w:szCs w:val="16"/>
          <w:color w:val="auto"/>
        </w:rPr>
        <w:t>Includes App+ Membership and content exclusively for Guide.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Integrated Fitness Platform</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050505"/>
        </w:rPr>
        <w:t>Our content delivery and interactive software platform is critical to our Member experience. We thoughtfully invest in research and development to enhance our platform, develop new products and features, and improve the speed, scalability, and security of our platform infrastructure. Our research and development organization consists of engineering, product, and design teams. We seek to continuously improve our Connected Fitness Products, as well as the Peloton App (including the Peloton mobile app, watch apps, and TV apps), through frequent software updates, iterations of feature enhancements, and innovations. For example, last year we launched Peloton Entertainment, where Members can watch sports, shows, and movies via certain entertainment platform partners while working out. We’ve also launched a number of performance based features, including personalized pace targets on the Peloton Tread and Row, and continue to invest in the Peloton App to create a more social experience. In addition, we recently added a new marathon training collection on Tread and Tread+, including featuring a series of Scenic classes filmed on a well known marathon course. In a first-of-its-kind experience, these classes provide Members the ability to train on a marathon course with auto-incline functionality that matches the course's gradient fluctuations. Lastly, we use AI/ML to power proprietary personalization and discovery models across all of our software platforms and unique fitness features.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Content</w:t>
      </w:r>
    </w:p>
    <w:p>
      <w:pPr>
        <w:spacing w:after="0" w:line="5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050505"/>
        </w:rPr>
        <w:t>We create engaging, original fitness and wellness content in an authentic studio environment that is immersive and motivating, while also creating a sense of community. We are constantly building and evolving our content library and offering, which includes Instructor-led classes, Scenic content, Entertainment, Just Work Out, and game-inspired workout options. Tens-of-thousands of classes and content types are produced at our production studios in New York City and London, featuring our proprietary Instructors, across many fitness and wellness modalities. Our content breadth and depth is vast, reaching a wide range of consumers. Fitness modalities include: Strength, Yoga, Meditation, Cardio, Stretching, Cycling, Outdoor, Running, Walking, Tread Bootcamp, Bike Bootcamp, Boxing, Pilates, Barre, Rowing, and Row Bootcamp. We have Scenic Content that includes Instructor-guided classes, as well as non-guided time and distance-based options, all shot in beautiful destinations. We also have game-inspired workout experiences like our Lanebreak feature, which allows Members to experience an animated workout as an alternative to Instructor-led programming. Lastly, we have a number of training programs, as well as collections of classes that are catered to our Members’ interests and fitness goals. These are produced and developed using features that are exclusively available on Peloton.</w:t>
      </w:r>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050505"/>
        </w:rPr>
        <w:t>Our Peloton Studios in New York City and London provide an in-person Peloton content experience. Regular studio member classes and events are held in these spaces combining a high-energy live production environment with fitness classes in seven active production studios. We currently produce our content in three languages: English, German, and Spanish. We also have classes featuring subtitles and a selection of classes that are dubbed in German.</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050505"/>
        </w:rPr>
        <w:t>We have become noteworthy as a brand providing the opportunity for our Members to engage in a new way with the fitness modalities they love. Our technology allows our Instructors to integrate curated music and class plans into our programming in a way that we believe aligns with our Members’ musical tastes. We feature and celebrate some of the biggest artists and genres in the world through collaboration with music providers.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We sell our products directly to customers through a multi-channel sales platform and via third parties. We also sell Peloton Connected Fitness Products to business-to-business (“B2B”) customers and provide the opportunity for employers, insurers, and other enterprise partners to offer their employees and members subsidized access to Peloton App subscriptions and All-Access Memberships. Our sales associates use customer relationship management tools to deliver an elevated, personalized, and educational purchase experience, regardless of channel of capture and conversion.</w:t>
      </w:r>
    </w:p>
    <w:p>
      <w:pPr>
        <w:spacing w:after="0" w:line="213" w:lineRule="exact"/>
        <w:rPr>
          <w:sz w:val="20"/>
          <w:szCs w:val="20"/>
          <w:color w:val="auto"/>
        </w:rPr>
      </w:pPr>
    </w:p>
    <w:p>
      <w:pPr>
        <w:jc w:val="both"/>
        <w:ind w:left="660" w:hanging="328"/>
        <w:spacing w:after="0" w:line="26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050505"/>
        </w:rPr>
        <w:t xml:space="preserve">E-Commerce and Inside Sales: </w:t>
      </w:r>
      <w:r>
        <w:rPr>
          <w:rFonts w:ascii="Arial" w:cs="Arial" w:eastAsia="Arial" w:hAnsi="Arial"/>
          <w:sz w:val="16"/>
          <w:szCs w:val="16"/>
          <w:color w:val="050505"/>
        </w:rPr>
        <w:t>Our desktop and mobile websites provide an elevated brand experience where visitors can learn about our</w:t>
      </w:r>
      <w:r>
        <w:rPr>
          <w:rFonts w:ascii="Arial" w:cs="Arial" w:eastAsia="Arial" w:hAnsi="Arial"/>
          <w:sz w:val="16"/>
          <w:szCs w:val="16"/>
          <w:b w:val="1"/>
          <w:bCs w:val="1"/>
          <w:color w:val="050505"/>
        </w:rPr>
        <w:t xml:space="preserve"> </w:t>
      </w:r>
      <w:r>
        <w:rPr>
          <w:rFonts w:ascii="Arial" w:cs="Arial" w:eastAsia="Arial" w:hAnsi="Arial"/>
          <w:sz w:val="16"/>
          <w:szCs w:val="16"/>
          <w:color w:val="050505"/>
        </w:rPr>
        <w:t>products and services and access product reviews. Our Inside Sales team engages with customers by phone, email, and online chat on our websites, and offers one-on-one sales consultations seven days a week.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 w:name="page9"/>
    <w:bookmarkEnd w:id="8"/>
    <w:p>
      <w:pPr>
        <w:ind w:left="640" w:hanging="308"/>
        <w:spacing w:after="0"/>
        <w:tabs>
          <w:tab w:leader="none" w:pos="640" w:val="left"/>
        </w:tabs>
        <w:numPr>
          <w:ilvl w:val="0"/>
          <w:numId w:val="10"/>
        </w:numPr>
        <w:rPr>
          <w:rFonts w:ascii="Arial" w:cs="Arial" w:eastAsia="Arial" w:hAnsi="Arial"/>
          <w:sz w:val="16"/>
          <w:szCs w:val="16"/>
          <w:color w:val="050505"/>
        </w:rPr>
      </w:pPr>
      <w:r>
        <w:rPr>
          <w:rFonts w:ascii="Arial" w:cs="Arial" w:eastAsia="Arial" w:hAnsi="Arial"/>
          <w:sz w:val="16"/>
          <w:szCs w:val="16"/>
          <w:b w:val="1"/>
          <w:bCs w:val="1"/>
          <w:color w:val="050505"/>
        </w:rPr>
        <w:t xml:space="preserve">Peloton for Business: </w:t>
      </w:r>
      <w:r>
        <w:rPr>
          <w:rFonts w:ascii="Arial" w:cs="Arial" w:eastAsia="Arial" w:hAnsi="Arial"/>
          <w:sz w:val="16"/>
          <w:szCs w:val="16"/>
          <w:color w:val="050505"/>
        </w:rPr>
        <w:t>Peloton For Business is a unified portfolio of B2B well-being solutions for enterprise clients, offered across seven key</w:t>
      </w:r>
    </w:p>
    <w:p>
      <w:pPr>
        <w:spacing w:after="0" w:line="21" w:lineRule="exact"/>
        <w:rPr>
          <w:rFonts w:ascii="Arial" w:cs="Arial" w:eastAsia="Arial" w:hAnsi="Arial"/>
          <w:sz w:val="16"/>
          <w:szCs w:val="16"/>
          <w:color w:val="050505"/>
        </w:rPr>
      </w:pPr>
    </w:p>
    <w:p>
      <w:pPr>
        <w:ind w:left="660"/>
        <w:spacing w:after="0" w:line="283" w:lineRule="auto"/>
        <w:rPr>
          <w:rFonts w:ascii="Arial" w:cs="Arial" w:eastAsia="Arial" w:hAnsi="Arial"/>
          <w:sz w:val="16"/>
          <w:szCs w:val="16"/>
          <w:color w:val="050505"/>
        </w:rPr>
      </w:pPr>
      <w:r>
        <w:rPr>
          <w:rFonts w:ascii="Arial" w:cs="Arial" w:eastAsia="Arial" w:hAnsi="Arial"/>
          <w:sz w:val="16"/>
          <w:szCs w:val="16"/>
          <w:color w:val="050505"/>
        </w:rPr>
        <w:t>verticals: Hospitality, Corporate Wellness, Multi-Family Residential, Education, Healthcare, Gyms and Community Wellness. The full-service offering includes a range of equipment and content-based solutions.</w:t>
      </w:r>
    </w:p>
    <w:p>
      <w:pPr>
        <w:spacing w:after="0" w:line="171" w:lineRule="exact"/>
        <w:rPr>
          <w:rFonts w:ascii="Arial" w:cs="Arial" w:eastAsia="Arial" w:hAnsi="Arial"/>
          <w:sz w:val="16"/>
          <w:szCs w:val="16"/>
          <w:color w:val="050505"/>
        </w:rPr>
      </w:pPr>
    </w:p>
    <w:p>
      <w:pPr>
        <w:jc w:val="both"/>
        <w:ind w:left="660" w:hanging="328"/>
        <w:spacing w:after="0" w:line="266" w:lineRule="auto"/>
        <w:tabs>
          <w:tab w:leader="none" w:pos="649" w:val="left"/>
        </w:tabs>
        <w:numPr>
          <w:ilvl w:val="0"/>
          <w:numId w:val="10"/>
        </w:numPr>
        <w:rPr>
          <w:rFonts w:ascii="Arial" w:cs="Arial" w:eastAsia="Arial" w:hAnsi="Arial"/>
          <w:sz w:val="16"/>
          <w:szCs w:val="16"/>
          <w:color w:val="050505"/>
        </w:rPr>
      </w:pPr>
      <w:r>
        <w:rPr>
          <w:rFonts w:ascii="Arial" w:cs="Arial" w:eastAsia="Arial" w:hAnsi="Arial"/>
          <w:sz w:val="16"/>
          <w:szCs w:val="16"/>
          <w:b w:val="1"/>
          <w:bCs w:val="1"/>
          <w:color w:val="050505"/>
        </w:rPr>
        <w:t xml:space="preserve">Retail Showrooms: </w:t>
      </w:r>
      <w:r>
        <w:rPr>
          <w:rFonts w:ascii="Arial" w:cs="Arial" w:eastAsia="Arial" w:hAnsi="Arial"/>
          <w:sz w:val="16"/>
          <w:szCs w:val="16"/>
          <w:color w:val="050505"/>
        </w:rPr>
        <w:t>Our showrooms allow customers to experience and try our products. We provide interactive product demonstrations and select</w:t>
      </w:r>
      <w:r>
        <w:rPr>
          <w:rFonts w:ascii="Arial" w:cs="Arial" w:eastAsia="Arial" w:hAnsi="Arial"/>
          <w:sz w:val="16"/>
          <w:szCs w:val="16"/>
          <w:b w:val="1"/>
          <w:bCs w:val="1"/>
          <w:color w:val="050505"/>
        </w:rPr>
        <w:t xml:space="preserve"> </w:t>
      </w:r>
      <w:r>
        <w:rPr>
          <w:rFonts w:ascii="Arial" w:cs="Arial" w:eastAsia="Arial" w:hAnsi="Arial"/>
          <w:sz w:val="16"/>
          <w:szCs w:val="16"/>
          <w:color w:val="050505"/>
        </w:rPr>
        <w:t>showrooms have private areas where customers can take a “test class” on our Bike, Bike+, Tread, Tread+, and Row products. We frequently host Peloton community events in our showrooms, which help deepen brand engagement and customer loyalty.</w:t>
      </w:r>
    </w:p>
    <w:p>
      <w:pPr>
        <w:spacing w:after="0" w:line="211" w:lineRule="exact"/>
        <w:rPr>
          <w:rFonts w:ascii="Arial" w:cs="Arial" w:eastAsia="Arial" w:hAnsi="Arial"/>
          <w:sz w:val="16"/>
          <w:szCs w:val="16"/>
          <w:color w:val="050505"/>
        </w:rPr>
      </w:pPr>
    </w:p>
    <w:p>
      <w:pPr>
        <w:ind w:left="660" w:hanging="328"/>
        <w:spacing w:after="0" w:line="286" w:lineRule="auto"/>
        <w:tabs>
          <w:tab w:leader="none" w:pos="649" w:val="left"/>
        </w:tabs>
        <w:numPr>
          <w:ilvl w:val="0"/>
          <w:numId w:val="10"/>
        </w:numPr>
        <w:rPr>
          <w:rFonts w:ascii="Arial" w:cs="Arial" w:eastAsia="Arial" w:hAnsi="Arial"/>
          <w:sz w:val="16"/>
          <w:szCs w:val="16"/>
          <w:color w:val="050505"/>
        </w:rPr>
      </w:pPr>
      <w:r>
        <w:rPr>
          <w:rFonts w:ascii="Arial" w:cs="Arial" w:eastAsia="Arial" w:hAnsi="Arial"/>
          <w:sz w:val="16"/>
          <w:szCs w:val="16"/>
          <w:b w:val="1"/>
          <w:bCs w:val="1"/>
          <w:color w:val="050505"/>
        </w:rPr>
        <w:t xml:space="preserve">Third Party Retailers: </w:t>
      </w:r>
      <w:r>
        <w:rPr>
          <w:rFonts w:ascii="Arial" w:cs="Arial" w:eastAsia="Arial" w:hAnsi="Arial"/>
          <w:sz w:val="16"/>
          <w:szCs w:val="16"/>
          <w:color w:val="050505"/>
        </w:rPr>
        <w:t>Our products are also available to purchase from a number of third party retailers, at times including Amazon, Dick’s</w:t>
      </w:r>
      <w:r>
        <w:rPr>
          <w:rFonts w:ascii="Arial" w:cs="Arial" w:eastAsia="Arial" w:hAnsi="Arial"/>
          <w:sz w:val="16"/>
          <w:szCs w:val="16"/>
          <w:b w:val="1"/>
          <w:bCs w:val="1"/>
          <w:color w:val="050505"/>
        </w:rPr>
        <w:t xml:space="preserve"> </w:t>
      </w:r>
      <w:r>
        <w:rPr>
          <w:rFonts w:ascii="Arial" w:cs="Arial" w:eastAsia="Arial" w:hAnsi="Arial"/>
          <w:sz w:val="16"/>
          <w:szCs w:val="16"/>
          <w:color w:val="050505"/>
        </w:rPr>
        <w:t>Sporting Goods, John Lewis, and Fitshop.</w:t>
      </w:r>
    </w:p>
    <w:p>
      <w:pPr>
        <w:spacing w:after="0" w:line="1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050505"/>
        </w:rPr>
        <w:t>To market our products, we use a combination of brand and product specific performance marketing, which includes seasonal promotions to build brand awareness, generate sales of our Connected Fitness Products, and drive Paid Connected Fitness subscriptions and Paid App subscriptions.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and Logistics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We utilize third-party manufacturing partners for many of our new products. The components used in our products are procured on our behalf using our designs by our contract manufacturers, according to our required design specifications and high standards, from a variety of suppliers. In order to account for technology evolution and market fluctuations, we regularly review our relationships with our existing contract manufacturers and the components suppliers that they contract with, while evaluating prospective new partnerships. We use a combination of leased and operated as well as contracted third-party logistics providers (“3PLs”) in our logistics and service network which primarily includes middle mile and last mile operations centers in the United States, Canada, Germany, the United Kingdom, Australia, and Austria.</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Intellectual Property</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The protection of our technology and intellectual property is an important aspect of our business. We rely upon a combination of patents, trademarks, trade secrets, copyrights, confidentiality procedures, contractual commitments, and other legal rights to establish and protect our intellectual property. We generally enter into confidentiality agreements and invention or work product assignment agreements with our employees and consultants to control access to, and clarify ownership of, our proprietary information.</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As of June 30, 2024, we held 180 U.S. issued patents and had 82 U.S. patent applications pending. We also held 429 issued patents in foreign jurisdictions and 119 patent applications pending in foreign jurisdictions. Our U.S. issued patents expire between February 9, 2025 and August 5, 2046. As of June 30, 2024, we held 58 registered trademarks in the United States, including the Peloton mark and our “P” logo and also held 950 registered trademarks in foreign jurisdictions. We continually review our development efforts to assess the existence and patentability of new intellectual property. We intend to continue to file additional patent applications with respect to our technology.</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050505"/>
        </w:rPr>
        <w:t>Intellectual property laws, procedures, and restrictions provide only limited protection and any of our intellectual property rights may be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Competition</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050505"/>
        </w:rPr>
        <w:t>We believe that our first-mover advantage, leading market position, brand recognition, best-in-class content, and integrated platform set us apart in the market for connected, technology-enabled fitness. We provide a superior value proposition with our Connected Fitness Subscription and App offerings, giving us a competitive advantage versus traditional fitness and wellness products and services, and future potential entrants.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050505"/>
        </w:rPr>
        <w:t>While we believe we are changing the consumption patterns for fitness and over time growing the market, our main sources of competition include at-home fitness equipment and content, health and wellness apps, fitness clubs, and in-studio fitness classes.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050505"/>
        </w:rPr>
        <w:t>The areas in which we compete include:</w:t>
      </w:r>
    </w:p>
    <w:p>
      <w:pPr>
        <w:spacing w:after="0" w:line="248" w:lineRule="exact"/>
        <w:rPr>
          <w:sz w:val="20"/>
          <w:szCs w:val="20"/>
          <w:color w:val="auto"/>
        </w:rPr>
      </w:pPr>
    </w:p>
    <w:p>
      <w:pPr>
        <w:jc w:val="both"/>
        <w:ind w:left="660" w:hanging="328"/>
        <w:spacing w:after="0" w:line="275"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050505"/>
        </w:rPr>
        <w:t xml:space="preserve">Consumers and Engagement: </w:t>
      </w:r>
      <w:r>
        <w:rPr>
          <w:rFonts w:ascii="Arial" w:cs="Arial" w:eastAsia="Arial" w:hAnsi="Arial"/>
          <w:sz w:val="16"/>
          <w:szCs w:val="16"/>
          <w:color w:val="050505"/>
        </w:rPr>
        <w:t>We compete for consumers to join our platform through Connected Fitness Subscriptions or Peloton App</w:t>
      </w:r>
      <w:r>
        <w:rPr>
          <w:rFonts w:ascii="Arial" w:cs="Arial" w:eastAsia="Arial" w:hAnsi="Arial"/>
          <w:sz w:val="16"/>
          <w:szCs w:val="16"/>
          <w:b w:val="1"/>
          <w:bCs w:val="1"/>
          <w:color w:val="050505"/>
        </w:rPr>
        <w:t xml:space="preserve"> </w:t>
      </w:r>
      <w:r>
        <w:rPr>
          <w:rFonts w:ascii="Arial" w:cs="Arial" w:eastAsia="Arial" w:hAnsi="Arial"/>
          <w:sz w:val="16"/>
          <w:szCs w:val="16"/>
          <w:color w:val="050505"/>
        </w:rPr>
        <w:t>Subscriptions, and we seek to engage and retain them through an integrated experience that combines content, hardware, software, service, and community.</w:t>
      </w:r>
    </w:p>
    <w:p>
      <w:pPr>
        <w:spacing w:after="0" w:line="191"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11"/>
        </w:numPr>
        <w:rPr>
          <w:rFonts w:ascii="Arial" w:cs="Arial" w:eastAsia="Arial" w:hAnsi="Arial"/>
          <w:sz w:val="16"/>
          <w:szCs w:val="16"/>
          <w:color w:val="050505"/>
        </w:rPr>
      </w:pPr>
      <w:r>
        <w:rPr>
          <w:rFonts w:ascii="Arial" w:cs="Arial" w:eastAsia="Arial" w:hAnsi="Arial"/>
          <w:sz w:val="16"/>
          <w:szCs w:val="16"/>
          <w:b w:val="1"/>
          <w:bCs w:val="1"/>
          <w:color w:val="050505"/>
        </w:rPr>
        <w:t xml:space="preserve">Product and App Offering: </w:t>
      </w:r>
      <w:r>
        <w:rPr>
          <w:rFonts w:ascii="Arial" w:cs="Arial" w:eastAsia="Arial" w:hAnsi="Arial"/>
          <w:sz w:val="16"/>
          <w:szCs w:val="16"/>
          <w:color w:val="050505"/>
        </w:rPr>
        <w:t>We compete with producers of fitness products, services, and apps and work to ensure that our platform maintains the</w:t>
      </w:r>
      <w:r>
        <w:rPr>
          <w:rFonts w:ascii="Arial" w:cs="Arial" w:eastAsia="Arial" w:hAnsi="Arial"/>
          <w:sz w:val="16"/>
          <w:szCs w:val="16"/>
          <w:b w:val="1"/>
          <w:bCs w:val="1"/>
          <w:color w:val="050505"/>
        </w:rPr>
        <w:t xml:space="preserve"> </w:t>
      </w:r>
      <w:r>
        <w:rPr>
          <w:rFonts w:ascii="Arial" w:cs="Arial" w:eastAsia="Arial" w:hAnsi="Arial"/>
          <w:sz w:val="16"/>
          <w:szCs w:val="16"/>
          <w:color w:val="050505"/>
        </w:rPr>
        <w:t>most innovative technology and user-friendly features.</w:t>
      </w:r>
    </w:p>
    <w:p>
      <w:pPr>
        <w:spacing w:after="0" w:line="168" w:lineRule="exact"/>
        <w:rPr>
          <w:rFonts w:ascii="Arial" w:cs="Arial" w:eastAsia="Arial" w:hAnsi="Arial"/>
          <w:sz w:val="16"/>
          <w:szCs w:val="16"/>
          <w:color w:val="050505"/>
        </w:rPr>
      </w:pPr>
    </w:p>
    <w:p>
      <w:pPr>
        <w:ind w:left="660" w:hanging="328"/>
        <w:spacing w:after="0" w:line="286" w:lineRule="auto"/>
        <w:tabs>
          <w:tab w:leader="none" w:pos="649" w:val="left"/>
        </w:tabs>
        <w:numPr>
          <w:ilvl w:val="0"/>
          <w:numId w:val="11"/>
        </w:numPr>
        <w:rPr>
          <w:rFonts w:ascii="Arial" w:cs="Arial" w:eastAsia="Arial" w:hAnsi="Arial"/>
          <w:sz w:val="16"/>
          <w:szCs w:val="16"/>
          <w:color w:val="050505"/>
        </w:rPr>
      </w:pPr>
      <w:r>
        <w:rPr>
          <w:rFonts w:ascii="Arial" w:cs="Arial" w:eastAsia="Arial" w:hAnsi="Arial"/>
          <w:sz w:val="16"/>
          <w:szCs w:val="16"/>
          <w:b w:val="1"/>
          <w:bCs w:val="1"/>
          <w:color w:val="050505"/>
        </w:rPr>
        <w:t xml:space="preserve">Business-to-Business (B2B) Clients and Employers: </w:t>
      </w:r>
      <w:r>
        <w:rPr>
          <w:rFonts w:ascii="Arial" w:cs="Arial" w:eastAsia="Arial" w:hAnsi="Arial"/>
          <w:sz w:val="16"/>
          <w:szCs w:val="16"/>
          <w:color w:val="050505"/>
        </w:rPr>
        <w:t>We compete with commercial fitness equipment manufacturers and wellness benefits</w:t>
      </w:r>
      <w:r>
        <w:rPr>
          <w:rFonts w:ascii="Arial" w:cs="Arial" w:eastAsia="Arial" w:hAnsi="Arial"/>
          <w:sz w:val="16"/>
          <w:szCs w:val="16"/>
          <w:b w:val="1"/>
          <w:bCs w:val="1"/>
          <w:color w:val="050505"/>
        </w:rPr>
        <w:t xml:space="preserve"> </w:t>
      </w:r>
      <w:r>
        <w:rPr>
          <w:rFonts w:ascii="Arial" w:cs="Arial" w:eastAsia="Arial" w:hAnsi="Arial"/>
          <w:sz w:val="16"/>
          <w:szCs w:val="16"/>
          <w:color w:val="050505"/>
        </w:rPr>
        <w:t>providers to offer fitness products and services to B2B clients and employers.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 w:name="page10"/>
    <w:bookmarkEnd w:id="9"/>
    <w:p>
      <w:pPr>
        <w:jc w:val="both"/>
        <w:ind w:left="660" w:hanging="328"/>
        <w:spacing w:after="0" w:line="275" w:lineRule="auto"/>
        <w:tabs>
          <w:tab w:leader="none" w:pos="649" w:val="left"/>
        </w:tabs>
        <w:numPr>
          <w:ilvl w:val="0"/>
          <w:numId w:val="12"/>
        </w:numPr>
        <w:rPr>
          <w:rFonts w:ascii="Arial" w:cs="Arial" w:eastAsia="Arial" w:hAnsi="Arial"/>
          <w:sz w:val="16"/>
          <w:szCs w:val="16"/>
          <w:b w:val="1"/>
          <w:bCs w:val="1"/>
          <w:color w:val="050505"/>
        </w:rPr>
      </w:pPr>
      <w:r>
        <w:rPr>
          <w:rFonts w:ascii="Arial" w:cs="Arial" w:eastAsia="Arial" w:hAnsi="Arial"/>
          <w:sz w:val="16"/>
          <w:szCs w:val="16"/>
          <w:b w:val="1"/>
          <w:bCs w:val="1"/>
          <w:color w:val="050505"/>
        </w:rPr>
        <w:t xml:space="preserve">Talent: </w:t>
      </w:r>
      <w:r>
        <w:rPr>
          <w:rFonts w:ascii="Arial" w:cs="Arial" w:eastAsia="Arial" w:hAnsi="Arial"/>
          <w:sz w:val="16"/>
          <w:szCs w:val="16"/>
          <w:color w:val="050505"/>
        </w:rPr>
        <w:t>We compete for talent in every vertical across our company including technology, media, fitness, design, supply chain, logistics, content,</w:t>
      </w:r>
      <w:r>
        <w:rPr>
          <w:rFonts w:ascii="Arial" w:cs="Arial" w:eastAsia="Arial" w:hAnsi="Arial"/>
          <w:sz w:val="16"/>
          <w:szCs w:val="16"/>
          <w:b w:val="1"/>
          <w:bCs w:val="1"/>
          <w:color w:val="050505"/>
        </w:rPr>
        <w:t xml:space="preserve"> </w:t>
      </w:r>
      <w:r>
        <w:rPr>
          <w:rFonts w:ascii="Arial" w:cs="Arial" w:eastAsia="Arial" w:hAnsi="Arial"/>
          <w:sz w:val="16"/>
          <w:szCs w:val="16"/>
          <w:color w:val="050505"/>
        </w:rPr>
        <w:t>marketing, finance, strategy, legal, and retail. As our platform is highly dependent on technology, hardware, and software, we require a significant base of engineers to continue innovating.</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The principal competitive factors that companies in our industry need to consider include, but are not limited to: total cost, supply chain efficiency across sourcing and procurement, manufacturing and logistics, enhanced products and services, original content, product quality and safety, competitive pricing policies, vision for the market and product innovation, strength of sales and marketing strategies, technological advances, and brand awareness and reputation. We believe we compete favorably across all of these factors and we have developed a business model that is difficult to replicate.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Government Regulation</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We are subject to many varying laws and regulations in the United States, the United Kingdom, the European Union and throughout the world, including those related to privacy, data protection, content regulation, intellectual property, consumer protection, e-commerce, marketing, advertising, messaging, rights of publicity, health and safety, environmental, social, and governance factors, employment and labor, product quality and safety, accessibility, competition, customs and international trade, and taxation. These laws often require companies to implement specific information security controls to protect certain types of information, such as personal data, “special categories of personal data” or health data. These laws and regulations are constantly evolving and may be interpreted, applied, created, or amended in a manner that could harm our current or future business and operations. In addition, it is possible that certain governments may seek to block or limit our products and services or otherwise impose other restrictions that may affect the accessibility or usability of any or all of our products and services for an extended period of time or indefinitely.</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Seasonality</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Historically, we have experienced higher Connected Fitness Products sales in the second and third quarters of the fiscal year compared to other quarters, due in large part to seasonal holiday demand, New Year’s resolutions, and cold weather. We also have historically incurred higher sales and marketing expenses during these periods. For example, in fiscal year 2024, our second and third quarters combined represented 60% of Connected Fitness Products revenue and 54% of our Total revenue.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Human Capital</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50505"/>
        </w:rPr>
        <w:t>Our Culture</w:t>
      </w:r>
    </w:p>
    <w:p>
      <w:pPr>
        <w:spacing w:after="0" w:line="24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050505"/>
        </w:rPr>
        <w:t>We’re fostering an environment that attracts extraordinary talent, helps every individual become their best self, and unlocks each person’s greatest potential, shaped by the following fundamental values:</w:t>
      </w:r>
    </w:p>
    <w:p>
      <w:pPr>
        <w:spacing w:after="0" w:line="168"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050505"/>
        </w:rPr>
      </w:pPr>
      <w:r>
        <w:rPr>
          <w:rFonts w:ascii="Arial" w:cs="Arial" w:eastAsia="Arial" w:hAnsi="Arial"/>
          <w:sz w:val="16"/>
          <w:szCs w:val="16"/>
          <w:color w:val="050505"/>
        </w:rPr>
        <w:t>Put Members First</w:t>
      </w:r>
    </w:p>
    <w:p>
      <w:pPr>
        <w:spacing w:after="0" w:line="261" w:lineRule="exact"/>
        <w:rPr>
          <w:rFonts w:ascii="Arial" w:cs="Arial" w:eastAsia="Arial" w:hAnsi="Arial"/>
          <w:sz w:val="16"/>
          <w:szCs w:val="16"/>
          <w:color w:val="050505"/>
        </w:rPr>
      </w:pPr>
    </w:p>
    <w:p>
      <w:pPr>
        <w:ind w:left="640" w:hanging="308"/>
        <w:spacing w:after="0"/>
        <w:tabs>
          <w:tab w:leader="none" w:pos="640" w:val="left"/>
        </w:tabs>
        <w:numPr>
          <w:ilvl w:val="0"/>
          <w:numId w:val="13"/>
        </w:numPr>
        <w:rPr>
          <w:rFonts w:ascii="Arial" w:cs="Arial" w:eastAsia="Arial" w:hAnsi="Arial"/>
          <w:sz w:val="16"/>
          <w:szCs w:val="16"/>
          <w:color w:val="050505"/>
        </w:rPr>
      </w:pPr>
      <w:r>
        <w:rPr>
          <w:rFonts w:ascii="Arial" w:cs="Arial" w:eastAsia="Arial" w:hAnsi="Arial"/>
          <w:sz w:val="16"/>
          <w:szCs w:val="16"/>
          <w:color w:val="050505"/>
        </w:rPr>
        <w:t>Operate with a Bias for Action</w:t>
      </w:r>
    </w:p>
    <w:p>
      <w:pPr>
        <w:spacing w:after="0" w:line="248" w:lineRule="exact"/>
        <w:rPr>
          <w:rFonts w:ascii="Arial" w:cs="Arial" w:eastAsia="Arial" w:hAnsi="Arial"/>
          <w:sz w:val="16"/>
          <w:szCs w:val="16"/>
          <w:color w:val="050505"/>
        </w:rPr>
      </w:pPr>
    </w:p>
    <w:p>
      <w:pPr>
        <w:ind w:left="640" w:hanging="308"/>
        <w:spacing w:after="0"/>
        <w:tabs>
          <w:tab w:leader="none" w:pos="640" w:val="left"/>
        </w:tabs>
        <w:numPr>
          <w:ilvl w:val="0"/>
          <w:numId w:val="13"/>
        </w:numPr>
        <w:rPr>
          <w:rFonts w:ascii="Arial" w:cs="Arial" w:eastAsia="Arial" w:hAnsi="Arial"/>
          <w:sz w:val="16"/>
          <w:szCs w:val="16"/>
          <w:color w:val="050505"/>
        </w:rPr>
      </w:pPr>
      <w:r>
        <w:rPr>
          <w:rFonts w:ascii="Arial" w:cs="Arial" w:eastAsia="Arial" w:hAnsi="Arial"/>
          <w:sz w:val="16"/>
          <w:szCs w:val="16"/>
          <w:color w:val="050505"/>
        </w:rPr>
        <w:t>Empower Teams of Smart Creatives</w:t>
      </w:r>
    </w:p>
    <w:p>
      <w:pPr>
        <w:spacing w:after="0" w:line="248" w:lineRule="exact"/>
        <w:rPr>
          <w:rFonts w:ascii="Arial" w:cs="Arial" w:eastAsia="Arial" w:hAnsi="Arial"/>
          <w:sz w:val="16"/>
          <w:szCs w:val="16"/>
          <w:color w:val="050505"/>
        </w:rPr>
      </w:pPr>
    </w:p>
    <w:p>
      <w:pPr>
        <w:ind w:left="640" w:hanging="308"/>
        <w:spacing w:after="0"/>
        <w:tabs>
          <w:tab w:leader="none" w:pos="640" w:val="left"/>
        </w:tabs>
        <w:numPr>
          <w:ilvl w:val="0"/>
          <w:numId w:val="13"/>
        </w:numPr>
        <w:rPr>
          <w:rFonts w:ascii="Arial" w:cs="Arial" w:eastAsia="Arial" w:hAnsi="Arial"/>
          <w:sz w:val="16"/>
          <w:szCs w:val="16"/>
          <w:color w:val="050505"/>
        </w:rPr>
      </w:pPr>
      <w:r>
        <w:rPr>
          <w:rFonts w:ascii="Arial" w:cs="Arial" w:eastAsia="Arial" w:hAnsi="Arial"/>
          <w:sz w:val="16"/>
          <w:szCs w:val="16"/>
          <w:color w:val="050505"/>
        </w:rPr>
        <w:t>Together We Go Far</w:t>
      </w:r>
    </w:p>
    <w:p>
      <w:pPr>
        <w:spacing w:after="0" w:line="261" w:lineRule="exact"/>
        <w:rPr>
          <w:rFonts w:ascii="Arial" w:cs="Arial" w:eastAsia="Arial" w:hAnsi="Arial"/>
          <w:sz w:val="16"/>
          <w:szCs w:val="16"/>
          <w:color w:val="050505"/>
        </w:rPr>
      </w:pPr>
    </w:p>
    <w:p>
      <w:pPr>
        <w:ind w:left="640" w:hanging="308"/>
        <w:spacing w:after="0"/>
        <w:tabs>
          <w:tab w:leader="none" w:pos="640" w:val="left"/>
        </w:tabs>
        <w:numPr>
          <w:ilvl w:val="0"/>
          <w:numId w:val="13"/>
        </w:numPr>
        <w:rPr>
          <w:rFonts w:ascii="Arial" w:cs="Arial" w:eastAsia="Arial" w:hAnsi="Arial"/>
          <w:sz w:val="16"/>
          <w:szCs w:val="16"/>
          <w:color w:val="050505"/>
        </w:rPr>
      </w:pPr>
      <w:r>
        <w:rPr>
          <w:rFonts w:ascii="Arial" w:cs="Arial" w:eastAsia="Arial" w:hAnsi="Arial"/>
          <w:sz w:val="16"/>
          <w:szCs w:val="16"/>
          <w:color w:val="050505"/>
        </w:rPr>
        <w:t>Be the Best Place to Work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050505"/>
        </w:rPr>
        <w:t>We live these values through our approach to human capital management, summarized below.</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50505"/>
        </w:rPr>
        <w:t>Employees</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As of June 30, 2024, we employed 2,322 individuals in the United States across our offices, retail showrooms, field operations warehouses, and remote roles, of which 2,257 were full-time employees. Internationally, we employed 596 individuals primarily across corporate, retail showrooms, and warehouse functions. We may also hire additional seasonal employees, primarily in our showrooms, during the holiday season. We are not signatories to any agreements with any labor organization, or a party to any collective bargaining agreements.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50505"/>
        </w:rPr>
        <w:t>Diversity, Equity, and Inclusion</w:t>
      </w:r>
    </w:p>
    <w:p>
      <w:pPr>
        <w:spacing w:after="0" w:line="2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050505"/>
        </w:rPr>
        <w:t>We cultivate a culture of inclusion by creating physiologically, emotionally, physically, and psychologically safe spaces so all team members feel valued, heard, and secure.</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050505"/>
        </w:rPr>
        <w:t>We’re proud of our concrete action plan to combat systemic inequities, the Peloton Pledge. Created in 2020, the Peloton Pledge is a multi-pronged, multi-faceted action plan to address Peloton’s internal culture and principles as well as a strategy to amplify change both in our company and our community. We are pushing ourselves from the inside out and partnering with community-based organizations to deliver meaningful and measurable impact.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050505"/>
        </w:rPr>
        <w:t>Through the Peloton Pledge we are investing across five pillars: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0" w:name="page11"/>
    <w:bookmarkEnd w:id="10"/>
    <w:p>
      <w:pPr>
        <w:ind w:left="660" w:hanging="328"/>
        <w:spacing w:after="0" w:line="263" w:lineRule="auto"/>
        <w:tabs>
          <w:tab w:leader="none" w:pos="649" w:val="left"/>
        </w:tabs>
        <w:numPr>
          <w:ilvl w:val="0"/>
          <w:numId w:val="14"/>
        </w:numPr>
        <w:rPr>
          <w:rFonts w:ascii="Arial" w:cs="Arial" w:eastAsia="Arial" w:hAnsi="Arial"/>
          <w:sz w:val="16"/>
          <w:szCs w:val="16"/>
          <w:color w:val="050505"/>
        </w:rPr>
      </w:pPr>
      <w:r>
        <w:rPr>
          <w:rFonts w:ascii="Arial" w:cs="Arial" w:eastAsia="Arial" w:hAnsi="Arial"/>
          <w:sz w:val="16"/>
          <w:szCs w:val="16"/>
          <w:b w:val="1"/>
          <w:bCs w:val="1"/>
          <w:color w:val="050505"/>
        </w:rPr>
        <w:t xml:space="preserve">Pay Equity: </w:t>
      </w:r>
      <w:r>
        <w:rPr>
          <w:rFonts w:ascii="Arial" w:cs="Arial" w:eastAsia="Arial" w:hAnsi="Arial"/>
          <w:sz w:val="16"/>
          <w:szCs w:val="16"/>
          <w:color w:val="050505"/>
        </w:rPr>
        <w:t>We continue to offer competitive rates for our hourly workforce and equally competitive rates for equivalent roles in all markets. We’re</w:t>
      </w:r>
      <w:r>
        <w:rPr>
          <w:rFonts w:ascii="Arial" w:cs="Arial" w:eastAsia="Arial" w:hAnsi="Arial"/>
          <w:sz w:val="16"/>
          <w:szCs w:val="16"/>
          <w:b w:val="1"/>
          <w:bCs w:val="1"/>
          <w:color w:val="050505"/>
        </w:rPr>
        <w:t xml:space="preserve"> </w:t>
      </w:r>
      <w:r>
        <w:rPr>
          <w:rFonts w:ascii="Arial" w:cs="Arial" w:eastAsia="Arial" w:hAnsi="Arial"/>
          <w:sz w:val="16"/>
          <w:szCs w:val="16"/>
          <w:color w:val="050505"/>
        </w:rPr>
        <w:t>also committed to maintaining pay equity for our team and continue to conduct an annual global pay equity study.</w:t>
      </w:r>
    </w:p>
    <w:p>
      <w:pPr>
        <w:ind w:left="660" w:right="20" w:hanging="328"/>
        <w:spacing w:after="0" w:line="270" w:lineRule="auto"/>
        <w:tabs>
          <w:tab w:leader="none" w:pos="649" w:val="left"/>
        </w:tabs>
        <w:numPr>
          <w:ilvl w:val="0"/>
          <w:numId w:val="14"/>
        </w:numPr>
        <w:rPr>
          <w:rFonts w:ascii="Arial" w:cs="Arial" w:eastAsia="Arial" w:hAnsi="Arial"/>
          <w:sz w:val="16"/>
          <w:szCs w:val="16"/>
          <w:color w:val="050505"/>
        </w:rPr>
      </w:pPr>
      <w:r>
        <w:rPr>
          <w:rFonts w:ascii="Arial" w:cs="Arial" w:eastAsia="Arial" w:hAnsi="Arial"/>
          <w:sz w:val="16"/>
          <w:szCs w:val="16"/>
          <w:b w:val="1"/>
          <w:bCs w:val="1"/>
          <w:color w:val="050505"/>
        </w:rPr>
        <w:t xml:space="preserve">Learning and Development: </w:t>
      </w:r>
      <w:r>
        <w:rPr>
          <w:rFonts w:ascii="Arial" w:cs="Arial" w:eastAsia="Arial" w:hAnsi="Arial"/>
          <w:sz w:val="16"/>
          <w:szCs w:val="16"/>
          <w:color w:val="050505"/>
        </w:rPr>
        <w:t>We offer content that supports internal mobility, individual growth, and ongoing skills development, and training</w:t>
      </w:r>
      <w:r>
        <w:rPr>
          <w:rFonts w:ascii="Arial" w:cs="Arial" w:eastAsia="Arial" w:hAnsi="Arial"/>
          <w:sz w:val="16"/>
          <w:szCs w:val="16"/>
          <w:b w:val="1"/>
          <w:bCs w:val="1"/>
          <w:color w:val="050505"/>
        </w:rPr>
        <w:t xml:space="preserve"> </w:t>
      </w:r>
      <w:r>
        <w:rPr>
          <w:rFonts w:ascii="Arial" w:cs="Arial" w:eastAsia="Arial" w:hAnsi="Arial"/>
          <w:sz w:val="16"/>
          <w:szCs w:val="16"/>
          <w:color w:val="050505"/>
        </w:rPr>
        <w:t>around diversity, equity, and inclusion (DEI) topics.</w:t>
      </w:r>
    </w:p>
    <w:p>
      <w:pPr>
        <w:spacing w:after="0" w:line="208" w:lineRule="exact"/>
        <w:rPr>
          <w:rFonts w:ascii="Arial" w:cs="Arial" w:eastAsia="Arial" w:hAnsi="Arial"/>
          <w:sz w:val="16"/>
          <w:szCs w:val="16"/>
          <w:color w:val="050505"/>
        </w:rPr>
      </w:pPr>
    </w:p>
    <w:p>
      <w:pPr>
        <w:ind w:left="660" w:hanging="328"/>
        <w:spacing w:after="0" w:line="286" w:lineRule="auto"/>
        <w:tabs>
          <w:tab w:leader="none" w:pos="649" w:val="left"/>
        </w:tabs>
        <w:numPr>
          <w:ilvl w:val="0"/>
          <w:numId w:val="14"/>
        </w:numPr>
        <w:rPr>
          <w:rFonts w:ascii="Arial" w:cs="Arial" w:eastAsia="Arial" w:hAnsi="Arial"/>
          <w:sz w:val="16"/>
          <w:szCs w:val="16"/>
          <w:color w:val="050505"/>
        </w:rPr>
      </w:pPr>
      <w:r>
        <w:rPr>
          <w:rFonts w:ascii="Arial" w:cs="Arial" w:eastAsia="Arial" w:hAnsi="Arial"/>
          <w:sz w:val="16"/>
          <w:szCs w:val="16"/>
          <w:b w:val="1"/>
          <w:bCs w:val="1"/>
          <w:color w:val="050505"/>
        </w:rPr>
        <w:t xml:space="preserve">Community Investments: </w:t>
      </w:r>
      <w:r>
        <w:rPr>
          <w:rFonts w:ascii="Arial" w:cs="Arial" w:eastAsia="Arial" w:hAnsi="Arial"/>
          <w:sz w:val="16"/>
          <w:szCs w:val="16"/>
          <w:color w:val="050505"/>
        </w:rPr>
        <w:t>We partner with leading action-oriented organizations addressing systemic racism through partnerships that drive real,</w:t>
      </w:r>
      <w:r>
        <w:rPr>
          <w:rFonts w:ascii="Arial" w:cs="Arial" w:eastAsia="Arial" w:hAnsi="Arial"/>
          <w:sz w:val="16"/>
          <w:szCs w:val="16"/>
          <w:b w:val="1"/>
          <w:bCs w:val="1"/>
          <w:color w:val="050505"/>
        </w:rPr>
        <w:t xml:space="preserve"> </w:t>
      </w:r>
      <w:r>
        <w:rPr>
          <w:rFonts w:ascii="Arial" w:cs="Arial" w:eastAsia="Arial" w:hAnsi="Arial"/>
          <w:sz w:val="16"/>
          <w:szCs w:val="16"/>
          <w:color w:val="050505"/>
        </w:rPr>
        <w:t>sustainable transformation;</w:t>
      </w:r>
    </w:p>
    <w:p>
      <w:pPr>
        <w:spacing w:after="0" w:line="182" w:lineRule="exact"/>
        <w:rPr>
          <w:rFonts w:ascii="Arial" w:cs="Arial" w:eastAsia="Arial" w:hAnsi="Arial"/>
          <w:sz w:val="16"/>
          <w:szCs w:val="16"/>
          <w:color w:val="050505"/>
        </w:rPr>
      </w:pPr>
    </w:p>
    <w:p>
      <w:pPr>
        <w:ind w:left="660" w:hanging="328"/>
        <w:spacing w:after="0" w:line="304" w:lineRule="auto"/>
        <w:tabs>
          <w:tab w:leader="none" w:pos="649" w:val="left"/>
        </w:tabs>
        <w:numPr>
          <w:ilvl w:val="0"/>
          <w:numId w:val="14"/>
        </w:numPr>
        <w:rPr>
          <w:rFonts w:ascii="Arial" w:cs="Arial" w:eastAsia="Arial" w:hAnsi="Arial"/>
          <w:sz w:val="16"/>
          <w:szCs w:val="16"/>
          <w:color w:val="050505"/>
        </w:rPr>
      </w:pPr>
      <w:r>
        <w:rPr>
          <w:rFonts w:ascii="Arial" w:cs="Arial" w:eastAsia="Arial" w:hAnsi="Arial"/>
          <w:sz w:val="16"/>
          <w:szCs w:val="16"/>
          <w:b w:val="1"/>
          <w:bCs w:val="1"/>
          <w:color w:val="050505"/>
        </w:rPr>
        <w:t xml:space="preserve">Democratizing Fitness: </w:t>
      </w:r>
      <w:r>
        <w:rPr>
          <w:rFonts w:ascii="Arial" w:cs="Arial" w:eastAsia="Arial" w:hAnsi="Arial"/>
          <w:sz w:val="16"/>
          <w:szCs w:val="16"/>
          <w:color w:val="050505"/>
        </w:rPr>
        <w:t>We continuously evaluate progress and apply learnings to do our part to democratize access to fitness and cultivate a</w:t>
      </w:r>
      <w:r>
        <w:rPr>
          <w:rFonts w:ascii="Arial" w:cs="Arial" w:eastAsia="Arial" w:hAnsi="Arial"/>
          <w:sz w:val="16"/>
          <w:szCs w:val="16"/>
          <w:b w:val="1"/>
          <w:bCs w:val="1"/>
          <w:color w:val="050505"/>
        </w:rPr>
        <w:t xml:space="preserve"> </w:t>
      </w:r>
      <w:r>
        <w:rPr>
          <w:rFonts w:ascii="Arial" w:cs="Arial" w:eastAsia="Arial" w:hAnsi="Arial"/>
          <w:sz w:val="16"/>
          <w:szCs w:val="16"/>
          <w:color w:val="050505"/>
        </w:rPr>
        <w:t>diverse and inclusive Member community;</w:t>
      </w:r>
    </w:p>
    <w:p>
      <w:pPr>
        <w:spacing w:after="0" w:line="168" w:lineRule="exact"/>
        <w:rPr>
          <w:rFonts w:ascii="Arial" w:cs="Arial" w:eastAsia="Arial" w:hAnsi="Arial"/>
          <w:sz w:val="16"/>
          <w:szCs w:val="16"/>
          <w:color w:val="050505"/>
        </w:rPr>
      </w:pPr>
    </w:p>
    <w:p>
      <w:pPr>
        <w:ind w:left="640" w:hanging="308"/>
        <w:spacing w:after="0"/>
        <w:tabs>
          <w:tab w:leader="none" w:pos="640" w:val="left"/>
        </w:tabs>
        <w:numPr>
          <w:ilvl w:val="0"/>
          <w:numId w:val="14"/>
        </w:numPr>
        <w:rPr>
          <w:rFonts w:ascii="Arial" w:cs="Arial" w:eastAsia="Arial" w:hAnsi="Arial"/>
          <w:sz w:val="16"/>
          <w:szCs w:val="16"/>
          <w:color w:val="050505"/>
        </w:rPr>
      </w:pPr>
      <w:r>
        <w:rPr>
          <w:rFonts w:ascii="Arial" w:cs="Arial" w:eastAsia="Arial" w:hAnsi="Arial"/>
          <w:sz w:val="16"/>
          <w:szCs w:val="16"/>
          <w:b w:val="1"/>
          <w:bCs w:val="1"/>
          <w:color w:val="050505"/>
        </w:rPr>
        <w:t xml:space="preserve">Long-Term DEI Strategy: </w:t>
      </w:r>
      <w:r>
        <w:rPr>
          <w:rFonts w:ascii="Arial" w:cs="Arial" w:eastAsia="Arial" w:hAnsi="Arial"/>
          <w:sz w:val="16"/>
          <w:szCs w:val="16"/>
          <w:color w:val="050505"/>
        </w:rPr>
        <w:t>We invest in various programs to support long-term DEI strategy, as further described below.</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The Peloton Pledge has sharpened our focus on delivering value-add, business-wide DEI programming. In our ongoing push for shared learning, we continue to create psychologically safe spaces for our team members to learn and grow together. For example, we have introduced specific learning programs for managers to support our ambition to be an anti-racist organization. We will continue to evolve our learning content to support our team members and managers while remaining relevant and engaged to the best practices in this space.</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050505"/>
        </w:rPr>
        <w:t>We continue to offer support, engagement, and development opportunities to our team members through our Employee Resource Groups (“ERGs”) and Inclusion Forums, fostering a diverse and inclusive workplace and providing space to grow our team member ally population.</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050505"/>
        </w:rPr>
        <w:t>Through the delivery of our DEI strategy, we’re increasing cross-business, multi-market collaboration that energizes our team members and leaders to innovate, leverage diversity of thought, and create responsive and culturally relevant programming to drive the system and behavioral changes required to be a truly, globally inclusive business.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Our commitments to diversity, equity, and inclusion extend to our compensation practices to ensure our team members are paid fairly based on the work they perform. We annually partner with a third-party firm to review team members’ pay. We aim to act on any pay gaps we find through this analysis to support our commitment to achieve true pay equity across Peloton and to ensure we’re a globally inclusive business. Our pay equity study is in addition to any market-specific obligations we have to undertake pay gap analyses, such as our Gender Pay Gap Study in the United Kingdom.</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50505"/>
        </w:rPr>
        <w:t>Team Member Safety</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We prioritize the health and safety of our team members, our Members, and the impact our operations have on the environment. The core elements of our team member health and safety program include workplace injury reporting, site risk analysis, incident management, documented processes and standards, environmental programs, training, and occupational health programs, and we are continually striving to improve these processes. Concerns about the health and safety of our team members can be reported through our PeloSafe portal, and concerns about Peloton suppliers or business partners are reportable through our Integrity Helpline or online Integrity Portal, which is maintained through an external third-party platform and monitored by our Safety, Ethics, and Compliance Team.</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50505"/>
        </w:rPr>
        <w:t>Training, Development, and Engagement</w:t>
      </w:r>
    </w:p>
    <w:p>
      <w:pPr>
        <w:spacing w:after="0" w:line="2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050505"/>
        </w:rPr>
        <w:t>We have a dedicated Global Talent Development Team that develops and delivers company-wide learning experiences across all functions. These include, but are not limited to, programs focusing on Peloton’s approach to onboarding new team members, people and business leadership, dedicated coaching, function and role specific training offerings, and internal hiring and mobility to support personal and professional growth.</w:t>
      </w:r>
    </w:p>
    <w:p>
      <w:pPr>
        <w:spacing w:after="0" w:line="191"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050505"/>
        </w:rPr>
        <w:t>We are committed to cultivating an equitable and inclusive culture that enables people to thrive in the best career experiences of their lives by consistently engaging with, and listening to, our team members. We maintain ongoing connection with our team members through our company intranet, “Pelonet,” regular all-hands meetings and business performance reviews, team town halls, and company-wide engagement surveys throughout the year.</w:t>
      </w:r>
    </w:p>
    <w:p>
      <w:pPr>
        <w:spacing w:after="0" w:line="19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050505"/>
        </w:rPr>
        <w:t>Our Patent Incentive Program provides rewards and recognition to qualifying team members whose inventions are included in a patent application submitted by Peloton.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50505"/>
        </w:rPr>
        <w:t>Competitive Compensation and Work-Life Harmony</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Our compensation program is structured around our overarching philosophy of rewarding demonstrable performance and aligning team members with our goals and strategy. Consistent with this approach, we provide market competitive compensation and benefits that will attract, motivate, reward, and retain a highly talented team and foster work-life harmony. We take a comprehensive view of the tools and programs we use to attract, reward, and retain top talent, including comprehensive health benefits, family and lifestyle services and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050505"/>
        </w:rPr>
        <w:t>support, financial, legal and retirement benefits, product discounts, free App access, and studio rides. Our workforce is diverse – so our benefits must be too.</w:t>
      </w:r>
    </w:p>
    <w:p>
      <w:pPr>
        <w:spacing w:after="0" w:line="248"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050505"/>
        </w:rPr>
        <w:t>At Peloton, we encourage our team members to foster kindness, support, empathy, respect, compassion, and a sense of community in all interactions every day. We believe our approach to maintaining healthy work-life harmony has contributed to making Peloton a great place to work for our team members.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Corporate Information</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website address is www.onepeloton.com. The information contained on, or that can be accessed through, our website is not incorporated by reference into, and is not a part of, this Annual Report on Form 10-K. Investors should not rely on any such information in deciding whether to purchase our Class A common stock.</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Peloton, the Peloton logo, Peloton Bike, Peloton Bike+, Peloton Tread, Peloton Tread+, Peloton Guide, Peloton Row, Peloton Gym, Peloton App, and other registered or common law trade names, trademarks, or service marks of Peloton appearing in this Annual Report on Form 10-K are the property of Peloton. This Annual Report on Form 10-K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Available Information</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reports filed with or furnished to the Securities and Exchange Commission (“SEC”) pursuant to Sections 13(a) and 15(d) of the Securities Exchange Act of 1934, as amended, or the Exchange Act, are available, free of charge, on our Investor Relations website at https://investor.onepeloton.com as soon as reasonably practicable after we electronically file such material with, or furnish it to, the SEC. The SEC maintains a website at http://www.sec.gov that contains reports, proxy and information statements, and other information regarding us and other companies that file materials with the SEC electronically. We use our Investor Relations website (https://investor.onepeloton.com/investor-relations) and Press Newsroom (https://www.onepeloton.com/press) as a means of disclosing material non-public information and for complying with our disclosure obligations under Regulation FD. Accordingly, investors should monitor our Investor Relations website and Press Newsroom in addition to following our press releases, SEC filings, and public conference calls and webcasts.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Item 1A. Risk Factors</w:t>
      </w:r>
    </w:p>
    <w:p>
      <w:pPr>
        <w:spacing w:after="0" w:line="3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and uncertainties described below, together with all of the other information contained in this Annual Report on Form 10-K, including the section titled “Management’s Discussion and Analysis of Financial Condition and Results of Operations,” and our consolidated financial statements and the accompanying notes and the information included elsewhere in this Annual Report on Form 10-K and our other public filings before deciding whether to invest in shares of our Class A common stock. These risks and uncertainties are not the only ones we face. Additional risks and uncertainties that we are unaware of or that we currently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Business</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have incurred operating losses in the past, may incur operating losses in the future, and may not achieve or maintain profitability in the future.</w:t>
      </w:r>
    </w:p>
    <w:p>
      <w:pPr>
        <w:spacing w:after="0" w:line="200" w:lineRule="exact"/>
        <w:rPr>
          <w:sz w:val="20"/>
          <w:szCs w:val="20"/>
          <w:color w:val="auto"/>
        </w:rPr>
      </w:pPr>
    </w:p>
    <w:p>
      <w:pPr>
        <w:spacing w:after="0" w:line="22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We have incurred operating losses each year since our inception in 2012 and may continue to incur net losses in the future. We expect that our operating expenses may increase in the future as we optimize and grow our business, including, for example, via our sales and marketing efforts, continuing to invest in research and development, adding content and software features to our platform, expanding into new geographies, expanding the reach and use of the Peloton App, and developing new products and features. These potential efforts and additional expenses may be more costly than we expect, and we cannot guarantee that we will be able to increase our revenue to offset our operating expenses. Our revenue may decline for a number of other reasons, including reduced demand for our products and services, increased competition, a decrease in the growth or reduction in size of our overall market, or if we cannot capitalize on strategic opportunities. If our revenue does not grow at a greater rate than our operating expenses, we will not be able to achieve and maintain profitability.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attract and retain Subscribers, which could have an adverse effect on our business and rate of growth.</w:t>
      </w:r>
    </w:p>
    <w:p>
      <w:pPr>
        <w:spacing w:after="0" w:line="26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continued business and revenue growth is dependent on our ability to continuously attract and retain Subscribers, and we cannot be sure that we will be successful in these efforts, or that Subscriber retention levels will not materially decline. There are a number of factors that could lead to a decline in Subscriber levels or that could prevent us from increasing our Subscriber levels, including:</w:t>
      </w:r>
    </w:p>
    <w:p>
      <w:pPr>
        <w:spacing w:after="0" w:line="212" w:lineRule="exact"/>
        <w:rPr>
          <w:sz w:val="20"/>
          <w:szCs w:val="20"/>
          <w:color w:val="auto"/>
        </w:rPr>
      </w:pPr>
    </w:p>
    <w:p>
      <w:pPr>
        <w:ind w:left="660" w:right="120" w:hanging="328"/>
        <w:spacing w:after="0" w:line="263"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failure to introduce new features, products, or services that Members find engaging or our introduction of new products or services, or changes to existing products and services that are not favorably received;</w:t>
      </w: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harm to our brand and reputation;</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pricing and perceived value of our offerings;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inability to deliver quality products and functionality, content, and services;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actual or perceived safety concerns regarding our products;</w:t>
      </w:r>
    </w:p>
    <w:p>
      <w:pPr>
        <w:spacing w:after="0" w:line="8" w:lineRule="exact"/>
        <w:rPr>
          <w:rFonts w:ascii="Arial" w:cs="Arial" w:eastAsia="Arial" w:hAnsi="Arial"/>
          <w:sz w:val="16"/>
          <w:szCs w:val="16"/>
          <w:color w:val="auto"/>
        </w:rPr>
      </w:pPr>
    </w:p>
    <w:p>
      <w:pPr>
        <w:ind w:left="660" w:right="720" w:hanging="328"/>
        <w:spacing w:after="0" w:line="25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unsatisfactory experiences with the delivery, installation, or servicing of our Connected Fitness Products, including due to delivery costs or prolonged delivery timelines and limitations on in-home installation, return, and warranty servicing processes;</w:t>
      </w: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Members engaging with competitive products and services;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technical or other problems that affect the Member experience;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decline in the public’s interest in indoor cycling or running, or other fitness disciplines that we invest most heavily in;</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deteriorating general economic conditions or a change in consumer spending preferences or buying trends;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consumer preferences regarding home fitness, whether as a result of the COVID-19 pandemic or otherwise; and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interruptions in our ability to sell or deliver our Connected Fitness Products or to provide or to create content and services for our Members.</w:t>
      </w:r>
    </w:p>
    <w:p>
      <w:pPr>
        <w:spacing w:after="0" w:line="23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Additionally, any potential expansion into international markets can involve new challenges in attracting and retaining Subscribers that we may not successfully address. As a result of these factors, we cannot be sure that our Subscriber levels will be adequate to maintain or permit the expansion of our operations. A decline in Subscriber levels could have an adverse effect on our business, financial condition, and operating results.</w:t>
      </w:r>
    </w:p>
    <w:p>
      <w:pPr>
        <w:spacing w:after="0" w:line="20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Our operating results have been, and could in the future be, adversely affected if we are unable to accurately forecast consumer demand for our products and services and adequately manage our inventory.</w:t>
      </w:r>
    </w:p>
    <w:p>
      <w:pPr>
        <w:spacing w:after="0" w:line="155"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To ensure adequate inventory supply, we must forecast inventory needs and expenses and place orders sufficiently in advance with our suppliers and contract manufacturers, based on our estimates of future demand for particular products and services. Our ability to accurately forecast demand could be affected by many factors, including changes in consumer demand for our and our competitors’ products and services, unanticipated changes in general market conditions, and the weakening of consumer confidence in future economic conditions. Failure to accurately forecast our needs or consumer demand may result in manufacturing delays, reduced manufacturing efficiencies, increased costs, a shortage of products available for sale or an excess in inventory.</w:t>
      </w:r>
    </w:p>
    <w:p>
      <w:pPr>
        <w:spacing w:after="0" w:line="214"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have in recent periods experienced, and may continue to experience, a decrease in consumer demand, resulting in inventory write-downs or write-offs and the sale of excess inventory at discounted prices, which lower our gross margins and could impair the strength and premium nature of our brand. In periods when we experience a decrease in demand for our products and an increase in inventory, we may be unable to renegotiate our agreements with existing suppliers or partners on mutually acceptable terms and may be prevented from fully utilizing firm purchase commitments. Although in certain instances our agreements allow us the option to cancel, reschedule, and adjust our requirements based on our business needs, our loss contingencies may include liabilities for contracts that we cannot cancel, reschedule or adjust with</w:t>
      </w:r>
    </w:p>
    <w:p>
      <w:pPr>
        <w:sectPr>
          <w:pgSz w:w="11900" w:h="16838" w:orient="portrait"/>
          <w:cols w:equalWidth="0" w:num="1">
            <w:col w:w="11240"/>
          </w:cols>
          <w:pgMar w:left="320" w:top="868" w:right="3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13" w:name="page14"/>
    <w:bookmarkEnd w:id="13"/>
    <w:p>
      <w:pPr>
        <w:ind w:right="80"/>
        <w:spacing w:after="0" w:line="265" w:lineRule="auto"/>
        <w:rPr>
          <w:sz w:val="20"/>
          <w:szCs w:val="20"/>
          <w:color w:val="auto"/>
        </w:rPr>
      </w:pPr>
      <w:r>
        <w:rPr>
          <w:rFonts w:ascii="Arial" w:cs="Arial" w:eastAsia="Arial" w:hAnsi="Arial"/>
          <w:sz w:val="16"/>
          <w:szCs w:val="16"/>
          <w:color w:val="auto"/>
        </w:rPr>
        <w:t>suppliers or partners. In addition, we may deem it necessary or advisable to renegotiate agreements with our supply partners in order to scale our inventory with demand. Disputes with our supply partners regarding our agreements have, in certain instances, resulted, and may in the future result in, litigation, which could result in adverse judgments, settlements or other litigation-related costs as well as disruption to our supply chain and has and may in the future require management’s attention. Further, we are required to evaluate goodwill impairment on an annual basis and between annual evaluations in certain circumstances, and future goodwill impairment evaluations may result in a charge to earnings.</w:t>
      </w:r>
    </w:p>
    <w:p>
      <w:pPr>
        <w:spacing w:after="0" w:line="201"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p>
    <w:p>
      <w:pPr>
        <w:spacing w:after="0" w:line="182"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 xml:space="preserve">In February 2022, we announced a restructuring plan to, among other things, reduce certain fixed costs in our business, and in May 2024, we announced a new restructuring plan to expand upon the 2022 restructuring plan (as expanded, the “2024 Restructuring Plan”). We also continue to take actions intended to address the short-term health of our business as well as our long-term objectives based on our current estimates, assumptions and forecasts. These measures are subject to known and unknown risks and uncertainties, including whether we have targeted the appropriate areas for our cost-saving efforts and at the appropriate scale, and whether, if required in the future, we will be able to appropriately target any additional areas for our cost-saving efforts. As such, the actions we are taking under the 2024 Restructuring Plan and that we may decide to take in the future may not be successful in yielding our intended results and may not appropriately address either or both of the short-term and long-term strategy for our business. Implementation of the 2024 Restructuring Plan and any other cost-saving initiatives may be costly and disruptive to our business, the expected costs and charges may be greater than we have forecasted, and the estimated cost savings may be lower than we have forecasted. Additionally, certain aspects of the 2024 Restructuring Plan, such as severance costs in connection with reducing our headcount, could negatively impact our cash flows. In addition, our initiatives have resulted, and could in the future result in, personnel attrition beyond our planned reduction in headcount or reduced employee morale, which could in turn adversely impact productivity, including through a loss of continuity, loss of accumulated knowledge and/or inefficiency during transitional periods, or our ability to attract highly skilled employees. Unfavorable publicity about us or any of our strategic initiatives, including the 2024 Restructuring Plan, could result in reputation harm and could diminish confidence in, and the use of, our products and services. See “— </w:t>
      </w:r>
      <w:r>
        <w:rPr>
          <w:rFonts w:ascii="Arial" w:cs="Arial" w:eastAsia="Arial" w:hAnsi="Arial"/>
          <w:sz w:val="16"/>
          <w:szCs w:val="16"/>
          <w:i w:val="1"/>
          <w:iCs w:val="1"/>
          <w:color w:val="auto"/>
        </w:rPr>
        <w:t>Our success depends on our ability to maintain the</w:t>
      </w:r>
      <w:r>
        <w:rPr>
          <w:rFonts w:ascii="Arial" w:cs="Arial" w:eastAsia="Arial" w:hAnsi="Arial"/>
          <w:sz w:val="16"/>
          <w:szCs w:val="16"/>
          <w:color w:val="auto"/>
        </w:rPr>
        <w:t xml:space="preserve"> </w:t>
      </w:r>
      <w:r>
        <w:rPr>
          <w:rFonts w:ascii="Arial" w:cs="Arial" w:eastAsia="Arial" w:hAnsi="Arial"/>
          <w:sz w:val="16"/>
          <w:szCs w:val="16"/>
          <w:i w:val="1"/>
          <w:iCs w:val="1"/>
          <w:color w:val="auto"/>
        </w:rPr>
        <w:t>value and reputation of the Peloton brand</w:t>
      </w:r>
      <w:r>
        <w:rPr>
          <w:rFonts w:ascii="Arial" w:cs="Arial" w:eastAsia="Arial" w:hAnsi="Arial"/>
          <w:sz w:val="16"/>
          <w:szCs w:val="16"/>
          <w:color w:val="auto"/>
        </w:rPr>
        <w:t>.” The 2024 Restructuring Plan has required, and may continue to require, a significant amount of management’s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employees’ time and focus, which may divert attention from effectively operating and growing our business. See Part 1, Item 7, “Management’s Discussion and Analysis of Financial Condition and Results of Operations —Fourth Quarter Fiscal 2024 Update and Recent Developments—</w:t>
      </w:r>
      <w:r>
        <w:rPr>
          <w:rFonts w:ascii="Arial" w:cs="Arial" w:eastAsia="Arial" w:hAnsi="Arial"/>
          <w:sz w:val="16"/>
          <w:szCs w:val="16"/>
          <w:i w:val="1"/>
          <w:iCs w:val="1"/>
          <w:color w:val="auto"/>
        </w:rPr>
        <w:t>Restructuring</w:t>
      </w:r>
      <w:r>
        <w:rPr>
          <w:rFonts w:ascii="Arial" w:cs="Arial" w:eastAsia="Arial" w:hAnsi="Arial"/>
          <w:sz w:val="16"/>
          <w:szCs w:val="16"/>
          <w:color w:val="auto"/>
        </w:rPr>
        <w:t xml:space="preserve"> </w:t>
      </w:r>
      <w:r>
        <w:rPr>
          <w:rFonts w:ascii="Arial" w:cs="Arial" w:eastAsia="Arial" w:hAnsi="Arial"/>
          <w:sz w:val="16"/>
          <w:szCs w:val="16"/>
          <w:i w:val="1"/>
          <w:iCs w:val="1"/>
          <w:color w:val="auto"/>
        </w:rPr>
        <w:t>Plan</w:t>
      </w:r>
      <w:r>
        <w:rPr>
          <w:rFonts w:ascii="Arial" w:cs="Arial" w:eastAsia="Arial" w:hAnsi="Arial"/>
          <w:sz w:val="16"/>
          <w:szCs w:val="16"/>
          <w:color w:val="auto"/>
        </w:rPr>
        <w:t>.”</w:t>
      </w:r>
    </w:p>
    <w:p>
      <w:pPr>
        <w:spacing w:after="0" w:line="200" w:lineRule="exact"/>
        <w:rPr>
          <w:sz w:val="20"/>
          <w:szCs w:val="20"/>
          <w:color w:val="auto"/>
        </w:rPr>
      </w:pPr>
    </w:p>
    <w:p>
      <w:pPr>
        <w:spacing w:after="0" w:line="21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b w:val="1"/>
          <w:bCs w:val="1"/>
          <w:i w:val="1"/>
          <w:iCs w:val="1"/>
          <w:color w:val="auto"/>
        </w:rPr>
        <w:t>The Company has evolved rapidly in recent years and continues to establish its operating experience at the appropriate scale. If we are unable to manage our longer-term growth, intervening changes and costs, or implement restructuring initiatives effectively, our brand, company culture, and financial performance may suffer.</w:t>
      </w:r>
    </w:p>
    <w:p>
      <w:pPr>
        <w:spacing w:after="0" w:line="166"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As we evolve over time, our business can take different forms. During periods of growth, we have had to manage costs while making investments such as expanding our sales and marketing, focusing on innovative product and content development, upgrading our management information systems and other processes, and obtaining more space, and in future periods of growth, we expect to have to similarly manage our costs while investing in the expansion of our business. Growth and recent restructuring initiatives strain our existing resources, and we could experience ongoing operating difficulties in managing our business across numerous jurisdictions, including difficulties in hiring, training, managing and retaining a diffuse employee base. Failure to preserve our company culture could harm our future success, including our ability to retain and recruit personnel and to effectively focus on and pursue our corporate objectives. Moreover, the integrated nature of aspects of our business, where we design our own Connected Fitness Products, develop our own software, produce original fitness and wellness programming, and sell some of our products through our own sales teams and e-commerce site, exposes us to risk and disruption at many points that are critical to successfully operating our business and may make it more difficult for us to scale our business over time. We have recently experienced lower demand for our Connected Fitness Products and services, which resulted in a shift in our strategic focus, including through the 2024 Restructuring Plan and the additional ongoing actions we have taken and may take to optimize our business. As we continue to develop our infrastructure, and particularly in light of the reductions in headcount that began as a part of our February 2022 restructuring initiatives and have continued with the 2024 Restructuring Plan, we may find it difficult to maintain valuable aspects of our culture. If we do not adapt to meet these evolving challenges, or if our management team does not effectively scale with our long-term growth while managing costs, we may experience erosion to our brand, the quality of our products and services may suffer, and our company culture may be harmed. We may not be able to realize the cost savings and benefits initially anticipated as a result of our restructuring initiatives or the additional ongoing initiatives to optimize our business and the anticipated costs of these initiatives may be greater than expected.</w:t>
      </w:r>
    </w:p>
    <w:p>
      <w:pPr>
        <w:spacing w:after="0" w:line="22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have made changes to our targeted retail showroom strategy, including reducing the number of retail showroom locations. We have placed more of an emphasis on third-party retail distribution, as we have reduced our retail showroom presence as part of the 2024 Restructuring Plan and as part of our go-to-market approach for international markets. We expect to exit additional retail locations but our ability to exit may be limited by timing and cost under the lease terms. Many of our retail showrooms are leased pursuant to multi-year leases, and our ability to sublease to a suitable subtenant, or negotiate favorable terms to exit a lease early or for a lease renewal option, may depend on factors that are not within our control.</w:t>
      </w:r>
    </w:p>
    <w:p>
      <w:pPr>
        <w:spacing w:after="0" w:line="1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growth strategy has at times contemplated, and may in the future contemplate, increases in our advertising and other marketing spending. We may in the future also open additional production studios as we expand, which would require significant additional investment. The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19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Because we have a limited history of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reduces our ability to accurately forecast quarterly or annual revenue. Failure to manage our future growth and evolution of the company effectively could have an adverse effect on our business, financial condition, and operating results.</w:t>
      </w:r>
    </w:p>
    <w:p>
      <w:pPr>
        <w:sectPr>
          <w:pgSz w:w="11900" w:h="16838" w:orient="portrait"/>
          <w:cols w:equalWidth="0" w:num="1">
            <w:col w:w="11200"/>
          </w:cols>
          <w:pgMar w:left="320" w:top="611" w:right="379" w:bottom="1440" w:gutter="0" w:footer="0" w:header="0"/>
        </w:sect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type w:val="continuous"/>
        </w:sectPr>
      </w:pPr>
    </w:p>
    <w:bookmarkStart w:id="14" w:name="page15"/>
    <w:bookmarkEnd w:id="14"/>
    <w:p>
      <w:pPr>
        <w:ind w:right="80"/>
        <w:spacing w:after="0" w:line="294" w:lineRule="auto"/>
        <w:rPr>
          <w:sz w:val="20"/>
          <w:szCs w:val="20"/>
          <w:color w:val="auto"/>
        </w:rPr>
      </w:pPr>
      <w:r>
        <w:rPr>
          <w:rFonts w:ascii="Arial" w:cs="Arial" w:eastAsia="Arial" w:hAnsi="Arial"/>
          <w:sz w:val="16"/>
          <w:szCs w:val="16"/>
          <w:b w:val="1"/>
          <w:bCs w:val="1"/>
          <w:i w:val="1"/>
          <w:iCs w:val="1"/>
          <w:color w:val="auto"/>
        </w:rPr>
        <w:t>If we are unable to anticipate consumer preferences and successfully develop and offer new, innovative, and updated products and services in a timely manner, or effectively manage the introduction of new or enhanced products and services, our business may be adversely affected.</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success in maintaining and/or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via the appropriate channels, then our new or enhanced offerings may not be accepted by our Subscribers. Our competitors may also introduce similar or more desirable offerings and at speeds that are faster than us, which could negatively affect our growth. Moreover, our new offerings may not receive consumer acceptance as preferences could shift rapidly to different types of fitness and wellness offerings, or away from these types of offerings altogether. Our future success depends in part on our ability to anticipate and respond to these changes. Failure to anticipate and respond in a timely manner to changing consumer preferences could lead to, among other things, lower subscription rates, lower sales, pricing pressure, lower gross margins, discounting of our products and services, and excess inventory levels.</w:t>
      </w:r>
    </w:p>
    <w:p>
      <w:pPr>
        <w:spacing w:after="0" w:line="20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Even if we are successful in anticipating consumer preferences, our ability to adequately react to and address them will partially depend upon our continued ability to develop and introduce innovative, high-quality offerings to market in a way that adequately meets demand. For example, we have, and continue to look at ways to broaden our sales channels, including through distribution to third-party retailers, rethinking the value proposition of our Peloton App, and offering a rental program in select markets where Subscribers can rent Peloton Bikes and access fitness content for one monthly fee (Peloton Rental). Development of new or enhanced products and services may require significant time and financial investment, which could result in increased costs and a reduction in our profit margins. For example, we have historically incurred higher levels of sales and marketing expenses accompanying product and service introductions.</w:t>
      </w:r>
    </w:p>
    <w:p>
      <w:pPr>
        <w:spacing w:after="0" w:line="21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Moreover, we must successfully manage introductions of new or enhanced products and services, as such introductions could adversely impact the sales of our existing products and services. Consumers may also choose to forgo purchasing existing products or services in advance of new or anticipated product and service launches, and we may experience higher returns from users of existing products. As we introduce new or enhanced products and services, we may face additional challenges managing a more complex supply chain, including the time and cost associated with onboarding and overseeing additional suppliers, logistics providers, and third-party retailers. We may also face challenges managing our manufacturing processes and onboarding and overseeing additional manufacturers as we introduce new or enhanced products and services. Additionally, we may face challenges managing the inventory of new or existing products, which could lead to excess inventory and discounting of such products. In addition, new or enhanced products or services may have varying selling prices and costs compared to legacy products and services, which could negatively impact our brand, gross margins and operating results.</w:t>
      </w:r>
    </w:p>
    <w:p>
      <w:pPr>
        <w:spacing w:after="0" w:line="221"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b w:val="1"/>
          <w:bCs w:val="1"/>
          <w:i w:val="1"/>
          <w:iCs w:val="1"/>
          <w:color w:val="auto"/>
        </w:rPr>
        <w:t>The connected fitness market is relatively new and, if the general market and specific demand for our products and services does not resume growth, or fails to grow as much as we expect, our business, financial condition, and operating results may be adversely affected.</w:t>
      </w:r>
    </w:p>
    <w:p>
      <w:pPr>
        <w:spacing w:after="0" w:line="18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connected fitness and wellness market is relatively new and grew rapidly over the last several years, and it is uncertain whether it will resume high levels of growth and achieve wide market acceptance. Our success depends substantially on the willingness of consumers to widely adopt our products and services. We have had to educate consumers about our products and services through significant investment and provide quality content that is superior to the content and experiences provided by our competitors. Additionally, the fitness and wellness market at large is heavily saturated, and the demand for and market acceptance of new products and services in the market is uncertain. It is difficult to predict the future growth rates, if any, and size of our market. We cannot assure you that our market will develop or be sustained at current levels, that the public’s interest in connected fitness and wellness will continue, or that our products and services will be widely adopted. If our market does not develop, develops more slowly than expected, or becomes saturated with competitors, or if our products and services do not achieve or sustain market acceptance, our business, financial condition, and operating results would be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past financial results may not be indicative of our future performance.</w:t>
      </w:r>
    </w:p>
    <w:p>
      <w:pPr>
        <w:spacing w:after="0" w:line="24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Any historical revenue growth should not be considered indicative of our future performance. In particular, we experienced periods of high revenue growth when selling our Bike, however, our revenue growth may not resume to prior levels. Additionally, we experienced a significant increase in our Subscriber base at the onset of the COVID-19 pandemic, which slowed down as consumers were able to resume activity outside the home, and, over the long term it remains uncertain how the impacts of the post-COVID-19 pandemic environment and other market constraints, including macro- and micro-economic factors such as inflation, interest rates, foreign currency exchange rate fluctuations, and increased debt and equity market volatility, will impact consumer demand for our products and services over the long term. Estimates of future revenue growth are subject to many risks and uncertainties, and our future revenue may differ materially from our projections. We have encountered, and will continue to encounter, risks and difficulties frequently experienced by companies in rapidly changing industries, and our business may be adversely affected if we do not manage these risks successfully. In addition, we may not achieve sufficient revenue to attain or maintain positive cash flows from operations or profitability in any given period, or at all.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our ability to maintain the value and reputation of the Peloton brand.</w:t>
      </w:r>
    </w:p>
    <w:p>
      <w:pPr>
        <w:spacing w:after="0" w:line="24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believe that our brand is important to attracting and retaining Members. Maintaining, protecting, and enhancing our brand depends on the success of a variety of factors, such as: our marketing efforts; our ability to provide consistent, high-quality products, services, features, content, and support, our ability to successfully secure, maintain, and enforce our rights to use the “Peloton” mark, our “P” logo, and other trademarks important to our brand; our ability to successfully respond to a negative event that impacts our brand; and our ability to meet shareholder and Member expectations.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Unfavorable publicity about us, our strategic initiatives, such as our 2024 Restructuring Plan, or our products, services, technology, customer service, content, personnel, and suppliers could diminish confidence in, and the use of, our products and</w:t>
      </w:r>
    </w:p>
    <w:p>
      <w:pPr>
        <w:sectPr>
          <w:pgSz w:w="11900" w:h="16838" w:orient="portrait"/>
          <w:cols w:equalWidth="0" w:num="1">
            <w:col w:w="11220"/>
          </w:cols>
          <w:pgMar w:left="320" w:top="856" w:right="359" w:bottom="1440" w:gutter="0" w:footer="0" w:header="0"/>
        </w:sect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type w:val="continuous"/>
        </w:sectPr>
      </w:pPr>
    </w:p>
    <w:bookmarkStart w:id="15" w:name="page16"/>
    <w:bookmarkEnd w:id="15"/>
    <w:p>
      <w:pPr>
        <w:ind w:right="120"/>
        <w:spacing w:after="0" w:line="259" w:lineRule="auto"/>
        <w:rPr>
          <w:sz w:val="20"/>
          <w:szCs w:val="20"/>
          <w:color w:val="auto"/>
        </w:rPr>
      </w:pPr>
      <w:r>
        <w:rPr>
          <w:rFonts w:ascii="Arial" w:cs="Arial" w:eastAsia="Arial" w:hAnsi="Arial"/>
          <w:sz w:val="16"/>
          <w:szCs w:val="16"/>
          <w:color w:val="auto"/>
        </w:rPr>
        <w:t>services. As discussed further in “Risks Related to Our Connected Fitness Products and Members” and “Risks Related to Laws, Regulation, and Legal Proceedings,” the legal proceedings in which we have been named, the regulators’ investigations, and any other claims or proceedings involving us or our products, actions we take to address these matters, and any further publicity regarding any of the foregoing could harm our brand. Such negative publicity could also have an adverse effect on the size, engagement and loyalty of our Member base and result in decreased revenue, which could have an adverse</w:t>
      </w:r>
    </w:p>
    <w:p>
      <w:pPr>
        <w:spacing w:after="0" w:line="1" w:lineRule="exact"/>
        <w:rPr>
          <w:sz w:val="20"/>
          <w:szCs w:val="20"/>
          <w:color w:val="auto"/>
        </w:rPr>
      </w:pPr>
    </w:p>
    <w:p>
      <w:pPr>
        <w:ind w:right="480"/>
        <w:spacing w:after="0" w:line="270" w:lineRule="auto"/>
        <w:rPr>
          <w:sz w:val="20"/>
          <w:szCs w:val="20"/>
          <w:color w:val="auto"/>
        </w:rPr>
      </w:pPr>
      <w:r>
        <w:rPr>
          <w:rFonts w:ascii="Arial" w:cs="Arial" w:eastAsia="Arial" w:hAnsi="Arial"/>
          <w:sz w:val="16"/>
          <w:szCs w:val="16"/>
          <w:color w:val="auto"/>
        </w:rPr>
        <w:t xml:space="preserve">effect on our business, financial condition, and operating results. See “— </w:t>
      </w:r>
      <w:r>
        <w:rPr>
          <w:rFonts w:ascii="Arial" w:cs="Arial" w:eastAsia="Arial" w:hAnsi="Arial"/>
          <w:sz w:val="16"/>
          <w:szCs w:val="16"/>
          <w:i w:val="1"/>
          <w:iCs w:val="1"/>
          <w:color w:val="auto"/>
        </w:rPr>
        <w:t>Stockholder activism could disrupt our business, cause us to incur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 hinder execution of our business strategy, and impact our stock price</w:t>
      </w:r>
      <w:r>
        <w:rPr>
          <w:rFonts w:ascii="Arial" w:cs="Arial" w:eastAsia="Arial" w:hAnsi="Arial"/>
          <w:sz w:val="16"/>
          <w:szCs w:val="16"/>
          <w:color w:val="auto"/>
        </w:rPr>
        <w:t>.”</w:t>
      </w:r>
    </w:p>
    <w:p>
      <w:pPr>
        <w:spacing w:after="0" w:line="19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b w:val="1"/>
          <w:bCs w:val="1"/>
          <w:i w:val="1"/>
          <w:iCs w:val="1"/>
          <w:color w:val="auto"/>
        </w:rPr>
        <w:t>Any major disruption or failure of our information technology systems or websites, or our failure to successfully implement upgrades and new technology effectively, could adversely affect our business and operations.</w:t>
      </w:r>
    </w:p>
    <w:p>
      <w:pPr>
        <w:spacing w:after="0" w:line="156"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rely on the Internet, as well as digital infrastructure, computing networks and systems, hardware and software to support our internal and Member-facing operations (collectively, “information technology systems” or “systems”). Certain of our information technology systems are designed and maintained by us while others are designed, maintained and/or operated by third parties. These systems are critical for the efficient functioning of our business, including the manufacture and distribution of our Connected Fitness Products, online sales of our Connected Fitness Products, and the ability of our Members to access content on our platform. Our growth over the past several years has, in certain instances, strained these systems. As we grow, we continue to implement modifications and upgrades to our systems, and these activities subject us to inherent costs and risks associated with replacing and upgrading these systems, including, but not limited to, impairment of our ability to fulfill customer orders and other disruptions in our business operations. Further, our system implementations may not result in productivity improvements at a level that outweighs the costs of implementation, or at all. If we fail to successfully implement modifications and upgrades or expand the functionality of our information technology systems, we could experience increased costs associated with diminished productivity and operating inefficiencies related to the flow of goods through our supply chain.</w:t>
      </w:r>
    </w:p>
    <w:p>
      <w:pPr>
        <w:spacing w:after="0" w:line="20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and otherwise adequately serve our Members. The operation of our direct-to-consumer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spacing w:after="0" w:line="199"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Moreover, the ability of our Members to access the content on our platform could be diminished by a number of factors, including Members’ inability to access the internet, the failure of our network or software systems, cyber-attacks and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and enjoyment of our products and services may be damaged, our revenue could be reduced, our reputation could be harmed, and we may be required to issue credits or refunds, or risk losing Members.</w:t>
      </w:r>
    </w:p>
    <w:p>
      <w:pPr>
        <w:spacing w:after="0" w:line="203"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In the event we experience significant disruptions, we may be unable to repair our systems in an efficient and timely manner, which could have a material adverse effect on our business, financial condition, and operating results.</w:t>
      </w:r>
    </w:p>
    <w:p>
      <w:pPr>
        <w:spacing w:after="0" w:line="170"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We rely on a limited number of suppliers, contract manufacturers, and logistics partners for our Connected Fitness Products. A loss of any of these partners or an interruption or inability of these partners to satisfy our demand needs could negatively affect our business.</w:t>
      </w:r>
    </w:p>
    <w:p>
      <w:pPr>
        <w:spacing w:after="0" w:line="142"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We are solely reliant on contract manufacturers for all of our manufacturing needs. In some cases, we rely on only a single supplier for some of our products and components. In the event of interruption from any of our contract manufacturers or suppliers, we may not be able to increase capacity from other sources or develop alternate or secondary sources without incurring material additional costs and delays, since we do not currently have qualified alternative or replacement contract manufacturers beyond these key partners. Furthermore, a large number of our contract manufacturers’ primary facilities are located in Taiwan and China. Thus, our business could be adversely affected if one or more of our suppliers is impacted by escalating tensions, hostilities, or trade disputes in the region, a natural disaster, an epidemic, or other interruption at a particular location. Such interruptions may be due to, among other things, temporary closures of the facilities of our contract manufacturers and other vendors in our supply chain; restrictions on or delays surrounding travel or the import/export of goods and services from certain ports that we use; and local quarantines or other public safety measures. We may also be impacted by contract manufacturing and supply chain disruptions due to contract manufacturer or supplier financial distress, particularly where we rely on a manufacturer or supplier that may depend on us for a significant proportion of its business. In such a case, we may be required to renegotiate the terms of our agreement or to pursue a strategic transaction or other alternative arrangement with that supplier or manufacturer or others.</w:t>
      </w:r>
    </w:p>
    <w:p>
      <w:pPr>
        <w:spacing w:after="0" w:line="22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the future, we may further increase our reliance on third-party suppliers, manufacturers and other logistics partners. For example, in August 2022, we began to exit our North American last mile locations and shifted our reliance entirely to third-party logistics providers. One of our primary last mile partners currently relies on a network of independent contractors to perform last mile services for us in many markets. If any of these independent contractors, or the last mile partner as a whole, do not perform their obligations or meet the expectations of us or our Members, our brand, reputation and business could suffer.</w:t>
      </w: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If we experience a significant increase in demand for our Connected Fitness Products that cannot be satisfied adequately through our existing supply channels, if we need to replace an existing supplier, manufacturer or partner, or if we find we need to engage additional suppliers, manufacturers and partners to support our operations, we may be unable to supplement or replace them under our required timing, at a quality standard to our satisfaction, or on market terms that are acceptable to us, which may undermine our ability to deliver our products to Members in a timely manner and otherwise impact our Members’ experience. For example, if we require additional manufacturing support, it may take a significant amount of time to identify a manufacturer that has the capability and resources to build our products to our specifications in sufficient volume. Similarly, in times of decreased demand, we may deem it necessary or advisable to renegotiate agreements with our supply partners in order to appropriately scale our inventory, which could impair our relationship with these counterparties if we are unable to arrive at</w:t>
      </w:r>
    </w:p>
    <w:p>
      <w:pPr>
        <w:sectPr>
          <w:pgSz w:w="11900" w:h="16838" w:orient="portrait"/>
          <w:cols w:equalWidth="0" w:num="1">
            <w:col w:w="11220"/>
          </w:cols>
          <w:pgMar w:left="320" w:top="611" w:right="359" w:bottom="1440" w:gutter="0" w:footer="0" w:header="0"/>
        </w:sect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type w:val="continuous"/>
        </w:sectPr>
      </w:pPr>
    </w:p>
    <w:bookmarkStart w:id="16" w:name="page17"/>
    <w:bookmarkEnd w:id="16"/>
    <w:p>
      <w:pPr>
        <w:ind w:right="60"/>
        <w:spacing w:after="0" w:line="263" w:lineRule="auto"/>
        <w:rPr>
          <w:sz w:val="20"/>
          <w:szCs w:val="20"/>
          <w:color w:val="auto"/>
        </w:rPr>
      </w:pPr>
      <w:r>
        <w:rPr>
          <w:rFonts w:ascii="Arial" w:cs="Arial" w:eastAsia="Arial" w:hAnsi="Arial"/>
          <w:sz w:val="16"/>
          <w:szCs w:val="16"/>
          <w:color w:val="auto"/>
        </w:rPr>
        <w:t xml:space="preserve">mutually acceptable terms. See “— </w:t>
      </w:r>
      <w:r>
        <w:rPr>
          <w:rFonts w:ascii="Arial" w:cs="Arial" w:eastAsia="Arial" w:hAnsi="Arial"/>
          <w:sz w:val="16"/>
          <w:szCs w:val="16"/>
          <w:i w:val="1"/>
          <w:iCs w:val="1"/>
          <w:color w:val="auto"/>
        </w:rPr>
        <w:t>Our operating results have been, and could in the future be, adversely affected if we are unable to accurately forecast</w:t>
      </w:r>
      <w:r>
        <w:rPr>
          <w:rFonts w:ascii="Arial" w:cs="Arial" w:eastAsia="Arial" w:hAnsi="Arial"/>
          <w:sz w:val="16"/>
          <w:szCs w:val="16"/>
          <w:color w:val="auto"/>
        </w:rPr>
        <w:t xml:space="preserve"> </w:t>
      </w:r>
      <w:r>
        <w:rPr>
          <w:rFonts w:ascii="Arial" w:cs="Arial" w:eastAsia="Arial" w:hAnsi="Arial"/>
          <w:sz w:val="16"/>
          <w:szCs w:val="16"/>
          <w:i w:val="1"/>
          <w:iCs w:val="1"/>
          <w:color w:val="auto"/>
        </w:rPr>
        <w:t>consumer demand for our products and services and adequately manage our inventory</w:t>
      </w:r>
      <w:r>
        <w:rPr>
          <w:rFonts w:ascii="Arial" w:cs="Arial" w:eastAsia="Arial" w:hAnsi="Arial"/>
          <w:sz w:val="16"/>
          <w:szCs w:val="16"/>
          <w:color w:val="auto"/>
        </w:rPr>
        <w:t>.” Identifying suitable suppliers, manufacturers, and logistics partners</w:t>
      </w:r>
    </w:p>
    <w:p>
      <w:pPr>
        <w:ind w:right="240"/>
        <w:spacing w:after="0" w:line="267" w:lineRule="auto"/>
        <w:rPr>
          <w:sz w:val="20"/>
          <w:szCs w:val="20"/>
          <w:color w:val="auto"/>
        </w:rPr>
      </w:pPr>
      <w:r>
        <w:rPr>
          <w:rFonts w:ascii="Arial" w:cs="Arial" w:eastAsia="Arial" w:hAnsi="Arial"/>
          <w:sz w:val="16"/>
          <w:szCs w:val="16"/>
          <w:color w:val="auto"/>
        </w:rPr>
        <w:t>is an extensive process that requires us to become satisfied with their quality control, technical capabilities, responsiveness and service, financial stability, regulatory compliance, and labor and other ethical practices. Accordingly, a loss of or poor performance by any of our significant suppliers, contract manufacturers, or logistics partners could have an adverse effect on our business, financial condition and operating results.</w:t>
      </w:r>
    </w:p>
    <w:p>
      <w:pPr>
        <w:spacing w:after="0" w:line="199"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b w:val="1"/>
          <w:bCs w:val="1"/>
          <w:i w:val="1"/>
          <w:iCs w:val="1"/>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We have limited control over our suppliers, contract manufacturers, and logistics partners, which subjects us to the following risks:</w:t>
      </w:r>
    </w:p>
    <w:p>
      <w:pPr>
        <w:spacing w:after="0" w:line="248"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inability to satisfy demand for our Connected Fitness Products;</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reduced control over delivery timing and related customer experience and product reliability;</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reduced ability to monitor the manufacturing process and components used in our Connected Fitness Products;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limited ability to develop comprehensive manufacturing specifications that take into account any materials shortages or substitutions;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variance in the manufacturing capability of our third-party manufacturers;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price increases;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failure of a significant supplier, manufacturer, or logistics partner to perform its obligations to us for technical, market, or other reasons;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variance in the quality of services provided by our third-party last mile partners;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reliance on our partners to adhere to our supplier code of conduct;</w:t>
      </w:r>
    </w:p>
    <w:p>
      <w:pPr>
        <w:spacing w:after="0" w:line="14" w:lineRule="exact"/>
        <w:rPr>
          <w:rFonts w:ascii="Arial" w:cs="Arial" w:eastAsia="Arial" w:hAnsi="Arial"/>
          <w:sz w:val="16"/>
          <w:szCs w:val="16"/>
          <w:color w:val="auto"/>
        </w:rPr>
      </w:pPr>
    </w:p>
    <w:p>
      <w:pPr>
        <w:ind w:left="660" w:right="160" w:hanging="328"/>
        <w:spacing w:after="0" w:line="249"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difficulties in establishing additional supplier, manufacturer, or logistics partner relationships if we experience difficulties with our existing suppliers, manufacturers, or logistics partners;</w:t>
      </w: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shortages of materials or components;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misappropriation of our intellectual property;</w:t>
      </w:r>
    </w:p>
    <w:p>
      <w:pPr>
        <w:spacing w:after="0" w:line="8" w:lineRule="exact"/>
        <w:rPr>
          <w:rFonts w:ascii="Arial" w:cs="Arial" w:eastAsia="Arial" w:hAnsi="Arial"/>
          <w:sz w:val="16"/>
          <w:szCs w:val="16"/>
          <w:color w:val="auto"/>
        </w:rPr>
      </w:pPr>
    </w:p>
    <w:p>
      <w:pPr>
        <w:ind w:left="660" w:right="280" w:hanging="328"/>
        <w:spacing w:after="0" w:line="252"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exposure to natural catastrophes, including climate-related risks and extreme weather events, epidemics, political unrest, including escalating tensions, hostilities, or trade disputes between Taiwan and China, terrorism, labor disputes, and economic instability resulting in the disruption of trade from foreign countries, in which our Connected Fitness Products are manufactured or the components thereof are sourced;</w:t>
      </w: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local economic conditions in the jurisdictions where our suppliers, manufacturers, and logistics partners are located;</w:t>
      </w:r>
    </w:p>
    <w:p>
      <w:pPr>
        <w:spacing w:after="0" w:line="14" w:lineRule="exact"/>
        <w:rPr>
          <w:rFonts w:ascii="Arial" w:cs="Arial" w:eastAsia="Arial" w:hAnsi="Arial"/>
          <w:sz w:val="16"/>
          <w:szCs w:val="16"/>
          <w:color w:val="auto"/>
        </w:rPr>
      </w:pPr>
    </w:p>
    <w:p>
      <w:pPr>
        <w:ind w:left="660" w:right="180" w:hanging="328"/>
        <w:spacing w:after="0" w:line="25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insufficient warranties and indemnities on components supplied to our manufacturers or performance by our partners.</w:t>
      </w:r>
    </w:p>
    <w:p>
      <w:pPr>
        <w:spacing w:after="0" w:line="236"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occurrence of any of these risks, especially during seasons of peak demand, could cause us to experience a significant disruption in our ability to produce and deliver our products to our customers and could harm our brand and reputation.</w:t>
      </w:r>
    </w:p>
    <w:p>
      <w:pPr>
        <w:spacing w:after="0" w:line="198" w:lineRule="exact"/>
        <w:rPr>
          <w:sz w:val="20"/>
          <w:szCs w:val="20"/>
          <w:color w:val="auto"/>
        </w:rPr>
      </w:pPr>
    </w:p>
    <w:p>
      <w:pPr>
        <w:ind w:right="620"/>
        <w:spacing w:after="0" w:line="294" w:lineRule="auto"/>
        <w:rPr>
          <w:sz w:val="20"/>
          <w:szCs w:val="20"/>
          <w:color w:val="auto"/>
        </w:rPr>
      </w:pPr>
      <w:r>
        <w:rPr>
          <w:rFonts w:ascii="Arial" w:cs="Arial" w:eastAsia="Arial" w:hAnsi="Arial"/>
          <w:sz w:val="16"/>
          <w:szCs w:val="16"/>
          <w:b w:val="1"/>
          <w:bCs w:val="1"/>
          <w:i w:val="1"/>
          <w:iCs w:val="1"/>
          <w:color w:val="auto"/>
        </w:rPr>
        <w:t>We derive a substantial portion of our revenue from sales of our Connected Fitness Products. A decline in sales of our Connected Fitness Products would negatively affect our future revenue and operating results.</w:t>
      </w:r>
    </w:p>
    <w:p>
      <w:pPr>
        <w:spacing w:after="0" w:line="18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Connected Fitness Products are sold in highly competitive markets with limited barriers to entry. Changes to our price structure, including with respect to delivery and installation pricing, product mix, the introduction by competitors of comparable products at lower price points, a maturing product lifecycle, a decline in consumer spending, or other factors (including factors disclosed herein) could result in a decline in our revenue derived from our Connected Fitness Products, which may have an adverse effect on our business, financial condition, and operating results. Because we derive a significant portion of our revenue from the sales of our Connected Fitness Products, any material decline in sales of our Connected Fitness Products would have a pronounced impact on our future revenue and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market, and we may be unable to compete successfully against existing and future competitors.</w:t>
      </w:r>
    </w:p>
    <w:p>
      <w:pPr>
        <w:spacing w:after="0" w:line="246"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Our products and services are offered in a highly competitive market. We face significant competition in every aspect of our business, including at-home fitness equipment and content, fitness clubs, in-studio fitness classes, and health and wellness apps. Moreover, we expect the competition in our market to intensify in the future as new and existing competitors introduce new or enhanced products and services that compete with ours.</w:t>
      </w:r>
    </w:p>
    <w:p>
      <w:pPr>
        <w:spacing w:after="0" w:line="19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competitors, some of whom are much larger companies with greater resources, may develop, or have already developed, products, features, content, apps, services, or technologies that are similar to ours or that achieve greater acceptance, may undertake more successful product development, marketing or music licensing efforts, be more efficient at meeting consumer demand or identifying new markets, create more compelling employment opportunities, adopt more aggressive pricing policies, or be better positioned to withstand substantial price competition. Our competitors may develop or acquire, or have already developed or acquired, intellectual property rights that significantly limit or prevent our ability to compete effectively in the public marketplace. Due to the highly volatile and competitive nature of the industry in which we compete, we may face pressure to continually introduce new products, services and technologies, enhance existing products and services, effectively stimulate customer demand for new and upgraded products and services, and successfully manage the transition to these new and upgraded products and services. If we are not able to compete effectively against our competitors, they may acquire, engage and retain customers or generate revenue at the expense of our efforts, which could have an adverse effect on our business, financial condition, and operating results.</w:t>
      </w:r>
    </w:p>
    <w:p>
      <w:pPr>
        <w:spacing w:after="0" w:line="21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We depend upon third-party licenses for the use of music in our content. An adverse change to, loss of, or claim that we do not hold necessary licenses may have an adverse effect on our business, operating results, and financial condition.</w:t>
      </w:r>
    </w:p>
    <w:p>
      <w:pPr>
        <w:sectPr>
          <w:pgSz w:w="11900" w:h="16838" w:orient="portrait"/>
          <w:cols w:equalWidth="0" w:num="1">
            <w:col w:w="11240"/>
          </w:cols>
          <w:pgMar w:left="320" w:top="611" w:right="3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7" w:name="page18"/>
    <w:bookmarkEnd w:id="17"/>
    <w:p>
      <w:pPr>
        <w:ind w:right="200"/>
        <w:spacing w:after="0" w:line="275" w:lineRule="auto"/>
        <w:rPr>
          <w:sz w:val="20"/>
          <w:szCs w:val="20"/>
          <w:color w:val="auto"/>
        </w:rPr>
      </w:pPr>
      <w:r>
        <w:rPr>
          <w:rFonts w:ascii="Arial" w:cs="Arial" w:eastAsia="Arial" w:hAnsi="Arial"/>
          <w:sz w:val="16"/>
          <w:szCs w:val="16"/>
          <w:color w:val="auto"/>
        </w:rPr>
        <w:t>Music is an element of the overall content that we make available to our Members. To secure the rights to use music in our content, we enter into agreements to obtain licenses from rights holders such as performing rights organizations, record labels, music publishers, collecting societies, artists and songwriters, and other copyright owners (or their agents). We pay royalties to such parties or their agents around the world.</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process of obtaining licenses involves identifying and negotiating with many rights holders, some of whom are unknown, or difficult to identify, or for whom we may have conflicting ownership information, and this can generate a myriad of complex and evolving legal issues across many jurisdictions, including open questions of law as to when and whether particular licenses are needed. At times, while we may hold the applicable license for certain music in North America, it may be difficult to obtain the license for the same music from the applicable rights holders outside of North America. In addition, our music licenses may not contemplate some of the features and content that we may wish to add to our service, or new service offerings or revenue models that we may wish to launch. Rights holders also may attempt to take advantage of their market power to seek onerous financial terms from us. Our relationship with certain rights holders may deteriorate. We may elect not to renew certain agreements with rights holders for any number of reasons, or we may decide to explore different licensing schemes or economic structures with certain or all rights holders. Artists and/or songwriters or their agents may object and may exert public or private pressure on rights holders to discontinue or to modify license terms, or we may elect to discontinue use of an artist or songwriter’s catalog based on a number of factors, including actual or perceived reputational damage.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22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With respect to musical compositions, in addition to obtaining the synchronization and reproduction rights, we also need to obtain public performance or communication to the public rights. In the United States, public performance rights are typically obtained separately through intermediaries known as performing rights organizations, or PROs, which (a) issue blanket licenses with copyright users for the public performance of musical compositions in their repertory, (b) collect royalties under those licenses, and (c) distribute such royalties to copyright owners. We have agreements with each of the following PROs in the United States: the American Society of Composers, Authors and Publishers, or ASCAP, Broadcast Music, Inc., or BMI, Global Music Rights, and SESAC. The royalty rates available to us from the PROs today may not be available to us in the future. The royalty rates under licenses provided by ASCAP and BMI currently are governed by consent decrees, which were issued by the U.S. Department of Justice (“DOJ”) in an effort to curb anti-competitive conduct. Removal of or changes to the terms or interpretation of these agreements could affect our ability to obtain licenses from these PROs on current and/or otherwise favorable terms, which could harm our business, operating results, and financial condition.</w:t>
      </w:r>
    </w:p>
    <w:p>
      <w:pPr>
        <w:spacing w:after="0" w:line="204"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other parts of the world, including in Canada and Europe, we obtain licenses for musical compositions through local collecting societies representing songwriters and publishers, and from certain publishers directly, or a combination thereof. Given the licensing landscape in certain territories, we cannot guarantee that our licenses with collecting societies and our direct licenses with publishers provide full coverage for all of the musical compositions we use in our service in the countries in which we operate, or that we may enter in the future. Publishers, songwriters, and other rights holders who choose not to be represented by major or independent publishing companies or collecting societies have, and could in the future, adversely impact our ability to secure licensing arrangements in connection with musical compositions that such rights holders own or control and could increase the risk of liability for copyright infringement.</w:t>
      </w:r>
    </w:p>
    <w:p>
      <w:pPr>
        <w:spacing w:after="0" w:line="20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 xml:space="preserve">Although we expend significant resources to seek to comply with applicable contractual, statutory, regulatory, and judicial frameworks, we cannot guarantee that we currently hold, or will always hold, every necessary right to use all of the music that is used on our service now or that may be used in our products and services in the future, and we cannot assure you that we are not infringing or violating any third-party intellectual property rights, or that we will not do so in the future. See “— </w:t>
      </w:r>
      <w:r>
        <w:rPr>
          <w:rFonts w:ascii="Arial" w:cs="Arial" w:eastAsia="Arial" w:hAnsi="Arial"/>
          <w:sz w:val="16"/>
          <w:szCs w:val="16"/>
          <w:i w:val="1"/>
          <w:iCs w:val="1"/>
          <w:color w:val="auto"/>
        </w:rPr>
        <w:t>Risks Related to Our Intellectual Property</w:t>
      </w:r>
      <w:r>
        <w:rPr>
          <w:rFonts w:ascii="Arial" w:cs="Arial" w:eastAsia="Arial" w:hAnsi="Arial"/>
          <w:sz w:val="16"/>
          <w:szCs w:val="16"/>
          <w:color w:val="auto"/>
        </w:rPr>
        <w:t>.”</w:t>
      </w:r>
    </w:p>
    <w:p>
      <w:pPr>
        <w:spacing w:after="0" w:line="21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These challenges, and others concerning the licensing of music on our platform, may subject us to significant liability for copyright infringement, breach of contract, or other claims. For additional information, see </w:t>
      </w:r>
      <w:r>
        <w:rPr>
          <w:rFonts w:ascii="Arial" w:cs="Arial" w:eastAsia="Arial" w:hAnsi="Arial"/>
          <w:sz w:val="16"/>
          <w:szCs w:val="16"/>
          <w:i w:val="1"/>
          <w:iCs w:val="1"/>
          <w:color w:val="auto"/>
        </w:rPr>
        <w:t>Note 13– Commitments and Contingencies</w:t>
      </w:r>
      <w:r>
        <w:rPr>
          <w:rFonts w:ascii="Arial" w:cs="Arial" w:eastAsia="Arial" w:hAnsi="Arial"/>
          <w:sz w:val="16"/>
          <w:szCs w:val="16"/>
          <w:color w:val="auto"/>
        </w:rPr>
        <w:t xml:space="preserve"> in the Notes to our Consolidated Financial Statements in Part II, Item 8 of this Annual Report on Form 10-K and the section titled “</w:t>
      </w:r>
      <w:r>
        <w:rPr>
          <w:rFonts w:ascii="Arial" w:cs="Arial" w:eastAsia="Arial" w:hAnsi="Arial"/>
          <w:sz w:val="16"/>
          <w:szCs w:val="16"/>
          <w:i w:val="1"/>
          <w:iCs w:val="1"/>
          <w:color w:val="auto"/>
        </w:rPr>
        <w:t>Legal Proceedings</w:t>
      </w:r>
      <w:r>
        <w:rPr>
          <w:rFonts w:ascii="Arial" w:cs="Arial" w:eastAsia="Arial" w:hAnsi="Arial"/>
          <w:sz w:val="16"/>
          <w:szCs w:val="16"/>
          <w:color w:val="auto"/>
        </w:rPr>
        <w:t>” in Part I, Item 3 of this Annual Report on Form 10-K.</w:t>
      </w:r>
    </w:p>
    <w:p>
      <w:pPr>
        <w:spacing w:after="0" w:line="214"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b w:val="1"/>
          <w:bCs w:val="1"/>
          <w:i w:val="1"/>
          <w:iCs w:val="1"/>
          <w:color w:val="auto"/>
        </w:rPr>
        <w:t>Increases in component costs, long lead times, supply shortages, customs detentions and supply changes could disrupt our supply chain and have an adverse effect on our business, financial condition, and operating results.</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Accurately forecasting and meeting customer demand partially depends on our ability to obtain timely and adequate delivery of components for our Connected Fitness Products. All of the components that go into the manufacturing of our Connected Fitness Products are sourced from a limited number of third-party suppliers, and some of these components are provided by a single supplier. Our contract manufacturers generally purchase these components on our behalf, subject to certain approved supplier lists, and we do not have long-term arrangements with most of our component suppliers. We are therefore subject to the risk of shortages and long lead times in the supply of these components and the risk that our suppliers discontinue or modify components used in our Connected Fitness Products. In addition, the lead times associated with certain components are lengthy and preclude rapid changes in design, quantities, and delivery schedules. Our ability to meet temporary unforeseen increases or decreases in demand has been, and may in the future be, impacted by our reliance on the availability of components from these sub-suppliers. We may in the future experience component shortages, and the predictability of the availability of these components may be limited. In the event of a component shortage or supply interruption from suppliers of these components, we may not be able to develop alternate sources in a timely manner. Developing alternate sources of supply for these components may be time-consuming, difficult, and costly, and we may not be able to source these components on terms that are acceptable to us, or at all, which may undermine our ability to fill our orders in a timely manner. Any interruption or delay in the supply of any of these parts or components, or the inability to obtain these parts or components from alternate sources at acceptable prices and within a reasonable amount of time, would harm our ability to meet our scheduled Connected Fitness Product deliveries to our customers. Conversely, in periods when we experience a decrease in demand for our products and an increase in inventory, we may be unable to renegotiate our agreements or purchase commitments with existing suppliers or partners on mutually acceptable terms, which could result in inventory write-offs, storage costs for excess inventory, or litigation. See “— </w:t>
      </w:r>
      <w:r>
        <w:rPr>
          <w:rFonts w:ascii="Arial" w:cs="Arial" w:eastAsia="Arial" w:hAnsi="Arial"/>
          <w:sz w:val="16"/>
          <w:szCs w:val="16"/>
          <w:i w:val="1"/>
          <w:iCs w:val="1"/>
          <w:color w:val="auto"/>
        </w:rPr>
        <w:t>Our operating</w:t>
      </w:r>
    </w:p>
    <w:p>
      <w:pPr>
        <w:sectPr>
          <w:pgSz w:w="11900" w:h="16838" w:orient="portrait"/>
          <w:cols w:equalWidth="0" w:num="1">
            <w:col w:w="11220"/>
          </w:cols>
          <w:pgMar w:left="320" w:top="854" w:right="359" w:bottom="1440" w:gutter="0" w:footer="0" w:header="0"/>
        </w:sect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type w:val="continuous"/>
        </w:sectPr>
      </w:pPr>
    </w:p>
    <w:bookmarkStart w:id="18" w:name="page19"/>
    <w:bookmarkEnd w:id="18"/>
    <w:p>
      <w:pPr>
        <w:ind w:right="20"/>
        <w:spacing w:after="0" w:line="283" w:lineRule="auto"/>
        <w:rPr>
          <w:sz w:val="20"/>
          <w:szCs w:val="20"/>
          <w:color w:val="auto"/>
        </w:rPr>
      </w:pPr>
      <w:r>
        <w:rPr>
          <w:rFonts w:ascii="Arial" w:cs="Arial" w:eastAsia="Arial" w:hAnsi="Arial"/>
          <w:sz w:val="16"/>
          <w:szCs w:val="16"/>
          <w:i w:val="1"/>
          <w:iCs w:val="1"/>
          <w:color w:val="auto"/>
        </w:rPr>
        <w:t>results have been, and could in the future be, adversely affected if we are unable to accurately forecast consumer demand for our products and services and adequately manage our inventory</w:t>
      </w:r>
      <w:r>
        <w:rPr>
          <w:rFonts w:ascii="Arial" w:cs="Arial" w:eastAsia="Arial" w:hAnsi="Arial"/>
          <w:sz w:val="16"/>
          <w:szCs w:val="16"/>
          <w:color w:val="auto"/>
        </w:rPr>
        <w:t>.”</w:t>
      </w:r>
    </w:p>
    <w:p>
      <w:pPr>
        <w:spacing w:after="0" w:line="19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Moreover, volatile economic conditions have made it and may continue to make it more likely that our suppliers and logistics providers may be unable to timely deliver supplies, or at all, and there is no guarantee that we will be able to timely locate alternative suppliers of comparable quality at an acceptable price. In addition, international supply chains have been and may continue to be impacted by events outside of our control and limit our ability to procure timely delivery of supplies or finished goods and services. Since the beginning of 2018, importing and exporting has involved more risk, as there has been increasing rhetoric, in some cases coupled with legislative or executive action, from several U.S. and foreign leaders regarding tariffs against foreign imports of certain materials. Additional measures have targeted forced labor concerns in connection with certain products and textiles that can be associated with customs detentions and delayed entry of goods. Several of the components that go into the manufacturing of our Connected Fitness Products are sourced internationally, including from China, from where imports on specified products are subject to tariffs by the United States following the U.S. Trade Representative Section 301 Investigation. These issues appear to have been and could be further exacerbated by any global supply chain delays, such as global shipping disruptions. We have seen, and may continue to see, increased congestion and new import/export restrictions implemented at ports that we rely on for our business. In the past, we have had to secure alternative transportation, such as air freight, or use alternative routes, at increased costs to run our supply chain. These tariffs and other supply chain issues have an impact on our component costs and have the potential to have an even greater impact depending on the outcome of the current trade negotiations, which have been protracted and recently resulted in increases in U.S. tariff rates on specified products from China. Increases in our component costs could have a material effect on our gross margins. The loss of a significant supplier, an increase in component costs, or delays or disruptions in the delivery of components, could adversely impact our ability to generate future revenue and earnings and have an adverse effect on our business, financial condition, and operating results.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adversely affected from an accident, safety incident, or workforce disruption.</w:t>
      </w:r>
    </w:p>
    <w:p>
      <w:pPr>
        <w:spacing w:after="0" w:line="24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Any failure to maintain a safe workplace could result in employee illnesses, accidents or safety incidents, or may result in team discontent or lost productivity if we fail, or if it is perceived that we are failing, to protect the health and safety of our employees, contractors, and other visitors to our premises. A workplace accident also may result in injury to nonemployees, and our liability insurance may not be adequate to cover fully all claims, and we may be forced to bear substantial losses from an accident or safety incident resulting from our operations. Additionally, if our employees decide to join or form a labor union, we may become party to a collective bargaining agreement, which could result in higher employee costs and increased risk of work stoppages. It is also possible that a union seeking to organize one subset of our employee population could also mount a corporate campaign, resulting in negative publicity and reputational harm or other impacts that require attention by our management team and our employees. Negative publicity, work stoppages, or strikes by unions could have an adverse effect on our business, prospects, financial condition, and operating results.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has historically been, and may continue to be, affected by seasonality.</w:t>
      </w:r>
    </w:p>
    <w:p>
      <w:pPr>
        <w:spacing w:after="0" w:line="24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Our business has historically been influenced by seasonal trends common to traditional retail selling periods, where we generated a disproportionate amount of sales activity related to our Connected Fitness Products from November through February due in large part to seasonal holiday demand, New Year’s resolutions, and cold weather. The COVID-19 pandemic previously affected these trends, but as the COVID-19 pandemic has receded, we have experienced a return to pre-pandemic seasonal trends. During periods of higher sales during the period from November through February, our working capital needs may be typically greater during the second and third quarters of the fiscal year. As a result of quarterly fluctuations caused by these and other factors, comparisons of our operating results across different fiscal quarters may not be accurate indicators of our future performance. See “— </w:t>
      </w:r>
      <w:r>
        <w:rPr>
          <w:rFonts w:ascii="Arial" w:cs="Arial" w:eastAsia="Arial" w:hAnsi="Arial"/>
          <w:sz w:val="16"/>
          <w:szCs w:val="16"/>
          <w:i w:val="1"/>
          <w:iCs w:val="1"/>
          <w:color w:val="auto"/>
        </w:rPr>
        <w:t>Our quarterly</w:t>
      </w:r>
      <w:r>
        <w:rPr>
          <w:rFonts w:ascii="Arial" w:cs="Arial" w:eastAsia="Arial" w:hAnsi="Arial"/>
          <w:sz w:val="16"/>
          <w:szCs w:val="16"/>
          <w:color w:val="auto"/>
        </w:rPr>
        <w:t xml:space="preserve"> </w:t>
      </w:r>
      <w:r>
        <w:rPr>
          <w:rFonts w:ascii="Arial" w:cs="Arial" w:eastAsia="Arial" w:hAnsi="Arial"/>
          <w:sz w:val="16"/>
          <w:szCs w:val="16"/>
          <w:i w:val="1"/>
          <w:iCs w:val="1"/>
          <w:color w:val="auto"/>
        </w:rPr>
        <w:t>operating results and other operating metrics may fluctuate from quarter to quarter, which makes these metrics difficult to predict</w:t>
      </w:r>
      <w:r>
        <w:rPr>
          <w:rFonts w:ascii="Arial" w:cs="Arial" w:eastAsia="Arial" w:hAnsi="Arial"/>
          <w:sz w:val="16"/>
          <w:szCs w:val="16"/>
          <w:color w:val="auto"/>
        </w:rPr>
        <w:t>.” Seasonality in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can also be affected by introductions of new or enhanced products and services, including the costs associated with such introductions, as well as external factors beyond our control.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and other operating metrics may fluctuate from quarter to quarter, which makes these metrics difficult to predict.</w:t>
      </w:r>
    </w:p>
    <w:p>
      <w:pPr>
        <w:spacing w:after="0" w:line="26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Our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218"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continued market acceptance of, and the growth of the connected fitness and wellness market;</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evolving consumer demand and our ability to maintain and attract new Subscribers;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continued development and upgrading of the Peloton experience and proprietary technology platform;</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new product, service, feature, and content introductions by us or our competitors or any other change in our competitive landscape;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pricing pressure as a result of competition or otherwise;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delays or disruptions in our supply chain;</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errors in our forecasting of the demand for our products and services, which could lead to lower revenue or increased costs, or both;</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increases in marketing, sales, and other operating expenses;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short-term expenditures and initiatives we may undertake in furtherance of long-term cost savings, including the 2024 Restructuring Plan;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reliance on third-party delivery and maintenance services for our Connected Fitness Products;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successful expansion into international markets;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seasonal fluctuations in subscriptions and usage of Connected Fitness Products by our Members, which may change;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diversification and growth of our revenue sources;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maintain gross margins and operating margins;</w:t>
      </w:r>
    </w:p>
    <w:p>
      <w:pPr>
        <w:sectPr>
          <w:pgSz w:w="11900" w:h="16838" w:orient="portrait"/>
          <w:cols w:equalWidth="0" w:num="1">
            <w:col w:w="11240"/>
          </w:cols>
          <w:pgMar w:left="320" w:top="613" w:right="339" w:bottom="144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3" w:right="339" w:bottom="1440" w:gutter="0" w:footer="0" w:header="0"/>
          <w:type w:val="continuous"/>
        </w:sectPr>
      </w:pPr>
    </w:p>
    <w:bookmarkStart w:id="19" w:name="page20"/>
    <w:bookmarkEnd w:id="19"/>
    <w:p>
      <w:pPr>
        <w:ind w:left="660" w:right="480" w:hanging="328"/>
        <w:spacing w:after="0" w:line="263"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constraints on the availability of consumer financing or increased down payment requirements to finance purchases of our Connected Fitness Products;</w:t>
      </w: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system failures or breaches of security or privacy;</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adverse litigation judgments, settlements, or other litigation-related costs;</w:t>
      </w:r>
    </w:p>
    <w:p>
      <w:pPr>
        <w:spacing w:after="0" w:line="14" w:lineRule="exact"/>
        <w:rPr>
          <w:rFonts w:ascii="Arial" w:cs="Arial" w:eastAsia="Arial" w:hAnsi="Arial"/>
          <w:sz w:val="16"/>
          <w:szCs w:val="16"/>
          <w:color w:val="auto"/>
        </w:rPr>
      </w:pPr>
    </w:p>
    <w:p>
      <w:pPr>
        <w:ind w:left="660" w:right="100" w:hanging="328"/>
        <w:spacing w:after="0" w:line="249"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the legislative or regulatory environment, including with respect to privacy, consumer product safety, and advertising, or enforcement by government regulators, including fines, orders, or consent decrees;</w:t>
      </w: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our effective tax rate, including as a result of potential changes in tax laws;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 and</w:t>
      </w:r>
    </w:p>
    <w:p>
      <w:pPr>
        <w:spacing w:after="0" w:line="8" w:lineRule="exact"/>
        <w:rPr>
          <w:rFonts w:ascii="Arial" w:cs="Arial" w:eastAsia="Arial" w:hAnsi="Arial"/>
          <w:sz w:val="16"/>
          <w:szCs w:val="16"/>
          <w:color w:val="auto"/>
        </w:rPr>
      </w:pPr>
    </w:p>
    <w:p>
      <w:pPr>
        <w:ind w:left="660" w:right="140" w:hanging="328"/>
        <w:spacing w:after="0" w:line="264"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business or macroeconomic conditions, including global supply chain issues, lower consumer confidence, inflation, foreign currency exchange rate fluctuations, rising interest rates, recessionary conditions, political instability, volatility in the credit markets, market conditions in our industry, increased unemployment rates, or stagnant or declining wages.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Any one of the factors above or the cumulative effect of some of the factors above may result in significant fluctuations in our operating results.</w:t>
      </w:r>
    </w:p>
    <w:p>
      <w:pPr>
        <w:spacing w:after="0" w:line="26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w:t>
      </w:r>
    </w:p>
    <w:p>
      <w:pPr>
        <w:spacing w:after="0" w:line="18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i w:val="1"/>
          <w:iCs w:val="1"/>
          <w:color w:val="auto"/>
        </w:rPr>
        <w:t>Our passion and focus on delivering a high-quality and engaging Peloton experience may not maximize short-term financial results, which may conflict with the market’s expectations and could result in our stock price being negatively affected.</w:t>
      </w:r>
    </w:p>
    <w:p>
      <w:pPr>
        <w:spacing w:after="0" w:line="15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are passionate about continually enhancing the Peloton experience with a focus on driving long-term Member engagement through innovation, immersive content, technologically advanced Connected Fitness Products, multiple tiers of the Peloton App, and community support, which may not necessarily maximize short-term financial results. While we have recently announced our intention to stabilize our cash flows, we frequently make business decisions that may reduce our short-term financial results if we believe that the decisions are consistent with our goals to improve the Peloton experience, which we believe will improve our financial results over the long term. For example, in May 2024, we committed to the 2024 Restructuring Plan, which has resulted in charges and which we anticipate will require additional charges in the future. See Part 1, Item 7, “Management’s Discussion and Analysis of Financial Condition and Results of Operations —Fourth Quarter Fiscal 2024 Update and Recent Developments—</w:t>
      </w:r>
      <w:r>
        <w:rPr>
          <w:rFonts w:ascii="Arial" w:cs="Arial" w:eastAsia="Arial" w:hAnsi="Arial"/>
          <w:sz w:val="16"/>
          <w:szCs w:val="16"/>
          <w:i w:val="1"/>
          <w:iCs w:val="1"/>
          <w:color w:val="auto"/>
        </w:rPr>
        <w:t>Restructuring Plan</w:t>
      </w:r>
      <w:r>
        <w:rPr>
          <w:rFonts w:ascii="Arial" w:cs="Arial" w:eastAsia="Arial" w:hAnsi="Arial"/>
          <w:sz w:val="16"/>
          <w:szCs w:val="16"/>
          <w:color w:val="auto"/>
        </w:rPr>
        <w:t>.” These decisions may not be consistent with the expectations of our stockholders and may not produce the long-term benefits that we expect, in which case our membership growth and Member engagement, and our business, financial condition, and operating results could be harmed.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acquisition and integration of Precor presents risks, and we may not realize our anticipated strategic and financial goals from the acquisition.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Risks we may face in connection with our integration of Precor include:</w:t>
      </w:r>
    </w:p>
    <w:p>
      <w:pPr>
        <w:spacing w:after="0" w:line="262"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not realize the benefits we expect to receive from the transaction, such as anticipated synergies;</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have difficulties managing Precor’s technologies and lines of business or retaining key personnel from Precor;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acquisition may cause impairments to assets that we record as a part of an acquisition;</w:t>
      </w:r>
    </w:p>
    <w:p>
      <w:pPr>
        <w:spacing w:after="0" w:line="5" w:lineRule="exact"/>
        <w:rPr>
          <w:rFonts w:ascii="Arial" w:cs="Arial" w:eastAsia="Arial" w:hAnsi="Arial"/>
          <w:sz w:val="16"/>
          <w:szCs w:val="16"/>
          <w:color w:val="auto"/>
        </w:rPr>
      </w:pPr>
    </w:p>
    <w:p>
      <w:pPr>
        <w:ind w:left="660" w:right="40" w:hanging="328"/>
        <w:spacing w:after="0" w:line="238"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have failed to identify or assess the magnitude of (i) claims or liabilities related to Precor’s business, including, among others, claims from government agencies, terminated employees, current or former customers, consumers or business partners, users, or other third parties, unexpected litigation or regulatory exposure, or intellectual property disputes; (ii) pre-existing contractual relationships or lines of business of Precor that we would not have otherwise entered into, the termination or modification of which may be costly or disruptive to our business; (iii) unfavorable accounting treatment as a result of Precor’s practices; and (iv) other shortcomings or risks in Precor’s business;</w:t>
      </w:r>
    </w:p>
    <w:p>
      <w:pPr>
        <w:spacing w:after="0" w:line="1" w:lineRule="exact"/>
        <w:rPr>
          <w:rFonts w:ascii="Arial" w:cs="Arial" w:eastAsia="Arial" w:hAnsi="Arial"/>
          <w:sz w:val="16"/>
          <w:szCs w:val="16"/>
          <w:color w:val="auto"/>
        </w:rPr>
      </w:pPr>
    </w:p>
    <w:p>
      <w:pPr>
        <w:jc w:val="both"/>
        <w:ind w:left="660" w:right="80" w:hanging="328"/>
        <w:spacing w:after="0" w:line="254"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Precor operates in segments of the commercial market that we have less experience with, including traditional gyms, multifamily residences, hotels and college and corporate campuses, and expansion of our operations in these segments could present various challenges and result in increased costs and other unforeseen challenges;</w:t>
      </w: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unable to successfully integrate Precor and its operations into our control environment; and</w:t>
      </w:r>
    </w:p>
    <w:p>
      <w:pPr>
        <w:spacing w:after="0" w:line="5" w:lineRule="exact"/>
        <w:rPr>
          <w:rFonts w:ascii="Arial" w:cs="Arial" w:eastAsia="Arial" w:hAnsi="Arial"/>
          <w:sz w:val="16"/>
          <w:szCs w:val="16"/>
          <w:color w:val="auto"/>
        </w:rPr>
      </w:pPr>
    </w:p>
    <w:p>
      <w:pPr>
        <w:ind w:left="660" w:right="40" w:hanging="328"/>
        <w:spacing w:after="0" w:line="264"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Precor serves customers in more than 50 countries worldwide, and, as a result of the acquisition, our operations have expanded into new jurisdictions, which could present significant challenges and result in significant increased risks and costs inherent in doing business in international markets (see “— </w:t>
      </w:r>
      <w:r>
        <w:rPr>
          <w:rFonts w:ascii="Arial" w:cs="Arial" w:eastAsia="Arial" w:hAnsi="Arial"/>
          <w:sz w:val="16"/>
          <w:szCs w:val="16"/>
          <w:i w:val="1"/>
          <w:iCs w:val="1"/>
          <w:color w:val="auto"/>
        </w:rPr>
        <w:t>Expansion into international markets will expose us to significant risks</w:t>
      </w:r>
      <w:r>
        <w:rPr>
          <w:rFonts w:ascii="Arial" w:cs="Arial" w:eastAsia="Arial" w:hAnsi="Arial"/>
          <w:sz w:val="16"/>
          <w:szCs w:val="16"/>
          <w:color w:val="auto"/>
        </w:rPr>
        <w:t>”).</w:t>
      </w:r>
    </w:p>
    <w:p>
      <w:pPr>
        <w:spacing w:after="0" w:line="21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 xml:space="preserve">The occurrence of any of these risks could have a material adverse effect on our business, financial condition, and operating results. See “— </w:t>
      </w:r>
      <w:r>
        <w:rPr>
          <w:rFonts w:ascii="Arial" w:cs="Arial" w:eastAsia="Arial" w:hAnsi="Arial"/>
          <w:sz w:val="16"/>
          <w:szCs w:val="16"/>
          <w:i w:val="1"/>
          <w:iCs w:val="1"/>
          <w:color w:val="auto"/>
        </w:rPr>
        <w:t>We have</w:t>
      </w:r>
      <w:r>
        <w:rPr>
          <w:rFonts w:ascii="Arial" w:cs="Arial" w:eastAsia="Arial" w:hAnsi="Arial"/>
          <w:sz w:val="16"/>
          <w:szCs w:val="16"/>
          <w:color w:val="auto"/>
        </w:rPr>
        <w:t xml:space="preserve"> </w:t>
      </w:r>
      <w:r>
        <w:rPr>
          <w:rFonts w:ascii="Arial" w:cs="Arial" w:eastAsia="Arial" w:hAnsi="Arial"/>
          <w:sz w:val="16"/>
          <w:szCs w:val="16"/>
          <w:i w:val="1"/>
          <w:iCs w:val="1"/>
          <w:color w:val="auto"/>
        </w:rPr>
        <w:t>engaged and in the future may engage in acquisition and disposition activities, which could require significant management attention, disrupt our business, fail to achieve the intended benefit, dilute stockholder value, and adversely affect our operating results</w:t>
      </w:r>
      <w:r>
        <w:rPr>
          <w:rFonts w:ascii="Arial" w:cs="Arial" w:eastAsia="Arial" w:hAnsi="Arial"/>
          <w:sz w:val="16"/>
          <w:szCs w:val="16"/>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Expansion into international markets will expose us to significant risks.</w:t>
      </w:r>
    </w:p>
    <w:p>
      <w:pPr>
        <w:spacing w:after="0" w:line="246"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intend over time to expand our operations to other countries, which may require significant resources and management attention and could subject us to regulatory, economic, and political risks in addition to those we already face in the markets in which we operate. There are significant risks and costs inherent in doing business in international markets, including:</w:t>
      </w:r>
    </w:p>
    <w:p>
      <w:pPr>
        <w:spacing w:after="0" w:line="200" w:lineRule="exact"/>
        <w:rPr>
          <w:sz w:val="20"/>
          <w:szCs w:val="20"/>
          <w:color w:val="auto"/>
        </w:rPr>
      </w:pPr>
    </w:p>
    <w:p>
      <w:pPr>
        <w:spacing w:after="0" w:line="234" w:lineRule="exact"/>
        <w:rPr>
          <w:sz w:val="20"/>
          <w:szCs w:val="20"/>
          <w:color w:val="auto"/>
        </w:rPr>
      </w:pPr>
    </w:p>
    <w:p>
      <w:pPr>
        <w:ind w:left="660" w:right="300" w:hanging="328"/>
        <w:spacing w:after="0" w:line="26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difficulty of establishing and managing an international distribution network, including leveraging owned or third-party distribution, retail, local delivery service and customer service operations, and legal compliance costs associated with locations in different countries or regions;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need to vary pricing and margins to effectively compete in international markets;</w:t>
      </w:r>
    </w:p>
    <w:p>
      <w:pPr>
        <w:sectPr>
          <w:pgSz w:w="11900" w:h="16838" w:orient="portrait"/>
          <w:cols w:equalWidth="0" w:num="1">
            <w:col w:w="11240"/>
          </w:cols>
          <w:pgMar w:left="320" w:top="611"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0" w:name="page21"/>
    <w:bookmarkEnd w:id="20"/>
    <w:p>
      <w:pPr>
        <w:ind w:left="660" w:right="260" w:hanging="328"/>
        <w:spacing w:after="0" w:line="263"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need to adapt and localize products and software for specific countries, including obtaining rights to third-party intellectual property, including music, used in each country;</w:t>
      </w: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increased competition from local providers of similar products and services;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to protect and enforce intellectual property rights abroad;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need to offer engaging content and customer support in various languages and across various cultures;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difficulties in understanding and complying with local laws, regulations, and customs in other jurisdictions;</w:t>
      </w:r>
    </w:p>
    <w:p>
      <w:pPr>
        <w:spacing w:after="0" w:line="5" w:lineRule="exact"/>
        <w:rPr>
          <w:rFonts w:ascii="Arial" w:cs="Arial" w:eastAsia="Arial" w:hAnsi="Arial"/>
          <w:sz w:val="16"/>
          <w:szCs w:val="16"/>
          <w:color w:val="auto"/>
        </w:rPr>
      </w:pPr>
    </w:p>
    <w:p>
      <w:pPr>
        <w:ind w:left="660" w:right="260" w:hanging="328"/>
        <w:spacing w:after="0" w:line="255"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compliance with anti-bribery laws, such as the U.S. Foreign Corrupt Practices Act (the “FCPA”), and the U.K. Bribery Act 2010 (the “U.K. Bribery Act”), by us, our employees, and our business partners;</w:t>
      </w:r>
    </w:p>
    <w:p>
      <w:pPr>
        <w:ind w:left="660" w:right="260" w:hanging="328"/>
        <w:spacing w:after="0" w:line="252"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complexity and other risks associated with current and future legal requirements in other countries, including legal requirements related to sustainability disclosure, artificial intelligence, consumer protection, consumer product safety, and data privacy frameworks, such as the General Data Protection Regulation 2016/679;</w:t>
      </w: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varying levels of internet technology adoption and infrastructure, and increased or varying network and hosting service provider costs;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tariffs and other non-tariff barriers, such as quotas and local content rules, customs detentions, as well as tax consequences;</w:t>
      </w:r>
    </w:p>
    <w:p>
      <w:pPr>
        <w:spacing w:after="0" w:line="8" w:lineRule="exact"/>
        <w:rPr>
          <w:rFonts w:ascii="Arial" w:cs="Arial" w:eastAsia="Arial" w:hAnsi="Arial"/>
          <w:sz w:val="16"/>
          <w:szCs w:val="16"/>
          <w:color w:val="auto"/>
        </w:rPr>
      </w:pPr>
    </w:p>
    <w:p>
      <w:pPr>
        <w:ind w:left="660" w:right="320" w:hanging="328"/>
        <w:spacing w:after="0" w:line="252"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fluctuations in currency exchange rates and the requirements of currency control regulations, which might restrict or prohibit conversion of other currencies into U.S. dollars; and</w:t>
      </w:r>
    </w:p>
    <w:p>
      <w:pPr>
        <w:spacing w:after="0" w:line="1" w:lineRule="exact"/>
        <w:rPr>
          <w:rFonts w:ascii="Arial" w:cs="Arial" w:eastAsia="Arial" w:hAnsi="Arial"/>
          <w:sz w:val="16"/>
          <w:szCs w:val="16"/>
          <w:color w:val="auto"/>
        </w:rPr>
      </w:pPr>
    </w:p>
    <w:p>
      <w:pPr>
        <w:ind w:left="660" w:right="440" w:hanging="328"/>
        <w:spacing w:after="0" w:line="27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political or social unrest or economic instability in a specific country or region in which we operate, including, for example, escalating tensions, hostilities, or trade disputes between China and Taiwan which could have an adverse impact on our operations in such locations.</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 xml:space="preserve">In addition to expanding our operations into international markets through the sale of our Connected Fitness Products and the production of our platform content, we have expanded, and may in the future expand, our international operations through partnerships with, acquisitions of, or investments in, foreign entities, which may result in additional operational costs and risks. See “— </w:t>
      </w:r>
      <w:r>
        <w:rPr>
          <w:rFonts w:ascii="Arial" w:cs="Arial" w:eastAsia="Arial" w:hAnsi="Arial"/>
          <w:sz w:val="16"/>
          <w:szCs w:val="16"/>
          <w:i w:val="1"/>
          <w:iCs w:val="1"/>
          <w:color w:val="auto"/>
        </w:rPr>
        <w:t>We have engaged and in the future may engage in acquisition and disposition</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i w:val="1"/>
          <w:iCs w:val="1"/>
          <w:color w:val="auto"/>
        </w:rPr>
        <w:t>activities, which could require significant management attention, disrupt our business, fail to achieve the intended benefit, dilute stockholder value, and adversely affect our operating results</w:t>
      </w:r>
      <w:r>
        <w:rPr>
          <w:rFonts w:ascii="Arial" w:cs="Arial" w:eastAsia="Arial" w:hAnsi="Arial"/>
          <w:sz w:val="16"/>
          <w:szCs w:val="16"/>
          <w:color w:val="auto"/>
        </w:rPr>
        <w:t>.” In April 2021, we completed our acquisition of Precor, which serves customers in more than 50 countries worldwide.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As a result, we increased our operations and efforts abroad.</w:t>
      </w:r>
    </w:p>
    <w:p>
      <w:pPr>
        <w:spacing w:after="0" w:line="23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We may also face challenges to acceptance of our fitness and wellness content in new markets. Our failure to successfully manage these risks could harm our international operations and our plans for expansion into international markets, and have an adverse effect on our business, financial condition, and operating results.</w:t>
      </w:r>
    </w:p>
    <w:p>
      <w:pPr>
        <w:spacing w:after="0" w:line="205"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b w:val="1"/>
          <w:bCs w:val="1"/>
          <w:i w:val="1"/>
          <w:iCs w:val="1"/>
          <w:color w:val="auto"/>
        </w:rPr>
        <w:t>We rely on access to our production studios (or alternate venues) and the creativity of our fitness instructors to generate our class content. If we are unable to access or use our studios or alternate venues, or if we are unable to attract and retain high-quality fitness instructors, we may not be able to generate interesting and attractive content for our classes.</w:t>
      </w:r>
    </w:p>
    <w:p>
      <w:pPr>
        <w:spacing w:after="0" w:line="19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Most of the fitness and wellness content offered on our platform is produced in one of our production studios located in New York City or London, with some content (including audio-only content) recorded out of studio or in non-Peloton studios. Due to our reliance on a limited number of studios in a concentrated location, any incident involving our studios, or affecting New York City or London at-large could render our studios inaccessible or unusable and could inhibit our ability to produce and deliver new fitness and wellness content for our Members. Production of the fitness and wellness content on our platform is further reliant on the creativity of our fitness instructors who, with the support of our production team, plan and lead our classes. Our standard employment contract with our U.S.-based fitness instructors has a fixed term, however, any of our instructors may leave Peloton prior to the end of their contracts. If we are unable to attract or retain creative and experienced instructors, we may not be able to generate content on a scale or of a quality sufficient to grow our business. If we fail to produce and provide our Members with interesting and attractive content led by instructors who engage them and who they can relate to, then our business, financial condition, and operating results may be adversely affected.</w:t>
      </w:r>
    </w:p>
    <w:p>
      <w:pPr>
        <w:spacing w:after="0" w:line="20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i w:val="1"/>
          <w:iCs w:val="1"/>
          <w:color w:val="auto"/>
        </w:rPr>
        <w:t>We have engaged and in the future may engage in acquisition and disposition activities, which could require significant management attention, disrupt our business, fail to achieve the intended benefit, dilute stockholder value, and adversely affect our operating results.</w:t>
      </w:r>
    </w:p>
    <w:p>
      <w:pPr>
        <w:spacing w:after="0" w:line="182"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As part of our business strategy, we have made and, in the future, may make investments in other companies, products, or technologies, including acquisitions that may result in our entering markets or lines of business in which we do not currently have expertise.</w:t>
      </w:r>
    </w:p>
    <w:p>
      <w:pPr>
        <w:spacing w:after="0" w:line="183"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 complete could be viewed negatively by Members, prospective Members, employees, or investors. Moreover, acquisitions, investments, or business relationships have resulted in, and may in the future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Some acquisitions have required us, and may in the future require us, to spend considerable time, effort, and resources to integrate employees from the acquired business into our teams, and acquisitions of companies in lines of business in which we lack expertise may require considerable management time, oversight, and research before we see the desired benefit of such acquisitions. The success of these transactions also depends in part on our ability to leverage them to enhance our existing products and services or develop compelling new ones, as well as the acquired companies’ ability to meet our policies and processes in areas such as data governance, privacy, and cybersecurity. Therefore,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sectPr>
          <w:pgSz w:w="11900" w:h="16838" w:orient="portrait"/>
          <w:cols w:equalWidth="0" w:num="1">
            <w:col w:w="11220"/>
          </w:cols>
          <w:pgMar w:left="320" w:top="611" w:right="35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type w:val="continuous"/>
        </w:sectPr>
      </w:pPr>
    </w:p>
    <w:bookmarkStart w:id="21" w:name="page22"/>
    <w:bookmarkEnd w:id="21"/>
    <w:p>
      <w:pPr>
        <w:ind w:right="60"/>
        <w:spacing w:after="0" w:line="261" w:lineRule="auto"/>
        <w:rPr>
          <w:sz w:val="20"/>
          <w:szCs w:val="20"/>
          <w:color w:val="auto"/>
        </w:rPr>
      </w:pPr>
      <w:r>
        <w:rPr>
          <w:rFonts w:ascii="Arial" w:cs="Arial" w:eastAsia="Arial" w:hAnsi="Arial"/>
          <w:sz w:val="16"/>
          <w:szCs w:val="16"/>
          <w:color w:val="auto"/>
        </w:rPr>
        <w:t>To pay for any such acquisitions, we would have to use cash, incur debt, or issue equity securities, each of which may affect our financial condition or the value of our capital stock and could result in dilution to our stockholders. If we incur more debt, it will result in increased fixed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and our board of directors, disrupt the ordinary functioning of our business, and could have an adverse effect on our business, financial condition, and operating results.</w:t>
      </w:r>
    </w:p>
    <w:p>
      <w:pPr>
        <w:spacing w:after="0" w:line="203"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Further, in connection with our restructuring initiatives, we have divested some of our assets, including through site closures, such as the sale of the Ohio industrial facility that was intended to be the Peloton Output Park. We may in the future decide to divest other assets or a business. In connection with these activities, it may be difficult to find or complete divestiture opportunities or alternative exit strategies under the desired timeline and on acceptable terms, if at all. These circumstances could delay the achievement of our strategic objectives or cause us to incur additional expenses with respect to the desired divestiture, or the price or terms of the divestiture may be less favorable than we had anticipated. Even following a divestiture or other exit strategy, we may have certain continuing obligations to former employees, customers, vendors, landlords or other third parties. We may also have continuing liabilities related to former employees, assets or businesses. Such obligations may have a material adverse impact on our results of operations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payment processing risk.</w:t>
      </w:r>
    </w:p>
    <w:p>
      <w:pPr>
        <w:spacing w:after="0" w:line="24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customers pay for our products and services using a variety of different payment methods, including credit and debit cards, gift cards, lines of credit, “buy now pay later” financial products,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Cybersecurity risks could adversely affect our business and disrupt our operations.</w:t>
      </w:r>
    </w:p>
    <w:p>
      <w:pPr>
        <w:spacing w:after="0" w:line="26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addition to relying on critical information technology systems, we collect, maintain and transmit data about employees, suppliers, Members and others, including payment card data and personal information, as well as proprietary business information. Threats to the availability, integrity and security of our systems and data are increasingly diverse and sophisticated. Our systems and data, as well as those of critical third parties, are vulnerable to cyber-attacks involving, for example, malware, social engineering/phishing, ransomware or other extortion-based attacks, denial-of-service attacks, physical or electronic break-ins, third-party or current/former employee theft or misuse, and similar disruptions from unauthorized tampering with our servers and computer systems or those of third parties that we use in our operations, as well as cyber-risks attributable to software or hardware (e.g., tablets) vulnerabilities, coding errors and misconfigurations (e.g., involving APIs). As artificial intelligence capabilities improve and are increasingly adopted, we may see cyberattacks created through artificial intelligence.</w:t>
      </w:r>
    </w:p>
    <w:p>
      <w:pPr>
        <w:spacing w:after="0" w:line="20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Despite our efforts to create security barriers to protect our systems and data, we cannot entirely mitigate these risks. Cyberattacks are expected to accelerate on a global basis in both frequency and magnitude as threat actors are becoming increasingly sophisticated in using techniques and tools (including artificial intelligence) that circumvent controls, evade detection, and remove forensic evidence, which means that we and others may be unable to detect, investigate, contain or recover from future attacks or incidents in a timely or effective manner. In addition, our employees, service providers and third parties work more frequently on a remote or hybrid arrangement basis, which may involve relying on less secure systems and may increase the risk of cybersecurity-related incidents. We cannot guarantee these private work environments and electronic connections to our work environment have the same robust security measures deployed in our physical offices.</w:t>
      </w:r>
    </w:p>
    <w:p>
      <w:pPr>
        <w:spacing w:after="0" w:line="21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Any cyber-attack that impacts our or our Members’ data and assets, disrupts our service, or otherwise compromises the availability, integrity or security of our systems, or those of third parties we use could adversely affect our business, financial condition, and operating results, be expensive to remedy, and damage our reputation. In addition, any such attacks or breaches may negatively impact our Members’ experience, result in negative publicity, adversely affect our brand, impact demand for our products and services, and subject us to litigation (including class actions), regulatory investigations and/or penalties and fines, any or all of which could have an adverse effect on our business, financial condition, and operating results.</w:t>
      </w:r>
    </w:p>
    <w:p>
      <w:pPr>
        <w:spacing w:after="0" w:line="21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While we maintain cyber insurance that may help provide coverage for security breaches or other covered incidents, such insurance may not be adequate to cover the costs and liabilities related to them. Our costs associated with such breaches and incidents, including, for example, those stemming from one or more large claims against us that exceed our available insurance coverage, or that results in changes to our insurance policies, could impact our operating results and/or financial condition. In addition, our insurance policy may change as a result of such incidents or for other reasons, including overall insurance market conditions, new cyber-attack campaigns, premium increases, or the imposition of large, self-insured retentions or other co-insurance requirements.</w:t>
      </w:r>
    </w:p>
    <w:p>
      <w:pPr>
        <w:spacing w:after="0" w:line="220"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b w:val="1"/>
          <w:bCs w:val="1"/>
          <w:i w:val="1"/>
          <w:iCs w:val="1"/>
          <w:color w:val="auto"/>
        </w:rPr>
        <w:t>Our Member engagement on mobile devices depends upon effective operation with mobile and streaming device operating systems, networks, and standards that we do not control.</w:t>
      </w:r>
    </w:p>
    <w:p>
      <w:pPr>
        <w:spacing w:after="0" w:line="168"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A significant and growing portion of our Members access our platform through the Peloton App, and there is no guarantee that popular mobile devices or television streaming devices will continue to support the Peloton App or that device users will use the Peloton App rather than competing products. We are dependent on the interoperability of the Peloton App with popular mobile and television streaming operating</w:t>
      </w:r>
    </w:p>
    <w:p>
      <w:pPr>
        <w:sectPr>
          <w:pgSz w:w="11900" w:h="16838" w:orient="portrait"/>
          <w:cols w:equalWidth="0" w:num="1">
            <w:col w:w="11240"/>
          </w:cols>
          <w:pgMar w:left="320" w:top="611"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2" w:name="page23"/>
    <w:bookmarkEnd w:id="22"/>
    <w:p>
      <w:pPr>
        <w:spacing w:after="0" w:line="258" w:lineRule="auto"/>
        <w:rPr>
          <w:sz w:val="20"/>
          <w:szCs w:val="20"/>
          <w:color w:val="auto"/>
        </w:rPr>
      </w:pPr>
      <w:r>
        <w:rPr>
          <w:rFonts w:ascii="Arial" w:cs="Arial" w:eastAsia="Arial" w:hAnsi="Arial"/>
          <w:sz w:val="16"/>
          <w:szCs w:val="16"/>
          <w:color w:val="auto"/>
        </w:rPr>
        <w:t>systems that we do not control, such as Android and iOS, and any changes in such systems that degrade the functionality of our App offering or give preferential treatment to competitors could adversely affect our platform’s usage on mobile devices and televisions. Additionally, in order to deliver high-quality content, it is important that the Peloton App offering is designed effectively and works well with a range of mobile and streaming technologies, systems, networks, and standards that we do not control. App store license agreements are not negotiable, and we must be responsive to changing requirements under those agreements. We may not be successful in developing relationships with key participants in the mobile and streaming industry or in developing products that operate effectively with these technologies, systems, networks, or standards. In the event that it is more difficult for our Members to access and use our platform on their mobile devices or televisions, or Members find the Peloton App does not effectively meet their needs, our competitors develop products and services that are perceived to operate more effectively on mobile devices or televisions, or if our Members choose not to access or use our platform on their mobile devices or televisions or use products that do not offer access to our platform, our Member growth and Member engagement could be adversely impacted.</w:t>
      </w:r>
    </w:p>
    <w:p>
      <w:pPr>
        <w:spacing w:after="0" w:line="21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If we are unable to anticipate appropriate pricing levels for our Connected Fitness Products and subscriptions, our business could be adversely affected.</w:t>
      </w:r>
    </w:p>
    <w:p>
      <w:pPr>
        <w:spacing w:after="0" w:line="18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If we are unable to anticipate appropriate pricing levels for our portfolio of Connected Fitness Products and subscription services, whether due to consumer sentiment and spending power, availability and terms of consumer financing, brand perception, competitive pressure, or otherwise, our revenues and/or gross margins could be significantly reduced. Our decisions around the development of new products and services are in part based upon assumptions around pricing levels. If there are price fluctuations in the market after these decisions are made, it could have a negative effect on our business.</w:t>
      </w:r>
    </w:p>
    <w:p>
      <w:pPr>
        <w:spacing w:after="0" w:line="200"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Further, in March 2022, we began offering Peloton Rental in select markets. In May 2023, we relaunched the Peloton App, and in August 2024 we announced the Used Equipment Activation Fee applicable to Connected Fitness Products purchased in the secondary market. No assurance can be given that these offerings or any other new products or services will be successful and will not adversely affect our reputation, operating results, and financial condition. Additionally, our focus on long-term Member engagement over short-term financial condition or results of operations can result in us making decisions that may reduce our short-term revenue or profitability if we believe that such decisions benefit the aggregate Member experience and will thereby improve our financial performance over the long term. These decisions may not produce the long-term benefits that we expect, in which case our Member growth and engagement as well as our business, operating results, and financial condition could be negatively impacted.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how we market our products and services could adversely affect our marketing expenses and subscription levels.</w:t>
      </w:r>
    </w:p>
    <w:p>
      <w:pPr>
        <w:spacing w:after="0" w:line="246"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use a broad mix of marketing and other brand-building measures to attract Members. We use traditional television and online advertising, as well as third-party social media platforms such as Facebook, X (Twitter), Instagram, and TikTok as marketing tools. As television advertising, online, and social media platforms continue to rapidly evolve or grow more competitive, we must continue to maintain a presence on these platforms and establish a presence on new or emerging popular social media and advertising and marketing platforms. If we cannot use these marketing tools in a cost-effective manner, if we fail to promote our products and services efficiently and effectively, or if our marketing campaigns attract negative media attention, our ability to acquire new Members and our financial condition may suffer and the price of our Class A common stock could decline. In addition, an increase in the use of television, online, and social media for product promotion and marketing may increase the burden on us to monitor compliance of such materials and increase the risk that such materials could contain problematic product or marketing claims in violation of applicable regulations. Negative commentary, claims or publicity regarding us, our products or influencers and other third parties who are affiliated with us could adversely affect our reputation and sales regardless of whether such claims are accurate. See – “</w:t>
      </w:r>
      <w:r>
        <w:rPr>
          <w:rFonts w:ascii="Arial" w:cs="Arial" w:eastAsia="Arial" w:hAnsi="Arial"/>
          <w:sz w:val="16"/>
          <w:szCs w:val="16"/>
          <w:i w:val="1"/>
          <w:iCs w:val="1"/>
          <w:color w:val="auto"/>
        </w:rPr>
        <w:t>Our success depends on our ability to maintain the value and reputation of the Peloton brand</w:t>
      </w:r>
      <w:r>
        <w:rPr>
          <w:rFonts w:ascii="Arial" w:cs="Arial" w:eastAsia="Arial" w:hAnsi="Arial"/>
          <w:sz w:val="16"/>
          <w:szCs w:val="16"/>
          <w:color w:val="auto"/>
        </w:rPr>
        <w:t>.”</w:t>
      </w:r>
    </w:p>
    <w:p>
      <w:pPr>
        <w:spacing w:after="0" w:line="211" w:lineRule="exact"/>
        <w:rPr>
          <w:sz w:val="20"/>
          <w:szCs w:val="20"/>
          <w:color w:val="auto"/>
        </w:rPr>
      </w:pPr>
    </w:p>
    <w:p>
      <w:pPr>
        <w:ind w:right="540"/>
        <w:spacing w:after="0" w:line="311" w:lineRule="auto"/>
        <w:rPr>
          <w:sz w:val="20"/>
          <w:szCs w:val="20"/>
          <w:color w:val="auto"/>
        </w:rPr>
      </w:pPr>
      <w:r>
        <w:rPr>
          <w:rFonts w:ascii="Arial" w:cs="Arial" w:eastAsia="Arial" w:hAnsi="Arial"/>
          <w:sz w:val="16"/>
          <w:szCs w:val="16"/>
          <w:b w:val="1"/>
          <w:bCs w:val="1"/>
          <w:i w:val="1"/>
          <w:iCs w:val="1"/>
          <w:color w:val="auto"/>
        </w:rPr>
        <w:t>An economic downturn or economic uncertainty may adversely affect consumer discretionary spending and demand for our products and services.</w:t>
      </w:r>
    </w:p>
    <w:p>
      <w:pPr>
        <w:spacing w:after="0" w:line="156"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products and services may be considered discretionary items for consumers. Factors affecting the level of consumer spending for such discretionary items include general economic conditions, including inflation, rising interest rates, recessionary conditions, and other factors such as consumer confidence in future economic conditions, fears of recession, the availability and cost of consumer credit and spending power,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trends in consumer discretionary spending also remain unpredictable and subject to reductions and fluctuations. Unfavorable economic conditions may lead consumers to delay or reduce purchases of our products and services and consumer demand for our products and services may not grow as we expect. For example, in more recent quarters, we have experienced reduced consumer demand, partially contributing to a decrease in Connected Fitness Products revenue relative to prior year periods. Our sensitivity to economic cycles and any related fluctuation in consumer demand for our products and services could have an adverse effect on our business, financial condition, and operating results.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could decline due to changes in credit markets and decisions made by credit providers.</w:t>
      </w:r>
    </w:p>
    <w:p>
      <w:pPr>
        <w:spacing w:after="0" w:line="246"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Many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w:t>
      </w:r>
    </w:p>
    <w:p>
      <w:pPr>
        <w:sectPr>
          <w:pgSz w:w="11900" w:h="16838" w:orient="portrait"/>
          <w:cols w:equalWidth="0" w:num="1">
            <w:col w:w="11200"/>
          </w:cols>
          <w:pgMar w:left="320" w:top="611" w:right="379" w:bottom="1440" w:gutter="0" w:footer="0" w:header="0"/>
        </w:sect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type w:val="continuous"/>
        </w:sectPr>
      </w:pPr>
    </w:p>
    <w:bookmarkStart w:id="23" w:name="page24"/>
    <w:bookmarkEnd w:id="23"/>
    <w:p>
      <w:pPr>
        <w:ind w:right="220"/>
        <w:spacing w:after="0" w:line="286" w:lineRule="auto"/>
        <w:rPr>
          <w:sz w:val="20"/>
          <w:szCs w:val="20"/>
          <w:color w:val="auto"/>
        </w:rPr>
      </w:pPr>
      <w:r>
        <w:rPr>
          <w:rFonts w:ascii="Arial" w:cs="Arial" w:eastAsia="Arial" w:hAnsi="Arial"/>
          <w:sz w:val="16"/>
          <w:szCs w:val="16"/>
          <w:color w:val="auto"/>
        </w:rPr>
        <w:t>consumer credit, or the loss of our relationship with our current financing partners, could have an adverse effect on our business, financial conditions, and operating results.</w:t>
      </w:r>
    </w:p>
    <w:p>
      <w:pPr>
        <w:spacing w:after="0" w:line="19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We have a limited operating history with which to predict the profitability of our subscription model. Additionally, we may introduce new revenue models in the future.</w:t>
      </w:r>
    </w:p>
    <w:p>
      <w:pPr>
        <w:spacing w:after="0" w:line="18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majority of our Subscribers are on month-to-month subscription terms and may cancel their subscriptions at any time. In addition, subscription renewals can fluctuate based on a variety of factors such as consumer preferences, competitive products and services and macroeconomic conditions. We have limited historical data with respect to subscription renewals, so we may be unable to accurately predict customer renewal rates. Additionally, prior renewal rates may not accurately predict future Subscriber renewal rates for a variety of reasons, such as Subscribers’ dissatisfaction with our offerings and the cost of our subscriptions, macroeconomic conditions, or new offering introductions by us or our competitors. If our Subscribers do not renew their subscriptions, our revenue may decline, and our business will suffer.</w:t>
      </w:r>
    </w:p>
    <w:p>
      <w:pPr>
        <w:spacing w:after="0" w:line="203"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Furthermore, we have offered and may in the future offer, new subscription products, implement promotions, or replace or modify current subscription models and pricing, any of which could result in additional costs or could adversely impact Subscriber retention. For example, we offer Peloton Rental in select markets, and we are launching a Used Equipment Activation Fee applicable to Connected Fitness Products purchased in the secondary market. It is unknown how our Subscribers will react to new models and whether the costs or logistics of implementing these models will adversely impact our business. If the adoption of new revenue models adversely impacts our Subscriber relationships, Subscriber growth, Subscriber engagement, and our business, financial condition, and operating results could be harmed.</w:t>
      </w:r>
    </w:p>
    <w:p>
      <w:pPr>
        <w:spacing w:after="0" w:line="205"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b w:val="1"/>
          <w:bCs w:val="1"/>
          <w:i w:val="1"/>
          <w:iCs w:val="1"/>
          <w:color w:val="auto"/>
        </w:rPr>
        <w:t>We track certain operational and business metrics with internal methods that are subject to inherent challenges in measurement, and real or perceived inaccuracies in such metrics may harm our reputation and negatively affect our business.</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track certain operational and business metrics, including Total Workouts and Average Monthly Workouts per Connected Fitness Subscription, with internal methods, which are not independently verified by any third party and, in particular for the Peloton App, are often reliant upon an interface with mobile operating systems, networks and standards that we do not control. Our internal methods have limitations and our process for tracking these metrics may change over time, which could result in unexpected changes to our metrics, including the metrics we report. If the internal methods we use under-count or over-count metrics that are important to our business, for example, as a result of algorithmic or other technical errors, the operational and business metrics that we report publicly, or those that we report to regulatory bodies or otherwise use to manage our business, may not be accurate. In addition, limitations or errors with respect to how we measure certain operational and business metrics or a cybersecurity incident that impacts the accuracy of this information may affect our understanding of certain details of our business, which could affect our longer-term strategies, and jeopardize our credibility with Members, partners and regulators. If our operational and business metrics are not accurate representations of our business, market penetration, retention or engagement; if we discover material inaccuracies in our metrics; or if the metrics we rely on to track our performance do not provide an accurate measurement of our business, or if investors, analysts, or customers do not believe that they do, our reputation may be harmed, and our operating and financial results could be adversely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our Subscribers may be subject to sales and other taxes, and we may be subject to liabilities on past sales for taxes, surcharges, and fees.</w:t>
      </w:r>
    </w:p>
    <w:p>
      <w:pPr>
        <w:spacing w:after="0" w:line="24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and consumers have contested, and may in the future contest, the appropriateness of our tax collection practices through litigation or other means. New taxes could also require us to incur substantial costs to capture data and collect and remit taxes. If such obligations were imposed, the additional costs associated with tax collection, remittance, and audit requirements could have an adverse effect on our business, financial condition, and operating results.</w:t>
      </w:r>
    </w:p>
    <w:p>
      <w:pPr>
        <w:spacing w:after="0" w:line="20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Covenants in the credit agreement and the security agreement governing our term loan and revolving credit facility may restrict our operations, and if we do not effectively manage our business to comply with these covenants, our financial condition could be adversely impacted.</w:t>
      </w:r>
    </w:p>
    <w:p>
      <w:pPr>
        <w:spacing w:after="0" w:line="15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 xml:space="preserve">Our term loan and revolving credit facility contain various restrictive covenants, including, among other things, minimum liquidity and subscription revenue requirements applicable solely to drawings under the revolving credit facility, restrictions on our ability to dispose of assets, make acquisitions or investments, incur debt or liens, make distributions to our stockholders, or enter into certain types of related party transactions. In particular, in addition to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our revolving credit facility, as recently amended, requires us , when revolving loans are outstanding, to maintain a total level of liquidity of not less than $250.0 million and to maintain Subscription revenue of the company and its subsidiaries of at least $1.2 billion for the four-quarter trailing period. These restrictions may restrict our current and future operations, particularly our ability to respond to certain changes in our business or industry or take future actions. Pursuant to the security agreement, we granted the parties thereto a security interest in substantially all of our assets. See </w:t>
      </w:r>
      <w:r>
        <w:rPr>
          <w:rFonts w:ascii="Arial" w:cs="Arial" w:eastAsia="Arial" w:hAnsi="Arial"/>
          <w:sz w:val="16"/>
          <w:szCs w:val="16"/>
          <w:i w:val="1"/>
          <w:iCs w:val="1"/>
          <w:color w:val="auto"/>
        </w:rPr>
        <w:t>Note 12 - Debt</w:t>
      </w:r>
      <w:r>
        <w:rPr>
          <w:rFonts w:ascii="Arial" w:cs="Arial" w:eastAsia="Arial" w:hAnsi="Arial"/>
          <w:sz w:val="16"/>
          <w:szCs w:val="16"/>
          <w:color w:val="auto"/>
        </w:rPr>
        <w:t xml:space="preserve"> in the Notes to our Consolidated Financial Statements in Part II, Item 8 of this Annual Report on Form 10-K and the section titled “</w:t>
      </w:r>
      <w:r>
        <w:rPr>
          <w:rFonts w:ascii="Arial" w:cs="Arial" w:eastAsia="Arial" w:hAnsi="Arial"/>
          <w:sz w:val="16"/>
          <w:szCs w:val="16"/>
          <w:i w:val="1"/>
          <w:iCs w:val="1"/>
          <w:color w:val="auto"/>
        </w:rPr>
        <w:t>Management’s Discussion</w:t>
      </w:r>
      <w:r>
        <w:rPr>
          <w:rFonts w:ascii="Arial" w:cs="Arial" w:eastAsia="Arial" w:hAnsi="Arial"/>
          <w:sz w:val="16"/>
          <w:szCs w:val="16"/>
          <w:color w:val="auto"/>
        </w:rPr>
        <w:t xml:space="preserve"> </w:t>
      </w:r>
      <w:r>
        <w:rPr>
          <w:rFonts w:ascii="Arial" w:cs="Arial" w:eastAsia="Arial" w:hAnsi="Arial"/>
          <w:sz w:val="16"/>
          <w:szCs w:val="16"/>
          <w:i w:val="1"/>
          <w:iCs w:val="1"/>
          <w:color w:val="auto"/>
        </w:rPr>
        <w:t>and Analysis of Financial Condition and Results of Operations - Liquidity and Capital Resources - Third Amended and Restated Credit Agreement</w:t>
      </w:r>
      <w:r>
        <w:rPr>
          <w:rFonts w:ascii="Arial" w:cs="Arial" w:eastAsia="Arial" w:hAnsi="Arial"/>
          <w:sz w:val="16"/>
          <w:szCs w:val="16"/>
          <w:color w:val="auto"/>
        </w:rPr>
        <w:t>” in Part II,</w:t>
      </w:r>
      <w:r>
        <w:rPr>
          <w:rFonts w:ascii="Arial" w:cs="Arial" w:eastAsia="Arial" w:hAnsi="Arial"/>
          <w:sz w:val="16"/>
          <w:szCs w:val="16"/>
          <w:i w:val="1"/>
          <w:iCs w:val="1"/>
          <w:color w:val="auto"/>
        </w:rPr>
        <w:t xml:space="preserve"> </w:t>
      </w:r>
      <w:r>
        <w:rPr>
          <w:rFonts w:ascii="Arial" w:cs="Arial" w:eastAsia="Arial" w:hAnsi="Arial"/>
          <w:sz w:val="16"/>
          <w:szCs w:val="16"/>
          <w:color w:val="auto"/>
        </w:rPr>
        <w:t>Item 7 of this Annual Report on Form 10-K.</w:t>
      </w:r>
    </w:p>
    <w:p>
      <w:pPr>
        <w:spacing w:after="0" w:line="2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ability to meet these restrictive covenants can be impacted by events beyond our control and we may be unable to do so. Our credit agreement provides that our breach or failure to satisfy certain covenants constitutes an event of default. Upon the occurrence of an event of</w:t>
      </w:r>
    </w:p>
    <w:p>
      <w:pPr>
        <w:sectPr>
          <w:pgSz w:w="11900" w:h="16838" w:orient="portrait"/>
          <w:cols w:equalWidth="0" w:num="1">
            <w:col w:w="11220"/>
          </w:cols>
          <w:pgMar w:left="320" w:top="611" w:right="359" w:bottom="1440" w:gutter="0" w:footer="0" w:header="0"/>
        </w:sect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type w:val="continuous"/>
        </w:sectPr>
      </w:pPr>
    </w:p>
    <w:bookmarkStart w:id="24" w:name="page25"/>
    <w:bookmarkEnd w:id="24"/>
    <w:p>
      <w:pPr>
        <w:ind w:right="120"/>
        <w:spacing w:after="0" w:line="265" w:lineRule="auto"/>
        <w:rPr>
          <w:sz w:val="20"/>
          <w:szCs w:val="20"/>
          <w:color w:val="auto"/>
        </w:rPr>
      </w:pPr>
      <w:r>
        <w:rPr>
          <w:rFonts w:ascii="Arial" w:cs="Arial" w:eastAsia="Arial" w:hAnsi="Arial"/>
          <w:sz w:val="16"/>
          <w:szCs w:val="16"/>
          <w:color w:val="auto"/>
        </w:rPr>
        <w:t>default, our lenders could elect to declare all amounts outstanding under its debt agreements to be immediately due and payable. In addition, our lenders would have the right to proceed against the assets we provided as collateral pursuant to the credit agreement and the security agreement. If the debt under our credit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our remediation of such material weaknesses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In the course of preparing our financial statements for fiscal 2021, fiscal 2022, fiscal 2023, and fiscal 2024, we identified the following material weaknesses in our internal control over financial reporting.</w:t>
      </w:r>
    </w:p>
    <w:p>
      <w:pPr>
        <w:spacing w:after="0" w:line="1" w:lineRule="exact"/>
        <w:rPr>
          <w:sz w:val="20"/>
          <w:szCs w:val="20"/>
          <w:color w:val="auto"/>
        </w:rPr>
      </w:pPr>
    </w:p>
    <w:p>
      <w:pPr>
        <w:ind w:left="660" w:right="360" w:hanging="328"/>
        <w:spacing w:after="0" w:line="249"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material weakness related to controls around the existence, completeness, and valuation of inventory. This material weakness existed during fiscal 2021, fiscal 2022, fiscal 2023, and fiscal 2024.</w:t>
      </w:r>
    </w:p>
    <w:p>
      <w:pPr>
        <w:ind w:left="660" w:right="560" w:hanging="328"/>
        <w:spacing w:after="0" w:line="255"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material weakness related to controls around the inputs and assumptions used in our goodwill and long-lived asset impairment testing and restructuring assessment. This material weakness was identified during fiscal 2022 and remediated in fiscal 2023.</w:t>
      </w:r>
    </w:p>
    <w:p>
      <w:pPr>
        <w:ind w:left="660" w:right="300" w:hanging="328"/>
        <w:spacing w:after="0" w:line="255"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material weakness related to information technology general controls (“ITGCs”) in the area of user access for a certain information technology system specific to Precor. This material weakness was identified during fiscal 2023, and remediated in fiscal 2024.</w:t>
      </w:r>
    </w:p>
    <w:p>
      <w:pPr>
        <w:ind w:left="660" w:right="180" w:hanging="328"/>
        <w:spacing w:after="0" w:line="264"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material weakness related to Precor’s business process control environment involving the lack of proper design of controls and lack of sufficient documentation to validate control design effectiveness, in particular management review controls. This material weakness was identified in fiscal 2024 and remediation is ongoing.</w:t>
      </w:r>
    </w:p>
    <w:p>
      <w:pPr>
        <w:spacing w:after="0" w:line="20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To address our material weaknesses, we have made changes to our program and controls as set forth in Part II, Item 9A “Controls and Procedures.” Unless otherwise described in Part II, Item 9A “Controls and Procedures”, we will not be able to fully remediate these material weaknesses until these steps have been completed and have been operating effectively for a sufficient period of time.</w:t>
      </w:r>
    </w:p>
    <w:p>
      <w:pPr>
        <w:spacing w:after="0" w:line="191"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Class A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22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Furthermore, we cannot assure you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Our current controls and any new controls that we develop may become inadequate because of changes in conditions in our business. For example, as we continue our reliance on last mile partners, we may face additional challenges in accurately verifying physical inventory counts.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20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Any failure to implement and maintain effective internal control over financial reporting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219" w:lineRule="exact"/>
        <w:rPr>
          <w:sz w:val="20"/>
          <w:szCs w:val="20"/>
          <w:color w:val="auto"/>
        </w:rPr>
      </w:pPr>
    </w:p>
    <w:p>
      <w:pPr>
        <w:ind w:right="720"/>
        <w:spacing w:after="0" w:line="294" w:lineRule="auto"/>
        <w:rPr>
          <w:sz w:val="20"/>
          <w:szCs w:val="20"/>
          <w:color w:val="auto"/>
        </w:rPr>
      </w:pPr>
      <w:r>
        <w:rPr>
          <w:rFonts w:ascii="Arial" w:cs="Arial" w:eastAsia="Arial" w:hAnsi="Arial"/>
          <w:sz w:val="16"/>
          <w:szCs w:val="16"/>
          <w:b w:val="1"/>
          <w:bCs w:val="1"/>
          <w:i w:val="1"/>
          <w:iCs w:val="1"/>
          <w:color w:val="auto"/>
        </w:rPr>
        <w:t>Failure to maintain effective internal control over our financial and management systems may strain our resources, divert management’s attention, and impact our ability to attract and retain executive management and qualified board members.</w:t>
      </w:r>
    </w:p>
    <w:p>
      <w:pPr>
        <w:spacing w:after="0" w:line="168" w:lineRule="exact"/>
        <w:rPr>
          <w:sz w:val="20"/>
          <w:szCs w:val="20"/>
          <w:color w:val="auto"/>
        </w:rPr>
      </w:pPr>
    </w:p>
    <w:p>
      <w:pPr>
        <w:jc w:val="both"/>
        <w:ind w:right="240"/>
        <w:spacing w:after="0" w:line="271" w:lineRule="auto"/>
        <w:rPr>
          <w:sz w:val="20"/>
          <w:szCs w:val="20"/>
          <w:color w:val="auto"/>
        </w:rPr>
      </w:pPr>
      <w:r>
        <w:rPr>
          <w:rFonts w:ascii="Arial" w:cs="Arial" w:eastAsia="Arial" w:hAnsi="Arial"/>
          <w:sz w:val="16"/>
          <w:szCs w:val="16"/>
          <w:color w:val="auto"/>
        </w:rPr>
        <w:t>We are subject to the reporting requirements of the Exchange Act, the Sarbanes-Oxley Act, the rules and regulations promulgated thereunder by the SEC and any rules and regulations subsequently implemented by the SEC, the rules and regulations of the listing standards of The Nasdaq Stock Market LLC and other applicable securities rules and regulations. Compliance with these rules and regulations has increased our legal and financial compliance costs and strains our financial and management systems, internal controls, and employees.</w:t>
      </w:r>
    </w:p>
    <w:p>
      <w:pPr>
        <w:spacing w:after="0" w:line="195"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 xml:space="preserve">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in the future, improve our disclosure controls and procedures, and internal control over financial reporting to meet this standard, significant resources and management oversight may be required. Effective internal control is necessary for us to produce reliable financial reports and is important to prevent fraud. See “— </w:t>
      </w:r>
      <w:r>
        <w:rPr>
          <w:rFonts w:ascii="Arial" w:cs="Arial" w:eastAsia="Arial" w:hAnsi="Arial"/>
          <w:sz w:val="16"/>
          <w:szCs w:val="16"/>
          <w:i w:val="1"/>
          <w:iCs w:val="1"/>
          <w:color w:val="auto"/>
        </w:rPr>
        <w:t>We have identified material weaknesses in our internal control over financial reporting,</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 if our remediation of such material weaknesses is not effective, or if we fail to</w:t>
      </w:r>
    </w:p>
    <w:p>
      <w:pPr>
        <w:sectPr>
          <w:pgSz w:w="11900" w:h="16838" w:orient="portrait"/>
          <w:cols w:equalWidth="0" w:num="1">
            <w:col w:w="11240"/>
          </w:cols>
          <w:pgMar w:left="320" w:top="611" w:right="339" w:bottom="144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5" w:name="page26"/>
    <w:bookmarkEnd w:id="25"/>
    <w:p>
      <w:pPr>
        <w:ind w:right="540"/>
        <w:spacing w:after="0" w:line="283" w:lineRule="auto"/>
        <w:rPr>
          <w:sz w:val="20"/>
          <w:szCs w:val="20"/>
          <w:color w:val="auto"/>
        </w:rPr>
      </w:pPr>
      <w:r>
        <w:rPr>
          <w:rFonts w:ascii="Arial" w:cs="Arial" w:eastAsia="Arial" w:hAnsi="Arial"/>
          <w:sz w:val="16"/>
          <w:szCs w:val="16"/>
          <w:i w:val="1"/>
          <w:iCs w:val="1"/>
          <w:color w:val="auto"/>
        </w:rPr>
        <w:t>develop and maintain an effective system of disclosure controls and internal control over financial reporting, our ability to produce timely and accurate financial statements or comply with applicable laws and regulations could be impaired</w:t>
      </w:r>
      <w:r>
        <w:rPr>
          <w:rFonts w:ascii="Arial" w:cs="Arial" w:eastAsia="Arial" w:hAnsi="Arial"/>
          <w:sz w:val="16"/>
          <w:szCs w:val="16"/>
          <w:color w:val="auto"/>
        </w:rPr>
        <w:t>.”</w:t>
      </w:r>
    </w:p>
    <w:p>
      <w:pPr>
        <w:spacing w:after="0" w:line="19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Pursuant to Sections 302 and 404 of the Sarbanes-Oxley Act, our independent registered public accounting firm has provided an attestation report regarding our internal control over financial reporting. We have incurred and expect to continue to incur significant expenses and devote substantial management effort toward ensuring that our internal control over financial reporting is effective.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operating results could be adversely affected.</w:t>
      </w:r>
    </w:p>
    <w:p>
      <w:pPr>
        <w:spacing w:after="0" w:line="26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Estimates” in Part II, Item 7 of this Annual Report on Form 10-K. The results of these estimates form the basis for making judgments about the carrying values of assets, liabilities, and stockholders’ equity/deficit, and the amount of revenue and expenses that are not readily apparent from other sources. Significant assumptions and estimates used in preparing our consolidated financial statements include those related to revenue related reserves, the realizability of inventory, fair value measurements including common stock valuations, the incremental borrowing rate associated with lease liabilities, useful lives of property and equipment, product warranty, goodwill and finite-lived intangible assets, accounting for income taxes, stock-based compensation expense and commitments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Class A common stock.</w:t>
      </w:r>
    </w:p>
    <w:p>
      <w:pPr>
        <w:spacing w:after="0" w:line="228" w:lineRule="exact"/>
        <w:rPr>
          <w:sz w:val="20"/>
          <w:szCs w:val="20"/>
          <w:color w:val="auto"/>
        </w:rPr>
      </w:pPr>
    </w:p>
    <w:p>
      <w:pPr>
        <w:ind w:right="700"/>
        <w:spacing w:after="0" w:line="294" w:lineRule="auto"/>
        <w:rPr>
          <w:sz w:val="20"/>
          <w:szCs w:val="20"/>
          <w:color w:val="auto"/>
        </w:rPr>
      </w:pPr>
      <w:r>
        <w:rPr>
          <w:rFonts w:ascii="Arial" w:cs="Arial" w:eastAsia="Arial" w:hAnsi="Arial"/>
          <w:sz w:val="16"/>
          <w:szCs w:val="16"/>
          <w:b w:val="1"/>
          <w:bCs w:val="1"/>
          <w:i w:val="1"/>
          <w:iCs w:val="1"/>
          <w:color w:val="auto"/>
        </w:rPr>
        <w:t>We are exposed to changes to the global macroeconomic environment beyond our control, including fluctuations in inflation and foreign currency exchange rates.</w:t>
      </w:r>
    </w:p>
    <w:p>
      <w:pPr>
        <w:spacing w:after="0" w:line="18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are exposed to fluctuations in inflation, which could negatively affect our business, financial condition and operating results. When the inflation rate increases, it will likely affect our expenses, including, but not limited to, employee compensation expenses and increased costs for supplies. Any attempts to offset cost increases with price increases may result in reduced sales, increased customer dissatisfaction or otherwise harm our reputation. Moreover, to the extent inflation results in rising interest rates, reduces discretionary spending, and has other adverse effects on the market, it may adversely affect our business, financial condition and operating results.</w:t>
      </w:r>
    </w:p>
    <w:p>
      <w:pPr>
        <w:spacing w:after="0" w:line="218"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In addition, while we have historically transacted in U.S. dollars with the majority of our Subscribers and suppliers, we have transacted in some foreign currencies, such as the Euro, Canadian Dollar and U.K. Pound Sterling, and may transact in more foreign currencies in the future. Further, certain of our 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have used, and may in the future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228" w:lineRule="exact"/>
        <w:rPr>
          <w:sz w:val="20"/>
          <w:szCs w:val="20"/>
          <w:color w:val="auto"/>
        </w:rPr>
      </w:pPr>
    </w:p>
    <w:p>
      <w:pPr>
        <w:jc w:val="both"/>
        <w:ind w:right="760"/>
        <w:spacing w:after="0" w:line="279" w:lineRule="auto"/>
        <w:rPr>
          <w:sz w:val="20"/>
          <w:szCs w:val="20"/>
          <w:color w:val="auto"/>
        </w:rPr>
      </w:pPr>
      <w:r>
        <w:rPr>
          <w:rFonts w:ascii="Arial" w:cs="Arial" w:eastAsia="Arial" w:hAnsi="Arial"/>
          <w:sz w:val="16"/>
          <w:szCs w:val="16"/>
          <w:b w:val="1"/>
          <w:bCs w:val="1"/>
          <w:i w:val="1"/>
          <w:iCs w:val="1"/>
          <w:color w:val="auto"/>
        </w:rPr>
        <w:t>A resurgence of the COVID-19 pandemic could have an adverse effect on our business, and it remains uncertain how the post-COVID-19 pandemic environment and any resurgence of the COVID-19 pandemic will impact consumer demand for our products and services and consumer preferences generally.</w:t>
      </w:r>
    </w:p>
    <w:p>
      <w:pPr>
        <w:spacing w:after="0" w:line="18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 resurgence of the COVID-19 pandemic could have an adverse effect on our business, results of operations, and financial condition due to the occurrence of some or all of the following events or circumstances, among others:</w:t>
      </w:r>
    </w:p>
    <w:p>
      <w:pPr>
        <w:spacing w:after="0" w:line="196" w:lineRule="exact"/>
        <w:rPr>
          <w:sz w:val="20"/>
          <w:szCs w:val="20"/>
          <w:color w:val="auto"/>
        </w:rPr>
      </w:pPr>
    </w:p>
    <w:p>
      <w:pPr>
        <w:jc w:val="both"/>
        <w:ind w:left="660" w:hanging="328"/>
        <w:spacing w:after="0" w:line="259"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and our third-party suppliers’, contract manufacturers’, logistics providers’, and other business partners’ inability to manage our or their business effectively or operate worksites due to employees, including key employees, becoming ill and working from home inefficiently as a result of a remote or hybrid working arrangement;</w:t>
      </w:r>
    </w:p>
    <w:p>
      <w:pPr>
        <w:ind w:left="660" w:right="120" w:hanging="328"/>
        <w:spacing w:after="0" w:line="252"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temporary inventory shortages caused by difficulties in predicting demand for our products and services and longer lead-times and component shortages in the manufacturing of our Connected Fitness Products, due to import/export conditions such as port congestion, and local government orders; and</w:t>
      </w: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incurrence of significant increases to employee healthcare and benefits costs.</w:t>
      </w:r>
    </w:p>
    <w:p>
      <w:pPr>
        <w:spacing w:after="0" w:line="246"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In addition, while we experienced a significant increase in our Subscriber base at the onset of the COVID-19 pandemic, the rate of the increase has since slowed down and, over the longer term, it remains uncertain how the post-COVID-19 pandemic environment will impact consumer demand for our products and services and consumer preferences generally. It also remains uncertain how any resurgence of the COVID-19 pandemic would impact demand for our</w:t>
      </w:r>
    </w:p>
    <w:p>
      <w:pPr>
        <w:spacing w:after="0" w:line="2" w:lineRule="exact"/>
        <w:rPr>
          <w:sz w:val="20"/>
          <w:szCs w:val="20"/>
          <w:color w:val="auto"/>
        </w:rPr>
      </w:pPr>
    </w:p>
    <w:p>
      <w:pPr>
        <w:ind w:right="560"/>
        <w:spacing w:after="0" w:line="270" w:lineRule="auto"/>
        <w:rPr>
          <w:sz w:val="20"/>
          <w:szCs w:val="20"/>
          <w:color w:val="auto"/>
        </w:rPr>
      </w:pPr>
      <w:r>
        <w:rPr>
          <w:rFonts w:ascii="Arial" w:cs="Arial" w:eastAsia="Arial" w:hAnsi="Arial"/>
          <w:sz w:val="16"/>
          <w:szCs w:val="16"/>
          <w:color w:val="auto"/>
        </w:rPr>
        <w:t xml:space="preserve">products and services. See “— </w:t>
      </w:r>
      <w:r>
        <w:rPr>
          <w:rFonts w:ascii="Arial" w:cs="Arial" w:eastAsia="Arial" w:hAnsi="Arial"/>
          <w:sz w:val="16"/>
          <w:szCs w:val="16"/>
          <w:i w:val="1"/>
          <w:iCs w:val="1"/>
          <w:color w:val="auto"/>
        </w:rPr>
        <w:t>Our operating results have been, and could in the future be, adversely affected if we are unable to accurately forecast</w:t>
      </w:r>
      <w:r>
        <w:rPr>
          <w:rFonts w:ascii="Arial" w:cs="Arial" w:eastAsia="Arial" w:hAnsi="Arial"/>
          <w:sz w:val="16"/>
          <w:szCs w:val="16"/>
          <w:color w:val="auto"/>
        </w:rPr>
        <w:t xml:space="preserve"> </w:t>
      </w:r>
      <w:r>
        <w:rPr>
          <w:rFonts w:ascii="Arial" w:cs="Arial" w:eastAsia="Arial" w:hAnsi="Arial"/>
          <w:sz w:val="16"/>
          <w:szCs w:val="16"/>
          <w:i w:val="1"/>
          <w:iCs w:val="1"/>
          <w:color w:val="auto"/>
        </w:rPr>
        <w:t>consumer demand for our products and services and adequately manage our inventory</w:t>
      </w:r>
      <w:r>
        <w:rPr>
          <w:rFonts w:ascii="Arial" w:cs="Arial" w:eastAsia="Arial" w:hAnsi="Arial"/>
          <w:sz w:val="16"/>
          <w:szCs w:val="16"/>
          <w:color w:val="auto"/>
        </w:rPr>
        <w:t>.”</w:t>
      </w:r>
    </w:p>
    <w:p>
      <w:pPr>
        <w:sectPr>
          <w:pgSz w:w="11900" w:h="16838" w:orient="portrait"/>
          <w:cols w:equalWidth="0" w:num="1">
            <w:col w:w="11240"/>
          </w:cols>
          <w:pgMar w:left="320" w:top="613"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3" w:right="339" w:bottom="1440" w:gutter="0" w:footer="0" w:header="0"/>
          <w:type w:val="continuous"/>
        </w:sectPr>
      </w:pPr>
    </w:p>
    <w:bookmarkStart w:id="26" w:name="page27"/>
    <w:bookmarkEnd w:id="26"/>
    <w:p>
      <w:pPr>
        <w:ind w:right="140"/>
        <w:spacing w:after="0" w:line="294" w:lineRule="auto"/>
        <w:rPr>
          <w:sz w:val="20"/>
          <w:szCs w:val="20"/>
          <w:color w:val="auto"/>
        </w:rPr>
      </w:pPr>
      <w:r>
        <w:rPr>
          <w:rFonts w:ascii="Arial" w:cs="Arial" w:eastAsia="Arial" w:hAnsi="Arial"/>
          <w:sz w:val="16"/>
          <w:szCs w:val="16"/>
          <w:b w:val="1"/>
          <w:bCs w:val="1"/>
          <w:i w:val="1"/>
          <w:iCs w:val="1"/>
          <w:color w:val="auto"/>
        </w:rPr>
        <w:t>Stockholder activism could disrupt our business, cause us to incur significant expenses, hinder execution of our business strategy, and impact our stock price.</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been and may in the future be subject to stockholder activism, which can arise in a variety of predictable or unpredictable situations and can result in substantial costs and divert management’s and our board’s attention and resources from our business. Additionally, such stockholder activism could give rise to perceived uncertainties as to our long-term business, financial forecasts, future operations and strategic planning, harm our reputation, adversely affect our relationships with our Members and business partners, and make it more difficult to attract and retain qualified personnel. We may also be required to incur significant fees and other expenses related to activist matters, including for third-party advisors retained by us to assist in navigating activist situations. Our stock price could fluctuate due to trading activity associated with various announcements, developments, and share purchases over the course of an activist campaign or otherwise be adversely affected by the events, risks and uncertainties related to any such stockholder activism.</w:t>
      </w:r>
    </w:p>
    <w:p>
      <w:pPr>
        <w:spacing w:after="0" w:line="203"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Companies across all industries are facing increasing scrutiny related to their environmental, social and governance (“ESG”) practices and reporting. Increased regulation and increased scrutiny and changing expectations from investors, consumers, employees, and others regarding environmental, social and governance matters, practices and reporting could cause us to incur additional costs, devote additional resources and expose us to additional risks, which could adversely impact our reputation, customer attraction and retention, access to capital and employee recruitment and retention.</w:t>
      </w:r>
    </w:p>
    <w:p>
      <w:pPr>
        <w:spacing w:after="0" w:line="214"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b w:val="1"/>
          <w:bCs w:val="1"/>
          <w:i w:val="1"/>
          <w:iCs w:val="1"/>
          <w:color w:val="auto"/>
        </w:rPr>
        <w:t>Our ability to achieve our current or future ESG objectives, targets or goals, including our renewable energy procurement, carbon emissions reduction, and circular business model commitments, is subject to numerous risks, many of which are outside of our control. Examples of such risks include</w:t>
      </w:r>
      <w:r>
        <w:rPr>
          <w:rFonts w:ascii="Arial" w:cs="Arial" w:eastAsia="Arial" w:hAnsi="Arial"/>
          <w:sz w:val="16"/>
          <w:szCs w:val="16"/>
          <w:color w:val="auto"/>
        </w:rPr>
        <w:t>:</w:t>
      </w:r>
    </w:p>
    <w:p>
      <w:pPr>
        <w:spacing w:after="0" w:line="180"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availability and cost of low- or non-carbon-based energy sources;</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evolving regulatory requirements affecting ESG standards or disclosures;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availability of suppliers that can meet sustainability, diversity and other ESG standards that we may set;</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recruit, develop and retain diverse talent in our labor markets; and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success of our organic growth and acquisitions or dispositions of businesses or operations.</w:t>
      </w:r>
    </w:p>
    <w:p>
      <w:pPr>
        <w:spacing w:after="0" w:line="219"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All our ESG-related goals and targets are intentionally challenging, and are therefore subject to risks, uncertainties, third party information or action, and conditions, many of which are outside of our control. Progressing towards our targets and commitments requires us to invest significant effort, resources, and management time, and circumstances may arise, including those beyond our control, that may require us to revise our timelines or our commitments. All our ESG disclosures are also subject to certain assumptions, estimations, methodologies, and third-party information that we believed to be reasonable at the time, but which may subsequently be determined to be erroneous, insufficient, or otherwise misaligned with stakeholder expectations. Additionally, if we fail, or are perceived to be failing, to meet the standards included in any sustainability disclosure or the expectations of our various stakeholders, it could negatively impact our reputation, customer attraction and retention, access to capital and employee retention. Our failure to comply with any applicable sustainability rules or regulations or other criticisms of our sustainability disclosures could lead to penalties or claims and other litigation and adversely impact our reputation, customer attraction and retention, access to capital and employee retention.</w:t>
      </w: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Furthermore, there are efforts by some stakeholders to reduce or limit companies’ efforts on certain ESG related matters. Both advocates and opponents are increasingly resorting to a range of activism forms, including media campaigns and litigation, to advance their perspectives. To the extent we are subject to such activism, it may require us to incur costs or otherwise adversely impact our business. This and other stakeholder expectations will likely lead to increased compliance costs as well as scrutiny that could heighten all of the risks identified above and other similar risks.</w:t>
      </w:r>
    </w:p>
    <w:p>
      <w:pPr>
        <w:spacing w:after="0" w:line="197" w:lineRule="exact"/>
        <w:rPr>
          <w:sz w:val="20"/>
          <w:szCs w:val="20"/>
          <w:color w:val="auto"/>
        </w:rPr>
      </w:pPr>
    </w:p>
    <w:p>
      <w:pPr>
        <w:jc w:val="both"/>
        <w:ind w:right="840"/>
        <w:spacing w:after="0" w:line="279" w:lineRule="auto"/>
        <w:rPr>
          <w:sz w:val="20"/>
          <w:szCs w:val="20"/>
          <w:color w:val="auto"/>
        </w:rPr>
      </w:pPr>
      <w:r>
        <w:rPr>
          <w:rFonts w:ascii="Arial" w:cs="Arial" w:eastAsia="Arial" w:hAnsi="Arial"/>
          <w:sz w:val="16"/>
          <w:szCs w:val="16"/>
          <w:b w:val="1"/>
          <w:bCs w:val="1"/>
          <w:i w:val="1"/>
          <w:iCs w:val="1"/>
          <w:color w:val="auto"/>
        </w:rPr>
        <w:t>Our business is subject to the risk of earthquakes, fire, power outages, floods, hurricanes, public health crises, ransomware and other cybersecurity attacks, labor disputes, and other catastrophic events, and to interruption by man-made problems such as terrorism and international geopolitical conflicts.</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business is vulnerable to damage or interruption from climate-related risk in the form of extreme weather events, earthquakes, fires, floods, hurricanes, and other power losses, telecommunications failures, ransomware and other cybersecurity attacks, labor disputes, terrorist attacks, acts of war and international geopolitical conflicts, human errors, break-ins, industrial accidents, public health crises, and other unforeseen events or events that we cannot control. The third-party providers, systems and operations and contract manufacturers we rely on are subject to similar risks. Our insurance policies may not cover losses from these events or may provide insufficient compensation that does not cover our total losses. For example, a significant natural disaster, such as an earthquake, fire, or flood, could have an adverse effect on our business, financial condition and operating results, and our insurance coverage may be insufficient to compensate us for losses that may occur. Acts of terrorism, which may be targeted at metropolitan areas that have higher population density than rural areas, could also cause disruptions to our or our suppliers’ and contract manufacturers’ businesses or the economy as a whole. We may not have sufficient protection or recovery plans in some circumstances, such as natural disasters affecting locations that store significant inventory of our products, which house our servers, or from which we generate content. As we rely heavily on our computer and communications systems, and the internet to conduct our business and provide high-quality customer service, these disruptions, including disruptions due to weather-related events that could stress the power grid, could negatively impact our ability to run our business and either directly or indirectly disrupt suppliers’ and our contract manufacturers’ businesses, which could have an adverse effect on our business, financial condition, and operating results.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Connected Fitness Products and Members</w:t>
      </w:r>
    </w:p>
    <w:p>
      <w:pPr>
        <w:spacing w:after="0" w:line="264"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b w:val="1"/>
          <w:bCs w:val="1"/>
          <w:i w:val="1"/>
          <w:iCs w:val="1"/>
          <w:color w:val="auto"/>
        </w:rPr>
        <w:t>Our products and services may be affected from time to time by design and manufacturing defects or product safety issues, real or perceived, that could adversely affect our business and result in harm to our reputation.</w:t>
      </w:r>
    </w:p>
    <w:p>
      <w:pPr>
        <w:sectPr>
          <w:pgSz w:w="11900" w:h="16838" w:orient="portrait"/>
          <w:cols w:equalWidth="0" w:num="1">
            <w:col w:w="11220"/>
          </w:cols>
          <w:pgMar w:left="320" w:top="613" w:right="35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3" w:right="359" w:bottom="1440" w:gutter="0" w:footer="0" w:header="0"/>
          <w:type w:val="continuous"/>
        </w:sectPr>
      </w:pPr>
    </w:p>
    <w:bookmarkStart w:id="27" w:name="page28"/>
    <w:bookmarkEnd w:id="27"/>
    <w:p>
      <w:pPr>
        <w:ind w:right="40"/>
        <w:spacing w:after="0" w:line="259" w:lineRule="auto"/>
        <w:rPr>
          <w:sz w:val="20"/>
          <w:szCs w:val="20"/>
          <w:color w:val="auto"/>
        </w:rPr>
      </w:pPr>
      <w:r>
        <w:rPr>
          <w:rFonts w:ascii="Arial" w:cs="Arial" w:eastAsia="Arial" w:hAnsi="Arial"/>
          <w:sz w:val="16"/>
          <w:szCs w:val="16"/>
          <w:color w:val="auto"/>
        </w:rPr>
        <w:t>We offer complex hardware and software products and services that may be alleged, and have been alleged, to be affected by design and manufacturing defects or potential product safety issues. Sophisticated operating system software and applications, such as those offered by us, often have issues that can unexpectedly interfere with the intended operation of hardware or software products. Defects may also exist in components and products that we source from third parties, or may arise from upgrades or changes to hardware that we or our third-party manufacturing partners may make in the ordinary course of a product’s lifecycle. Actual or perceived defects may not be identified until after a product is in market. Any defects could impact our customer experience, tarnish our brand reputation or make our products and services unsafe and create a risk of environmental or property damage and/or personal injury. Our products have been, and may in the future be, subject to product liability and product recall.</w:t>
      </w:r>
    </w:p>
    <w:p>
      <w:pPr>
        <w:spacing w:after="0" w:line="217"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have been and may in the future be exposed to product-related liabilities, which in some instances have resulted in and may result in product redesigns, product recalls, or other corrective action. For example, in May 2021 we initiated a voluntary recall of our Tread+ product in coordination with the U.S. Consumer Product Safety Commission (“CPSC”) in response to reports of injuries associated with our Tread+ and in May 2023, in collaboration with the CPSC, we announced a voluntary recall of the original Peloton model Bikes (not Bike+) seat posts sold in the U.S. from January 2018 to May 2023. As a result, we are now and may in the future be involved in class action litigation. We may also in the future be involved in product recalls for which we generally have not purchased insurance, and may be involved in other litigation or events for which insurance products may have limitations.</w:t>
      </w:r>
    </w:p>
    <w:p>
      <w:pPr>
        <w:spacing w:after="0" w:line="203"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 xml:space="preserve">We are presently subject to class action litigation, private personal injury claims and other regulatory proceedings, government inquiries and investigations related to the Tread+ and Bike recalls and other matters that, regardless of their merits, could harm our reputation, divert management’s attention from our operations, and result in substantial legal fees, judgments, fines, penalties, and other costs. Given that such proceedings are subject to uncertainty, there can be no assurance that such legal and regulatory proceedings, either individually or in the aggregate, will not have a material adverse effect on our stock price, business, results of operations, financial condition or cash flows. Furthermore, the occurrence of real or perceived defects in any of our products, now or in the future, could result in additional negative publicity, regulatory investigations, recalls, or lawsuits filed against us, particularly if Members or others who use or purchase our Connected Fitness Products are injured. Even if injuries are not the result of any defects, if they are perceived to be, we may incur expenses to defend or settle any claims or government inquiries and our brand and reputation may be harmed. See </w:t>
      </w:r>
      <w:r>
        <w:rPr>
          <w:rFonts w:ascii="Arial" w:cs="Arial" w:eastAsia="Arial" w:hAnsi="Arial"/>
          <w:sz w:val="16"/>
          <w:szCs w:val="16"/>
          <w:i w:val="1"/>
          <w:iCs w:val="1"/>
          <w:color w:val="auto"/>
        </w:rPr>
        <w:t>Note 13 - 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in the Notes to our Consolidated Financial Statements in Part II, Item 8 of this Annual Report on Form 10-K and the section titled “</w:t>
      </w:r>
      <w:r>
        <w:rPr>
          <w:rFonts w:ascii="Arial" w:cs="Arial" w:eastAsia="Arial" w:hAnsi="Arial"/>
          <w:sz w:val="16"/>
          <w:szCs w:val="16"/>
          <w:i w:val="1"/>
          <w:iCs w:val="1"/>
          <w:color w:val="auto"/>
        </w:rPr>
        <w:t>Legal Proceedings</w:t>
      </w:r>
      <w:r>
        <w:rPr>
          <w:rFonts w:ascii="Arial" w:cs="Arial" w:eastAsia="Arial" w:hAnsi="Arial"/>
          <w:sz w:val="16"/>
          <w:szCs w:val="16"/>
          <w:color w:val="auto"/>
        </w:rPr>
        <w:t>” in Part I, Item 3 of this Annual Report on Form 10-K.</w:t>
      </w:r>
    </w:p>
    <w:p>
      <w:pPr>
        <w:spacing w:after="0" w:line="20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addition, from time to time, we may experience outages, service slowdowns, hardware issues, or software errors that affect our ability to deliver our fitness and wellness programming through our Connected Fitness platform. As a result, our services may not perform as anticipated and may not meet our expectations, or legal or regulatory requirements, or the expectations of our Members. There can be no assurance that we will be able to timely detect and fix all issues and defects in the hardware, software, and services we offer. Failure to do so could result in widespread technical and performance issues affecting our products and services and could lead to claims or investigations against us.</w:t>
      </w:r>
    </w:p>
    <w:p>
      <w:pPr>
        <w:spacing w:after="0" w:line="19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Design and manufacturing defects, real or perceived, and claims or investigations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or potential liability, maintain our general liability insurance on acceptable terms, or maintain adequate coverage against potential claims, our financial results could be adversely impacted. 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spacing w:after="0" w:line="219"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b w:val="1"/>
          <w:bCs w:val="1"/>
          <w:i w:val="1"/>
          <w:iCs w:val="1"/>
          <w:color w:val="auto"/>
        </w:rPr>
        <w:t>Our Members use their Connected Fitness Products, subscriptions, and fitness accessories to track and record their workouts. If our products fail to provide accurate metrics and data to our Members, our brand and reputation could be harmed, and we may be unable to retain our Members.</w:t>
      </w:r>
    </w:p>
    <w:p>
      <w:pPr>
        <w:spacing w:after="0" w:line="20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Members use their Connected Fitness Products, subscriptions, and fitness accessories, such as our heart rate monitor, to track and record certain metrics and data related to their workouts. Examples of data tracked on our platform include heart rate, calories burned, distance traveled and Strive Score as well as cadence, resistance, and output in the case of Bike; pace, speed, elevation, and output in the case of Tread; Movement Tracker in the case of Guide; and stroke rate, pace, and output in the case of Row. Taken together, these metrics assist our Members in tracking their fitness journey and understanding the effectiveness of their Peloton workouts, both during and after a workout. We anticipate introducing new metrics and features in the future. If the software used in our Connected Fitness Products or on our platform malfunctions and fails to accurately track, display, or record Member workouts and metrics, it could negatively impact our Members’ experience, and we could face claims alleging that our products and services do not operate as advertised. Such reports and claims could result in negative publicity, product liability and/or product safety claims, and, in some cases, may require us to expend time and resources to refute such claims and defend against potential litigation. If our products and services fail to provide accurate metrics and data to our Members, or if there are reports or claims of inaccurate metrics and data or claims of inaccuracy regarding the overall health benefits of our products and services in the future, our Members’ experience may be negatively impacted, we may become the subject of negative publicity, litigation, regulatory proceedings, and warranty claims, and our brand, operating results, and business could be harmed.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offer high-quality Member support, our business and reputation will suffer.</w:t>
      </w:r>
    </w:p>
    <w:p>
      <w:pPr>
        <w:spacing w:after="0" w:line="24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Providing a high-quality Member experience is vital to our success in generating word-of-mouth referrals to drive sales and for retaining existing Members. We have faced, and in the future may face, challenges to our ability to provide high-quality Member support. Additionally, our use of, and expansion of, other distribution channels and our increasing reliance on third-party Member support, third-party partners for in-home delivery and set up services, and Member self-assembly of certain of our Connected Fitness Products may challenge our ability to control Members’</w:t>
      </w:r>
    </w:p>
    <w:p>
      <w:pPr>
        <w:sectPr>
          <w:pgSz w:w="11900" w:h="16838" w:orient="portrait"/>
          <w:cols w:equalWidth="0" w:num="1">
            <w:col w:w="11240"/>
          </w:cols>
          <w:pgMar w:left="320" w:top="611"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8" w:name="page29"/>
    <w:bookmarkEnd w:id="28"/>
    <w:p>
      <w:pPr>
        <w:ind w:right="400"/>
        <w:spacing w:after="0" w:line="286" w:lineRule="auto"/>
        <w:rPr>
          <w:sz w:val="20"/>
          <w:szCs w:val="20"/>
          <w:color w:val="auto"/>
        </w:rPr>
      </w:pPr>
      <w:r>
        <w:rPr>
          <w:rFonts w:ascii="Arial" w:cs="Arial" w:eastAsia="Arial" w:hAnsi="Arial"/>
          <w:sz w:val="16"/>
          <w:szCs w:val="16"/>
          <w:color w:val="auto"/>
        </w:rPr>
        <w:t>experience of such services. If we or our third-party partners do not help our Members quickly resolve issues and provide effective ongoing support, our reputation may suffer, and our ability to retain and attract Members, or to sell additional products and services to existing Members, could be harmed.</w:t>
      </w:r>
    </w:p>
    <w:p>
      <w:pPr>
        <w:spacing w:after="0" w:line="19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i w:val="1"/>
          <w:iCs w:val="1"/>
          <w:color w:val="auto"/>
        </w:rPr>
        <w:t>We may be subject to warranty claims that could result in significant direct or indirect costs, or we could experience greater product returns than expected, either of which could have an adverse effect on our business, financial condition, and operating results.</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generally provide a minimum 12-month limited warranty on all of our Connected Fitness Products. In addition, we permit returns of our Bikes or Treads by first-time purchasers for a full refund within 30 days of delivery. The occurrence of any defects, real or perceived, in our Connected Fitness Products could result in an increase in returns or make us liable for damages and warranty claims in excess of our current reserves, which could result in an adverse effect on our business prospects, liquidity, financial condition, and cash flows if returns or warranty claims were to materially exceed anticipated levels. We have experienced and may in the future experience higher product returns during periods where there are actual or perceived defects in our products or services or if there are changes in home fitness demand.</w:t>
      </w:r>
    </w:p>
    <w:p>
      <w:pPr>
        <w:spacing w:after="0" w:line="20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addition, we have been, and in the future could be, subject to costs related to product recalls, and we could incur significant costs to correct any defects, warranty claims, or other problems. Any negative publicity related to the perceived quality and safety of our products could affect 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 For example, in connection with our May 2021 Tread+ recall, we are presently, and may in the future be, subject to warranty claims and lawsuits related to injuries sustained by Members or their friends and family members, or others who use or purchase the Tread+ and other Connected Fitness Products that, regardless of their merits, could harm our reputation, divert management’s attention from our operations and result in substantial legal</w:t>
      </w:r>
    </w:p>
    <w:p>
      <w:pPr>
        <w:spacing w:after="0" w:line="2"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 xml:space="preserve">fees and other costs. See “ — </w:t>
      </w:r>
      <w:r>
        <w:rPr>
          <w:rFonts w:ascii="Arial" w:cs="Arial" w:eastAsia="Arial" w:hAnsi="Arial"/>
          <w:sz w:val="16"/>
          <w:szCs w:val="16"/>
          <w:i w:val="1"/>
          <w:iCs w:val="1"/>
          <w:color w:val="auto"/>
        </w:rPr>
        <w:t>Our products and services may be affected from time to time by design and manufacturing defects or product safety issues,</w:t>
      </w:r>
      <w:r>
        <w:rPr>
          <w:rFonts w:ascii="Arial" w:cs="Arial" w:eastAsia="Arial" w:hAnsi="Arial"/>
          <w:sz w:val="16"/>
          <w:szCs w:val="16"/>
          <w:color w:val="auto"/>
        </w:rPr>
        <w:t xml:space="preserve"> </w:t>
      </w:r>
      <w:r>
        <w:rPr>
          <w:rFonts w:ascii="Arial" w:cs="Arial" w:eastAsia="Arial" w:hAnsi="Arial"/>
          <w:sz w:val="16"/>
          <w:szCs w:val="16"/>
          <w:i w:val="1"/>
          <w:iCs w:val="1"/>
          <w:color w:val="auto"/>
        </w:rPr>
        <w:t>real or perceived, that could adversely affect our business and result in harm to our reputation</w:t>
      </w:r>
      <w:r>
        <w:rPr>
          <w:rFonts w:ascii="Arial" w:cs="Arial" w:eastAsia="Arial" w:hAnsi="Arial"/>
          <w:sz w:val="16"/>
          <w:szCs w:val="16"/>
          <w:color w:val="auto"/>
        </w:rPr>
        <w:t>.”</w:t>
      </w:r>
    </w:p>
    <w:p>
      <w:pPr>
        <w:spacing w:after="0" w:line="195"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In addition to warranties supplied by us, we also offer the option for customers to purchase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vary from country to country. Changes in interpretation of the insurance regulations or other laws and regulations concerning extended warranties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spacing w:after="0" w:line="200" w:lineRule="exact"/>
        <w:rPr>
          <w:sz w:val="20"/>
          <w:szCs w:val="20"/>
          <w:color w:val="auto"/>
        </w:rPr>
      </w:pPr>
    </w:p>
    <w:p>
      <w:pPr>
        <w:spacing w:after="0" w:line="203"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are subject to requirements under the Dodd-Frank Wall Street Reform and Consumer Protection Act of 2010, requiring us to conduct due diligence on and disclose whether or not certain conflict minerals originating from certain countries as well as geographic regions are necessary for the manufacture or functionality of our products. The implementation of these requirements could adversely affect the sourcing, availability, and pricing of the materials used in the manufacture of components used in our products. In addition, we incur additional costs to comply with the potential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any of our products contain minerals not determined to be free of conflict minerals or if we are unable to alter our products, processes, or sources of supply to avoid such materials.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Laws, Regulation, and Legal Proceedings</w:t>
      </w:r>
    </w:p>
    <w:p>
      <w:pPr>
        <w:spacing w:after="0" w:line="250"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b w:val="1"/>
          <w:bCs w:val="1"/>
          <w:i w:val="1"/>
          <w:iCs w:val="1"/>
          <w:color w:val="auto"/>
        </w:rPr>
        <w:t>From time to time, we may be subject to legal proceedings, government inquiries or investigations, or disputes that could cause us to incur significant expenses, divert our management’s attention, and materially harm our business, financial condition, and operating results.</w:t>
      </w:r>
    </w:p>
    <w:p>
      <w:pPr>
        <w:spacing w:after="0" w:line="15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have been, and in the future may be, subject to claims, lawsuits, government inquiries or investigations, demands, disputes, and other proceedings involving product safety, product liability, competition and antitrust, intellectual property, privacy, consumer protection, securities, tax, labor and employment, commercial disputes, and other matters that could adversely affect our business operations and financial condition. As we have evolved, we continue to see a number of these disputes and inquiries. Injuries sustained or damages claimed by Members or their friends and family members, or others who use or purchase our Connected Fitness Products, have subjected us to, and could in the future subject us to, regulatory proceedings, government inquiries, investigations and actions, or private litigation that, regardless of their merits, could harm our reputation, divert management’s attention from our operations, and result in substantial legal fees and other costs. Additionally, we have in the past been subject to intense media scrutiny, which exposes us to increasing regulation, government investigations, legal actions and penalties. For example, we are presently subject to litigation and disputes related to injury or damage claims by Members and others who used or purchased Connected Fitness Products. Product recalls may give rise to regulatory investigations,</w:t>
      </w:r>
    </w:p>
    <w:p>
      <w:pPr>
        <w:spacing w:after="0" w:line="1" w:lineRule="exact"/>
        <w:rPr>
          <w:sz w:val="20"/>
          <w:szCs w:val="20"/>
          <w:color w:val="auto"/>
        </w:rPr>
      </w:pPr>
    </w:p>
    <w:p>
      <w:pPr>
        <w:ind w:right="300"/>
        <w:spacing w:after="0" w:line="270" w:lineRule="auto"/>
        <w:rPr>
          <w:sz w:val="20"/>
          <w:szCs w:val="20"/>
          <w:color w:val="auto"/>
        </w:rPr>
      </w:pPr>
      <w:r>
        <w:rPr>
          <w:rFonts w:ascii="Arial" w:cs="Arial" w:eastAsia="Arial" w:hAnsi="Arial"/>
          <w:sz w:val="16"/>
          <w:szCs w:val="16"/>
          <w:color w:val="auto"/>
        </w:rPr>
        <w:t xml:space="preserve">enforcement matters, private litigation, and potential monetary penalties. See “ — </w:t>
      </w:r>
      <w:r>
        <w:rPr>
          <w:rFonts w:ascii="Arial" w:cs="Arial" w:eastAsia="Arial" w:hAnsi="Arial"/>
          <w:sz w:val="16"/>
          <w:szCs w:val="16"/>
          <w:i w:val="1"/>
          <w:iCs w:val="1"/>
          <w:color w:val="auto"/>
        </w:rPr>
        <w:t>Our products and services may be affected from time to time by design</w:t>
      </w:r>
      <w:r>
        <w:rPr>
          <w:rFonts w:ascii="Arial" w:cs="Arial" w:eastAsia="Arial" w:hAnsi="Arial"/>
          <w:sz w:val="16"/>
          <w:szCs w:val="16"/>
          <w:color w:val="auto"/>
        </w:rPr>
        <w:t xml:space="preserve"> </w:t>
      </w:r>
      <w:r>
        <w:rPr>
          <w:rFonts w:ascii="Arial" w:cs="Arial" w:eastAsia="Arial" w:hAnsi="Arial"/>
          <w:sz w:val="16"/>
          <w:szCs w:val="16"/>
          <w:i w:val="1"/>
          <w:iCs w:val="1"/>
          <w:color w:val="auto"/>
        </w:rPr>
        <w:t>and manufacturing defects or product safety issues, real or perceived, that could adversely affect our business and result in harm to our reputation</w:t>
      </w:r>
      <w:r>
        <w:rPr>
          <w:rFonts w:ascii="Arial" w:cs="Arial" w:eastAsia="Arial" w:hAnsi="Arial"/>
          <w:sz w:val="16"/>
          <w:szCs w:val="16"/>
          <w:color w:val="auto"/>
        </w:rPr>
        <w:t>.”</w:t>
      </w:r>
    </w:p>
    <w:p>
      <w:pPr>
        <w:spacing w:after="0" w:line="200" w:lineRule="exact"/>
        <w:rPr>
          <w:sz w:val="20"/>
          <w:szCs w:val="20"/>
          <w:color w:val="auto"/>
        </w:rPr>
      </w:pPr>
    </w:p>
    <w:p>
      <w:pPr>
        <w:spacing w:after="0" w:line="251"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Additionally, from time to time, we may be, and currently are, subject to inquiries from regulators in which they seek information about us or our practices. Such further inquiries could result in more formal investigations or proceedings, which could adversely impact our business, financial condition, and operating results.</w:t>
      </w:r>
    </w:p>
    <w:p>
      <w:pPr>
        <w:sectPr>
          <w:pgSz w:w="11900" w:h="16838" w:orient="portrait"/>
          <w:cols w:equalWidth="0" w:num="1">
            <w:col w:w="11240"/>
          </w:cols>
          <w:pgMar w:left="320" w:top="611"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9" w:name="page30"/>
    <w:bookmarkEnd w:id="29"/>
    <w:p>
      <w:pPr>
        <w:ind w:right="80"/>
        <w:spacing w:after="0" w:line="257" w:lineRule="auto"/>
        <w:rPr>
          <w:sz w:val="20"/>
          <w:szCs w:val="20"/>
          <w:color w:val="auto"/>
        </w:rPr>
      </w:pPr>
      <w:r>
        <w:rPr>
          <w:rFonts w:ascii="Arial" w:cs="Arial" w:eastAsia="Arial" w:hAnsi="Arial"/>
          <w:sz w:val="16"/>
          <w:szCs w:val="16"/>
          <w:color w:val="auto"/>
        </w:rPr>
        <w:t xml:space="preserve">Litigation, government inquiries or investigations, regulatory proceedings, as well as personal injury or class action claims and lawsuits, and securities, commercial, consumer and intellectual property infringement matters that we are currently facing or could face, can be protracted and expensive, and have results that are difficult to predict. Determining reserves for pending litigation and other legal and regulatory matters requires significant judgment, and there can be no assurance that our expectations or estimates will prove correct. Certain of these matters include speculative claims for substantial or indeterminate amounts of damages and include claims for injunctive or equitable relief. Additionally, our legal costs for any of these matters, either alone or in the aggregate could be significant. Adverse outcomes with respect to any of these legal, government, or regulatory proceedings may result in significant settlement costs or judgments, penalties and fines, or require us to modify our products or services, make content unavailable, or to stop offering certain products, components, or features, all of which could negatively affect our membership and revenue growth. Even if these proceedings are resolved in our favor, the time and resources necessary to resolve them, or public scrutiny related to them, could divert the resources of our management and require significant expenditures. See </w:t>
      </w:r>
      <w:r>
        <w:rPr>
          <w:rFonts w:ascii="Arial" w:cs="Arial" w:eastAsia="Arial" w:hAnsi="Arial"/>
          <w:sz w:val="16"/>
          <w:szCs w:val="16"/>
          <w:i w:val="1"/>
          <w:iCs w:val="1"/>
          <w:color w:val="auto"/>
        </w:rPr>
        <w:t>Note 13</w:t>
      </w:r>
      <w:r>
        <w:rPr>
          <w:rFonts w:ascii="Arial" w:cs="Arial" w:eastAsia="Arial" w:hAnsi="Arial"/>
          <w:sz w:val="16"/>
          <w:szCs w:val="16"/>
          <w:color w:val="auto"/>
        </w:rPr>
        <w:t xml:space="preserve"> - Commitments and Contingencies in the Notes to our Consolidated Financial Statements in Part II, Item 8 of this Annual Report on Form 10-K and the section titled “</w:t>
      </w:r>
      <w:r>
        <w:rPr>
          <w:rFonts w:ascii="Arial" w:cs="Arial" w:eastAsia="Arial" w:hAnsi="Arial"/>
          <w:sz w:val="16"/>
          <w:szCs w:val="16"/>
          <w:i w:val="1"/>
          <w:iCs w:val="1"/>
          <w:color w:val="auto"/>
        </w:rPr>
        <w:t>Legal Proceedings</w:t>
      </w:r>
      <w:r>
        <w:rPr>
          <w:rFonts w:ascii="Arial" w:cs="Arial" w:eastAsia="Arial" w:hAnsi="Arial"/>
          <w:sz w:val="16"/>
          <w:szCs w:val="16"/>
          <w:color w:val="auto"/>
        </w:rPr>
        <w:t>” in Part I, Item 3 of this Annual Report on Form 10-K.</w:t>
      </w:r>
    </w:p>
    <w:p>
      <w:pPr>
        <w:spacing w:after="0" w:line="211"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We collect, store, process, and use personal data and other Member data, which subjects us to legal obligations and laws and regulations related to security and privacy, and any actual or perceived failure to meet those obligations could harm our business.</w:t>
      </w:r>
    </w:p>
    <w:p>
      <w:pPr>
        <w:spacing w:after="0" w:line="15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collect, process, store, and use a wide variety of data from current and prospective Members, including personal data (some of which is considered sensitive data under applicable laws), such geolocation data. U.S. federal, state, and international laws and regulations governing privacy, data protection, and e-commerce transactions impose obligations on what we can do with our Members’ personal data. These obligations include heightened transparency about data collection, use and sharing practices, new data privacy rights, and rules in respect to cross-border data transfers, which carry significant enforcement penalties for non-compliance. Compliance with existing, proposed and recently enacted laws and regulations can be costly and time consuming, and any failure to comply with these regulatory standards could subject us to legal, operational and reputational risks. These laws and regulations also require us to safeguard our Members’ personal data. Although we have established security measures, policies and procedures designed to protect Member information, our third-party service providers’ security and testing measures may not prevent security breaches. Further, advances in computer capabilities, artificial intelligence and machine learning, new discoveries in the field of cryptography, inadequate facility security, or other developments may result in a compromise or breach of the technology we use to protect Member data. Any compromise of our security or breach of our Members’ privacy could harm our reputation or financial condition and, therefore, our business.</w:t>
      </w:r>
    </w:p>
    <w:p>
      <w:pPr>
        <w:spacing w:after="0" w:line="209"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addition, a party who circumvents our security measures or exploits inadequacies in our security measures, could, among other effects, misappropriate Member data or other proprietary information, cause interruptions in our operations, or expose Members to computer viruses or other disruptions. Actual or perceived vulnerabilities may lead to claims against 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Member data, we may also have obligations to notify Members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and there can be no assurances that we will be successful in our efforts to comply with these obligations. Complying with these obligations could cause us to incur substantial costs and could increase negative publicity surrounding any incident that compromises Member data.</w:t>
      </w:r>
    </w:p>
    <w:p>
      <w:pPr>
        <w:spacing w:after="0" w:line="22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Furthermore, we may legally be required to disclose personal data pursuant to demands from individuals, privacy advocates, regulators, government agencies, and law enforcement agencies in various jurisdictions with conflicting privacy and security laws. This disclosure of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new laws or regulations, or changes to or re-interpretations of the laws and regulations that govern our collection, use, and disclosure of Member data could impose additional requirements with respect to the retention and security of Member data, could limit our marketing activities, and could have an adverse effect on our business, financial condition, and operating results.</w:t>
      </w:r>
    </w:p>
    <w:p>
      <w:pPr>
        <w:spacing w:after="0" w:line="203"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Violations of applicable privacy laws or cybersecurity incidents could impact our business in a number of ways, such as a temporary suspension of some or all of our operating and/or information systems, damage our reputation, our relationships with customers, suppliers, vendors, and service providers and the Peloton brand and could result in lost data, lost sales, increased insurance premiums, substantial breach-notification and other remediation costs and lawsuits, as well as adversely affect results of operations. In addition, we may also face regulatory investigations with corresponding fines, civil claims including representative actions, and other class action type litigation (where individuals have suffered harm), potentially amounting to significant compensation or damages liabilities (including under laws such as in California that provide statutory damage remedies for certain types of breaches), as well as associated costs, diversion of internal resources, and reputational harm.</w:t>
      </w:r>
    </w:p>
    <w:p>
      <w:pPr>
        <w:spacing w:after="0" w:line="201"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We may also incur additional costs in the future related to the implementation of additional security measures to protect against new or enhanced data security and privacy threats, to comply with state, federal, and international laws that may be enacted to address personal data processing risks and data security threats, or to investigate or address potential or actual data security or privacy breaches.</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30" w:name="page31"/>
    <w:bookmarkEnd w:id="30"/>
    <w:p>
      <w:pPr>
        <w:ind w:right="440"/>
        <w:spacing w:after="0" w:line="279" w:lineRule="auto"/>
        <w:rPr>
          <w:sz w:val="20"/>
          <w:szCs w:val="20"/>
          <w:color w:val="auto"/>
        </w:rPr>
      </w:pPr>
      <w:r>
        <w:rPr>
          <w:rFonts w:ascii="Arial" w:cs="Arial" w:eastAsia="Arial" w:hAnsi="Arial"/>
          <w:sz w:val="16"/>
          <w:szCs w:val="16"/>
          <w:b w:val="1"/>
          <w:bCs w:val="1"/>
          <w:i w:val="1"/>
          <w:iCs w:val="1"/>
          <w:color w:val="auto"/>
        </w:rPr>
        <w:t>We are subject to global trade related laws and regulations for the export and import of goods, articles, materials and technology, as well as forced labor and economic sanctions regulations that could subject us to liability, detention of goods, and impair our ability to compete in international markets.</w:t>
      </w:r>
    </w:p>
    <w:p>
      <w:pPr>
        <w:spacing w:after="0" w:line="180"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United States and various foreign governments have imposed controls, export license requirements, duties, and restrictions on the import or export of certain goods and technologies. Our products may be subject to U.S. export controls and compliance with applicable regulatory requirements regarding the export of our products, technology and services may create delays in the introduction of our products and services in international markets, prevent our international Members from accessing our products and services, and, in some cases, prevent the export of our products, technology and services to some countries altogether.</w:t>
      </w:r>
    </w:p>
    <w:p>
      <w:pPr>
        <w:spacing w:after="0" w:line="19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Furthermore, U.S. export control laws and economic sanctions regulations prohibit the provision of products, technology and services to certain countries, regions, governments, and persons subject to U.S. and other applicable sanctions regulations. Even though we take precautions to prevent our products and technology from being provided to targets of applicable sanctions regulations, our products and services, including our firmware updates, could be provided to those targets. Our failure to comply with these laws and regulations could have negative consequences, including government investigations, penalties, reputational harm and could harm our international and domestic sales and adversely affect our revenue.</w:t>
      </w:r>
    </w:p>
    <w:p>
      <w:pPr>
        <w:spacing w:after="0" w:line="19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Numerous laws prohibit the importation of goods made with forced labor or compulsory prison labor, including for example the Tariff Act of 1930, as well as the Uyghur Forced Labor Prevention Act (“UFLPA”), and other global laws against forced labor. The UFLPA prohibits the importation of articles, merchandise, apparel, and goods mined, produced, or manufactured wholly or in part in the Xinjiang Uyghur Autonomous Region (Xinjiang) of the People’s Republic of China (PRC), or by entities identified by the U.S. government on the UFLPA Entity List. Forced labor concerns have rapidly become a global area of interest, and is a topic that will likely be subject to new regulations in the markets in which we operate. If we fail to comply with these laws and regulations, the Company may be subject to detention, seizure, and exclusion of imports, as well as penalties, costs, and restrictions on export and import privileges that could have an adverse effect on our business, financial condition, and operating results.</w:t>
      </w:r>
    </w:p>
    <w:p>
      <w:pPr>
        <w:spacing w:after="0" w:line="219"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8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operate a global business and may have direct or indirect interactions with public officials and employees of government agencies or state-owned or affiliated entities. We are subject to the FCPA, the U.S. domestic bribery statute contained in 18 U.S.C. § 201, Honest Services Wire Fraud, 18 U.S.C. § 1346, the U.S. Travel Act, the USA PATRIOT Act, the U.K. Bribery Act, and possibly other anti-bribery and anti-money laundering laws in countries in which we conduct activities. These laws prohibit companies and their employees and third-party representatives from corruptly promising, authorizing, offering, or providing, directly or indirectly, improper payments or anything of value to foreign public officials, political parties, and private-sector recipients for the purpose of obtaining or retaining business, directing business to any person, or securing any advantage. In addition, U.S. public companies are required to maintain books and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Governmental enforcement authorities could seek to impose substantial civil and/or criminal fines and penalties for violations of these laws by any director, officer, employee, or third-party representative, which could have a material adverse effect on our business, reputation, operating results and financial condition.</w:t>
      </w:r>
    </w:p>
    <w:p>
      <w:pPr>
        <w:spacing w:after="0" w:line="20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have implemented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spacing w:after="0" w:line="19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Any violation of the FCPA, other applicable anti-corruption laws, or anti-money laundering laws could result in whistleblower complaints, adverse media coverage, investigations, loss of export privileges, substantial criminal or civil sanctions and suspension or debarment from U.S. government contracts, any of which could have a material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21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operating results.</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Recent or future changes to U.S., U.K. and other foreign tax laws could impact the tax treatment of our earnings. For example, the U.S. government may enact significant changes to the taxation of business entities including, among others, the imposition of minimum taxes or surtaxes on certain types of income.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changes in such laws and rules may require the modification of our international structure in the future, which will incur costs, may increase our worldwide effective tax rate, and may adversely affect our financial position and operating results. In addition, significant judgment is required in evaluating our tax positions and determining our provision for income taxes.</w:t>
      </w:r>
    </w:p>
    <w:p>
      <w:pPr>
        <w:sectPr>
          <w:pgSz w:w="11900" w:h="16838" w:orient="portrait"/>
          <w:cols w:equalWidth="0" w:num="1">
            <w:col w:w="11220"/>
          </w:cols>
          <w:pgMar w:left="320" w:top="6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3" w:right="359" w:bottom="1440" w:gutter="0" w:footer="0" w:header="0"/>
          <w:type w:val="continuous"/>
        </w:sectPr>
      </w:pPr>
    </w:p>
    <w:bookmarkStart w:id="31" w:name="page32"/>
    <w:bookmarkEnd w:id="31"/>
    <w:p>
      <w:pPr>
        <w:ind w:right="60"/>
        <w:spacing w:after="0" w:line="259" w:lineRule="auto"/>
        <w:rPr>
          <w:sz w:val="20"/>
          <w:szCs w:val="20"/>
          <w:color w:val="auto"/>
        </w:rPr>
      </w:pPr>
      <w:r>
        <w:rPr>
          <w:rFonts w:ascii="Arial" w:cs="Arial" w:eastAsia="Arial" w:hAnsi="Arial"/>
          <w:sz w:val="16"/>
          <w:szCs w:val="16"/>
          <w:color w:val="auto"/>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spacing w:after="0" w:line="21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If U.S., U.K., or other jurisdictions’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 The Organisation for Economic Co-operation and Development (OECD) is continuing to work on fundamental changes in the allocation of profits among tax jurisdictions in which companies do business (Pillar One), as well as the implementation of a global minimum tax (Pillar Two). Global minimum tax legislation has been proposed and/or enacted in various jurisdictions. These two pillars combined represent a significant change in the international tax regime, and there is risk of an adverse impact to our effective tax rate, but the amount of such impact remains uncertain at this time.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to offset future taxable income may be subject to certain limitations.</w:t>
      </w:r>
    </w:p>
    <w:p>
      <w:pPr>
        <w:spacing w:after="0" w:line="26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As of June 30, 2024, we had U.S. federal net operating loss carryforwards, or NOLs, and state NOLs of approximately $3,313.8 million and $2,590.8 million, respectively, due to prior period losses, which if not utilized, will begin to expire for federal and state tax purposes beginning in 2034 and 2024, respectively. Realization of these NOLs depends on future income, and there is a risk that our existing NOLs could expire unused and be unavailable to offset future income tax liabilities, which could adversely affect our operating results.</w:t>
      </w:r>
    </w:p>
    <w:p>
      <w:pPr>
        <w:spacing w:after="0" w:line="200"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general, under Section 382 of the Internal Revenue Code of 1986, as amended, or the Code, a corporation that undergoes an “ownership change” is subject to limitations on its ability to utilize its NOLs to offset future taxable income. We have undergone three ownership changes in the past, and our NOLs arising before those dates are subject to one or more Section 382 limitations which may materially limit the use of such NOLs to offset our future taxable income. Our NOLs may also be impaired under state laws. In addition, under the 2017 Tax Cuts and Jobs Act, or Tax Act, tax losses generated in taxable years beginning after December 31, 2017 may be utilized to offset no more than 80% of taxable income annually. This change may require us to pay federal income taxes in future years despite generating a loss for federal income tax purposes. On March 27, 2020, the Coronavirus Aid, Relief, and Economic Security, or CARES Act, was signed into law. The CARES Act changes certain provisions of the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For these reasons, we may not be able to realize a tax benefit from the use of our NOLs, whether or not we attain profitability.</w:t>
      </w:r>
    </w:p>
    <w:p>
      <w:pPr>
        <w:spacing w:after="0" w:line="222"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In addition, future changes in our stock ownership, the causes of which may be outside of our control, could result in an additional ownership change under Section 382 of the Code. There is also a risk that, due to regulatory changes, such as further limitations or suspensions on the use of NOLs, or other unforeseen reasons, our existing NOLs could expire or otherwise be unavailable to offset future income tax liabilities. Our NOLs may also be limited under state laws. For these reasons, we may not be able to realize a tax benefit from the use of our NOLs, whether or not we attain profitability.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Intellectual Property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intellectual property rights are valuable, and any inability to protect them could reduce the value of our products, services, and brand.</w:t>
      </w:r>
    </w:p>
    <w:p>
      <w:pPr>
        <w:spacing w:after="0" w:line="24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success depends in large part on our proprietary technology and our patents, trade secrets, trademarks, copyrights and other intellectual property rights. We rely on, and expect to continue to rely on, a combination of trademark, trade dress, domain name, copyright, trade secret and patent protection, as well as confidentiality and license agreements with our employees, contractors, consultants, and third parties with whom we have relationships, to establish and protect our technology, brand, and other intellectual property. However, our efforts to protect our intellectual property rights may not be sufficient or effective, especially as incidents of infringement on the Peloton brand increase,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infringe on our rights or are substantially similar to ours and that compete with our business.</w:t>
      </w:r>
    </w:p>
    <w:p>
      <w:pPr>
        <w:spacing w:after="0" w:line="400"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Effective protection of intellectual property, including but not limited to patents, trademarks, copyrights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ectPr>
          <w:pgSz w:w="11900" w:h="16838" w:orient="portrait"/>
          <w:cols w:equalWidth="0" w:num="1">
            <w:col w:w="11220"/>
          </w:cols>
          <w:pgMar w:left="320" w:top="611" w:right="35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type w:val="continuous"/>
        </w:sectPr>
      </w:pPr>
    </w:p>
    <w:bookmarkStart w:id="32" w:name="page33"/>
    <w:bookmarkEnd w:id="32"/>
    <w:p>
      <w:pPr>
        <w:ind w:right="240"/>
        <w:spacing w:after="0" w:line="261" w:lineRule="auto"/>
        <w:rPr>
          <w:sz w:val="20"/>
          <w:szCs w:val="20"/>
          <w:color w:val="auto"/>
        </w:rPr>
      </w:pPr>
      <w:r>
        <w:rPr>
          <w:rFonts w:ascii="Arial" w:cs="Arial" w:eastAsia="Arial" w:hAnsi="Arial"/>
          <w:sz w:val="16"/>
          <w:szCs w:val="16"/>
          <w:color w:val="auto"/>
        </w:rPr>
        <w:t>We spend significant resources to monitor and protect our brand and other intellectual property rights. Litigation brought to protect and enforce our intellectual property rights can be costly, time-consuming, and distracting to management and could result in the impairment or loss of portions of our intellectual property. Furthermore, our efforts to enforce our intellectual property rights may be limited if we shift our strategy or we may be met with defenses, counterclaims, and countersuits attacking the validity and enforceability of our intellectual property rights. Accordingly, we may not be able to prevent third parties from infringing upon or misappropriating our intellectual property. Our inability to secure, protect, and enforce our intellectual property rights could seriously damage our brand and our business.</w:t>
      </w:r>
    </w:p>
    <w:p>
      <w:pPr>
        <w:spacing w:after="0" w:line="205"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b w:val="1"/>
          <w:bCs w:val="1"/>
          <w:i w:val="1"/>
          <w:iCs w:val="1"/>
          <w:color w:val="auto"/>
        </w:rPr>
        <w:t>We have been, and in the future may be, sued by third parties for alleged infringement of their intellectual property rights, including by music rights holders.</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There is considerable patent and other intellectual property development activity in our market. Litigation, based on allegations of infringement or other violations of intellectual property rights, is frequent in the fitness and technology industries. Furthermore, it is common for individuals and groups to purchase patents and other intellectual property assets for the purpose of making claims of infringement to extract licenses and/or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For additional information, see </w:t>
      </w:r>
      <w:r>
        <w:rPr>
          <w:rFonts w:ascii="Arial" w:cs="Arial" w:eastAsia="Arial" w:hAnsi="Arial"/>
          <w:sz w:val="16"/>
          <w:szCs w:val="16"/>
          <w:i w:val="1"/>
          <w:iCs w:val="1"/>
          <w:color w:val="auto"/>
        </w:rPr>
        <w:t>Note 13 - Commitments and Contingencies</w:t>
      </w:r>
      <w:r>
        <w:rPr>
          <w:rFonts w:ascii="Arial" w:cs="Arial" w:eastAsia="Arial" w:hAnsi="Arial"/>
          <w:sz w:val="16"/>
          <w:szCs w:val="16"/>
          <w:color w:val="auto"/>
        </w:rPr>
        <w:t xml:space="preserve"> in the Notes to our Consolidated Financial Statements in Part II, Item 8 of this Annual Report on Form 10-K. Any claims or litigation could cause us to incur significant expenses and, if successfully asserted against us, could require that we pay substantial damages or royalty payments, prevent us from offering our platform or services or using certain technologies, force us to implement expensive work-arounds, or impose other unfavorable terms. We expect that the occurrence of infringement claims is likely to grow as the market for fitness products and services grows and as we introduce new and updated products and offerings. Further, we cannot compel patent or trademark rights holders to license their rights to us, and our business may be adversely impacted if our access to technology is limited. Accordingly, our exposure to demands for royalty licenses or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avoid or to resolve them, could divert the resources of our management and require significant expenditures. See “</w:t>
      </w:r>
      <w:r>
        <w:rPr>
          <w:rFonts w:ascii="Arial" w:cs="Arial" w:eastAsia="Arial" w:hAnsi="Arial"/>
          <w:sz w:val="16"/>
          <w:szCs w:val="16"/>
          <w:i w:val="1"/>
          <w:iCs w:val="1"/>
          <w:color w:val="auto"/>
        </w:rPr>
        <w:t>Risks Related to</w:t>
      </w:r>
      <w:r>
        <w:rPr>
          <w:rFonts w:ascii="Arial" w:cs="Arial" w:eastAsia="Arial" w:hAnsi="Arial"/>
          <w:sz w:val="16"/>
          <w:szCs w:val="16"/>
          <w:color w:val="auto"/>
        </w:rPr>
        <w:t xml:space="preserve"> </w:t>
      </w:r>
      <w:r>
        <w:rPr>
          <w:rFonts w:ascii="Arial" w:cs="Arial" w:eastAsia="Arial" w:hAnsi="Arial"/>
          <w:sz w:val="16"/>
          <w:szCs w:val="16"/>
          <w:i w:val="1"/>
          <w:iCs w:val="1"/>
          <w:color w:val="auto"/>
        </w:rPr>
        <w:t>Laws, Regulation, and Legal Proceedings</w:t>
      </w:r>
      <w:r>
        <w:rPr>
          <w:rFonts w:ascii="Arial" w:cs="Arial" w:eastAsia="Arial" w:hAnsi="Arial"/>
          <w:sz w:val="16"/>
          <w:szCs w:val="16"/>
          <w:color w:val="auto"/>
        </w:rPr>
        <w:t>.” Any of the foregoing could prevent us from competing effectively and could have an adverse effect on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financial condition, and operating results.</w:t>
      </w:r>
    </w:p>
    <w:p>
      <w:pPr>
        <w:spacing w:after="0" w:line="22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cannot compel music rights holders to license their rights to us, and our business may be adversely affected if our access to music is limited. The concentration of control of content by major music licensors means that the actions of one or a few licensors may adversely affect our ability to provide our service.</w:t>
      </w:r>
    </w:p>
    <w:p>
      <w:pPr>
        <w:spacing w:after="0" w:line="212" w:lineRule="exact"/>
        <w:rPr>
          <w:sz w:val="20"/>
          <w:szCs w:val="20"/>
          <w:color w:val="auto"/>
        </w:rPr>
      </w:pPr>
    </w:p>
    <w:p>
      <w:pPr>
        <w:jc w:val="both"/>
        <w:ind w:right="380"/>
        <w:spacing w:after="0" w:line="275" w:lineRule="auto"/>
        <w:rPr>
          <w:sz w:val="20"/>
          <w:szCs w:val="20"/>
          <w:color w:val="auto"/>
        </w:rPr>
      </w:pPr>
      <w:r>
        <w:rPr>
          <w:rFonts w:ascii="Arial" w:cs="Arial" w:eastAsia="Arial" w:hAnsi="Arial"/>
          <w:sz w:val="16"/>
          <w:szCs w:val="16"/>
          <w:color w:val="auto"/>
        </w:rPr>
        <w:t>We enter into license agreements to obtain rights to use music in our service, including with major record companies, independent record labels, major music publishers, and independent music publishers and administrators who collectively hold the rights to a significant number of sound recordings and musical compositions.</w:t>
      </w:r>
    </w:p>
    <w:p>
      <w:pPr>
        <w:spacing w:after="0" w:line="19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Comprehensive and accurate ownership information for the musical compositions embodied in sound recordings is sometimes unavailable because songwriters' catalogs are frequently bought and sold between rights holders, meaning ownership and share information can change at any time without notification and it may take a while for the appropriate parties to be notified. In some cases, we obtain ownership information directly from music publishers, PROs, collecting societies, or record labels and in other cases we rely on the assistance of third parties to determine ownership information.</w:t>
      </w:r>
    </w:p>
    <w:p>
      <w:pPr>
        <w:spacing w:after="0" w:line="200"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If the information provided to us or obtained by such third parties does not comprehensively or accurately identify the ownership of musical compositions, if we are unable to determine which musical compositions correspond to specific sound recordings, or if the same party does not own administer, control or own all rights on a worldwide basis, it may become difficult or impossible to identify the appropriate rights holders to whom to pay royalties. This may make it difficult to comply with the obligations of agreements with those rights holders or to secure the appropriate licenses with all necessary parties.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Our license agreements are complex and impose numerous obligations on us, including obligations to, among other things:</w:t>
      </w:r>
    </w:p>
    <w:p>
      <w:pPr>
        <w:spacing w:after="0" w:line="248" w:lineRule="exact"/>
        <w:rPr>
          <w:sz w:val="20"/>
          <w:szCs w:val="20"/>
          <w:color w:val="auto"/>
        </w:rPr>
      </w:pPr>
    </w:p>
    <w:p>
      <w:pPr>
        <w:ind w:left="660" w:right="120" w:hanging="328"/>
        <w:spacing w:after="0" w:line="265"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calculate and make payments based on complex royalty structures, which requires tracking usage of content in our service that may at times have inaccurate or incomplete metadata necessary for such calculation;</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periodic reports on the exploitation of the content in specified formats; and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comply with certain marketing and advertising restrictions.</w:t>
      </w:r>
    </w:p>
    <w:p>
      <w:pPr>
        <w:spacing w:after="0" w:line="23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If certain of our license agreements contain minimum guarantees or advance payments, which could be tied to our number of Subscribers or stream counts for music used in our service, our ability to achieve and sustain profitability and operating leverage could depend in part on our ability to increase our revenue through increased sales of subscriptions on terms that maintain an adequate gross margin. Our license agreements typically have terms of between one and three years, but our Subscribers may cancel their subscriptions at any time. We rely on estimates to forecast whether minimum guarantees and/or advances against royalties could be recouped against our actual content costs incurred over the term of the license agreement. To the extent that our estimates underperform relative to our expectations, and our content costs do not exceed such minimum guarantees and/or advance payments, our margins may be adversely affected.</w:t>
      </w:r>
    </w:p>
    <w:p>
      <w:pPr>
        <w:spacing w:after="0" w:line="2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w:t>
      </w:r>
    </w:p>
    <w:p>
      <w:pPr>
        <w:sectPr>
          <w:pgSz w:w="11900" w:h="16838" w:orient="portrait"/>
          <w:cols w:equalWidth="0" w:num="1">
            <w:col w:w="11220"/>
          </w:cols>
          <w:pgMar w:left="320" w:top="611" w:right="359" w:bottom="1440" w:gutter="0" w:footer="0" w:header="0"/>
        </w:sect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type w:val="continuous"/>
        </w:sectPr>
      </w:pPr>
    </w:p>
    <w:bookmarkStart w:id="33" w:name="page34"/>
    <w:bookmarkEnd w:id="33"/>
    <w:p>
      <w:pPr>
        <w:ind w:right="460"/>
        <w:spacing w:after="0" w:line="265" w:lineRule="auto"/>
        <w:rPr>
          <w:sz w:val="20"/>
          <w:szCs w:val="20"/>
          <w:color w:val="auto"/>
        </w:rPr>
      </w:pPr>
      <w:r>
        <w:rPr>
          <w:rFonts w:ascii="Arial" w:cs="Arial" w:eastAsia="Arial" w:hAnsi="Arial"/>
          <w:sz w:val="16"/>
          <w:szCs w:val="16"/>
          <w:color w:val="auto"/>
        </w:rPr>
        <w:t>entered into on more favorable terms, these most-favored nations provisions could cause our payment or other obligations to escalate substantially. Additionally, some of our license agreements could require consent to undertake new business initiatives utilizing the licensed content (e.g., alternative distribution models), and without such consent, our ability to undertake new business initiatives may be limited and our competitive position could be impacted.</w:t>
      </w:r>
    </w:p>
    <w:p>
      <w:pPr>
        <w:spacing w:after="0" w:line="21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If we use content in ways that are found to exceed the scope of such agreements, we could be subject to monetary penalties or claims of infringement, and our rights under such agreements could be terminated.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 of unforeseen costs and potential liability in connection with content we produce, license, and distribute.</w:t>
      </w:r>
    </w:p>
    <w:p>
      <w:pPr>
        <w:spacing w:after="0" w:line="260"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As a producer and distributor of content, we face potential liability for negligence, intellectual property infringement, or other claims based on the nature and content of materials that we produce, license, and distribute, both on our platform as well as third-party platforms. We also may face potential liability for content used in promoting our service, including marketing materials. We may decide to remove content from our service or third-party platforms, not to place certain content on our service or third-party platforms, or to discontinue or alter our production of certain types of content if we believe such content might not be well received by our Members or could be damaging to our brand and business.</w:t>
      </w:r>
    </w:p>
    <w:p>
      <w:pPr>
        <w:spacing w:after="0" w:line="21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business. We may not be indemnified against claims or costs of these types and we may not have insurance coverage for these types of claims.</w:t>
      </w:r>
    </w:p>
    <w:p>
      <w:pPr>
        <w:spacing w:after="0" w:line="202"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b w:val="1"/>
          <w:bCs w:val="1"/>
          <w:i w:val="1"/>
          <w:iCs w:val="1"/>
          <w:color w:val="auto"/>
        </w:rPr>
        <w:t>Some of our products and services contain open source software, which may pose particular risks to our proprietary software, technologies, products, and services in a manner that could harm our business.</w:t>
      </w:r>
    </w:p>
    <w:p>
      <w:pPr>
        <w:spacing w:after="0" w:line="15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open source code included in such software product or any derivative works of the open source code on unfavorable terms or at no cost.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This re-engineering process could require us to expend significant additional research and development resources, and we cannot guarantee that we will be successful.</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Service Providers and Our Employees</w:t>
      </w:r>
    </w:p>
    <w:p>
      <w:pPr>
        <w:spacing w:after="0" w:line="250"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b w:val="1"/>
          <w:bCs w:val="1"/>
          <w:i w:val="1"/>
          <w:iCs w:val="1"/>
          <w:color w:val="auto"/>
        </w:rPr>
        <w:t>We rely heavily on third parties for most of our computing, storage, processing, and similar services, and have increased our reliance on certain third parties, such as last mile and Member support partners. Any disruption of or interference with our use of these third-party services could have an adverse effect on our business, financial condition, and operating results.</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have outsourced our cloud infrastructure to third-party providers, and we currently use these providers to host and stream our services and content. We are therefore vulnerable to service interruptions experienced by these providers, and we expect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and global pandemics, fraud, or security attacks. In addition, hosting costs will increase as membership engagement grows, which could harm our business if we are unable to grow our revenue faster than the cost of using these services or the services of similar providers.</w:t>
      </w:r>
    </w:p>
    <w:p>
      <w:pPr>
        <w:spacing w:after="0" w:line="203"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Additionally, we rely on last mile partners for the delivery and installation of our products and have increased our reliance on third-party Member support partners. The level or quality of service provided by these providers and partners, or regular or prolonged delays or interruptions in that service, could also affect the use of, and our Members’ satisfaction with, our products and services and could harm our business and reputation.</w:t>
      </w:r>
    </w:p>
    <w:p>
      <w:pPr>
        <w:spacing w:after="0" w:line="19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Furthermore, some providers, such as shipping vendors,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w:t>
      </w:r>
    </w:p>
    <w:p>
      <w:pPr>
        <w:sectPr>
          <w:pgSz w:w="11900" w:h="16838" w:orient="portrait"/>
          <w:cols w:equalWidth="0" w:num="1">
            <w:col w:w="11240"/>
          </w:cols>
          <w:pgMar w:left="320" w:top="611"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34" w:name="page35"/>
    <w:bookmarkEnd w:id="34"/>
    <w:p>
      <w:pPr>
        <w:ind w:right="120"/>
        <w:spacing w:after="0" w:line="275" w:lineRule="auto"/>
        <w:rPr>
          <w:sz w:val="20"/>
          <w:szCs w:val="20"/>
          <w:color w:val="auto"/>
        </w:rPr>
      </w:pPr>
      <w:r>
        <w:rPr>
          <w:rFonts w:ascii="Arial" w:cs="Arial" w:eastAsia="Arial" w:hAnsi="Arial"/>
          <w:sz w:val="16"/>
          <w:szCs w:val="16"/>
          <w:color w:val="auto"/>
        </w:rPr>
        <w:t>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spacing w:after="0" w:line="191"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Any of these factors could further reduce our revenue, subject us to liability, and cause our Subscribers to decline to renew their subscriptions, any of which could have an adverse effect on our business, financial condition, and operating results.</w:t>
      </w:r>
    </w:p>
    <w:p>
      <w:pPr>
        <w:spacing w:after="0" w:line="168"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 portion of such claims, the litigation may be time consuming, divert management’s attention, and, if our provider failed to indemnify us, adversely impact our operating results.</w:t>
      </w:r>
    </w:p>
    <w:p>
      <w:pPr>
        <w:spacing w:after="0" w:line="193"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b w:val="1"/>
          <w:bCs w:val="1"/>
          <w:i w:val="1"/>
          <w:iCs w:val="1"/>
          <w:color w:val="auto"/>
        </w:rPr>
        <w:t>Our future success depends on the continuing efforts of our key employees and our ability to attract and retain highly skilled personnel and senior management.</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future success depends, in part, on our ability to continue to identify, attract, develop, integrate, and retain qualified and highly skilled personnel, including senior management, engineers, producers, designers, product managers, logistics and supply chain personnel, retail managers, and fitness instructors. In particular, we are highly dependent on the services of our senior management team to the development of our business, future vision, and strategic direction. If members of our senior management team, including our executive leadership, become ill, or if we are otherwise unable to retain them, we may not be able to manage our business effectively and, as a result, our business and operating results could be harmed. If the senior management team, including any new hires that we make, fails to work together effectively and to execute our plans and strategies on a timely basis then our business and future growth prospects could be harmed.</w:t>
      </w:r>
    </w:p>
    <w:p>
      <w:pPr>
        <w:spacing w:after="0" w:line="217"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Because our future success is dependent on our ability to continue to enhance and introduce new products and services, we are particularly dependent on our ability to hire and retain qualified and skilled engineers, including with significant experience in designing and developing software and internet-related services, and with background in the areas of artificial intelligence and machine learning.</w:t>
      </w:r>
    </w:p>
    <w:p>
      <w:pPr>
        <w:spacing w:after="0" w:line="21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Also imperative to our success are our fitness instructors, who we rely on to bring new, exciting, and innovative fitness and wellness content to our platform, and who act as brand ambassadors. There can be no assurance that our instructors will remain with us or retain their current appeal, that the costs associated with retaining current instructors and hiring new instructors will be favorable or acceptable to us, or that new instructors will be as successful as their predecessors. The loss of key personnel, including key instructors, could make it more difficult to manage our brand, operations and research and development activities, could reduce our employee retention and revenue, and impair our ability to compete. We do not maintain key person life insurance policies on any of our employees.</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Demand and competition for highly skilled personnel, including those with specific expertise, is often intense, especially in New York City, where we have a substantial presence and need for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and we may lose new employees to our competitors before we realize the benefit of our investment in recruiting and training them. In addition, we issue equity awards to certain of our employees as part of our hiring and retention efforts, and job candidates and existing employees often consider the value of the equity awards they receive in connection with their employment. Our employees’ inability to sell their shares in the public market at times and/or at prices desired may lead to a larger than normal turnover rate. If the actual or perceived value of our Class A common stock declines, it may adversely affect our ability to hire or retain employees. In addition, we may periodically change our equity compensation practices, which may include reducing the number of employees eligible for equity awards or reducing the size of equity awards granted per employee or undertaking other efforts that may prove to be unsuccessful retention mechanisms. If we are unable to attract, integrate, or retain the qualified and highly skilled personnel required to fulfill our current or future needs, our business and future growth prospects could be harmed.</w:t>
      </w:r>
    </w:p>
    <w:p>
      <w:pPr>
        <w:spacing w:after="0" w:line="20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instructors and many of our employees (where appropriate) are subject to certain restrictive covenants, including post-employment non-compete agreements. The enforceability of non-compete agreements is currently subject to Federal Trade Commission regulations that have been challenged in legal proceedings. Moreover, actual and proposed state and local laws may limit the ability of employers to deploy and/or enforce certain non-compete agreements. As such, the Company’s ability to protect legitimate interests through the deployment and/or enforcement of non-compete agreements may be limited.</w:t>
      </w:r>
    </w:p>
    <w:p>
      <w:pPr>
        <w:spacing w:after="0" w:line="39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If we cannot maintain our “One Peloton” culture, we could lose the innovation, teamwork, and passion that we believe contribute to our success and our business may be harmed.</w:t>
      </w:r>
    </w:p>
    <w:p>
      <w:pPr>
        <w:spacing w:after="0" w:line="15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believe that a critical component of our success has been our corporate culture. We have invested substantial time and resources in building our “One Peloton” culture, which is based on the idea that if we work together, we will be more efficient and perform better because of one another. As we continue to evolve, we will need to maintain our “One Peloton” culture among our employees dispersed across various geographic regions We have faced, and may continue to face, challenges arising from the management of certain remote, geographically dispersed teams. Our response to the changing work environment has included a number of employee-focused office policies, which are aimed at increasing productivity and employee morale and which have increased our costs. As we continue to develop our infrastructure, and particularly in light of reductions in headcount, including as part of our restructuring initiatives, we may find it difficult to maintain valuable aspects of our culture, to prevent a negative effect on employee morale or attrition beyond our planned reduction in headcount, and to attract competent personnel who are willing to embrace our culture. Any failure to preserve our culture could negatively affect our future success, including our ability to retain and recruit personnel and to effectively focus on and pursue our corporate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the Ownership of Our Class A Common Stock</w:t>
      </w:r>
    </w:p>
    <w:p>
      <w:pPr>
        <w:sectPr>
          <w:pgSz w:w="11900" w:h="16838" w:orient="portrait"/>
          <w:cols w:equalWidth="0" w:num="1">
            <w:col w:w="11200"/>
          </w:cols>
          <w:pgMar w:left="320" w:top="611" w:right="379" w:bottom="1440" w:gutter="0" w:footer="0" w:header="0"/>
        </w:sect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The stock price of our Class A common stock has been, and will likely continue to be, volatile and you could lose all or part of your investment.</w:t>
      </w:r>
    </w:p>
    <w:p>
      <w:pPr>
        <w:spacing w:after="0" w:line="233"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 market price of our Class A common stock has been, and will likely continue to be, volatile, including an increase during the COVID-19 pandemic and a decrease as the public returned to pre-pandemic routines and other factors. In addition, the trading prices of securities of technology companies in general have been highly volatile.</w:t>
      </w:r>
    </w:p>
    <w:p>
      <w:pPr>
        <w:spacing w:after="0" w:line="21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 addition to the factors discussed in this Annual Report on Form 10-K, the market price of our Class A common stock has fluctuated and may in the future fluctuate significantly in response to numerous factors, some of which are beyond our control, including:</w:t>
      </w:r>
    </w:p>
    <w:p>
      <w:pPr>
        <w:spacing w:after="0" w:line="183" w:lineRule="exact"/>
        <w:rPr>
          <w:sz w:val="20"/>
          <w:szCs w:val="20"/>
          <w:color w:val="auto"/>
        </w:rPr>
      </w:pPr>
    </w:p>
    <w:p>
      <w:pPr>
        <w:ind w:left="660" w:right="60" w:hanging="328"/>
        <w:spacing w:after="0" w:line="26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execute and realize the benefits of strategic plans, such as the restructuring initiatives we announced in February 2022 and May 2024, including our ability to achieve targeted cost savings;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overall performance of the equity markets and the performance of technology companies in particular;</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variations in our operating results, cash flows, and other financial and non-financial metrics;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the financial projections we may provide to the public or our failure to meet these projections;</w:t>
      </w:r>
    </w:p>
    <w:p>
      <w:pPr>
        <w:spacing w:after="0" w:line="5" w:lineRule="exact"/>
        <w:rPr>
          <w:rFonts w:ascii="Arial" w:cs="Arial" w:eastAsia="Arial" w:hAnsi="Arial"/>
          <w:sz w:val="16"/>
          <w:szCs w:val="16"/>
          <w:color w:val="auto"/>
        </w:rPr>
      </w:pPr>
    </w:p>
    <w:p>
      <w:pPr>
        <w:ind w:left="660" w:right="740" w:hanging="328"/>
        <w:spacing w:after="0" w:line="25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financial estimates by any securities analysts who follow our company, or our failure to meet expectations of analysts or investors;</w:t>
      </w:r>
    </w:p>
    <w:p>
      <w:pPr>
        <w:ind w:left="660" w:right="340" w:hanging="328"/>
        <w:spacing w:after="0" w:line="25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recruitment, satisfaction or departure of key personnel, including the departure of our former CEO, the temporary appointment of our interim co-CEOs, and the need to timely identify and integrate a new CEO within our organization;</w:t>
      </w: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general economic conditions;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past or future investments, acquisitions or dispositions;</w:t>
      </w:r>
    </w:p>
    <w:p>
      <w:pPr>
        <w:spacing w:after="0" w:line="14" w:lineRule="exact"/>
        <w:rPr>
          <w:rFonts w:ascii="Arial" w:cs="Arial" w:eastAsia="Arial" w:hAnsi="Arial"/>
          <w:sz w:val="16"/>
          <w:szCs w:val="16"/>
          <w:color w:val="auto"/>
        </w:rPr>
      </w:pPr>
    </w:p>
    <w:p>
      <w:pPr>
        <w:ind w:left="660" w:right="180" w:hanging="328"/>
        <w:spacing w:after="0" w:line="25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negative publicity related to problems with our suppliers or partners, or the real or perceived quality of our products, as well as the failure to timely launch new products or services that gain market acceptance;</w:t>
      </w: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actions and investment positions taken by institutional investors and other stockholders, including activist investors or short sellers;</w:t>
      </w:r>
    </w:p>
    <w:p>
      <w:pPr>
        <w:spacing w:after="0" w:line="5" w:lineRule="exact"/>
        <w:rPr>
          <w:rFonts w:ascii="Arial" w:cs="Arial" w:eastAsia="Arial" w:hAnsi="Arial"/>
          <w:sz w:val="16"/>
          <w:szCs w:val="16"/>
          <w:color w:val="auto"/>
        </w:rPr>
      </w:pPr>
    </w:p>
    <w:p>
      <w:pPr>
        <w:ind w:left="660" w:right="320" w:hanging="328"/>
        <w:spacing w:after="0" w:line="25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announcements by us or our competitors of new products, pricing, services, features and content, significant technical innovations, acquisitions, dispositions, strategic partnerships, joint ventures, or capital commitments;</w:t>
      </w: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lawsuits threatened or filed against us, litigation involving our industry, or both;</w:t>
      </w:r>
    </w:p>
    <w:p>
      <w:pPr>
        <w:spacing w:after="0" w:line="8" w:lineRule="exact"/>
        <w:rPr>
          <w:rFonts w:ascii="Arial" w:cs="Arial" w:eastAsia="Arial" w:hAnsi="Arial"/>
          <w:sz w:val="16"/>
          <w:szCs w:val="16"/>
          <w:color w:val="auto"/>
        </w:rPr>
      </w:pPr>
    </w:p>
    <w:p>
      <w:pPr>
        <w:ind w:left="660" w:right="640" w:hanging="328"/>
        <w:spacing w:after="0" w:line="252"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regulatory action involving us, our industry, or both, or investigations by regulators and other third parties into our operations or those of our competitors;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developments or disputes concerning our or other parties’ products, services, or intellectual property rights;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significant security breaches, technical difficulties and interruptions of service affecting our services and products;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or responses to these events; and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sales of shares of our Class A common stock by us or our stockholders.</w:t>
      </w:r>
    </w:p>
    <w:p>
      <w:pPr>
        <w:spacing w:after="0" w:line="236"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 xml:space="preserve">In addition, the stock markets have experienced extreme price and volume fluctuations that have affected and continue to affect the market prices of equity securities of many companies in a manner unrelated or disproportionate to the operating performance of those companies. In the past, stockholders have instituted securities class action litigation following periods of market volatility. The Company has been named in three putative securities class action lawsuits, and ten putative stockholder derivative actions. These lawsuits and any other securities or stockholder litigation actions could subject us to substantial costs, divert resources and the attention of management from our business, and adversely affect our business. See </w:t>
      </w:r>
      <w:r>
        <w:rPr>
          <w:rFonts w:ascii="Arial" w:cs="Arial" w:eastAsia="Arial" w:hAnsi="Arial"/>
          <w:sz w:val="16"/>
          <w:szCs w:val="16"/>
          <w:i w:val="1"/>
          <w:iCs w:val="1"/>
          <w:color w:val="auto"/>
        </w:rPr>
        <w:t>“Risks Related to Laws,</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 and Legal Proceedings</w:t>
      </w:r>
      <w:r>
        <w:rPr>
          <w:rFonts w:ascii="Arial" w:cs="Arial" w:eastAsia="Arial" w:hAnsi="Arial"/>
          <w:sz w:val="16"/>
          <w:szCs w:val="16"/>
          <w:color w:val="auto"/>
        </w:rPr>
        <w:t>.”</w:t>
      </w:r>
    </w:p>
    <w:p>
      <w:pPr>
        <w:spacing w:after="0" w:line="21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Sales of a substantial amount of our Class A common stock in the public markets, or the perception that such sales might occur, could cause the price of our Class A common stock to decline.</w:t>
      </w:r>
    </w:p>
    <w:p>
      <w:pPr>
        <w:spacing w:after="0" w:line="16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market price of our Class A common stock could decline as a result of sales of a substantial number of shares of our Class A common stock in the public market in the near future, or the perception that these sales might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There were a total of 376,261,713 shares of our Class A common stock and Class B common stock outstanding as of June 30, 2024. All shares of our Class A common stock and Class B common stock are freely tradable, except for certain limitations, including with respect to holding periods, on any shares purchased by our “affiliates” as defined in Rule 144 under the Securities Act of 1933, as amended, or the Securities Act.</w:t>
      </w:r>
    </w:p>
    <w:p>
      <w:pPr>
        <w:spacing w:after="0" w:line="19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Further,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Sales of our shares pursuant to registration rights may make it more difficult for us to sell equity securities in the future at a time and at a price that we deem appropriate. These sales could also cause the trading price of our Class A common stock to fall and make it more difficult for you to sell shares of our Class A common stock.</w:t>
      </w:r>
    </w:p>
    <w:p>
      <w:pPr>
        <w:spacing w:after="0" w:line="19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In addition, as of June 30, 2024, we had 55,811,463 shares of Class A common stock underlying restricted stock units that were awarded but not yet vested, and stock options outstanding that, if fully exercised, would result in the issuance of 11,082,849 shares of Class B common stock and 17,818,640 shares of Class A common stock. Subject to the satisfaction of applicable vesting requirements, and limitations applicable to shares held by our affiliates, the vested restricted stock and shares issued upon exercise of outstanding stock options will be available for immediate resale in the open market.</w:t>
      </w:r>
    </w:p>
    <w:p>
      <w:pPr>
        <w:sectPr>
          <w:pgSz w:w="11900" w:h="16838" w:orient="portrait"/>
          <w:cols w:equalWidth="0" w:num="1">
            <w:col w:w="11240"/>
          </w:cols>
          <w:pgMar w:left="320" w:top="856"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type w:val="continuous"/>
        </w:sectPr>
      </w:pPr>
    </w:p>
    <w:bookmarkStart w:id="36" w:name="page37"/>
    <w:bookmarkEnd w:id="36"/>
    <w:p>
      <w:pPr>
        <w:ind w:right="300"/>
        <w:spacing w:after="0" w:line="279" w:lineRule="auto"/>
        <w:rPr>
          <w:sz w:val="20"/>
          <w:szCs w:val="20"/>
          <w:color w:val="auto"/>
        </w:rPr>
      </w:pPr>
      <w:r>
        <w:rPr>
          <w:rFonts w:ascii="Arial" w:cs="Arial" w:eastAsia="Arial" w:hAnsi="Arial"/>
          <w:sz w:val="16"/>
          <w:szCs w:val="16"/>
          <w:b w:val="1"/>
          <w:bCs w:val="1"/>
          <w:i w:val="1"/>
          <w:iCs w:val="1"/>
          <w:color w:val="auto"/>
        </w:rPr>
        <w:t>The dual class structure of our common stock has the effect of concentrating voting control with our directors, executive officers, and certain other holders of our Class B common stock; this will limit or preclude your ability to influence corporate matters, including the election of directors and the approval of any change of control transaction.</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Class B common stock has 20 votes per share and our Class A common stock has one vote per share. Because of the twenty-to-one voting ratio between our Class B and Class A common stock, the holders of our Class B common stock collectively control a majority of the combined voting power of our common stock and therefore are able to control most matters submitted to our stockholders for approval until the earlier of (i) the date specified by a vote of the holders of 66 2/3% of the then outstanding shares of Class B common stock, (ii) ten years from the closing of the IPO, and (iii) the date the shares of Class B common stock cease to represent at least 1% of all outstanding shares of our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20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permitted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dual class structure of our common stock may adversely affect the trading market for our Class A common stock.</w:t>
      </w:r>
    </w:p>
    <w:p>
      <w:pPr>
        <w:spacing w:after="0" w:line="260"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Several stockholder advisory firms and large institutional investors oppose the use of multiple class structures. As a result, the dual class structure of our common stock may cause stockholder advisory firms to publish negative commentary about our corporate governance practices or otherwise seek to cause us to change our capital structure, and may result in large institutional investors not purchasing shares of our Class A common stock and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24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Additionally, our ability to pay dividends on our common stock is limited by the restrictions under the terms of our credit agreement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01"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15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Provisions in our restated certificate of incorporation and second amended and restated bylaws may have the effect of delaying or preventing a merger, acquisition or other change of control of our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second amended and restated bylaws include provisions that:</w:t>
      </w:r>
    </w:p>
    <w:p>
      <w:pPr>
        <w:spacing w:after="0" w:line="199"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that our Board of Directors is classified into three classes of directors with staggered three-year terms;</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 created directorships;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restated certificate of incorporation and restated bylaws;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5" w:lineRule="exact"/>
        <w:rPr>
          <w:rFonts w:ascii="Arial" w:cs="Arial" w:eastAsia="Arial" w:hAnsi="Arial"/>
          <w:sz w:val="16"/>
          <w:szCs w:val="16"/>
          <w:color w:val="auto"/>
        </w:rPr>
      </w:pPr>
    </w:p>
    <w:p>
      <w:pPr>
        <w:ind w:left="660" w:right="120" w:hanging="328"/>
        <w:spacing w:after="0" w:line="255"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that only the chairman of our Board of Directors, our chief executive officer, or a majority of our Board of Directors will be authorized to call a special meeting of stockholders;</w:t>
      </w: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prohibit cumulative voting;</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 and only with the approval of two-thirds of our stockholders;</w:t>
      </w:r>
    </w:p>
    <w:p>
      <w:pPr>
        <w:spacing w:after="0" w:line="5" w:lineRule="exact"/>
        <w:rPr>
          <w:rFonts w:ascii="Arial" w:cs="Arial" w:eastAsia="Arial" w:hAnsi="Arial"/>
          <w:sz w:val="16"/>
          <w:szCs w:val="16"/>
          <w:color w:val="auto"/>
        </w:rPr>
      </w:pPr>
    </w:p>
    <w:p>
      <w:pPr>
        <w:ind w:left="660" w:right="80" w:hanging="328"/>
        <w:spacing w:after="0" w:line="256"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 and</w:t>
      </w:r>
    </w:p>
    <w:p>
      <w:pPr>
        <w:spacing w:after="0" w:line="5" w:lineRule="exact"/>
        <w:rPr>
          <w:rFonts w:ascii="Arial" w:cs="Arial" w:eastAsia="Arial" w:hAnsi="Arial"/>
          <w:sz w:val="16"/>
          <w:szCs w:val="16"/>
          <w:color w:val="auto"/>
        </w:rPr>
      </w:pPr>
    </w:p>
    <w:p>
      <w:pPr>
        <w:ind w:left="660" w:right="340" w:hanging="328"/>
        <w:spacing w:after="0" w:line="283"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185"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Moreover, Section 203 of the General Corporation Law of the State of Delaware (the “DGCL”) may discourage, delay, or prevent a change in control of our company. Section 203 imposes certain restrictions on mergers, business combinations, and other transactions between us and holders of 15% or more of our common stock.</w:t>
      </w:r>
    </w:p>
    <w:p>
      <w:pPr>
        <w:sectPr>
          <w:pgSz w:w="11900" w:h="16838" w:orient="portrait"/>
          <w:cols w:equalWidth="0" w:num="1">
            <w:col w:w="11220"/>
          </w:cols>
          <w:pgMar w:left="320" w:top="613" w:right="3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3" w:right="359" w:bottom="1440" w:gutter="0" w:footer="0" w:header="0"/>
          <w:type w:val="continuous"/>
        </w:sectPr>
      </w:pPr>
    </w:p>
    <w:bookmarkStart w:id="37" w:name="page38"/>
    <w:bookmarkEnd w:id="37"/>
    <w:p>
      <w:pPr>
        <w:ind w:right="160"/>
        <w:spacing w:after="0" w:line="294" w:lineRule="auto"/>
        <w:rPr>
          <w:sz w:val="20"/>
          <w:szCs w:val="20"/>
          <w:color w:val="auto"/>
        </w:rPr>
      </w:pPr>
      <w:r>
        <w:rPr>
          <w:rFonts w:ascii="Arial" w:cs="Arial" w:eastAsia="Arial" w:hAnsi="Arial"/>
          <w:sz w:val="16"/>
          <w:szCs w:val="16"/>
          <w:b w:val="1"/>
          <w:bCs w:val="1"/>
          <w:i w:val="1"/>
          <w:iCs w:val="1"/>
          <w:color w:val="auto"/>
        </w:rPr>
        <w:t>Our restated certificate of incorporation and second amended and restated bylaws contain exclusive forum provisions for certain claims, which may limit our stockholders’ ability to obtain a favorable judicial forum for disputes with us or our directors, officers, or employees.</w:t>
      </w:r>
    </w:p>
    <w:p>
      <w:pPr>
        <w:spacing w:after="0" w:line="182"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Our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second amended and restated bylaws, or any action asserting a claim against us that is governed by the internal affairs doctrine.</w:t>
      </w:r>
    </w:p>
    <w:p>
      <w:pPr>
        <w:spacing w:after="0" w:line="20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Moreover, Section 22 of the Securities Act creates concurrent jurisdiction for federal and state courts over all claims brought to enforce any duty or liability created by the Securities Act or the rules and regulations thereunder. In April 2020, we amended and restated our restated bylaws to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207"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Our stockholders will not be deemed to have waived our compliance with the federal securities laws and the regulations promulgated thereunder.</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restated certificate of incorporation and/or second amended and restated bylaws to be inapplicable or unenforceable in an action, we may incur additional costs associated with resolving such action in other jurisdictions, which could harm our business, financial condition, and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 sellers of our stock may be manipulative and may drive down the market price of our Class A common stock.</w:t>
      </w:r>
    </w:p>
    <w:p>
      <w:pPr>
        <w:spacing w:after="0" w:line="24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reputation, business, financial condition, and operating results. There are no assurances that we will not face short sellers’ efforts or similar tactics in the future, and the market price of our Class A common stock may decline as a result of their actions.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Indebtedness</w:t>
      </w:r>
    </w:p>
    <w:p>
      <w:pPr>
        <w:spacing w:after="0" w:line="250"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b w:val="1"/>
          <w:bCs w:val="1"/>
          <w:i w:val="1"/>
          <w:iCs w:val="1"/>
          <w:color w:val="auto"/>
        </w:rPr>
        <w:t>The Notes are effectively subordinated to our existing and future secured indebtedness and structurally subordinated to the liabilities of our subsidiaries.</w:t>
      </w:r>
    </w:p>
    <w:p>
      <w:pPr>
        <w:spacing w:after="0" w:line="15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0.00% Convertible Senior Notes due 2026 and our 5.50% Convertible Senior Notes due 2029 (together, the “Notes”) are our senior, unsecured obligations and rank equal in right of payment with our existing and future senior, unsecured indebtedness, senior in right of payment to our existing and future indebtedness that is expressly subordinated to the Notes and effectively subordinated to our existing and future secured indebtedness, to the extent of the value of the collateral securing that indebtedness. In addition, because none of our subsidiaries guarantee the Notes, the Notes are structurally subordinated to all existing and future indebtedness and other liabilities, including trade payables, and (to the extent we are not a holder thereof) preferred equity, if any, of our subsidiaries. As of June 30, 2024, we had approximately $1.5 billion in total indebtedness ($549.0 million of which was the Notes) and approximately $100.0 million of available borrowing capacity under the revolving credit facility in our Third Amended and Restated Credit Agreement. Our subsidiaries had no outstanding additional indebtedness as of June 30, 2024. The indentures governing the Notes do not prohibit us or our subsidiaries from incurring additional indebtedness, including senior or secured indebtedness, in the future.</w:t>
      </w:r>
    </w:p>
    <w:p>
      <w:pPr>
        <w:spacing w:after="0" w:line="20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If a bankruptcy, liquidation, dissolution, reorganization or similar proceeding occurs with respect to us, then the holders of any of our secured indebtedness may proceed directly against the assets securing that indebtedness. Accordingly, those assets will not be available to satisfy any outstanding amounts under our unsecured indebtedness, including the Notes, unless the secured indebtedness is first paid in full. The remaining assets, if any, would then be allocated pro rata among the holders of our senior, unsecured indebtedness, including the Notes. There may be insufficient assets to pay all amounts then due.</w:t>
      </w:r>
    </w:p>
    <w:p>
      <w:pPr>
        <w:spacing w:after="0" w:line="19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If a bankruptcy, liquidation, dissolution, reorganization or similar proceeding occurs with respect to any of our subsidiaries, then we, as a direct or indirect common equity owner of that subsidiary (and, accordingly, holders of our indebtedness, including the Notes), will be subject to the prior claims of that subsidiary’s creditors, including trade creditors and preferred equity holders. We may never receive any amounts from that subsidiary to satisfy amounts due under the Notes.</w:t>
      </w:r>
    </w:p>
    <w:p>
      <w:pPr>
        <w:sectPr>
          <w:pgSz w:w="11900" w:h="16838" w:orient="portrait"/>
          <w:cols w:equalWidth="0" w:num="1">
            <w:col w:w="11220"/>
          </w:cols>
          <w:pgMar w:left="320" w:top="613" w:right="3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3" w:right="359" w:bottom="1440" w:gutter="0" w:footer="0" w:header="0"/>
          <w:type w:val="continuous"/>
        </w:sectPr>
      </w:pPr>
    </w:p>
    <w:bookmarkStart w:id="38" w:name="page39"/>
    <w:bookmarkEnd w:id="38"/>
    <w:p>
      <w:pPr>
        <w:spacing w:after="0" w:line="294" w:lineRule="auto"/>
        <w:rPr>
          <w:sz w:val="20"/>
          <w:szCs w:val="20"/>
          <w:color w:val="auto"/>
        </w:rPr>
      </w:pPr>
      <w:r>
        <w:rPr>
          <w:rFonts w:ascii="Arial" w:cs="Arial" w:eastAsia="Arial" w:hAnsi="Arial"/>
          <w:sz w:val="16"/>
          <w:szCs w:val="16"/>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As of June 30, 2024, we had approximately $1.5 billion aggregate principal amount in total indebtedness ($1.0 billion of which was secured indebtedness) and approximately $100.0 million of available borrowing capacity under our revolving credit facility. Our indebtedness could have significant negative consequences for our security holders and our business, results of operations and financial condition by, among other things: increasing our vulnerability to adverse economic and industry conditions; limiting our ability to obtain additional financing; requiring the dedication of a substantial portion of our cash flow from operations to service our indebtedness, which will reduce the amount of cash available for other purposes; limiting our flexibility to plan for, or react to, changes in our business; diluting the interests of our existing stockholders as a result of issuing shares of our Class A common stock upon conversion of the Notes; and placing us at a possible competitive disadvantage with competitors that are less leveraged than us or have better access to capital.</w:t>
      </w:r>
    </w:p>
    <w:p>
      <w:pPr>
        <w:spacing w:after="0" w:line="21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business may not generate sufficient funds, and we may otherwise be unable to maintain sufficient cash reserves, to pay amounts due under our indebtedness, including the Notes, and our cash needs may increase in the future. In addition, our credit agreement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207"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We may be unable to raise the funds necessary to repurchase the Notes for cash following a fundamental change or to pay any cash amounts due upon conversion, and our other indebtedness limits our ability to repurchase the Notes or pay cash upon their conversion.</w:t>
      </w:r>
    </w:p>
    <w:p>
      <w:pPr>
        <w:spacing w:after="0" w:line="15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Noteholders may, subject to a limited exception, require us to repurchase their Notes following a fundamental change at a cash repurchase price generally equal to the principal amount of the Notes to be repurchased, plus accrued and unpaid interest, if any. In addition, upon conversion, we may satisfy part or all of our conversion obligation in cash unless we elect to settle conversions solely in shares of our Class A common stock.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failure to repurchase Notes or to pay the cash amounts due upon conversion when required will constitute a default under the indenture.</w:t>
      </w:r>
    </w:p>
    <w:p>
      <w:pPr>
        <w:spacing w:after="0" w:line="20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 default under the indenture governing the notes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w:t>
      </w:r>
    </w:p>
    <w:p>
      <w:pPr>
        <w:spacing w:after="0" w:line="191"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We may require additional capital to support business growth and objectives, and this capital might not be available to us on reasonable terms, if at all, and may result in stockholder dilution.</w:t>
      </w:r>
    </w:p>
    <w:p>
      <w:pPr>
        <w:spacing w:after="0" w:line="15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3"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Cybersecurity Risk Management</w:t>
      </w:r>
    </w:p>
    <w:p>
      <w:pPr>
        <w:spacing w:after="0" w:line="2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have developed and implemented a cybersecurity risk management program intended to preserve the confidentiality, integrity and availability of Peloton’s systems and information, including our Members’ data, APIs and web and mobile applications. Our cybersecurity program is guided by industry standards developed by the National Institute of Standards and Technology (”NIST”). We seek to address cybersecurity risks through a comprehensive, cross-functional approach that focuses on protecting the information that we collect and store by identifying, preventing, and mitigating cybersecurity threats and effectively responding to cybersecurity incidents when they occur. Our cybersecurity program is also integrated with Peloton’s broader enterprise risk management program, through which we manage business, cybersecurity, information technology, privacy, legal, and geopolitical risks, among others. While no organization can eliminate cybersecurity risk entirely, we believe our cybersecurity program is reasonably designed to mitigate our cybersecurity and information technology risks. Our cybersecurity program is supported by our information security team, which is primarily responsible for identifying, monitoring and preventing cybersecurity threats and our data privacy team, which is primarily responsible for developing, creating, maintaining and enforcing privacy policies, standards and procedures. Our information security team reviews potential identified incidents through various internal and external resources; identifies potential or actual cybersecurity threats; evaluates and prioritizes threats based on severity; investigates and mitigates the cause and impact of such incidents; administers our documented response procedures with respect to any data breach; and implements safeguards to help prevent recurrence.</w:t>
      </w:r>
    </w:p>
    <w:p>
      <w:pPr>
        <w:spacing w:after="0" w:line="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Education, training and preparedness are important elements of our cybersecurity program. Peloton requires new employees to undertake a cybersecurity training and provides regular training updates to other employees. Additional trainings are mandatory for those employees who handle confidential (including personal) information.</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perform due diligence regarding our third-party suppliers, service providers and other business partners. This may include requiring evidence demonstrating third parties’ ability to meet our cybersecurity and data handling requirements. In addition, Peloton’s business partners who process data are contractually obligated to notify us if they experience certain incidents impacting our or our Members’ data. Our ability to monitor the cybersecurity practices of third parties is limited and there can be no assurance that we can prevent or mitigate the risk of any compromise or failure in the information systems, software, network or other cybersecurity assets owned or controlled by third parties.</w:t>
      </w:r>
    </w:p>
    <w:p>
      <w:pPr>
        <w:spacing w:after="0" w:line="2"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We regularly perform internal testing and engage independent third parties to perform audits and assessments as we deem appropriate. For example, our alignment with NIST standards has been reviewed by an industry-leading auditing firm. We also maintain a cyber insurance policy to help manage, in part, costs associated with significant cybersecurity incidents that may occur. We continue to invest in our cybersecurity program and to enhance our internal controls and processes, which are designed to help protect our systems and infrastructure, and the information they contain.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 discussion regarding risks from cybersecurity threats, see our risk factors, including the risk factors titled </w:t>
      </w:r>
      <w:r>
        <w:rPr>
          <w:rFonts w:ascii="Arial" w:cs="Arial" w:eastAsia="Arial" w:hAnsi="Arial"/>
          <w:sz w:val="16"/>
          <w:szCs w:val="16"/>
          <w:i w:val="1"/>
          <w:iCs w:val="1"/>
          <w:color w:val="auto"/>
        </w:rPr>
        <w:t>“–Any major disruption or failure of our</w:t>
      </w:r>
    </w:p>
    <w:p>
      <w:pPr>
        <w:spacing w:after="0" w:line="15"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i w:val="1"/>
          <w:iCs w:val="1"/>
          <w:color w:val="auto"/>
        </w:rPr>
        <w:t>information technology systems or websites, or our failure to successfully implement upgrades and new technology effectively, could adversely affect our business and operations”, “–Cybersecurity risks could adversely affect our business and disrupt our operations”, “–Our business is subject to the risk of earthquakes, fire, power outages, floods, hurricanes, public health crises, ransomware and other cybersecurity attacks, labor disputes, and other catastrophic events, and to interruption by man-made problems such as terrorism and international geopolitical conflicts”, “–We collect, store, process, and use personal data and other Member data, which subjects us to legal obligations and laws and regulations related to security and privacy, and any actual or perceived failure to meet those obligations could harm our business</w:t>
      </w:r>
      <w:r>
        <w:rPr>
          <w:rFonts w:ascii="Arial" w:cs="Arial" w:eastAsia="Arial" w:hAnsi="Arial"/>
          <w:sz w:val="16"/>
          <w:szCs w:val="16"/>
          <w:color w:val="auto"/>
        </w:rPr>
        <w:t>”, under the heading “</w:t>
      </w:r>
      <w:r>
        <w:rPr>
          <w:rFonts w:ascii="Arial" w:cs="Arial" w:eastAsia="Arial" w:hAnsi="Arial"/>
          <w:sz w:val="16"/>
          <w:szCs w:val="16"/>
          <w:i w:val="1"/>
          <w:iCs w:val="1"/>
          <w:color w:val="auto"/>
        </w:rPr>
        <w:t>Risk Factors—Risks Related to Our Business</w:t>
      </w:r>
      <w:r>
        <w:rPr>
          <w:rFonts w:ascii="Arial" w:cs="Arial" w:eastAsia="Arial" w:hAnsi="Arial"/>
          <w:sz w:val="16"/>
          <w:szCs w:val="16"/>
          <w:color w:val="auto"/>
        </w:rPr>
        <w:t>” in Part I, Item 1A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Annual Report on Form 10-K.</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Cybersecurity Governance</w:t>
      </w:r>
    </w:p>
    <w:p>
      <w:pPr>
        <w:spacing w:after="0" w:line="1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While everyone at Peloton has a role in managing cybersecurity risks, our Board of Directors and senior management team are actively involved in the oversight of our cybersecurity program. Our Board of Directors and the Audit Committee of our Board of Directors oversee Peloton’s cybersecurity matters through regular reports and reviews, as well as reporting on material cybersecurity incidents. These include presentations by the Company’s Senior Vice President, Chief Security and Trust Officer (“CISO”) to the Audit Committee on a quarterly basis, along with ad hoc reports on cybersecurity incidents, threat detection and mitigation plans to the Audit Committee, our Board of Directors and our executive team.</w:t>
      </w:r>
    </w:p>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CISO leads our information security team and has more than 20 years of cybersecurity experience across four public companies. He is supported by our Vice President of Privacy Compliance, who leads our data privacy team. Our cybersecurity program is supported by other members of our senior management team as well, including our Chief Legal Officer and members of Peloton’s disclosure committee. Members of executive leadership are informed about and monitor the prevention, mitigation, detection, and remediation of cybersecurity incidents through their management of, and participation in, the cybersecurity risk management process. The CISO also</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0" w:name="page41"/>
    <w:bookmarkEnd w:id="40"/>
    <w:p>
      <w:pPr>
        <w:ind w:right="740"/>
        <w:spacing w:after="0" w:line="286" w:lineRule="auto"/>
        <w:rPr>
          <w:sz w:val="20"/>
          <w:szCs w:val="20"/>
          <w:color w:val="auto"/>
        </w:rPr>
      </w:pPr>
      <w:r>
        <w:rPr>
          <w:rFonts w:ascii="Arial" w:cs="Arial" w:eastAsia="Arial" w:hAnsi="Arial"/>
          <w:sz w:val="16"/>
          <w:szCs w:val="16"/>
          <w:color w:val="auto"/>
        </w:rPr>
        <w:t>provides updates to Peloton’s senior management regarding cybersecurity risks, and meets regularly with Peloton’s finance, enterprise technology, disclosure and internal audit teams.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050505"/>
        </w:rPr>
        <w:t>As of June 30, 2024, our principal properties included our corporate headquarter offices, field operations and distribution facilities, retail locations and production studio facilities.</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 xml:space="preserve">We are headquartered in New York City, where we occupy facilities totaling approximately 336,000 square feet under a lease that expires in 2035. We also lease our international corporate headquarters, which is located in London, United Kingdom. </w:t>
      </w:r>
      <w:r>
        <w:rPr>
          <w:rFonts w:ascii="Arial" w:cs="Arial" w:eastAsia="Arial" w:hAnsi="Arial"/>
          <w:sz w:val="16"/>
          <w:szCs w:val="16"/>
          <w:color w:val="000000"/>
        </w:rPr>
        <w:t>We</w:t>
      </w:r>
      <w:r>
        <w:rPr>
          <w:rFonts w:ascii="Arial" w:cs="Arial" w:eastAsia="Arial" w:hAnsi="Arial"/>
          <w:sz w:val="16"/>
          <w:szCs w:val="16"/>
          <w:color w:val="050505"/>
        </w:rPr>
        <w:t xml:space="preserve"> primarily use these facilities for technology, product design, research and development, sales and marketing, supply chain and logistics, finance, legal, human resources, and information technology. We also have our Member Support team located in Plano, Texas.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050505"/>
        </w:rPr>
        <w:t>We lease retail properties in the United States, Canada, the United Kingdom, Germany, and Australia.</w:t>
      </w:r>
    </w:p>
    <w:p>
      <w:pPr>
        <w:spacing w:after="0" w:line="23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050505"/>
        </w:rPr>
        <w:t xml:space="preserve">Our retail locations and office space are used to support both of our reporting segments (Connected Fitness Products and Subscription) and are suitable and adequate for the conduct of our business. </w:t>
      </w:r>
      <w:r>
        <w:rPr>
          <w:rFonts w:ascii="Arial" w:cs="Arial" w:eastAsia="Arial" w:hAnsi="Arial"/>
          <w:sz w:val="16"/>
          <w:szCs w:val="16"/>
          <w:color w:val="000000"/>
        </w:rPr>
        <w:t>Refer to Note 19 in the “Notes to Consolidated Financial Statements” included in Part II, Item 8 of this Annual</w:t>
      </w:r>
      <w:r>
        <w:rPr>
          <w:rFonts w:ascii="Arial" w:cs="Arial" w:eastAsia="Arial" w:hAnsi="Arial"/>
          <w:sz w:val="16"/>
          <w:szCs w:val="16"/>
          <w:color w:val="050505"/>
        </w:rPr>
        <w:t xml:space="preserve"> </w:t>
      </w:r>
      <w:r>
        <w:rPr>
          <w:rFonts w:ascii="Arial" w:cs="Arial" w:eastAsia="Arial" w:hAnsi="Arial"/>
          <w:sz w:val="16"/>
          <w:szCs w:val="16"/>
          <w:color w:val="000000"/>
        </w:rPr>
        <w:t xml:space="preserve">Report on Form 10-K for further details regarding our segments. In April 2024, as part of the 2024 Restructuring Plan, </w:t>
      </w:r>
      <w:r>
        <w:rPr>
          <w:rFonts w:ascii="Arial" w:cs="Arial" w:eastAsia="Arial" w:hAnsi="Arial"/>
          <w:sz w:val="16"/>
          <w:szCs w:val="16"/>
          <w:color w:val="050505"/>
        </w:rPr>
        <w:t>we announced the</w:t>
      </w:r>
      <w:r>
        <w:rPr>
          <w:rFonts w:ascii="Arial" w:cs="Arial" w:eastAsia="Arial" w:hAnsi="Arial"/>
          <w:sz w:val="16"/>
          <w:szCs w:val="16"/>
          <w:color w:val="000000"/>
        </w:rPr>
        <w:t xml:space="preserve"> continued closures of certain of our retail locations.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050505"/>
        </w:rPr>
        <w:t>We lease our production studio facilities, which are located in New York City and London, and are used to support our Subscription segment. In addition, we lease and sublease field operations and distribution facilities primarily in North America and Europe, which are used to support our Connected Fitness segment.</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 xml:space="preserve">In May 2021, we announced plans to build a U.S. manufacturing facility in Troy Township, Ohio, which we called "Peloton Output Park" and is where we had planned to manufacture Connected Fitness Products in addition to our existing manufacturing facilities. In February 2022, as part of the 2022 Restructuring Plan, we announced the </w:t>
      </w:r>
      <w:r>
        <w:rPr>
          <w:rFonts w:ascii="Arial" w:cs="Arial" w:eastAsia="Arial" w:hAnsi="Arial"/>
          <w:sz w:val="16"/>
          <w:szCs w:val="16"/>
          <w:color w:val="000000"/>
        </w:rPr>
        <w:t>closing of several assembly and manufacturing plants, including our plans to sell the facility that was intended to be Peloton Output</w:t>
      </w:r>
      <w:r>
        <w:rPr>
          <w:rFonts w:ascii="Arial" w:cs="Arial" w:eastAsia="Arial" w:hAnsi="Arial"/>
          <w:sz w:val="16"/>
          <w:szCs w:val="16"/>
          <w:color w:val="050505"/>
        </w:rPr>
        <w:t xml:space="preserve"> </w:t>
      </w:r>
      <w:r>
        <w:rPr>
          <w:rFonts w:ascii="Arial" w:cs="Arial" w:eastAsia="Arial" w:hAnsi="Arial"/>
          <w:sz w:val="16"/>
          <w:szCs w:val="16"/>
          <w:color w:val="000000"/>
        </w:rPr>
        <w:t>Park</w:t>
      </w:r>
      <w:r>
        <w:rPr>
          <w:rFonts w:ascii="Arial" w:cs="Arial" w:eastAsia="Arial" w:hAnsi="Arial"/>
          <w:sz w:val="16"/>
          <w:szCs w:val="16"/>
          <w:color w:val="050505"/>
        </w:rPr>
        <w:t>.</w:t>
      </w:r>
      <w:r>
        <w:rPr>
          <w:rFonts w:ascii="Arial" w:cs="Arial" w:eastAsia="Arial" w:hAnsi="Arial"/>
          <w:sz w:val="16"/>
          <w:szCs w:val="16"/>
          <w:color w:val="000000"/>
        </w:rPr>
        <w:t xml:space="preserve"> In January 2024, the Company completed the sale of the Peloton Output Park building and a portion of the corresponding land and received net proceeds of approximately $31.9 million.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Item 3. Legal Proceedings</w:t>
      </w:r>
    </w:p>
    <w:p>
      <w:pPr>
        <w:spacing w:after="0" w:line="30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From time to time, we may be involved in claims and proceedings arising in the ordinary course of our business. The outcome of any such claims or proceedings, regardless of the merits, is inherently uncertain.</w:t>
      </w:r>
    </w:p>
    <w:p>
      <w:pPr>
        <w:spacing w:after="0" w:line="196"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 xml:space="preserve">For a discussion of legal and other proceedings in which we are involved, see </w:t>
      </w:r>
      <w:r>
        <w:rPr>
          <w:rFonts w:ascii="Arial" w:cs="Arial" w:eastAsia="Arial" w:hAnsi="Arial"/>
          <w:sz w:val="16"/>
          <w:szCs w:val="16"/>
          <w:i w:val="1"/>
          <w:iCs w:val="1"/>
          <w:color w:val="auto"/>
        </w:rPr>
        <w:t>Note 13 - Commitments and Contingencies</w:t>
      </w:r>
      <w:r>
        <w:rPr>
          <w:rFonts w:ascii="Arial" w:cs="Arial" w:eastAsia="Arial" w:hAnsi="Arial"/>
          <w:sz w:val="16"/>
          <w:szCs w:val="16"/>
          <w:color w:val="auto"/>
        </w:rPr>
        <w:t xml:space="preserve"> in the Notes to Consolidated Financial Statements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 for Common Stock</w:t>
      </w:r>
    </w:p>
    <w:p>
      <w:pPr>
        <w:spacing w:after="0" w:line="59"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Our Class A common stock began trading on The Nasdaq Global Select Market under the symbol "PTON" on September 26, 2019. Prior to that date, there was no public trading market for our Class A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Our Class B common stock is not listed or traded on any stock exchange.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Record</w:t>
      </w:r>
    </w:p>
    <w:p>
      <w:pPr>
        <w:spacing w:after="0" w:line="5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As of July 31, 2024, there were 33 registered holders of our Class A common stock and 73 registered holders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5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have never declared or paid cash dividends on our capital stock. We do not expect to pay dividends on our capital stock for the foreseeable future. Instead, we anticipate that all of our earnings for the foreseeable future will be used for the operation and growth of our business. Any future determination to declare cash dividends would be subject to the discretion of our Board of Directors and would depend upon various factors, including our operating results, financial condition, and capital requirements, restrictions that may be imposed by applicable law, and other factors deemed relevant by our Board of Directors. In addition, our ability to pay dividends on our common stock is limited by the restrictions under the terms of our credit agreement and security agreement.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performance graph shall not be deemed soliciting material or to be filed with the SEC for purposes of Section 18 of the Exchange Act, nor shall such information be incorporated by reference into any of our other filings under the Exchange Act or the Securities Act.</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graph below compares the cumulative total stockholder return on our Class A common stock with the cumulative total return on the Standard &amp; Poor’s 500 Index, the Nasdaq Composite Index and the Nasdaq Computer Index. We have elected to replace the Nasdaq Composite Index with the Nasdaq Computer Index because we believe the new index is more aligned with our peer group and will provide a meaningful comparison of our stock performance going forward. The graph assumes an initial investment of $100 in our common stock at the market close on September 26, 2019, which was our initial trading day. Data for each index assumes reinvestment of dividends.</w:t>
      </w:r>
    </w:p>
    <w:p>
      <w:pPr>
        <w:spacing w:after="0" w:line="19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comparisons in the graph below are based upon historical data and are not indicative of, nor intended to forecast,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34029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200" w:lineRule="exact"/>
        <w:rPr>
          <w:sz w:val="20"/>
          <w:szCs w:val="20"/>
          <w:color w:val="auto"/>
        </w:rPr>
      </w:pPr>
    </w:p>
    <w:p>
      <w:pPr>
        <w:spacing w:after="0" w:line="264"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 Looking Statements," the following discussion and analysis contains forward looking statements that involve risks, uncertainties, assumptions, and other important factors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 Item 1A of this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discussion of our results of operations for our fiscal year ended June 30, 2023 compared to the year ended June 30, 2022 is included our Annual</w:t>
      </w:r>
    </w:p>
    <w:p>
      <w:pPr>
        <w:spacing w:after="0" w:line="1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Report on Form 10-K for the fiscal year ended June 30, 2023, filed with the SEC on August 23, 2023 (File No. 001-39058) under the heading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Overview</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 xml:space="preserve">Peloton is a leading global fitness company with a highly engaged community of over 6.4 million Members as of June 30, 2024. A category innovator at the nexus of fitness, technology, and media, Peloton's first-of-its-kind subscription platform seamlessly combines innovative hardware, distinctive software, and exclusive content. Its world-renowned Instructors coach and motivate Members to be the best version of themselves anytime, anywhere. </w:t>
      </w:r>
      <w:r>
        <w:rPr>
          <w:rFonts w:ascii="Arial" w:cs="Arial" w:eastAsia="Arial" w:hAnsi="Arial"/>
          <w:sz w:val="16"/>
          <w:szCs w:val="16"/>
          <w:color w:val="000000"/>
        </w:rPr>
        <w:t>We define a</w:t>
      </w:r>
      <w:r>
        <w:rPr>
          <w:rFonts w:ascii="Arial" w:cs="Arial" w:eastAsia="Arial" w:hAnsi="Arial"/>
          <w:sz w:val="16"/>
          <w:szCs w:val="16"/>
          <w:color w:val="050505"/>
        </w:rPr>
        <w:t xml:space="preserve"> </w:t>
      </w:r>
      <w:r>
        <w:rPr>
          <w:rFonts w:ascii="Arial" w:cs="Arial" w:eastAsia="Arial" w:hAnsi="Arial"/>
          <w:sz w:val="16"/>
          <w:szCs w:val="16"/>
          <w:color w:val="000000"/>
        </w:rPr>
        <w:t>“Member” as any individual who has a Peloton account through a paid Connected Fitness Subscription or a paid Peloton App Subscription, and completes 1 or more workouts in the trailing 12 month period. We define a completed workout as either completing at least 50% of an Instructor-led class, Scenic ride, run, or row, or ten or more minutes of “Just Ride”, “Just Run”, or “Just Row” mode.</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Connected Fitness Products portfolio includes the Peloton Bike, Bike+, Tread, Tread+, Guide, and Row. Access to the Peloton App is available with an All-Access or Guide Membership for Members who have Connected Fitness Products or through a standalone App Membership with multiple Membership tiers. Our revenue is generated primarily from recurring Subscription revenue and the sale of our Connected Fitness Products. We define a “Paid Connected Fitness Subscription” as a person, household, or commercial property, such as a hotel or residential building, who has paid for a subscription to a Connected Fitness Product (a Connected Fitness Subscription with a successful credit card billing or with prepaid subscription credits or waivers).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Our financial profile has been characterized by strong retention, recurring revenue, and efficient customer acquisition. Our low Average Net Monthly Connected Fitness Churn, together with our high Subscription Gross Profit and Subscription Contribution Margin, yields an attractive lifetime value (“LTV”) for our Connected Fitness Subscriptions well in excess of our customer acquisition costs (“CAC”). Maintaining an attractive LTV/CAC ratio is a primary goal of our customer acquisition strategy.</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Fourth Quarter Fiscal 2024 Update and Recent Developments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Innovation</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recently launched Find Friends to enhance our platform’s community building potential beyond the leaderboard. New and prospective members may now connect with their existing network. This and other social features launching soon are designed to enhance the member experience with organic, community-based motivation. We expect these social features to drive member retention and organic acquisition over time.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Peloton for Business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Peloton for Business is focused on bringing Peloton to commercial settings, including gyms, to meet customers wherever they workout. In June we launched a pilot with the YMCA of Metropolitan Chicago focused on bringing Peloton to the gym in a holistic way. This includes more than 100 Bike+ and Rows across 15 locations in the metropolitan Chicago area and integrating the Peloton App membership's compelling content library with over 16 modalities into the YMCA membership. We plan to leverage this partnership to gather insights for potential future gym-focused initiatives.</w:t>
      </w: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Building on the success of our existing Lululemon content licensing arrangement, which has delivered incremental subscription revenue and subscription margin accretion, we announced a multi-year content licensing agreement with Google Fitbit last week to offer a wide portfolio of Peloton classes in the US, the UK, Canada and Australia. Fitbit will distribute best-in-class Peloton content to the highly engaged user base on Fitbit’s app. Peloton Members will also receive special offers on Google Pixel Watch and Fitbit Charge 6 devices.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 Experience</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Member satisfaction scores (“MSAT”) show that our investments in improving Member experience when they contact Peloton for customer support are driving significant improvements. We’ve steadily improved the average MSAT every month since December 2023, from 3.4 to 4.1, an increase of 22% over that time period.</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Debt Refinancing</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May 2024, we successfully concluded a refinancing of our balance sheet, accomplishing the goals of deleveraging and extending our maturities with more flexible terms at a reasonable cost of capital. We decreased debt by roughly $200 million and our average maturity has been extended to 2029. Refer to Note 12 - Debt in the Notes to Consolidated Financial Statements in Part II, Item 8 of this Annual Report on Form 10-K.</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u w:val="single" w:color="auto"/>
          <w:color w:val="050505"/>
        </w:rPr>
        <w:t>Restructuring</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February 2022, we announced and began implementing a restructuring plan to realign our operational focus to support our multi-year growth, scale the business, and improve costs (the “2022 Restructuring Plan”). The 2022 Restructuring Plan originally included: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fiscal year 2023 we continued to take actions to implement the 2022 Restructuring Plan. In July 2022, we announced we were exiting all owned-manufacturing operations and expanding our current relationship with a Taiwanese manufacturer, Rexon Industrial Corporation. Additionally, in August 2022, we announced our decision to (i) fully transition our North American Field Operations to third-party providers, including the significant reduction of our delivery workforce teams; (ii) eliminate a significant number of roles on the North America Member Support team and exit our real-estate footprints in our Plano and Tempe locations; and (iii) reduce our retail showroom presence. In January 2024, we completed the sale of the Peloton Output Park building and a portion of the corresponding land and received net proceeds of approximately $31.9 million.</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April 22, 2024, our Board of Directors approved a new restructuring plan to expand upon its 2022 Restructuring Plan (as expanded, the “2024 Restructuring Plan”). We believe that the 2024 Restructuring Plan will position Peloton for sustained, positive free cash flow, while enabling the Company to continue to invest in software, hardware and content innovation, improvements to its Member support experience, and optimizations to marketing efforts to scale the business. The 2024 Restructuring Plan includes: (i) a reduction in global headcount by approximately 15%, which impacted roughly 400 Peloton team members; and (ii) continued closures of our retail locations. We expect the majority of the 2024 Restructuring Plan to be implemented by the end of</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color w:val="auto"/>
              </w:rPr>
              <w:t>fiscal 2025.</w:t>
            </w: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7600" w:type="dxa"/>
            <w:vAlign w:val="bottom"/>
          </w:tcPr>
          <w:p>
            <w:pPr>
              <w:spacing w:after="0"/>
              <w:rPr>
                <w:sz w:val="20"/>
                <w:szCs w:val="20"/>
                <w:color w:val="auto"/>
              </w:rPr>
            </w:pPr>
            <w:r>
              <w:rPr>
                <w:rFonts w:ascii="Arial" w:cs="Arial" w:eastAsia="Arial" w:hAnsi="Arial"/>
                <w:sz w:val="16"/>
                <w:szCs w:val="16"/>
                <w:i w:val="1"/>
                <w:iCs w:val="1"/>
                <w:color w:val="auto"/>
              </w:rPr>
              <w:t>Total charges related to the 2022 Restructuring Plan were as follows:</w:t>
            </w: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600" w:type="dxa"/>
            <w:vAlign w:val="bottom"/>
          </w:tcPr>
          <w:p>
            <w:pPr>
              <w:spacing w:after="0"/>
              <w:rPr>
                <w:sz w:val="21"/>
                <w:szCs w:val="21"/>
                <w:color w:val="auto"/>
              </w:rPr>
            </w:pPr>
          </w:p>
        </w:tc>
        <w:tc>
          <w:tcPr>
            <w:tcW w:w="3640" w:type="dxa"/>
            <w:vAlign w:val="bottom"/>
            <w:tcBorders>
              <w:bottom w:val="single" w:sz="8" w:color="auto"/>
            </w:tcBorders>
            <w:gridSpan w:val="5"/>
          </w:tcPr>
          <w:p>
            <w:pPr>
              <w:jc w:val="right"/>
              <w:ind w:right="699"/>
              <w:spacing w:after="0"/>
              <w:rPr>
                <w:sz w:val="20"/>
                <w:szCs w:val="20"/>
                <w:color w:val="auto"/>
              </w:rPr>
            </w:pPr>
            <w:r>
              <w:rPr>
                <w:rFonts w:ascii="Arial" w:cs="Arial" w:eastAsia="Arial" w:hAnsi="Arial"/>
                <w:sz w:val="16"/>
                <w:szCs w:val="16"/>
                <w:b w:val="1"/>
                <w:bCs w:val="1"/>
                <w:color w:val="auto"/>
              </w:rPr>
              <w:t>Fiscal Year Ended June 30,</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restructuring charges:</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Severance and other personnel costs</w:t>
            </w:r>
          </w:p>
        </w:tc>
        <w:tc>
          <w:tcPr>
            <w:tcW w:w="1220" w:type="dxa"/>
            <w:vAlign w:val="bottom"/>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Exit and disposal costs and professional fees</w:t>
            </w:r>
          </w:p>
        </w:tc>
        <w:tc>
          <w:tcPr>
            <w:tcW w:w="1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cash charges</w:t>
            </w:r>
          </w:p>
        </w:tc>
        <w:tc>
          <w:tcPr>
            <w:tcW w:w="1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charges:</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Asset write-downs and write-offs</w:t>
            </w:r>
          </w:p>
        </w:tc>
        <w:tc>
          <w:tcPr>
            <w:tcW w:w="1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139.3</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Write-offs of inventory related to restructuring activities</w:t>
            </w:r>
          </w:p>
        </w:tc>
        <w:tc>
          <w:tcPr>
            <w:tcW w:w="1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sale of subsidiary</w:t>
            </w:r>
          </w:p>
        </w:tc>
        <w:tc>
          <w:tcPr>
            <w:tcW w:w="1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non-cash charges</w:t>
            </w:r>
          </w:p>
        </w:tc>
        <w:tc>
          <w:tcPr>
            <w:tcW w:w="1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i w:val="1"/>
                <w:iCs w:val="1"/>
                <w:color w:val="auto"/>
              </w:rPr>
              <w:t>Total charges related to the 2024 Restructuring Plan were as follows:</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76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auto"/>
              </w:rPr>
              <w:t>Fiscal Year Ended</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June 30, 2024</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ind w:right="5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restructuring charges:</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Severance and other personnel costs</w:t>
            </w: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Exit and disposal costs and professional fees</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cash charges</w:t>
            </w:r>
          </w:p>
        </w:tc>
        <w:tc>
          <w:tcPr>
            <w:tcW w:w="12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charges:</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Asset write-downs and write-offs</w:t>
            </w: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non-cash charges</w:t>
            </w:r>
          </w:p>
        </w:tc>
        <w:tc>
          <w:tcPr>
            <w:tcW w:w="12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have made progress in achieving goals in our restructuring initiatives. For example, we have reduced our negative Net cash used in operating activities from $(387.6) million in the fiscal year ended June 30, 2023 to $(66.1) million in the fiscal year ended June 30, 2024. We also have reduced our negative Free Cash Flow from $(470.0) million in the fiscal year ended June 30, 2023 to $(85.8) million in the fiscal year ended June 30, 2024. Total operating expenses (excluding Impairment expense, Restructuring expense, and Supplier settlements) decreased 8% year-</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6" w:name="page47"/>
    <w:bookmarkEnd w:id="46"/>
    <w:p>
      <w:pPr>
        <w:jc w:val="both"/>
        <w:ind w:right="200"/>
        <w:spacing w:after="0" w:line="257" w:lineRule="auto"/>
        <w:rPr>
          <w:sz w:val="20"/>
          <w:szCs w:val="20"/>
          <w:color w:val="auto"/>
        </w:rPr>
      </w:pPr>
      <w:r>
        <w:rPr>
          <w:rFonts w:ascii="Arial" w:cs="Arial" w:eastAsia="Arial" w:hAnsi="Arial"/>
          <w:sz w:val="16"/>
          <w:szCs w:val="16"/>
          <w:color w:val="auto"/>
        </w:rPr>
        <w:t>over-year in fiscal year 2024 and we continue our work in looking for additional efficiencies. We have also continued to close retail showrooms and we will continue optimizing our showroom footprint over the course of fiscal year 2025. Throughout fiscal year 2025, we expect further improvements in the above as well as a number of other measures by which we measure the success of our restructuring initiatives.</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the 2024 Restructuring Plan, which includes any remaining restructuring activity under the original 2022 Restructuring Plan, we estimate that we will incur additional cash charges of approximately $40.0 million, primarily composed of lease termination and other exit costs, the majority of which are expected to be incurred by the end of fiscal year 2025. Additionally, we expect to recognize additional non-cash charges of approximately $20.0 million, primarily composed of non-inventory asset impairment charges on retail showrooms in connection with the 2024 Restructuring Plan, the majority of which are expected to be incurred by the end of fiscal year 2025.</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Upon full implementation, we expect the plan to result in reduced annual run-rate expenses by more than $200 million by the end of fiscal year 2025.</w:t>
      </w:r>
    </w:p>
    <w:p>
      <w:pPr>
        <w:spacing w:after="0" w:line="26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We do not believe these cost-saving measures will impair our ability to conduct any of our key business functions. However, we may not be able to realize the cost savings and benefits initially anticipated as a result of the 2022 Restructuring Plan and the 2024 Restructuring Plan, and costs may be greater than expected. See </w:t>
      </w:r>
      <w:r>
        <w:rPr>
          <w:rFonts w:ascii="Arial" w:cs="Arial" w:eastAsia="Arial" w:hAnsi="Arial"/>
          <w:sz w:val="16"/>
          <w:szCs w:val="16"/>
          <w:i w:val="1"/>
          <w:iCs w:val="1"/>
          <w:color w:val="auto"/>
        </w:rPr>
        <w:t>“Risk Factors—Risks Related to Our Business—We may not successfully execute or achieve the expected benefits of our restructuring</w:t>
      </w:r>
    </w:p>
    <w:p>
      <w:pPr>
        <w:spacing w:after="0" w:line="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initiatives and other cost-saving measures we may take in the future, and our efforts may result in further actions and/or additional asset impairment charges and adversely affect our business</w:t>
      </w:r>
      <w:r>
        <w:rPr>
          <w:rFonts w:ascii="Arial" w:cs="Arial" w:eastAsia="Arial" w:hAnsi="Arial"/>
          <w:sz w:val="16"/>
          <w:szCs w:val="16"/>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Tread+ Product Recall Return Reserves and Cost Estimates</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In May 2021, we announced a voluntary recall of our Tread+ product in collaboration with the CPSC and halted sales of this product to work on product enhancements. Members were notified that they could return their Tread+ for a full refund, or wait until a solution was available. In collaboration with the CPSC, on May 18, 2023, we jointly announced approval of a rear guard repair for the recalled Tread+. We have made this rear guard available to our Members who continue to own a Tread+ and during the fiscal year ended June 30, 2024, we resumed deliveries of the Tread+ from our existing inventory with the rear guard installed.</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 xml:space="preserve">As a result of the Tread+ recall, we recognized a </w:t>
      </w:r>
      <w:r>
        <w:rPr>
          <w:rFonts w:ascii="Arial" w:cs="Arial" w:eastAsia="Arial" w:hAnsi="Arial"/>
          <w:sz w:val="16"/>
          <w:szCs w:val="16"/>
          <w:color w:val="000000"/>
        </w:rPr>
        <w:t>(benefit)/reduction</w:t>
      </w:r>
      <w:r>
        <w:rPr>
          <w:rFonts w:ascii="Arial" w:cs="Arial" w:eastAsia="Arial" w:hAnsi="Arial"/>
          <w:sz w:val="16"/>
          <w:szCs w:val="16"/>
          <w:color w:val="050505"/>
        </w:rPr>
        <w:t xml:space="preserve"> to Connected Fitness Products revenue for actual and estimated future returns of $(4.5) million, $14.6 million, and $48.9 million for the fiscal years ended </w:t>
      </w:r>
      <w:r>
        <w:rPr>
          <w:rFonts w:ascii="Arial" w:cs="Arial" w:eastAsia="Arial" w:hAnsi="Arial"/>
          <w:sz w:val="16"/>
          <w:szCs w:val="16"/>
          <w:color w:val="000000"/>
        </w:rPr>
        <w:t>June 30, 2024, 2023 and 2022, respectively.</w:t>
      </w:r>
      <w:r>
        <w:rPr>
          <w:rFonts w:ascii="Arial" w:cs="Arial" w:eastAsia="Arial" w:hAnsi="Arial"/>
          <w:sz w:val="16"/>
          <w:szCs w:val="16"/>
          <w:color w:val="050505"/>
        </w:rPr>
        <w:t xml:space="preserve"> Return reserves related to the impacts of the Tread+ recall of $6.7 million and $24.4 million were included within Accounts payable and accrued expenses in the Consolidated Balance Sheets as of </w:t>
      </w:r>
      <w:r>
        <w:rPr>
          <w:rFonts w:ascii="Arial" w:cs="Arial" w:eastAsia="Arial" w:hAnsi="Arial"/>
          <w:sz w:val="16"/>
          <w:szCs w:val="16"/>
          <w:color w:val="000000"/>
        </w:rPr>
        <w:t>June 30, 2024 and June 30, 2023, respectively</w:t>
      </w:r>
      <w:r>
        <w:rPr>
          <w:rFonts w:ascii="Arial" w:cs="Arial" w:eastAsia="Arial" w:hAnsi="Arial"/>
          <w:sz w:val="16"/>
          <w:szCs w:val="16"/>
          <w:color w:val="050505"/>
        </w:rPr>
        <w:t>. Accruals for costs associated with the Tread+ repair of $4.1 million</w:t>
      </w:r>
      <w:r>
        <w:rPr>
          <w:rFonts w:ascii="Arial" w:cs="Arial" w:eastAsia="Arial" w:hAnsi="Arial"/>
          <w:sz w:val="16"/>
          <w:szCs w:val="16"/>
          <w:color w:val="000000"/>
        </w:rPr>
        <w:t xml:space="preserve"> and </w:t>
      </w:r>
      <w:r>
        <w:rPr>
          <w:rFonts w:ascii="Arial" w:cs="Arial" w:eastAsia="Arial" w:hAnsi="Arial"/>
          <w:sz w:val="16"/>
          <w:szCs w:val="16"/>
          <w:color w:val="050505"/>
        </w:rPr>
        <w:t>$10.0 million were included within</w:t>
      </w:r>
      <w:r>
        <w:rPr>
          <w:rFonts w:ascii="Arial" w:cs="Arial" w:eastAsia="Arial" w:hAnsi="Arial"/>
          <w:sz w:val="16"/>
          <w:szCs w:val="16"/>
          <w:color w:val="000000"/>
        </w:rPr>
        <w:t xml:space="preserve"> </w:t>
      </w:r>
      <w:r>
        <w:rPr>
          <w:rFonts w:ascii="Arial" w:cs="Arial" w:eastAsia="Arial" w:hAnsi="Arial"/>
          <w:sz w:val="16"/>
          <w:szCs w:val="16"/>
          <w:color w:val="050505"/>
        </w:rPr>
        <w:t xml:space="preserve">Accounts payable and accrued expenses in the Consolidated Balance Sheets as of </w:t>
      </w:r>
      <w:r>
        <w:rPr>
          <w:rFonts w:ascii="Arial" w:cs="Arial" w:eastAsia="Arial" w:hAnsi="Arial"/>
          <w:sz w:val="16"/>
          <w:szCs w:val="16"/>
          <w:color w:val="000000"/>
        </w:rPr>
        <w:t>June 30, 2024 and June 30, 2023</w:t>
      </w:r>
      <w:r>
        <w:rPr>
          <w:rFonts w:ascii="Arial" w:cs="Arial" w:eastAsia="Arial" w:hAnsi="Arial"/>
          <w:sz w:val="16"/>
          <w:szCs w:val="16"/>
          <w:color w:val="050505"/>
        </w:rPr>
        <w:t>, respectively. During the same period, we recognized accruals of for the cost associated with the Tread+ rear guard repair based on an amount that was deemed probable and reasonably estimable.</w:t>
      </w:r>
    </w:p>
    <w:p>
      <w:pPr>
        <w:spacing w:after="0" w:line="200" w:lineRule="exact"/>
        <w:rPr>
          <w:sz w:val="20"/>
          <w:szCs w:val="20"/>
          <w:color w:val="auto"/>
        </w:rPr>
      </w:pP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050505"/>
        </w:rPr>
        <w:t xml:space="preserve">Recall charges are based upon estimates associated with our expected and historical consumer response rates. Actual costs related to this matter may vary from the estimate, and may result in further impacts to our future results of operations and business. </w:t>
      </w:r>
      <w:r>
        <w:rPr>
          <w:rFonts w:ascii="Arial" w:cs="Arial" w:eastAsia="Arial" w:hAnsi="Arial"/>
          <w:sz w:val="16"/>
          <w:szCs w:val="16"/>
          <w:color w:val="000000"/>
        </w:rPr>
        <w:t>See “</w:t>
      </w:r>
      <w:r>
        <w:rPr>
          <w:rFonts w:ascii="Arial" w:cs="Arial" w:eastAsia="Arial" w:hAnsi="Arial"/>
          <w:sz w:val="16"/>
          <w:szCs w:val="16"/>
          <w:i w:val="1"/>
          <w:iCs w:val="1"/>
          <w:color w:val="000000"/>
        </w:rPr>
        <w:t>Risk Factors—Risks Related to Our Connected</w:t>
      </w:r>
    </w:p>
    <w:p>
      <w:pPr>
        <w:jc w:val="both"/>
        <w:spacing w:after="0" w:line="270" w:lineRule="auto"/>
        <w:rPr>
          <w:sz w:val="20"/>
          <w:szCs w:val="20"/>
          <w:color w:val="auto"/>
        </w:rPr>
      </w:pPr>
      <w:r>
        <w:rPr>
          <w:rFonts w:ascii="Arial" w:cs="Arial" w:eastAsia="Arial" w:hAnsi="Arial"/>
          <w:sz w:val="16"/>
          <w:szCs w:val="16"/>
          <w:i w:val="1"/>
          <w:iCs w:val="1"/>
          <w:color w:val="auto"/>
        </w:rPr>
        <w:t>Fitness Products and Members—We may be subject to warranty claims that could result in significant direct or indirect costs, or we could experience greater product returns than expected, either of which could have an adverse effect on our business, financial condition, and operating results</w:t>
      </w:r>
      <w:r>
        <w:rPr>
          <w:rFonts w:ascii="Arial" w:cs="Arial" w:eastAsia="Arial" w:hAnsi="Arial"/>
          <w:sz w:val="16"/>
          <w:szCs w:val="16"/>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Bike Seat Post Recall</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May 2023, </w:t>
      </w:r>
      <w:r>
        <w:rPr>
          <w:rFonts w:ascii="Arial" w:cs="Arial" w:eastAsia="Arial" w:hAnsi="Arial"/>
          <w:sz w:val="16"/>
          <w:szCs w:val="16"/>
          <w:color w:val="050505"/>
        </w:rPr>
        <w:t>in collaboration with the CPSC, we announced a voluntary recall of the original Peloton Bike (not Bike+) sold in the U.S. from January 2018 to</w:t>
      </w:r>
      <w:r>
        <w:rPr>
          <w:rFonts w:ascii="Arial" w:cs="Arial" w:eastAsia="Arial" w:hAnsi="Arial"/>
          <w:sz w:val="16"/>
          <w:szCs w:val="16"/>
          <w:color w:val="auto"/>
        </w:rPr>
        <w:t xml:space="preserve"> </w:t>
      </w:r>
      <w:r>
        <w:rPr>
          <w:rFonts w:ascii="Arial" w:cs="Arial" w:eastAsia="Arial" w:hAnsi="Arial"/>
          <w:sz w:val="16"/>
          <w:szCs w:val="16"/>
          <w:color w:val="050505"/>
        </w:rPr>
        <w:t xml:space="preserve">May 2023 related to its seat post, and we are offering Members a free replacement seat post as the approved repair. </w:t>
      </w:r>
      <w:r>
        <w:rPr>
          <w:rFonts w:ascii="Arial" w:cs="Arial" w:eastAsia="Arial" w:hAnsi="Arial"/>
          <w:sz w:val="16"/>
          <w:szCs w:val="16"/>
          <w:color w:val="000000"/>
        </w:rPr>
        <w:t>As a result of this recall, the Company</w:t>
      </w:r>
      <w:r>
        <w:rPr>
          <w:rFonts w:ascii="Arial" w:cs="Arial" w:eastAsia="Arial" w:hAnsi="Arial"/>
          <w:sz w:val="16"/>
          <w:szCs w:val="16"/>
          <w:color w:val="050505"/>
        </w:rPr>
        <w:t xml:space="preserve"> </w:t>
      </w:r>
      <w:r>
        <w:rPr>
          <w:rFonts w:ascii="Arial" w:cs="Arial" w:eastAsia="Arial" w:hAnsi="Arial"/>
          <w:sz w:val="16"/>
          <w:szCs w:val="16"/>
          <w:color w:val="000000"/>
        </w:rPr>
        <w:t xml:space="preserve">recognized </w:t>
      </w:r>
      <w:r>
        <w:rPr>
          <w:rFonts w:ascii="Arial" w:cs="Arial" w:eastAsia="Arial" w:hAnsi="Arial"/>
          <w:sz w:val="16"/>
          <w:szCs w:val="16"/>
          <w:color w:val="050505"/>
        </w:rPr>
        <w:t>$(5.5) million</w:t>
      </w:r>
      <w:r>
        <w:rPr>
          <w:rFonts w:ascii="Arial" w:cs="Arial" w:eastAsia="Arial" w:hAnsi="Arial"/>
          <w:sz w:val="16"/>
          <w:szCs w:val="16"/>
          <w:color w:val="000000"/>
        </w:rPr>
        <w:t xml:space="preserve"> and </w:t>
      </w:r>
      <w:r>
        <w:rPr>
          <w:rFonts w:ascii="Arial" w:cs="Arial" w:eastAsia="Arial" w:hAnsi="Arial"/>
          <w:sz w:val="16"/>
          <w:szCs w:val="16"/>
          <w:color w:val="050505"/>
        </w:rPr>
        <w:t>$48.4 million</w:t>
      </w:r>
      <w:r>
        <w:rPr>
          <w:rFonts w:ascii="Arial" w:cs="Arial" w:eastAsia="Arial" w:hAnsi="Arial"/>
          <w:sz w:val="16"/>
          <w:szCs w:val="16"/>
          <w:color w:val="000000"/>
        </w:rPr>
        <w:t xml:space="preserve"> for the (benefits) costs to replace the bike seat posts based on an amount that was deemed probable and reasonably estimable, reflected in Connected Fitness Products cost of revenue in the Consolidated Statements of Operations and Comprehensive Loss for the fiscal year ended June 30, 2024 </w:t>
      </w:r>
      <w:r>
        <w:rPr>
          <w:rFonts w:ascii="Arial" w:cs="Arial" w:eastAsia="Arial" w:hAnsi="Arial"/>
          <w:sz w:val="16"/>
          <w:szCs w:val="16"/>
          <w:color w:val="050505"/>
        </w:rPr>
        <w:t>and 2023. As of</w:t>
      </w:r>
      <w:r>
        <w:rPr>
          <w:rFonts w:ascii="Arial" w:cs="Arial" w:eastAsia="Arial" w:hAnsi="Arial"/>
          <w:sz w:val="16"/>
          <w:szCs w:val="16"/>
          <w:color w:val="000000"/>
        </w:rPr>
        <w:t xml:space="preserve"> June 30, 2024 and June 30, 2023, accruals of $1.2 million and $42.2 million, respectively, were </w:t>
      </w:r>
      <w:r>
        <w:rPr>
          <w:rFonts w:ascii="Arial" w:cs="Arial" w:eastAsia="Arial" w:hAnsi="Arial"/>
          <w:sz w:val="16"/>
          <w:szCs w:val="16"/>
          <w:color w:val="050505"/>
        </w:rPr>
        <w:t>included within Accounts payable and accrued expenses in the accompanying Consolidated Balance Sheets related to the recall</w:t>
      </w:r>
      <w:r>
        <w:rPr>
          <w:rFonts w:ascii="Arial" w:cs="Arial" w:eastAsia="Arial" w:hAnsi="Arial"/>
          <w:sz w:val="16"/>
          <w:szCs w:val="16"/>
          <w:color w:val="000000"/>
        </w:rPr>
        <w:t>.</w:t>
      </w:r>
      <w:r>
        <w:rPr>
          <w:rFonts w:ascii="Arial" w:cs="Arial" w:eastAsia="Arial" w:hAnsi="Arial"/>
          <w:sz w:val="16"/>
          <w:szCs w:val="16"/>
          <w:color w:val="050505"/>
        </w:rPr>
        <w:t xml:space="preserve"> The estimated cost to replace the bike seat posts is primarily based on the estimated number of requests for seat posts and the estimated costs of the production and shipment of the replacement parts.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We may continue to incur additional costs beyond what we have currently estimated to be probable and estimable, including if the number of reported</w:t>
      </w:r>
    </w:p>
    <w:p>
      <w:pPr>
        <w:spacing w:after="0" w:line="31" w:lineRule="exact"/>
        <w:rPr>
          <w:sz w:val="20"/>
          <w:szCs w:val="20"/>
          <w:color w:val="auto"/>
        </w:rPr>
      </w:pPr>
    </w:p>
    <w:p>
      <w:pPr>
        <w:ind w:right="260"/>
        <w:spacing w:after="0" w:line="267" w:lineRule="auto"/>
        <w:rPr>
          <w:sz w:val="20"/>
          <w:szCs w:val="20"/>
          <w:color w:val="auto"/>
        </w:rPr>
      </w:pPr>
      <w:r>
        <w:rPr>
          <w:rFonts w:ascii="Arial" w:cs="Arial" w:eastAsia="Arial" w:hAnsi="Arial"/>
          <w:sz w:val="16"/>
          <w:szCs w:val="16"/>
          <w:color w:val="auto"/>
        </w:rPr>
        <w:t xml:space="preserve">incidents materially increases. See “ </w:t>
      </w:r>
      <w:r>
        <w:rPr>
          <w:rFonts w:ascii="Arial" w:cs="Arial" w:eastAsia="Arial" w:hAnsi="Arial"/>
          <w:sz w:val="16"/>
          <w:szCs w:val="16"/>
          <w:i w:val="1"/>
          <w:iCs w:val="1"/>
          <w:color w:val="auto"/>
        </w:rPr>
        <w:t>Risk Factors - Risks Related to Our Connected Fitness Products and Members</w:t>
      </w:r>
      <w:r>
        <w:rPr>
          <w:rFonts w:ascii="Arial" w:cs="Arial" w:eastAsia="Arial" w:hAnsi="Arial"/>
          <w:sz w:val="16"/>
          <w:szCs w:val="16"/>
          <w:color w:val="auto"/>
        </w:rPr>
        <w:t xml:space="preserve"> — </w:t>
      </w:r>
      <w:r>
        <w:rPr>
          <w:rFonts w:ascii="Arial" w:cs="Arial" w:eastAsia="Arial" w:hAnsi="Arial"/>
          <w:sz w:val="16"/>
          <w:szCs w:val="16"/>
          <w:i w:val="1"/>
          <w:iCs w:val="1"/>
          <w:color w:val="auto"/>
        </w:rPr>
        <w:t>Our products and services may be</w:t>
      </w:r>
      <w:r>
        <w:rPr>
          <w:rFonts w:ascii="Arial" w:cs="Arial" w:eastAsia="Arial" w:hAnsi="Arial"/>
          <w:sz w:val="16"/>
          <w:szCs w:val="16"/>
          <w:color w:val="auto"/>
        </w:rPr>
        <w:t xml:space="preserve"> </w:t>
      </w:r>
      <w:r>
        <w:rPr>
          <w:rFonts w:ascii="Arial" w:cs="Arial" w:eastAsia="Arial" w:hAnsi="Arial"/>
          <w:sz w:val="16"/>
          <w:szCs w:val="16"/>
          <w:i w:val="1"/>
          <w:iCs w:val="1"/>
          <w:color w:val="auto"/>
        </w:rPr>
        <w:t>affected from time to time by design and manufacturing defects or product safety issues, real or perceived, that could adversely affect our business and result in harm to our reputation.”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b w:val="1"/>
          <w:bCs w:val="1"/>
          <w:color w:val="auto"/>
        </w:rPr>
        <w:t>Key Operational and Business Metrics</w:t>
      </w:r>
    </w:p>
    <w:p>
      <w:pPr>
        <w:spacing w:after="0" w:line="22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Fiscal Year Ended June 30,</w:t>
            </w:r>
          </w:p>
        </w:tc>
        <w:tc>
          <w:tcPr>
            <w:tcW w:w="1420" w:type="dxa"/>
            <w:vAlign w:val="bottom"/>
            <w:tcBorders>
              <w:bottom w:val="single" w:sz="8" w:color="auto"/>
            </w:tcBorders>
          </w:tcPr>
          <w:p>
            <w:pPr>
              <w:spacing w:after="0"/>
              <w:rPr>
                <w:sz w:val="18"/>
                <w:szCs w:val="18"/>
                <w:color w:val="auto"/>
              </w:rPr>
            </w:pPr>
          </w:p>
        </w:tc>
      </w:tr>
      <w:tr>
        <w:trPr>
          <w:trHeight w:val="223"/>
        </w:trPr>
        <w:tc>
          <w:tcPr>
            <w:tcW w:w="55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r>
      <w:tr>
        <w:trPr>
          <w:trHeight w:val="210"/>
        </w:trPr>
        <w:tc>
          <w:tcPr>
            <w:tcW w:w="55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Ending Paid Connected Fitness Subscriptions</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2,981,131</w:t>
            </w: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2,997,443</w:t>
            </w: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2,913,131</w:t>
            </w:r>
          </w:p>
        </w:tc>
      </w:tr>
      <w:tr>
        <w:trPr>
          <w:trHeight w:val="216"/>
        </w:trPr>
        <w:tc>
          <w:tcPr>
            <w:tcW w:w="5500" w:type="dxa"/>
            <w:vAlign w:val="bottom"/>
          </w:tcPr>
          <w:p>
            <w:pPr>
              <w:ind w:left="20"/>
              <w:spacing w:after="0" w:line="216" w:lineRule="exact"/>
              <w:rPr>
                <w:sz w:val="20"/>
                <w:szCs w:val="20"/>
                <w:color w:val="auto"/>
              </w:rPr>
            </w:pPr>
            <w:r>
              <w:rPr>
                <w:rFonts w:ascii="Arial" w:cs="Arial" w:eastAsia="Arial" w:hAnsi="Arial"/>
                <w:sz w:val="16"/>
                <w:szCs w:val="16"/>
                <w:color w:val="auto"/>
              </w:rPr>
              <w:t>Average Net Monthly Paid Connected Fitness Subscription Churn</w:t>
            </w:r>
            <w:r>
              <w:rPr>
                <w:rFonts w:ascii="Arial" w:cs="Arial" w:eastAsia="Arial" w:hAnsi="Arial"/>
                <w:sz w:val="21"/>
                <w:szCs w:val="21"/>
                <w:color w:val="auto"/>
                <w:vertAlign w:val="superscript"/>
              </w:rPr>
              <w:t>(2)</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1.4 %</w:t>
            </w:r>
          </w:p>
        </w:tc>
        <w:tc>
          <w:tcPr>
            <w:tcW w:w="4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1.3 %</w:t>
            </w:r>
          </w:p>
        </w:tc>
        <w:tc>
          <w:tcPr>
            <w:tcW w:w="4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Paid App Subscriptions</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615,226</w:t>
            </w: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827,821</w:t>
            </w: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979,817</w:t>
            </w:r>
          </w:p>
        </w:tc>
      </w:tr>
      <w:tr>
        <w:trPr>
          <w:trHeight w:val="216"/>
        </w:trPr>
        <w:tc>
          <w:tcPr>
            <w:tcW w:w="5500" w:type="dxa"/>
            <w:vAlign w:val="bottom"/>
          </w:tcPr>
          <w:p>
            <w:pPr>
              <w:ind w:left="20"/>
              <w:spacing w:after="0" w:line="216" w:lineRule="exact"/>
              <w:rPr>
                <w:sz w:val="20"/>
                <w:szCs w:val="20"/>
                <w:color w:val="auto"/>
              </w:rPr>
            </w:pPr>
            <w:r>
              <w:rPr>
                <w:rFonts w:ascii="Arial" w:cs="Arial" w:eastAsia="Arial" w:hAnsi="Arial"/>
                <w:sz w:val="16"/>
                <w:szCs w:val="16"/>
                <w:color w:val="auto"/>
              </w:rPr>
              <w:t>Average Monthly Paid App Subscription Churn</w:t>
            </w:r>
            <w:r>
              <w:rPr>
                <w:rFonts w:ascii="Arial" w:cs="Arial" w:eastAsia="Arial" w:hAnsi="Arial"/>
                <w:sz w:val="21"/>
                <w:szCs w:val="21"/>
                <w:color w:val="auto"/>
                <w:vertAlign w:val="superscript"/>
              </w:rPr>
              <w:t>(3)</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7.7 %</w:t>
            </w:r>
          </w:p>
        </w:tc>
        <w:tc>
          <w:tcPr>
            <w:tcW w:w="4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Profit (in millions)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1,157.7</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1,122.1</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944.7</w:t>
            </w:r>
          </w:p>
        </w:tc>
      </w:tr>
      <w:tr>
        <w:trPr>
          <w:trHeight w:val="243"/>
        </w:trPr>
        <w:tc>
          <w:tcPr>
            <w:tcW w:w="5500" w:type="dxa"/>
            <w:vAlign w:val="bottom"/>
          </w:tcPr>
          <w:p>
            <w:pPr>
              <w:ind w:left="20"/>
              <w:spacing w:after="0"/>
              <w:rPr>
                <w:sz w:val="20"/>
                <w:szCs w:val="20"/>
                <w:color w:val="auto"/>
              </w:rPr>
            </w:pPr>
            <w:r>
              <w:rPr>
                <w:rFonts w:ascii="Arial" w:cs="Arial" w:eastAsia="Arial" w:hAnsi="Arial"/>
                <w:sz w:val="16"/>
                <w:szCs w:val="16"/>
                <w:color w:val="auto"/>
              </w:rPr>
              <w:t>Subscription Contribution (in millions)</w:t>
            </w:r>
            <w:r>
              <w:rPr>
                <w:rFonts w:ascii="Arial" w:cs="Arial" w:eastAsia="Arial" w:hAnsi="Arial"/>
                <w:sz w:val="21"/>
                <w:szCs w:val="21"/>
                <w:color w:val="auto"/>
                <w:vertAlign w:val="superscript"/>
              </w:rPr>
              <w:t>(4)</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1,231.6</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1,201.8</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994.2</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Margin</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67.8 %</w:t>
            </w: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67.2 %</w:t>
            </w: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67.7 %</w:t>
            </w:r>
          </w:p>
        </w:tc>
      </w:tr>
      <w:tr>
        <w:trPr>
          <w:trHeight w:val="243"/>
        </w:trPr>
        <w:tc>
          <w:tcPr>
            <w:tcW w:w="5500" w:type="dxa"/>
            <w:vAlign w:val="bottom"/>
          </w:tcPr>
          <w:p>
            <w:pPr>
              <w:ind w:left="20"/>
              <w:spacing w:after="0"/>
              <w:rPr>
                <w:sz w:val="20"/>
                <w:szCs w:val="20"/>
                <w:color w:val="auto"/>
              </w:rPr>
            </w:pPr>
            <w:r>
              <w:rPr>
                <w:rFonts w:ascii="Arial" w:cs="Arial" w:eastAsia="Arial" w:hAnsi="Arial"/>
                <w:sz w:val="16"/>
                <w:szCs w:val="16"/>
                <w:color w:val="auto"/>
              </w:rPr>
              <w:t>Subscription Contribution Margin</w:t>
            </w:r>
            <w:r>
              <w:rPr>
                <w:rFonts w:ascii="Arial" w:cs="Arial" w:eastAsia="Arial" w:hAnsi="Arial"/>
                <w:sz w:val="21"/>
                <w:szCs w:val="21"/>
                <w:color w:val="auto"/>
                <w:vertAlign w:val="superscript"/>
              </w:rPr>
              <w:t>(4)</w:t>
            </w: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72.1 %</w:t>
            </w: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72.0 %</w:t>
            </w:r>
          </w:p>
        </w:tc>
        <w:tc>
          <w:tcPr>
            <w:tcW w:w="4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71.3 %</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 millions)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(551.9)</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(1,261.7)</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(2,827.7)</w:t>
            </w:r>
          </w:p>
        </w:tc>
      </w:tr>
      <w:tr>
        <w:trPr>
          <w:trHeight w:val="243"/>
        </w:trPr>
        <w:tc>
          <w:tcPr>
            <w:tcW w:w="5500" w:type="dxa"/>
            <w:vAlign w:val="bottom"/>
          </w:tcPr>
          <w:p>
            <w:pPr>
              <w:ind w:left="20"/>
              <w:spacing w:after="0"/>
              <w:rPr>
                <w:sz w:val="20"/>
                <w:szCs w:val="20"/>
                <w:color w:val="auto"/>
              </w:rPr>
            </w:pPr>
            <w:r>
              <w:rPr>
                <w:rFonts w:ascii="Arial" w:cs="Arial" w:eastAsia="Arial" w:hAnsi="Arial"/>
                <w:sz w:val="16"/>
                <w:szCs w:val="16"/>
                <w:color w:val="auto"/>
              </w:rPr>
              <w:t>Adjusted EBITDA (in millions)</w:t>
            </w:r>
            <w:r>
              <w:rPr>
                <w:rFonts w:ascii="Arial" w:cs="Arial" w:eastAsia="Arial" w:hAnsi="Arial"/>
                <w:sz w:val="21"/>
                <w:szCs w:val="21"/>
                <w:color w:val="auto"/>
                <w:vertAlign w:val="superscript"/>
              </w:rPr>
              <w:t>(5)</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3.5</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(208.5)</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(982.7)</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 (in millions)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(66.1)</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(387.6)</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(2,020.0)</w:t>
            </w:r>
          </w:p>
        </w:tc>
      </w:tr>
      <w:tr>
        <w:trPr>
          <w:trHeight w:val="285"/>
        </w:trPr>
        <w:tc>
          <w:tcPr>
            <w:tcW w:w="5500" w:type="dxa"/>
            <w:vAlign w:val="bottom"/>
          </w:tcPr>
          <w:p>
            <w:pPr>
              <w:ind w:left="20"/>
              <w:spacing w:after="0"/>
              <w:rPr>
                <w:sz w:val="20"/>
                <w:szCs w:val="20"/>
                <w:color w:val="auto"/>
              </w:rPr>
            </w:pPr>
            <w:r>
              <w:rPr>
                <w:rFonts w:ascii="Arial" w:cs="Arial" w:eastAsia="Arial" w:hAnsi="Arial"/>
                <w:sz w:val="16"/>
                <w:szCs w:val="16"/>
                <w:color w:val="auto"/>
              </w:rPr>
              <w:t>Free Cash Flow (in millions)</w:t>
            </w:r>
            <w:r>
              <w:rPr>
                <w:rFonts w:ascii="Arial" w:cs="Arial" w:eastAsia="Arial" w:hAnsi="Arial"/>
                <w:sz w:val="21"/>
                <w:szCs w:val="21"/>
                <w:color w:val="auto"/>
                <w:vertAlign w:val="superscript"/>
              </w:rPr>
              <w:t>(6)</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(85.8)</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(470.0)</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(2,357.4)</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55"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New reporting metric, effective as of the beginning of fiscal year 2024, replaced Ending Connected Fitness Subscriptions. See Ending Paid Connected Fitness Subscriptions definition below.</w:t>
      </w:r>
    </w:p>
    <w:p>
      <w:pPr>
        <w:spacing w:after="0" w:line="53" w:lineRule="exact"/>
        <w:rPr>
          <w:rFonts w:ascii="Arial" w:cs="Arial" w:eastAsia="Arial" w:hAnsi="Arial"/>
          <w:sz w:val="13"/>
          <w:szCs w:val="13"/>
          <w:color w:val="auto"/>
        </w:rPr>
      </w:pPr>
    </w:p>
    <w:p>
      <w:pPr>
        <w:ind w:right="360" w:firstLine="8"/>
        <w:spacing w:after="0" w:line="286" w:lineRule="auto"/>
        <w:tabs>
          <w:tab w:leader="none" w:pos="189" w:val="left"/>
        </w:tabs>
        <w:numPr>
          <w:ilvl w:val="0"/>
          <w:numId w:val="28"/>
        </w:numPr>
        <w:rPr>
          <w:rFonts w:ascii="Arial" w:cs="Arial" w:eastAsia="Arial" w:hAnsi="Arial"/>
          <w:sz w:val="13"/>
          <w:szCs w:val="13"/>
          <w:color w:val="auto"/>
        </w:rPr>
      </w:pPr>
      <w:r>
        <w:rPr>
          <w:rFonts w:ascii="Arial" w:cs="Arial" w:eastAsia="Arial" w:hAnsi="Arial"/>
          <w:sz w:val="13"/>
          <w:szCs w:val="13"/>
          <w:color w:val="auto"/>
        </w:rPr>
        <w:t>New reporting metric, effective as of the beginning of fiscal year 2024, replaced Average Net Monthly Connected Fitness Churn. See Average Net Monthly Paid Connected Fitness Subscription Churn definition below. Includes metrics that were not available during the fiscal year ended June 30, 2022.</w:t>
      </w:r>
    </w:p>
    <w:p>
      <w:pPr>
        <w:spacing w:after="0" w:line="8" w:lineRule="exact"/>
        <w:rPr>
          <w:rFonts w:ascii="Arial" w:cs="Arial" w:eastAsia="Arial" w:hAnsi="Arial"/>
          <w:sz w:val="13"/>
          <w:szCs w:val="13"/>
          <w:color w:val="auto"/>
        </w:rPr>
      </w:pPr>
    </w:p>
    <w:p>
      <w:pPr>
        <w:ind w:right="300" w:firstLine="8"/>
        <w:spacing w:after="0" w:line="264" w:lineRule="auto"/>
        <w:tabs>
          <w:tab w:leader="none" w:pos="189"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This metric, effective as of the beginning of fiscal year 2024, is reported on a go-forward basis as it includes App One and App+ subscriptions that were not available during the fiscal year ended June 30, 2023 and 2022.</w:t>
      </w:r>
    </w:p>
    <w:p>
      <w:pPr>
        <w:spacing w:after="0" w:line="22" w:lineRule="exact"/>
        <w:rPr>
          <w:rFonts w:ascii="Arial" w:cs="Arial" w:eastAsia="Arial" w:hAnsi="Arial"/>
          <w:sz w:val="13"/>
          <w:szCs w:val="13"/>
          <w:color w:val="auto"/>
        </w:rPr>
      </w:pPr>
    </w:p>
    <w:p>
      <w:pPr>
        <w:ind w:right="480" w:firstLine="8"/>
        <w:spacing w:after="0" w:line="264" w:lineRule="auto"/>
        <w:tabs>
          <w:tab w:leader="none" w:pos="189" w:val="left"/>
        </w:tabs>
        <w:numPr>
          <w:ilvl w:val="0"/>
          <w:numId w:val="28"/>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measures for investors.</w:t>
      </w:r>
    </w:p>
    <w:p>
      <w:pPr>
        <w:spacing w:after="0" w:line="35" w:lineRule="exact"/>
        <w:rPr>
          <w:rFonts w:ascii="Arial" w:cs="Arial" w:eastAsia="Arial" w:hAnsi="Arial"/>
          <w:sz w:val="13"/>
          <w:szCs w:val="13"/>
          <w:color w:val="auto"/>
        </w:rPr>
      </w:pPr>
    </w:p>
    <w:p>
      <w:pPr>
        <w:ind w:right="20" w:firstLine="8"/>
        <w:spacing w:after="0" w:line="264" w:lineRule="auto"/>
        <w:tabs>
          <w:tab w:leader="none" w:pos="189" w:val="left"/>
        </w:tabs>
        <w:numPr>
          <w:ilvl w:val="0"/>
          <w:numId w:val="28"/>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Measures—Adjusted EBITDA” for a reconciliation of Net loss to Adjusted EBITDA and an explanation of why we consider Adjusted EBITDA to be a helpful measure for investors.</w:t>
      </w:r>
    </w:p>
    <w:p>
      <w:pPr>
        <w:spacing w:after="0" w:line="22" w:lineRule="exact"/>
        <w:rPr>
          <w:rFonts w:ascii="Arial" w:cs="Arial" w:eastAsia="Arial" w:hAnsi="Arial"/>
          <w:sz w:val="13"/>
          <w:szCs w:val="13"/>
          <w:color w:val="auto"/>
        </w:rPr>
      </w:pPr>
    </w:p>
    <w:p>
      <w:pPr>
        <w:ind w:right="100" w:firstLine="8"/>
        <w:spacing w:after="0" w:line="264" w:lineRule="auto"/>
        <w:tabs>
          <w:tab w:leader="none" w:pos="189" w:val="left"/>
        </w:tabs>
        <w:numPr>
          <w:ilvl w:val="0"/>
          <w:numId w:val="28"/>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Measures—Free Cash Flow” for a reconciliation of net cash used in operating activities to Free Cash Flow and an explanation of why we consider Free Cash Flow to be a helpful measure for investors.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Ending Paid Connected Fitness Subscriptions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Ending Paid Connected Fitness Subscriptions includes all Connected Fitness Subscriptions for which we are currently receiving payment (a successful credit card billing or prepaid subscription credit or waiver). Prior to fiscal year 2024, we included a Connected Fitness Subscription that is paused for up to three months as a Connected Fitness Subscription. Because there is no payment on a paused subscription, effective as of the beginning of fiscal year 2024, we no longer include paused Connected Fitness Subscriptions in our Ending Paid Connected Fitness Subscription count.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Net Monthly Paid Connected Fitness Subscription Churn</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 align with the definition of Ending Paid Connected Fitness Subscriptions above, our quarterly Average Net Monthly Paid Connected Fitness Subscription Churn is calculated as follows: Paid Connected Fitness Subscriber “churn count” in the quarter, divided by the average number of beginning Paid Connected Fitness Subscribers each month, divided by three months. “Churn count” is defined as quarterly Connected Fitness Subscription churn events minus Connected Fitness Subscription unpause events minus Connected Fitness Subscription reactivations.</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refer to any cancellation or pausing of a subscription for our All-Access Membership as a churn event. Because we do not receive payment for paused Connected Fitness Subscriptions, a paused Connected Fitness Subscription is now treated as a churn event at the time the pause goes into effect, which is the start of the next billing cycle. An unpause event occurs when a pause period elapses without a cancellation and the Connected Fitness Subscription resumes, and is therefore counted as a reduction in our churn count in that period. Consistent with our previous practice, our churn count is shown net of reactivations and our new quarterly Average Net Monthly Paid Connected Fitness Subscription Churn metric averages the monthly Connected Fitness churn percentage across the three months of the reported quarter.</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Prior to fiscal year 2024, we reported Average Net Monthly Connected Fitness Churn, which is defined as Connected Fitness Subscription cancellations, net of reactivations, in the quarter, divided by the average number of beginning Connected Fitness Subscriptions in each month, divided by three months. This metric does not treat a pause of a Connected Fitness Subscription as a churn event. When a Connected Fitness Subscription payment method fails, we communicate with our Members to update their payment method and make multiple attempts over several days to charge the payment method on file and reactivate the subscription. We cancel a Member's Connected Fitness Subscription when it remains unpaid for two days after their billing cycle date.</w:t>
      </w:r>
    </w:p>
    <w:p>
      <w:pPr>
        <w:sectPr>
          <w:pgSz w:w="11900" w:h="16838" w:orient="portrait"/>
          <w:cols w:equalWidth="0" w:num="1">
            <w:col w:w="11240"/>
          </w:cols>
          <w:pgMar w:left="320" w:top="827"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48" w:name="page49"/>
    <w:bookmarkEnd w:id="48"/>
    <w:p>
      <w:pPr>
        <w:jc w:val="both"/>
        <w:spacing w:after="0" w:line="265" w:lineRule="auto"/>
        <w:rPr>
          <w:sz w:val="20"/>
          <w:szCs w:val="20"/>
          <w:color w:val="auto"/>
        </w:rPr>
      </w:pPr>
      <w:r>
        <w:rPr>
          <w:rFonts w:ascii="Arial" w:cs="Arial" w:eastAsia="Arial" w:hAnsi="Arial"/>
          <w:sz w:val="16"/>
          <w:szCs w:val="16"/>
          <w:color w:val="auto"/>
        </w:rPr>
        <w:t>Furthermore, we have reported our Average Net Monthly Connected Fitness Churn metric net of reactivations. Under this metric, a Connected Fitness Subscriber that cancels their membership (a churn event) and resubscribes in a subsequent period is considered a reactivation and is counted as a reduction in our churn count in the period during which the Subscriber resubscribes. These metrics do not include data related to our App One Subscribers and App+ Subscribers.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Ending Paid App Subscriptions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Ending Paid App Subscriptions include all App One and App+ subscriptions for which we are currently receiving payment.</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Monthly Paid App Subscription Churn</w:t>
      </w:r>
    </w:p>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When a Subscriber to App One or App+ cancels their membership (a churn event) and resubscribes in a subsequent period, the resubscription is considered a new subscription (rather than a reactivation that is counted as a reduction in our churn count). Average Paid App Subscription Churn is calculated as follows: Paid App Subscription cancellations in the quarter, divided by the average number of beginning Paid App Subscriptions each month, divided by three months.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Connected Fitness Products revenue consists of sales of our portfolio of Connected Fitness Products and related accessories, as well as Precor branded fitness products, delivery and installation services, rental lease arrangements, extended warranty agreements, branded apparel, and commercial service contracts. Connected Fitness Products revenue is recognized at the time of delivery, except for extended warranty revenue that is recognized over the warranty period and service revenue that is recognized over the term, and is recorded net of sales returns and concessions, discounts and allowances, and third-party financing program fees, when applicable.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Subscription revenue primarily consists of revenue generated from our Connected Fitness Subscription and Peloton App Subscription, which are offered on a month-to-month or prepaid basis.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2024, 99% and 84% of our Connected Fitness Subscription and Paid App Subscription bases, respectively, were paying month-to-month.</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a Connected Fitness Subscription owns multiple, different Peloton Connected Fitness Products (e.g. owns a Peloton Bike and Peloton Tread) in the same household, the price of the Subscription remains $44 monthly. As of June 30, 2024, approximately 10% of our Connected Fitness Subscriptions owned multiple, different Connected Fitness Products.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Connected Fitness Products cost of revenue consists of our portfolio of Connected Fitness Products, related accessories, and branded apparel product costs, including third party manufacturing costs, duties and other applicable importing costs, shipping and handling costs, packaging, warranty replacement and service costs, fulfillment costs, warehousing costs, costs related to our commercial business, depreciation of property and equipment, and certain costs related to management, facilities, and personnel-related expenses associated with supply chain logistics. Inventory write-downs and related obsolescence reserve expense are also included within Connected Fitness Products cost of revenue.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depreciation of property and equipment as well as variable costs, including music royalty fees, third-party platform streaming costs, and payment processing fees for our monthly subscription billings.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Sales and marketing expense consists of performance marketing media spend, asset creation, and other brand creative, costs to operate our retail showrooms including rent and occupancy charges, payment processing fees incurred in connection with the sale of our Connected Fitness Products, sales and marketing personnel-related expenses, expenses related to the Peloton App, and depreciation of property and equipment.</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General and administrative expense includes personnel-related expenses and facilities-related costs primarily for our executive, finance, accounting, legal, human resources, IT functions and Member Support team. General and administrative expense also includes fees for professional services principally comprised of legal, audit, tax and accounting services, depreciation of property and equipment, and insurance, as well as litigation settlement costs.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Research and development</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Research and development expense primarily consists of personnel and facilities-related expenses, consulting and contractor expenses, tooling and prototype materials, software platform expenses, and depreciation of property and equipment. We capitalize certain qualified costs incurred in connection with the development of internal-use software that may also cause research and development expenses to vary from period to period.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impairment</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Goodwill impairment consists of non-cash impairment charges relating to goodwill. We review goodwill for impairment annually on April 1 and more frequently if events or changes in circumstances indicate that an impairment may exist. In conducting our annual impairment test, we first review qualitative factors to determine whether it is more likely than not that the fair value of each reporting unit is less than its carrying amount. If factors indicate that the fair value of the reporting unit is less than its carrying amount, we perform a quantitative assessment and the fair value of the reporting unit is determined by analyzing the expected present value of future cash flows. If the carrying value of the reporting unit exceeds its fair value, an impairment loss equal to the excess is recorded.</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expense</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Impairment expense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consolidated financial statements. Management disposes of fixed assets during the regular course of business due to damage, obsolescence, strategic shifts, and loss.</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Additionally, long-lived assets are reviewed for impairment whenever events or changes in circumstances indicate that the carrying amount of an asset group may not be recoverable. Recoverability of assets to be held and used is measured by a comparison of the carrying amount of an asset group to future undiscounted net cash flows expected to be generated by the assets. If the carrying amount of an asset group exceeds its estimated undiscounted net future cash flows, an impairment charge is recognized for the amount by which the carrying amount of the asset group exceeds its fair value.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expense</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Restructuring expense consists of severance and other personnel costs, including stock-based compensation expense, professional services, facility closures and other costs associated with exit and disposal activities.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Supplier settlements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Supplier settlements are payments made to third-party suppliers to terminate certain future inventory purchase commitments.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income and expenses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expense, net</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expense, net consists of interest (expense) income, unrealized and realized gains (losses) on investments, net gains relating to our refinancing activities, and foreign exchange gains (losses).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provision</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2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Fiscal Year Ended June 30,</w:t>
            </w:r>
          </w:p>
        </w:tc>
        <w:tc>
          <w:tcPr>
            <w:tcW w:w="1040" w:type="dxa"/>
            <w:vAlign w:val="bottom"/>
            <w:tcBorders>
              <w:bottom w:val="single" w:sz="8" w:color="auto"/>
            </w:tcBorders>
          </w:tcPr>
          <w:p>
            <w:pPr>
              <w:spacing w:after="0"/>
              <w:rPr>
                <w:sz w:val="18"/>
                <w:szCs w:val="18"/>
                <w:color w:val="auto"/>
              </w:rPr>
            </w:pPr>
          </w:p>
        </w:tc>
      </w:tr>
      <w:tr>
        <w:trPr>
          <w:trHeight w:val="223"/>
        </w:trPr>
        <w:tc>
          <w:tcPr>
            <w:tcW w:w="6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23"/>
        </w:trPr>
        <w:tc>
          <w:tcPr>
            <w:tcW w:w="6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 of Operations Data:</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Connected Fitness Products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2,187.5</w:t>
            </w:r>
          </w:p>
        </w:tc>
      </w:tr>
      <w:tr>
        <w:trPr>
          <w:trHeight w:val="215"/>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Subscription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1,394.7</w:t>
            </w:r>
          </w:p>
        </w:tc>
      </w:tr>
      <w:tr>
        <w:trPr>
          <w:trHeight w:val="210"/>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3,582.1</w:t>
            </w:r>
          </w:p>
        </w:tc>
      </w:tr>
      <w:tr>
        <w:trPr>
          <w:trHeight w:val="223"/>
        </w:trPr>
        <w:tc>
          <w:tcPr>
            <w:tcW w:w="6800" w:type="dxa"/>
            <w:vAlign w:val="bottom"/>
          </w:tcPr>
          <w:p>
            <w:pPr>
              <w:ind w:left="20"/>
              <w:spacing w:after="0" w:line="223"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Connected Fitness Products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2,433.8</w:t>
            </w:r>
          </w:p>
        </w:tc>
      </w:tr>
      <w:tr>
        <w:trPr>
          <w:trHeight w:val="242"/>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Subscription</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r>
      <w:tr>
        <w:trPr>
          <w:trHeight w:val="211"/>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cost of revenue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1,876.7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2,883.8</w:t>
            </w:r>
          </w:p>
        </w:tc>
      </w:tr>
      <w:tr>
        <w:trPr>
          <w:trHeight w:val="209"/>
        </w:trPr>
        <w:tc>
          <w:tcPr>
            <w:tcW w:w="68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698.4</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6800" w:type="dxa"/>
            <w:vAlign w:val="bottom"/>
          </w:tcPr>
          <w:p>
            <w:pPr>
              <w:ind w:left="14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1,018.9</w:t>
            </w:r>
          </w:p>
        </w:tc>
      </w:tr>
      <w:tr>
        <w:trPr>
          <w:trHeight w:val="243"/>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963.4</w:t>
            </w:r>
          </w:p>
        </w:tc>
      </w:tr>
      <w:tr>
        <w:trPr>
          <w:trHeight w:val="243"/>
        </w:trPr>
        <w:tc>
          <w:tcPr>
            <w:tcW w:w="6800" w:type="dxa"/>
            <w:vAlign w:val="bottom"/>
          </w:tcPr>
          <w:p>
            <w:pPr>
              <w:ind w:left="14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359.5</w:t>
            </w:r>
          </w:p>
        </w:tc>
      </w:tr>
      <w:tr>
        <w:trPr>
          <w:trHeight w:val="243"/>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impairment</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r>
      <w:tr>
        <w:trPr>
          <w:trHeight w:val="242"/>
        </w:trPr>
        <w:tc>
          <w:tcPr>
            <w:tcW w:w="6800" w:type="dxa"/>
            <w:vAlign w:val="bottom"/>
          </w:tcPr>
          <w:p>
            <w:pPr>
              <w:ind w:left="140"/>
              <w:spacing w:after="0"/>
              <w:rPr>
                <w:sz w:val="20"/>
                <w:szCs w:val="20"/>
                <w:color w:val="auto"/>
              </w:rPr>
            </w:pPr>
            <w:r>
              <w:rPr>
                <w:rFonts w:ascii="Arial" w:cs="Arial" w:eastAsia="Arial" w:hAnsi="Arial"/>
                <w:sz w:val="16"/>
                <w:szCs w:val="16"/>
                <w:color w:val="auto"/>
              </w:rPr>
              <w:t>Impairment expense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390.5</w:t>
            </w:r>
          </w:p>
        </w:tc>
      </w:tr>
      <w:tr>
        <w:trPr>
          <w:trHeight w:val="244"/>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expense</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w:t>
            </w:r>
          </w:p>
        </w:tc>
      </w:tr>
      <w:tr>
        <w:trPr>
          <w:trHeight w:val="242"/>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Supplier settlements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337.6</w:t>
            </w:r>
          </w:p>
        </w:tc>
      </w:tr>
      <w:tr>
        <w:trPr>
          <w:trHeight w:val="210"/>
        </w:trPr>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2,120.6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3,432.4</w:t>
            </w:r>
          </w:p>
        </w:tc>
      </w:tr>
      <w:tr>
        <w:trPr>
          <w:trHeight w:val="209"/>
        </w:trPr>
        <w:tc>
          <w:tcPr>
            <w:tcW w:w="68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(2,734.0)</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68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(43.0)</w:t>
            </w:r>
          </w:p>
        </w:tc>
      </w:tr>
      <w:tr>
        <w:trPr>
          <w:trHeight w:val="217"/>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6800" w:type="dxa"/>
            <w:vAlign w:val="bottom"/>
          </w:tcPr>
          <w:p>
            <w:pPr>
              <w:ind w:left="140"/>
              <w:spacing w:after="0"/>
              <w:rPr>
                <w:sz w:val="20"/>
                <w:szCs w:val="20"/>
                <w:color w:val="auto"/>
              </w:rPr>
            </w:pPr>
            <w:r>
              <w:rPr>
                <w:rFonts w:ascii="Arial" w:cs="Arial" w:eastAsia="Arial" w:hAnsi="Arial"/>
                <w:sz w:val="16"/>
                <w:szCs w:val="16"/>
                <w:color w:val="auto"/>
              </w:rPr>
              <w:t>Foreign exchange gain (loss)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17"/>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6800" w:type="dxa"/>
            <w:vAlign w:val="bottom"/>
          </w:tcPr>
          <w:p>
            <w:pPr>
              <w:ind w:left="140"/>
              <w:spacing w:after="0"/>
              <w:rPr>
                <w:sz w:val="20"/>
                <w:szCs w:val="20"/>
                <w:color w:val="auto"/>
              </w:rPr>
            </w:pPr>
            <w:r>
              <w:rPr>
                <w:rFonts w:ascii="Arial" w:cs="Arial" w:eastAsia="Arial" w:hAnsi="Arial"/>
                <w:sz w:val="16"/>
                <w:szCs w:val="16"/>
                <w:color w:val="auto"/>
              </w:rPr>
              <w:t>Net gain on debt refinancing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r>
      <w:tr>
        <w:trPr>
          <w:trHeight w:val="209"/>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before income taxes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(2,808.1)</w:t>
            </w:r>
          </w:p>
        </w:tc>
      </w:tr>
      <w:tr>
        <w:trPr>
          <w:trHeight w:val="210"/>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10"/>
        </w:trPr>
        <w:tc>
          <w:tcPr>
            <w:tcW w:w="68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(2,827.7)</w:t>
            </w: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6"/>
        </w:trPr>
        <w:tc>
          <w:tcPr>
            <w:tcW w:w="6800" w:type="dxa"/>
            <w:vAlign w:val="bottom"/>
          </w:tcPr>
          <w:p>
            <w:pPr>
              <w:spacing w:after="0"/>
              <w:rPr>
                <w:sz w:val="20"/>
                <w:szCs w:val="20"/>
                <w:color w:val="auto"/>
              </w:rPr>
            </w:pPr>
            <w:r>
              <w:rPr>
                <w:rFonts w:ascii="Arial" w:cs="Arial" w:eastAsia="Arial" w:hAnsi="Arial"/>
                <w:sz w:val="13"/>
                <w:szCs w:val="13"/>
                <w:color w:val="auto"/>
              </w:rPr>
              <w:t>(1) Includes stock-based compensation expense as follows:</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43"/>
        </w:trPr>
        <w:tc>
          <w:tcPr>
            <w:tcW w:w="68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6"/>
          </w:tcPr>
          <w:p>
            <w:pPr>
              <w:jc w:val="center"/>
              <w:ind w:left="39"/>
              <w:spacing w:after="0"/>
              <w:rPr>
                <w:sz w:val="20"/>
                <w:szCs w:val="20"/>
                <w:color w:val="auto"/>
              </w:rPr>
            </w:pPr>
            <w:r>
              <w:rPr>
                <w:rFonts w:ascii="Arial" w:cs="Arial" w:eastAsia="Arial" w:hAnsi="Arial"/>
                <w:sz w:val="16"/>
                <w:szCs w:val="16"/>
                <w:b w:val="1"/>
                <w:bCs w:val="1"/>
                <w:color w:val="auto"/>
              </w:rPr>
              <w:t>Fiscal Year Ended June 30,</w:t>
            </w:r>
          </w:p>
        </w:tc>
        <w:tc>
          <w:tcPr>
            <w:tcW w:w="1040" w:type="dxa"/>
            <w:vAlign w:val="bottom"/>
            <w:tcBorders>
              <w:bottom w:val="single" w:sz="8" w:color="auto"/>
            </w:tcBorders>
          </w:tcPr>
          <w:p>
            <w:pPr>
              <w:spacing w:after="0"/>
              <w:rPr>
                <w:sz w:val="21"/>
                <w:szCs w:val="21"/>
                <w:color w:val="auto"/>
              </w:rPr>
            </w:pPr>
          </w:p>
        </w:tc>
      </w:tr>
      <w:tr>
        <w:trPr>
          <w:trHeight w:val="223"/>
        </w:trPr>
        <w:tc>
          <w:tcPr>
            <w:tcW w:w="68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23"/>
        </w:trPr>
        <w:tc>
          <w:tcPr>
            <w:tcW w:w="6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680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17"/>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09"/>
        </w:trPr>
        <w:tc>
          <w:tcPr>
            <w:tcW w:w="680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42.9</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177.1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152.4</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215"/>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 expense</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w:t>
            </w:r>
          </w:p>
        </w:tc>
      </w:tr>
      <w:tr>
        <w:trPr>
          <w:trHeight w:val="235"/>
        </w:trPr>
        <w:tc>
          <w:tcPr>
            <w:tcW w:w="6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311.7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328.4</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fiscal year ended June 30, 2024, in connection with the CEO transition, we recognized stock-based compensation expense of $41.9 million for one year of accelerated vesting of stock options, which had an exercise price of $38.77 per share and a grant date fair value of approximately $167.6 million. In addition, we recognized incremental stock-based compensation expense of $5.4 million for the modification of stock option awards related to extension of the exercise window through December 31, 2027. These expenses were recognized within General and administrative expense in the Consolidated Statements of Operations and Comprehensive Loss.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July 1, 2022, the Compensation Committee of the Board of Directors of the Company (the “Compensation Committee”) approved accelerating the vesting requirement for unvested restricted stock units held by certain employees by one year. This applied to eligible unvested restricted stock units that had more than eight quarterly vesting dates remaining in their vesting schedule. The acceleration resulted in approximately $35.6 million of stock-based compensation expense being pulled forward and recognized in the fiscal year ended June 30, 2023. Additionally, on July 1, 2022, the Compensation Committee approved a one-time repricing of certain stock option awards that had been granted to date under the 2019 Equity Incentive Plan (the “2019 Plan”). The repricing impacted stock options held by all employees who remained employed through July 25, 2022. The repricing did not apply to our U.S.-based hourly employees (or employees with equivalent roles in non-U.S. locations) or our C-level executives. The modification resulted in incremental stock-based compensation expense of $21.9 million in the aggregate.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(2) Includes depreciation and amortization expense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center"/>
              <w:ind w:left="39"/>
              <w:spacing w:after="0"/>
              <w:rPr>
                <w:sz w:val="20"/>
                <w:szCs w:val="20"/>
                <w:color w:val="auto"/>
              </w:rPr>
            </w:pPr>
            <w:r>
              <w:rPr>
                <w:rFonts w:ascii="Arial" w:cs="Arial" w:eastAsia="Arial" w:hAnsi="Arial"/>
                <w:sz w:val="16"/>
                <w:szCs w:val="16"/>
                <w:b w:val="1"/>
                <w:bCs w:val="1"/>
                <w:color w:val="auto"/>
              </w:rPr>
              <w:t>Fiscal Year Ended June 30,</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32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center"/>
              <w:ind w:right="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320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7"/>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22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9"/>
        </w:trPr>
        <w:tc>
          <w:tcPr>
            <w:tcW w:w="452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2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7"/>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15"/>
        </w:trPr>
        <w:tc>
          <w:tcPr>
            <w:tcW w:w="45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17"/>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2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0"/>
        </w:trPr>
        <w:tc>
          <w:tcPr>
            <w:tcW w:w="4520" w:type="dxa"/>
            <w:vAlign w:val="bottom"/>
          </w:tcPr>
          <w:p>
            <w:pPr>
              <w:ind w:left="340"/>
              <w:spacing w:after="0"/>
              <w:rPr>
                <w:sz w:val="20"/>
                <w:szCs w:val="20"/>
                <w:color w:val="auto"/>
              </w:rPr>
            </w:pPr>
            <w:r>
              <w:rPr>
                <w:rFonts w:ascii="Arial" w:cs="Arial" w:eastAsia="Arial" w:hAnsi="Arial"/>
                <w:sz w:val="16"/>
                <w:szCs w:val="16"/>
                <w:color w:val="auto"/>
              </w:rPr>
              <w:t>Total depreciation and amortization expense</w:t>
            </w:r>
          </w:p>
        </w:tc>
        <w:tc>
          <w:tcPr>
            <w:tcW w:w="2280" w:type="dxa"/>
            <w:vAlign w:val="bottom"/>
          </w:tcPr>
          <w:p>
            <w:pPr>
              <w:spacing w:after="0"/>
              <w:rPr>
                <w:sz w:val="18"/>
                <w:szCs w:val="18"/>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108.8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280" w:type="dxa"/>
            <w:vAlign w:val="bottom"/>
            <w:vMerge w:val="restart"/>
          </w:tcPr>
          <w:p>
            <w:pPr>
              <w:jc w:val="right"/>
              <w:ind w:right="999"/>
              <w:spacing w:after="0"/>
              <w:rPr>
                <w:sz w:val="20"/>
                <w:szCs w:val="20"/>
                <w:color w:val="auto"/>
              </w:rPr>
            </w:pPr>
            <w:r>
              <w:rPr>
                <w:rFonts w:ascii="Arial" w:cs="Arial" w:eastAsia="Arial" w:hAnsi="Arial"/>
                <w:sz w:val="16"/>
                <w:szCs w:val="16"/>
                <w:color w:val="auto"/>
              </w:rPr>
              <w:t>50</w:t>
            </w: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45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52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3"/>
        </w:trPr>
        <w:tc>
          <w:tcPr>
            <w:tcW w:w="2720" w:type="dxa"/>
            <w:vAlign w:val="bottom"/>
          </w:tcPr>
          <w:p>
            <w:pPr>
              <w:spacing w:after="0"/>
              <w:rPr>
                <w:sz w:val="19"/>
                <w:szCs w:val="19"/>
                <w:color w:val="auto"/>
              </w:rPr>
            </w:pPr>
          </w:p>
        </w:tc>
        <w:tc>
          <w:tcPr>
            <w:tcW w:w="5600" w:type="dxa"/>
            <w:vAlign w:val="bottom"/>
            <w:gridSpan w:val="4"/>
          </w:tcPr>
          <w:p>
            <w:pPr>
              <w:ind w:left="540"/>
              <w:spacing w:after="0"/>
              <w:rPr>
                <w:sz w:val="20"/>
                <w:szCs w:val="20"/>
                <w:color w:val="auto"/>
              </w:rPr>
            </w:pPr>
            <w:r>
              <w:rPr>
                <w:rFonts w:ascii="Arial" w:cs="Arial" w:eastAsia="Arial" w:hAnsi="Arial"/>
                <w:sz w:val="16"/>
                <w:szCs w:val="16"/>
                <w:b w:val="1"/>
                <w:bCs w:val="1"/>
                <w:color w:val="auto"/>
              </w:rPr>
              <w:t>Comparison of the fiscal years ended June 30, 2024 and 2023</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05"/>
        </w:trPr>
        <w:tc>
          <w:tcPr>
            <w:tcW w:w="272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3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53"/>
        </w:trPr>
        <w:tc>
          <w:tcPr>
            <w:tcW w:w="27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Fiscal Year Ended June 30,</w:t>
            </w:r>
          </w:p>
        </w:tc>
        <w:tc>
          <w:tcPr>
            <w:tcW w:w="1400" w:type="dxa"/>
            <w:vAlign w:val="bottom"/>
          </w:tcPr>
          <w:p>
            <w:pPr>
              <w:spacing w:after="0"/>
              <w:rPr>
                <w:sz w:val="24"/>
                <w:szCs w:val="24"/>
                <w:color w:val="auto"/>
              </w:rPr>
            </w:pPr>
          </w:p>
        </w:tc>
      </w:tr>
      <w:tr>
        <w:trPr>
          <w:trHeight w:val="223"/>
        </w:trPr>
        <w:tc>
          <w:tcPr>
            <w:tcW w:w="27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7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(dollars in millions)</w:t>
            </w:r>
          </w:p>
        </w:tc>
        <w:tc>
          <w:tcPr>
            <w:tcW w:w="1400" w:type="dxa"/>
            <w:vAlign w:val="bottom"/>
          </w:tcPr>
          <w:p>
            <w:pPr>
              <w:spacing w:after="0"/>
              <w:rPr>
                <w:sz w:val="18"/>
                <w:szCs w:val="18"/>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15"/>
        </w:trPr>
        <w:tc>
          <w:tcPr>
            <w:tcW w:w="27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43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991.7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1,130.2</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(12.2)%</w:t>
            </w:r>
          </w:p>
        </w:tc>
      </w:tr>
      <w:tr>
        <w:trPr>
          <w:trHeight w:val="217"/>
        </w:trPr>
        <w:tc>
          <w:tcPr>
            <w:tcW w:w="2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39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1,708.7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1,670.1</w:t>
            </w:r>
          </w:p>
        </w:tc>
        <w:tc>
          <w:tcPr>
            <w:tcW w:w="14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8"/>
              </w:rPr>
              <w:t>2.3</w:t>
            </w:r>
          </w:p>
        </w:tc>
      </w:tr>
      <w:tr>
        <w:trPr>
          <w:trHeight w:val="209"/>
        </w:trPr>
        <w:tc>
          <w:tcPr>
            <w:tcW w:w="272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39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2,700.5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2,800.2</w:t>
            </w:r>
          </w:p>
        </w:tc>
        <w:tc>
          <w:tcPr>
            <w:tcW w:w="1400" w:type="dxa"/>
            <w:vAlign w:val="bottom"/>
          </w:tcPr>
          <w:p>
            <w:pPr>
              <w:jc w:val="center"/>
              <w:spacing w:after="0"/>
              <w:rPr>
                <w:sz w:val="20"/>
                <w:szCs w:val="20"/>
                <w:color w:val="auto"/>
              </w:rPr>
            </w:pPr>
            <w:r>
              <w:rPr>
                <w:rFonts w:ascii="Arial" w:cs="Arial" w:eastAsia="Arial" w:hAnsi="Arial"/>
                <w:sz w:val="16"/>
                <w:szCs w:val="16"/>
                <w:color w:val="auto"/>
              </w:rPr>
              <w:t>(3.6)%</w:t>
            </w: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210"/>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revenue</w:t>
            </w:r>
          </w:p>
        </w:tc>
        <w:tc>
          <w:tcPr>
            <w:tcW w:w="3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2"/>
        </w:trPr>
        <w:tc>
          <w:tcPr>
            <w:tcW w:w="27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3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36.7 %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40.4 %</w:t>
            </w:r>
          </w:p>
        </w:tc>
        <w:tc>
          <w:tcPr>
            <w:tcW w:w="1400" w:type="dxa"/>
            <w:vAlign w:val="bottom"/>
          </w:tcPr>
          <w:p>
            <w:pPr>
              <w:spacing w:after="0"/>
              <w:rPr>
                <w:sz w:val="21"/>
                <w:szCs w:val="21"/>
                <w:color w:val="auto"/>
              </w:rPr>
            </w:pPr>
          </w:p>
        </w:tc>
      </w:tr>
      <w:tr>
        <w:trPr>
          <w:trHeight w:val="244"/>
        </w:trPr>
        <w:tc>
          <w:tcPr>
            <w:tcW w:w="2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39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59.6</w:t>
            </w:r>
          </w:p>
        </w:tc>
        <w:tc>
          <w:tcPr>
            <w:tcW w:w="1400" w:type="dxa"/>
            <w:vAlign w:val="bottom"/>
            <w:shd w:val="clear" w:color="auto" w:fill="CCEEFF"/>
          </w:tcPr>
          <w:p>
            <w:pPr>
              <w:spacing w:after="0"/>
              <w:rPr>
                <w:sz w:val="21"/>
                <w:szCs w:val="21"/>
                <w:color w:val="auto"/>
              </w:rPr>
            </w:pPr>
          </w:p>
        </w:tc>
      </w:tr>
      <w:tr>
        <w:trPr>
          <w:trHeight w:val="209"/>
        </w:trPr>
        <w:tc>
          <w:tcPr>
            <w:tcW w:w="2720" w:type="dxa"/>
            <w:vAlign w:val="bottom"/>
          </w:tcPr>
          <w:p>
            <w:pPr>
              <w:ind w:left="360"/>
              <w:spacing w:after="0"/>
              <w:rPr>
                <w:sz w:val="20"/>
                <w:szCs w:val="20"/>
                <w:color w:val="auto"/>
              </w:rPr>
            </w:pPr>
            <w:r>
              <w:rPr>
                <w:rFonts w:ascii="Arial" w:cs="Arial" w:eastAsia="Arial" w:hAnsi="Arial"/>
                <w:sz w:val="16"/>
                <w:szCs w:val="16"/>
                <w:color w:val="auto"/>
              </w:rPr>
              <w:t>Total</w:t>
            </w:r>
          </w:p>
        </w:tc>
        <w:tc>
          <w:tcPr>
            <w:tcW w:w="3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400" w:type="dxa"/>
            <w:vAlign w:val="bottom"/>
          </w:tcPr>
          <w:p>
            <w:pPr>
              <w:spacing w:after="0"/>
              <w:rPr>
                <w:sz w:val="18"/>
                <w:szCs w:val="18"/>
                <w:color w:val="auto"/>
              </w:rPr>
            </w:pPr>
          </w:p>
        </w:tc>
      </w:tr>
      <w:tr>
        <w:trPr>
          <w:trHeight w:val="21"/>
        </w:trPr>
        <w:tc>
          <w:tcPr>
            <w:tcW w:w="27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 Ended June 30, 2024 and 2023</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Connected Fitness Products revenue decreased $138.4 million for the fiscal year ended June 30, 2024 compared to the fiscal year ended June 30, 2023. This decrease was primarily attributable to fewer Bike, Accessory, and Row deliveries driven by less demand, partially offset by higher demand from our rental program and Tread+.</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Subscription revenue increased $38.7 million for the fiscal year ended June 30, 2024 compared to the fiscal year ended June 30, 2023. This increase was primarily attributable to incremental revenue from content licensing that was not in effect during the fiscal year ended June 30,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2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 Gross Profit, and Gross Margin</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40"/>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Fiscal Year Ended June 30,</w:t>
            </w:r>
          </w:p>
        </w:tc>
        <w:tc>
          <w:tcPr>
            <w:tcW w:w="1480" w:type="dxa"/>
            <w:vAlign w:val="bottom"/>
          </w:tcPr>
          <w:p>
            <w:pPr>
              <w:spacing w:after="0"/>
              <w:rPr>
                <w:sz w:val="24"/>
                <w:szCs w:val="24"/>
                <w:color w:val="auto"/>
              </w:rPr>
            </w:pPr>
          </w:p>
        </w:tc>
      </w:tr>
      <w:tr>
        <w:trPr>
          <w:trHeight w:val="223"/>
        </w:trPr>
        <w:tc>
          <w:tcPr>
            <w:tcW w:w="6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48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210"/>
        </w:trPr>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(dollars in millions)</w:t>
            </w:r>
          </w:p>
        </w:tc>
        <w:tc>
          <w:tcPr>
            <w:tcW w:w="1480" w:type="dxa"/>
            <w:vAlign w:val="bottom"/>
          </w:tcPr>
          <w:p>
            <w:pPr>
              <w:spacing w:after="0"/>
              <w:rPr>
                <w:sz w:val="18"/>
                <w:szCs w:val="18"/>
                <w:color w:val="auto"/>
              </w:rPr>
            </w:pPr>
          </w:p>
        </w:tc>
      </w:tr>
      <w:tr>
        <w:trPr>
          <w:trHeight w:val="24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15"/>
        </w:trPr>
        <w:tc>
          <w:tcPr>
            <w:tcW w:w="66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943.0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1,328.8</w:t>
            </w:r>
          </w:p>
        </w:tc>
        <w:tc>
          <w:tcPr>
            <w:tcW w:w="1480" w:type="dxa"/>
            <w:vAlign w:val="bottom"/>
          </w:tcPr>
          <w:p>
            <w:pPr>
              <w:jc w:val="center"/>
              <w:ind w:left="19"/>
              <w:spacing w:after="0"/>
              <w:rPr>
                <w:sz w:val="20"/>
                <w:szCs w:val="20"/>
                <w:color w:val="auto"/>
              </w:rPr>
            </w:pPr>
            <w:r>
              <w:rPr>
                <w:rFonts w:ascii="Arial" w:cs="Arial" w:eastAsia="Arial" w:hAnsi="Arial"/>
                <w:sz w:val="16"/>
                <w:szCs w:val="16"/>
                <w:color w:val="auto"/>
              </w:rPr>
              <w:t>(29.0)%</w:t>
            </w:r>
          </w:p>
        </w:tc>
      </w:tr>
      <w:tr>
        <w:trPr>
          <w:trHeight w:val="216"/>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551.0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547.9</w:t>
            </w:r>
          </w:p>
        </w:tc>
        <w:tc>
          <w:tcPr>
            <w:tcW w:w="148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8"/>
              </w:rPr>
              <w:t>0.6</w:t>
            </w:r>
          </w:p>
        </w:tc>
      </w:tr>
      <w:tr>
        <w:trPr>
          <w:trHeight w:val="210"/>
        </w:trPr>
        <w:tc>
          <w:tcPr>
            <w:tcW w:w="662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1,494.0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1,876.7</w:t>
            </w:r>
          </w:p>
        </w:tc>
        <w:tc>
          <w:tcPr>
            <w:tcW w:w="1480" w:type="dxa"/>
            <w:vAlign w:val="bottom"/>
          </w:tcPr>
          <w:p>
            <w:pPr>
              <w:jc w:val="center"/>
              <w:ind w:left="19"/>
              <w:spacing w:after="0"/>
              <w:rPr>
                <w:sz w:val="20"/>
                <w:szCs w:val="20"/>
                <w:color w:val="auto"/>
              </w:rPr>
            </w:pPr>
            <w:r>
              <w:rPr>
                <w:rFonts w:ascii="Arial" w:cs="Arial" w:eastAsia="Arial" w:hAnsi="Arial"/>
                <w:sz w:val="16"/>
                <w:szCs w:val="16"/>
                <w:color w:val="auto"/>
              </w:rPr>
              <w:t>(20.4)%</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15"/>
        </w:trPr>
        <w:tc>
          <w:tcPr>
            <w:tcW w:w="66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(198.6)</w:t>
            </w:r>
          </w:p>
        </w:tc>
        <w:tc>
          <w:tcPr>
            <w:tcW w:w="1480" w:type="dxa"/>
            <w:vAlign w:val="bottom"/>
          </w:tcPr>
          <w:p>
            <w:pPr>
              <w:jc w:val="center"/>
              <w:ind w:left="19"/>
              <w:spacing w:after="0"/>
              <w:rPr>
                <w:sz w:val="20"/>
                <w:szCs w:val="20"/>
                <w:color w:val="auto"/>
              </w:rPr>
            </w:pPr>
            <w:r>
              <w:rPr>
                <w:rFonts w:ascii="Arial" w:cs="Arial" w:eastAsia="Arial" w:hAnsi="Arial"/>
                <w:sz w:val="16"/>
                <w:szCs w:val="16"/>
                <w:color w:val="auto"/>
                <w:w w:val="99"/>
              </w:rPr>
              <w:t>124.6%</w:t>
            </w:r>
          </w:p>
        </w:tc>
      </w:tr>
      <w:tr>
        <w:trPr>
          <w:trHeight w:val="217"/>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1,157.7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1,122.1</w:t>
            </w:r>
          </w:p>
        </w:tc>
        <w:tc>
          <w:tcPr>
            <w:tcW w:w="148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8"/>
              </w:rPr>
              <w:t>3.2</w:t>
            </w:r>
          </w:p>
        </w:tc>
      </w:tr>
      <w:tr>
        <w:trPr>
          <w:trHeight w:val="209"/>
        </w:trPr>
        <w:tc>
          <w:tcPr>
            <w:tcW w:w="6620" w:type="dxa"/>
            <w:vAlign w:val="bottom"/>
          </w:tcPr>
          <w:p>
            <w:pPr>
              <w:ind w:left="240"/>
              <w:spacing w:after="0"/>
              <w:rPr>
                <w:sz w:val="20"/>
                <w:szCs w:val="20"/>
                <w:color w:val="auto"/>
              </w:rPr>
            </w:pPr>
            <w:r>
              <w:rPr>
                <w:rFonts w:ascii="Arial" w:cs="Arial" w:eastAsia="Arial" w:hAnsi="Arial"/>
                <w:sz w:val="16"/>
                <w:szCs w:val="16"/>
                <w:color w:val="auto"/>
              </w:rPr>
              <w:t>Total Gross profit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1,206.5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923.5</w:t>
            </w:r>
          </w:p>
        </w:tc>
        <w:tc>
          <w:tcPr>
            <w:tcW w:w="1480" w:type="dxa"/>
            <w:vAlign w:val="bottom"/>
          </w:tcPr>
          <w:p>
            <w:pPr>
              <w:jc w:val="center"/>
              <w:ind w:left="19"/>
              <w:spacing w:after="0"/>
              <w:rPr>
                <w:sz w:val="20"/>
                <w:szCs w:val="20"/>
                <w:color w:val="auto"/>
              </w:rPr>
            </w:pPr>
            <w:r>
              <w:rPr>
                <w:rFonts w:ascii="Arial" w:cs="Arial" w:eastAsia="Arial" w:hAnsi="Arial"/>
                <w:sz w:val="16"/>
                <w:szCs w:val="16"/>
                <w:color w:val="auto"/>
              </w:rPr>
              <w:t>30.6%</w:t>
            </w: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Gross Margin: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3760" w:type="dxa"/>
            <w:vAlign w:val="bottom"/>
          </w:tcPr>
          <w:p>
            <w:pPr>
              <w:jc w:val="right"/>
              <w:ind w:right="439"/>
              <w:spacing w:after="0"/>
              <w:rPr>
                <w:sz w:val="20"/>
                <w:szCs w:val="20"/>
                <w:color w:val="auto"/>
              </w:rPr>
            </w:pPr>
            <w:r>
              <w:rPr>
                <w:rFonts w:ascii="Arial" w:cs="Arial" w:eastAsia="Arial" w:hAnsi="Arial"/>
                <w:sz w:val="16"/>
                <w:szCs w:val="16"/>
                <w:color w:val="auto"/>
              </w:rPr>
              <w:t>4.9 %</w:t>
            </w:r>
          </w:p>
        </w:tc>
        <w:tc>
          <w:tcPr>
            <w:tcW w:w="2580" w:type="dxa"/>
            <w:vAlign w:val="bottom"/>
          </w:tcPr>
          <w:p>
            <w:pPr>
              <w:jc w:val="right"/>
              <w:ind w:right="1399"/>
              <w:spacing w:after="0"/>
              <w:rPr>
                <w:sz w:val="20"/>
                <w:szCs w:val="20"/>
                <w:color w:val="auto"/>
              </w:rPr>
            </w:pPr>
            <w:r>
              <w:rPr>
                <w:rFonts w:ascii="Arial" w:cs="Arial" w:eastAsia="Arial" w:hAnsi="Arial"/>
                <w:sz w:val="16"/>
                <w:szCs w:val="16"/>
                <w:color w:val="auto"/>
              </w:rPr>
              <w:t>(17.6)%</w:t>
            </w:r>
          </w:p>
        </w:tc>
      </w:tr>
      <w:tr>
        <w:trPr>
          <w:trHeight w:val="244"/>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37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67.8 %</w:t>
            </w:r>
          </w:p>
        </w:tc>
        <w:tc>
          <w:tcPr>
            <w:tcW w:w="2580" w:type="dxa"/>
            <w:vAlign w:val="bottom"/>
            <w:shd w:val="clear" w:color="auto" w:fill="CCEEFF"/>
          </w:tcPr>
          <w:p>
            <w:pPr>
              <w:jc w:val="right"/>
              <w:ind w:right="1399"/>
              <w:spacing w:after="0"/>
              <w:rPr>
                <w:sz w:val="20"/>
                <w:szCs w:val="20"/>
                <w:color w:val="auto"/>
              </w:rPr>
            </w:pPr>
            <w:r>
              <w:rPr>
                <w:rFonts w:ascii="Arial" w:cs="Arial" w:eastAsia="Arial" w:hAnsi="Arial"/>
                <w:sz w:val="16"/>
                <w:szCs w:val="16"/>
                <w:color w:val="auto"/>
              </w:rPr>
              <w:t>67.2 %</w:t>
            </w: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 Ended June 30, 2024 and 2023</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Connected Fitness Products cost of revenue for the fiscal year ended June 30, 2024 decreased $385.8 million, or 29.0%, compared to the fiscal year ended June 30, 2023. This decrease was primarily driven by fewer deliveries stemming from lower demand for the fiscal year ended June 30, 2024 compared to the fiscal year ended June 30, 2023.</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Connected Fitness Products Gross Margin increased to 4.9% from (17.6)% for the fiscal year ended June 30, 2024 compared to the fiscal year ended June 30, 2023, primarily driven by lower net costs associated with product recall related matters, a decrease in inventory write downs and related obsolescence reserve expense, and lower shipping and logistics costs. Our extended warranty business did not have a material impact on our year-over-year change in Connected Fitness Products Gross Margin.</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Subscription cost of revenue for the fiscal year ended June 30, 2024 increased $3.1 million, or 0.6%, compared to the fiscal year ended June 30, 2023. This increase was primarily driven by increases in platform streaming and content productions costs of $8.7 million and increases in personnel related expenses of $7.1 million, partially offset by a decrease of $7.2 million in music royalties, a decrease in stock-based compensation expense, and a decrease in depreciation and amortization expenses.</w:t>
      </w:r>
    </w:p>
    <w:p>
      <w:pPr>
        <w:sectPr>
          <w:pgSz w:w="11900" w:h="16838" w:orient="portrait"/>
          <w:cols w:equalWidth="0" w:num="1">
            <w:col w:w="11240"/>
          </w:cols>
          <w:pgMar w:left="320" w:top="827"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6"/>
          <w:szCs w:val="16"/>
          <w:color w:val="auto"/>
        </w:rPr>
        <w:t>Subscription Gross Margin remained consistent for the fiscal year ended June 30, 2024 compared to the fiscal year ended June 30, 2023.</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8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76"/>
        </w:trPr>
        <w:tc>
          <w:tcPr>
            <w:tcW w:w="6680" w:type="dxa"/>
            <w:vAlign w:val="bottom"/>
          </w:tcPr>
          <w:p>
            <w:pPr>
              <w:spacing w:after="0"/>
              <w:rPr>
                <w:sz w:val="20"/>
                <w:szCs w:val="20"/>
                <w:color w:val="auto"/>
              </w:rPr>
            </w:pPr>
            <w:r>
              <w:rPr>
                <w:rFonts w:ascii="Arial" w:cs="Arial" w:eastAsia="Arial" w:hAnsi="Arial"/>
                <w:sz w:val="16"/>
                <w:szCs w:val="16"/>
                <w:i w:val="1"/>
                <w:iCs w:val="1"/>
                <w:color w:val="auto"/>
              </w:rPr>
              <w:t>Sales and Marketing</w:t>
            </w: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86"/>
        </w:trPr>
        <w:tc>
          <w:tcPr>
            <w:tcW w:w="6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Fiscal Year Ended June 30,</w:t>
            </w:r>
          </w:p>
        </w:tc>
        <w:tc>
          <w:tcPr>
            <w:tcW w:w="1420" w:type="dxa"/>
            <w:vAlign w:val="bottom"/>
          </w:tcPr>
          <w:p>
            <w:pPr>
              <w:spacing w:after="0"/>
              <w:rPr>
                <w:sz w:val="24"/>
                <w:szCs w:val="24"/>
                <w:color w:val="auto"/>
              </w:rPr>
            </w:pPr>
          </w:p>
        </w:tc>
      </w:tr>
      <w:tr>
        <w:trPr>
          <w:trHeight w:val="223"/>
        </w:trPr>
        <w:tc>
          <w:tcPr>
            <w:tcW w:w="6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(dollars in millions)</w:t>
            </w:r>
          </w:p>
        </w:tc>
        <w:tc>
          <w:tcPr>
            <w:tcW w:w="1420" w:type="dxa"/>
            <w:vAlign w:val="bottom"/>
          </w:tcPr>
          <w:p>
            <w:pPr>
              <w:spacing w:after="0"/>
              <w:rPr>
                <w:sz w:val="19"/>
                <w:szCs w:val="19"/>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658.9</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648.2</w:t>
            </w:r>
          </w:p>
        </w:tc>
        <w:tc>
          <w:tcPr>
            <w:tcW w:w="142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1.7%</w:t>
            </w:r>
          </w:p>
        </w:tc>
      </w:tr>
      <w:tr>
        <w:trPr>
          <w:trHeight w:val="241"/>
        </w:trPr>
        <w:tc>
          <w:tcPr>
            <w:tcW w:w="668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24.4 %</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23.1 %</w:t>
            </w:r>
          </w:p>
        </w:tc>
        <w:tc>
          <w:tcPr>
            <w:tcW w:w="1420" w:type="dxa"/>
            <w:vAlign w:val="bottom"/>
          </w:tcPr>
          <w:p>
            <w:pPr>
              <w:spacing w:after="0"/>
              <w:rPr>
                <w:sz w:val="20"/>
                <w:szCs w:val="20"/>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 Ended June 30, 2024 and 2023</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Sales and marketing expense increased $10.8 million in the fiscal year ended June 30, 2024 compared to the fiscal year ended June 30, 2023. The increase was primarily due to an increase in spending on advertising and marketing programs of $74.1 million. This increase was partially offset by decreases in personnel-related expenses of $27.8 million, primarily due to decreased average headcount, decreases in rent and occupancy and other retail related costs of $16.2 million, primarily driven by a reduction in our retail showroom presence, decreases in stock-based compensation expense of $7.7 million, primarily driven by the acceleration of certain restricted stock unit vesting schedules and the repricing of certain stock option awards during the prior year, decreases in depreciation and amortization expense of $9.2 million, and decreases in business operations.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20"/>
                <w:szCs w:val="20"/>
                <w:color w:val="auto"/>
              </w:rPr>
            </w:pPr>
            <w:r>
              <w:rPr>
                <w:rFonts w:ascii="Arial" w:cs="Arial" w:eastAsia="Arial" w:hAnsi="Arial"/>
                <w:sz w:val="16"/>
                <w:szCs w:val="16"/>
                <w:i w:val="1"/>
                <w:iCs w:val="1"/>
                <w:color w:val="auto"/>
              </w:rPr>
              <w:t>General and Administrative</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2"/>
        </w:trPr>
        <w:tc>
          <w:tcPr>
            <w:tcW w:w="67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Fiscal Year Ended June 30,</w:t>
            </w:r>
          </w:p>
        </w:tc>
        <w:tc>
          <w:tcPr>
            <w:tcW w:w="1400" w:type="dxa"/>
            <w:vAlign w:val="bottom"/>
          </w:tcPr>
          <w:p>
            <w:pPr>
              <w:spacing w:after="0"/>
              <w:rPr>
                <w:sz w:val="23"/>
                <w:szCs w:val="23"/>
                <w:color w:val="auto"/>
              </w:rPr>
            </w:pPr>
          </w:p>
        </w:tc>
      </w:tr>
      <w:tr>
        <w:trPr>
          <w:trHeight w:val="223"/>
        </w:trPr>
        <w:tc>
          <w:tcPr>
            <w:tcW w:w="6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4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(dollars in millions)</w:t>
            </w:r>
          </w:p>
        </w:tc>
        <w:tc>
          <w:tcPr>
            <w:tcW w:w="1400" w:type="dxa"/>
            <w:vAlign w:val="bottom"/>
          </w:tcPr>
          <w:p>
            <w:pPr>
              <w:spacing w:after="0"/>
              <w:rPr>
                <w:sz w:val="19"/>
                <w:szCs w:val="19"/>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651.0</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798.1</w:t>
            </w:r>
          </w:p>
        </w:tc>
        <w:tc>
          <w:tcPr>
            <w:tcW w:w="14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(18.4)%</w:t>
            </w:r>
          </w:p>
        </w:tc>
      </w:tr>
      <w:tr>
        <w:trPr>
          <w:trHeight w:val="241"/>
        </w:trPr>
        <w:tc>
          <w:tcPr>
            <w:tcW w:w="670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24.1 %</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28.5 %</w:t>
            </w:r>
          </w:p>
        </w:tc>
        <w:tc>
          <w:tcPr>
            <w:tcW w:w="1400" w:type="dxa"/>
            <w:vAlign w:val="bottom"/>
          </w:tcPr>
          <w:p>
            <w:pPr>
              <w:spacing w:after="0"/>
              <w:rPr>
                <w:sz w:val="20"/>
                <w:szCs w:val="20"/>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 Ended June 30, 2024 and 2023</w:t>
      </w:r>
    </w:p>
    <w:p>
      <w:pPr>
        <w:spacing w:after="0" w:line="35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General and administrative expense decreased $147.1 million in the fiscal year ended June 30, 2024 compared to the fiscal year ended June 30, 2023. The decrease was driven by the $75.0 million Dish settlement during the fiscal year ended June 30, 2023 as well as reductions in professional services fees (comprised of legal, accounting, and consulting fees) of $45.2 million, personnel-related expenses of $18.0 million, primarily due to decreased average headcount, and decreases in IT and software expenses of $8.2 million. These decreases were partially offset by an increase in stock-based compensation expense of $9.9 million, primarily related to expense recognized in connection with the CEO transition, offset by the acceleration of certain restricted stock unit vesting schedules and the repricing of certain stock option awards during the prior year.</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Pr>
          <w:p>
            <w:pPr>
              <w:spacing w:after="0"/>
              <w:rPr>
                <w:sz w:val="20"/>
                <w:szCs w:val="20"/>
                <w:color w:val="auto"/>
              </w:rPr>
            </w:pPr>
            <w:r>
              <w:rPr>
                <w:rFonts w:ascii="Arial" w:cs="Arial" w:eastAsia="Arial" w:hAnsi="Arial"/>
                <w:sz w:val="16"/>
                <w:szCs w:val="16"/>
                <w:i w:val="1"/>
                <w:iCs w:val="1"/>
                <w:color w:val="auto"/>
              </w:rPr>
              <w:t>Research and Development</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85"/>
        </w:trPr>
        <w:tc>
          <w:tcPr>
            <w:tcW w:w="6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Fiscal Year Ended June 30,</w:t>
            </w:r>
          </w:p>
        </w:tc>
        <w:tc>
          <w:tcPr>
            <w:tcW w:w="1420" w:type="dxa"/>
            <w:vAlign w:val="bottom"/>
          </w:tcPr>
          <w:p>
            <w:pPr>
              <w:spacing w:after="0"/>
              <w:rPr>
                <w:sz w:val="24"/>
                <w:szCs w:val="24"/>
                <w:color w:val="auto"/>
              </w:rPr>
            </w:pPr>
          </w:p>
        </w:tc>
      </w:tr>
      <w:tr>
        <w:trPr>
          <w:trHeight w:val="223"/>
        </w:trPr>
        <w:tc>
          <w:tcPr>
            <w:tcW w:w="6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(dollars in millions)</w:t>
            </w:r>
          </w:p>
        </w:tc>
        <w:tc>
          <w:tcPr>
            <w:tcW w:w="1420" w:type="dxa"/>
            <w:vAlign w:val="bottom"/>
          </w:tcPr>
          <w:p>
            <w:pPr>
              <w:spacing w:after="0"/>
              <w:rPr>
                <w:sz w:val="19"/>
                <w:szCs w:val="19"/>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304.8</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318.4</w:t>
            </w: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(4.3)%</w:t>
            </w:r>
          </w:p>
        </w:tc>
      </w:tr>
      <w:tr>
        <w:trPr>
          <w:trHeight w:val="241"/>
        </w:trPr>
        <w:tc>
          <w:tcPr>
            <w:tcW w:w="668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11.3 %</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11.4 %</w:t>
            </w:r>
          </w:p>
        </w:tc>
        <w:tc>
          <w:tcPr>
            <w:tcW w:w="1420" w:type="dxa"/>
            <w:vAlign w:val="bottom"/>
          </w:tcPr>
          <w:p>
            <w:pPr>
              <w:spacing w:after="0"/>
              <w:rPr>
                <w:sz w:val="20"/>
                <w:szCs w:val="20"/>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 Ended June 30, 2024 and 2023</w:t>
      </w:r>
    </w:p>
    <w:p>
      <w:pPr>
        <w:spacing w:after="0" w:line="260"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Research and development expense decreased $13.7 million, or 4.3% in the fiscal year ended June 30, 2024 compared to the fiscal year ended June 30, 2023. The decrease was primarily due to decreases of $11.8 million in product development and research costs, decreases of $6.3 million in business operations, and decreases of $7.9 million in stock-based compensation expense, primarily driven by the acceleration of certain restricted stock unit vesting schedules and the repricing of certain stock option awards during the prior year. The decrease was partially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4" w:name="page55"/>
    <w:bookmarkEnd w:id="54"/>
    <w:p>
      <w:pPr>
        <w:jc w:val="both"/>
        <w:spacing w:after="0" w:line="263" w:lineRule="auto"/>
        <w:rPr>
          <w:sz w:val="20"/>
          <w:szCs w:val="20"/>
          <w:color w:val="auto"/>
        </w:rPr>
      </w:pPr>
      <w:r>
        <w:rPr>
          <w:rFonts w:ascii="Arial" w:cs="Arial" w:eastAsia="Arial" w:hAnsi="Arial"/>
          <w:sz w:val="16"/>
          <w:szCs w:val="16"/>
          <w:color w:val="auto"/>
        </w:rPr>
        <w:t>offset by increases of $15.0 million in personnel-related expenses, as a result of a larger portion being capitalized during the fiscal year ended June 30, 2023.</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80" w:type="dxa"/>
            <w:vAlign w:val="bottom"/>
          </w:tcPr>
          <w:p>
            <w:pPr>
              <w:spacing w:after="0"/>
              <w:rPr>
                <w:sz w:val="20"/>
                <w:szCs w:val="20"/>
                <w:color w:val="auto"/>
              </w:rPr>
            </w:pPr>
            <w:r>
              <w:rPr>
                <w:rFonts w:ascii="Arial" w:cs="Arial" w:eastAsia="Arial" w:hAnsi="Arial"/>
                <w:sz w:val="16"/>
                <w:szCs w:val="16"/>
                <w:i w:val="1"/>
                <w:iCs w:val="1"/>
                <w:color w:val="auto"/>
              </w:rPr>
              <w:t>Impairment expense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86"/>
        </w:trPr>
        <w:tc>
          <w:tcPr>
            <w:tcW w:w="6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Fiscal Year Ended June 30,</w:t>
            </w:r>
          </w:p>
        </w:tc>
        <w:tc>
          <w:tcPr>
            <w:tcW w:w="1440" w:type="dxa"/>
            <w:vAlign w:val="bottom"/>
          </w:tcPr>
          <w:p>
            <w:pPr>
              <w:spacing w:after="0"/>
              <w:rPr>
                <w:sz w:val="24"/>
                <w:szCs w:val="24"/>
                <w:color w:val="auto"/>
              </w:rPr>
            </w:pPr>
          </w:p>
        </w:tc>
      </w:tr>
      <w:tr>
        <w:trPr>
          <w:trHeight w:val="223"/>
        </w:trPr>
        <w:tc>
          <w:tcPr>
            <w:tcW w:w="6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4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(dollars in millions)</w:t>
            </w:r>
          </w:p>
        </w:tc>
        <w:tc>
          <w:tcPr>
            <w:tcW w:w="1440" w:type="dxa"/>
            <w:vAlign w:val="bottom"/>
          </w:tcPr>
          <w:p>
            <w:pPr>
              <w:spacing w:after="0"/>
              <w:rPr>
                <w:sz w:val="19"/>
                <w:szCs w:val="19"/>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57.3</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14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(60.4)%</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 Ended June 30, 2024 and 2023</w:t>
      </w:r>
    </w:p>
    <w:p>
      <w:pPr>
        <w:spacing w:after="0" w:line="2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Impairment expense decreased $87.3 million, or 60.4% in the fiscal year ended June 30, 2024 compared to the fiscal year ended June 30, 2023. This decrease was primarily driven by decreases in asset write-downs and write-offs related to restructuring initiatives.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80" w:type="dxa"/>
            <w:vAlign w:val="bottom"/>
          </w:tcPr>
          <w:p>
            <w:pPr>
              <w:spacing w:after="0"/>
              <w:rPr>
                <w:sz w:val="20"/>
                <w:szCs w:val="20"/>
                <w:color w:val="auto"/>
              </w:rPr>
            </w:pPr>
            <w:r>
              <w:rPr>
                <w:rFonts w:ascii="Arial" w:cs="Arial" w:eastAsia="Arial" w:hAnsi="Arial"/>
                <w:sz w:val="16"/>
                <w:szCs w:val="16"/>
                <w:i w:val="1"/>
                <w:iCs w:val="1"/>
                <w:color w:val="auto"/>
              </w:rPr>
              <w:t>Restructuring expense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86"/>
        </w:trPr>
        <w:tc>
          <w:tcPr>
            <w:tcW w:w="6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Fiscal Year Ended June 30,</w:t>
            </w:r>
          </w:p>
        </w:tc>
        <w:tc>
          <w:tcPr>
            <w:tcW w:w="1440" w:type="dxa"/>
            <w:vAlign w:val="bottom"/>
          </w:tcPr>
          <w:p>
            <w:pPr>
              <w:spacing w:after="0"/>
              <w:rPr>
                <w:sz w:val="24"/>
                <w:szCs w:val="24"/>
                <w:color w:val="auto"/>
              </w:rPr>
            </w:pPr>
          </w:p>
        </w:tc>
      </w:tr>
      <w:tr>
        <w:trPr>
          <w:trHeight w:val="223"/>
        </w:trPr>
        <w:tc>
          <w:tcPr>
            <w:tcW w:w="6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4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(dollars in millions)</w:t>
            </w:r>
          </w:p>
        </w:tc>
        <w:tc>
          <w:tcPr>
            <w:tcW w:w="1440" w:type="dxa"/>
            <w:vAlign w:val="bottom"/>
          </w:tcPr>
          <w:p>
            <w:pPr>
              <w:spacing w:after="0"/>
              <w:rPr>
                <w:sz w:val="19"/>
                <w:szCs w:val="19"/>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66.1</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4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(65.1)%</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 Ended June 30, 2024 and 2023</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Restructuring expense decreased $123.3 million in the fiscal year ended June 30, 2024 compared to the fiscal year ended June 30, 2023, primarily related to decreases of $78.5 million in stock-based compensation expense, primarily due to incremental stock-based compensation expense from exercise window modifications and the acceleration of certain restricted stock unit vesting schedules pursuant to severance arrangements during the prior fiscal year and decreases of $48.6 million in cash severance and other personnel costs. These decreases were partially offset by an increase of $3.7 million, primarily related to a loss on the sale of a manufacturing subsidiary.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80" w:type="dxa"/>
            <w:vAlign w:val="bottom"/>
          </w:tcPr>
          <w:p>
            <w:pPr>
              <w:spacing w:after="0"/>
              <w:rPr>
                <w:sz w:val="20"/>
                <w:szCs w:val="20"/>
                <w:color w:val="auto"/>
              </w:rPr>
            </w:pPr>
            <w:r>
              <w:rPr>
                <w:rFonts w:ascii="Arial" w:cs="Arial" w:eastAsia="Arial" w:hAnsi="Arial"/>
                <w:sz w:val="16"/>
                <w:szCs w:val="16"/>
                <w:i w:val="1"/>
                <w:iCs w:val="1"/>
                <w:color w:val="auto"/>
              </w:rPr>
              <w:t>Supplier settlements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85"/>
        </w:trPr>
        <w:tc>
          <w:tcPr>
            <w:tcW w:w="6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Fiscal Year Ended June 30,</w:t>
            </w:r>
          </w:p>
        </w:tc>
        <w:tc>
          <w:tcPr>
            <w:tcW w:w="1440" w:type="dxa"/>
            <w:vAlign w:val="bottom"/>
          </w:tcPr>
          <w:p>
            <w:pPr>
              <w:spacing w:after="0"/>
              <w:rPr>
                <w:sz w:val="24"/>
                <w:szCs w:val="24"/>
                <w:color w:val="auto"/>
              </w:rPr>
            </w:pPr>
          </w:p>
        </w:tc>
      </w:tr>
      <w:tr>
        <w:trPr>
          <w:trHeight w:val="223"/>
        </w:trPr>
        <w:tc>
          <w:tcPr>
            <w:tcW w:w="6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2024</w:t>
            </w: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4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(dollars in millions)</w:t>
            </w:r>
          </w:p>
        </w:tc>
        <w:tc>
          <w:tcPr>
            <w:tcW w:w="1440" w:type="dxa"/>
            <w:vAlign w:val="bottom"/>
          </w:tcPr>
          <w:p>
            <w:pPr>
              <w:spacing w:after="0"/>
              <w:rPr>
                <w:sz w:val="19"/>
                <w:szCs w:val="19"/>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settlements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(112.0)%</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 Ended June 30, 2024 and 2023</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Supplier settlements decreased $24.6 million in the fiscal year ended June 30, 2024 compared to the fiscal year ended June 30, 2023. These costs, which consisted of settlement and related costs paid to third-party suppliers to terminate certain future inventory purchase commitments, were $22.0 million for the fiscal year ended June 30,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80" w:type="dxa"/>
            <w:vAlign w:val="bottom"/>
          </w:tcPr>
          <w:p>
            <w:pPr>
              <w:spacing w:after="0"/>
              <w:rPr>
                <w:sz w:val="20"/>
                <w:szCs w:val="20"/>
                <w:color w:val="auto"/>
              </w:rPr>
            </w:pPr>
            <w:r>
              <w:rPr>
                <w:rFonts w:ascii="Arial" w:cs="Arial" w:eastAsia="Arial" w:hAnsi="Arial"/>
                <w:sz w:val="16"/>
                <w:szCs w:val="16"/>
                <w:b w:val="1"/>
                <w:bCs w:val="1"/>
                <w:i w:val="1"/>
                <w:iCs w:val="1"/>
                <w:color w:val="auto"/>
              </w:rPr>
              <w:t>Total Other Expense, Net and Income Tax (Benefit) Expense</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8"/>
        </w:trPr>
        <w:tc>
          <w:tcPr>
            <w:tcW w:w="6880" w:type="dxa"/>
            <w:vAlign w:val="bottom"/>
          </w:tcPr>
          <w:p>
            <w:pPr>
              <w:spacing w:after="0"/>
              <w:rPr>
                <w:sz w:val="24"/>
                <w:szCs w:val="24"/>
                <w:color w:val="auto"/>
              </w:rPr>
            </w:pPr>
          </w:p>
        </w:tc>
        <w:tc>
          <w:tcPr>
            <w:tcW w:w="292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Fiscal Year Ended June 30,</w:t>
            </w:r>
          </w:p>
        </w:tc>
        <w:tc>
          <w:tcPr>
            <w:tcW w:w="1440" w:type="dxa"/>
            <w:vAlign w:val="bottom"/>
          </w:tcPr>
          <w:p>
            <w:pPr>
              <w:spacing w:after="0"/>
              <w:rPr>
                <w:sz w:val="24"/>
                <w:szCs w:val="24"/>
                <w:color w:val="auto"/>
              </w:rPr>
            </w:pPr>
          </w:p>
        </w:tc>
      </w:tr>
      <w:tr>
        <w:trPr>
          <w:trHeight w:val="223"/>
        </w:trPr>
        <w:tc>
          <w:tcPr>
            <w:tcW w:w="68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880" w:type="dxa"/>
            <w:vAlign w:val="bottom"/>
          </w:tcPr>
          <w:p>
            <w:pPr>
              <w:spacing w:after="0"/>
              <w:rPr>
                <w:sz w:val="19"/>
                <w:szCs w:val="19"/>
                <w:color w:val="auto"/>
              </w:rPr>
            </w:pPr>
          </w:p>
        </w:tc>
        <w:tc>
          <w:tcPr>
            <w:tcW w:w="244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(dollars in millions)</w:t>
            </w: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(112.5)</w:t>
            </w:r>
          </w:p>
        </w:tc>
        <w:tc>
          <w:tcPr>
            <w:tcW w:w="98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4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15.8%</w:t>
            </w:r>
          </w:p>
        </w:tc>
      </w:tr>
      <w:tr>
        <w:trPr>
          <w:trHeight w:val="215"/>
        </w:trPr>
        <w:tc>
          <w:tcPr>
            <w:tcW w:w="68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88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35.1</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26.4</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rPr>
              <w:t>32.9%</w:t>
            </w:r>
          </w:p>
        </w:tc>
      </w:tr>
      <w:tr>
        <w:trPr>
          <w:trHeight w:val="217"/>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(losses) gains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4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(100.5)%</w:t>
            </w:r>
          </w:p>
        </w:tc>
      </w:tr>
      <w:tr>
        <w:trPr>
          <w:trHeight w:val="215"/>
        </w:trPr>
        <w:tc>
          <w:tcPr>
            <w:tcW w:w="688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88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2.9</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rPr>
              <w:t>(77.3)%</w:t>
            </w:r>
          </w:p>
        </w:tc>
      </w:tr>
      <w:tr>
        <w:trPr>
          <w:trHeight w:val="217"/>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gain on debt refinancing</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53.6</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6"/>
              </w:rPr>
              <w:t>*NM</w:t>
            </w:r>
          </w:p>
        </w:tc>
      </w:tr>
      <w:tr>
        <w:trPr>
          <w:trHeight w:val="215"/>
        </w:trPr>
        <w:tc>
          <w:tcPr>
            <w:tcW w:w="688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3.7</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rPr>
              <w:t>(105.5)%</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i w:val="1"/>
          <w:iCs w:val="1"/>
          <w:color w:val="auto"/>
        </w:rPr>
        <w:t>Fiscal Years Ended June 30, 2024 and 2023</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net, was comprised of the following for the fiscal year ended June 30, 2024:</w:t>
      </w:r>
    </w:p>
    <w:p>
      <w:pPr>
        <w:spacing w:after="0" w:line="302"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Interest expense primarily related to term loan, convertible notes, and deferred financing costs of $112.5 million;</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$35.1 million;</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Foreign exchange losses were minimal;</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income, net of $0.7 million; and</w:t>
      </w:r>
    </w:p>
    <w:p>
      <w:pPr>
        <w:spacing w:after="0" w:line="5" w:lineRule="exact"/>
        <w:rPr>
          <w:rFonts w:ascii="Arial" w:cs="Arial" w:eastAsia="Arial" w:hAnsi="Arial"/>
          <w:sz w:val="16"/>
          <w:szCs w:val="16"/>
          <w:color w:val="auto"/>
        </w:rPr>
      </w:pPr>
    </w:p>
    <w:p>
      <w:pPr>
        <w:ind w:left="660" w:right="20" w:hanging="328"/>
        <w:spacing w:after="0" w:line="283"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Net gain on debt refinancing of $53.6 million, related to the 2026 Notes gain on extinguishment of debt of $69.8 million, partially offset by the Term Loan loss on extinguishment of $7.5 million and modification of debt of $8.7 million.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net, was comprised of the following for the fiscal year ended June 30, 2023:</w:t>
      </w:r>
    </w:p>
    <w:p>
      <w:pPr>
        <w:spacing w:after="0" w:line="248"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Interest expense primarily related to term loan, convertible notes, and deferred financing costs of $97.1 million;</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$26.4 million;</w:t>
      </w:r>
    </w:p>
    <w:p>
      <w:pPr>
        <w:spacing w:after="0" w:line="8"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i w:val="1"/>
          <w:iCs w:val="1"/>
          <w:color w:val="auto"/>
        </w:rPr>
      </w:pPr>
      <w:r>
        <w:rPr>
          <w:rFonts w:ascii="Arial" w:cs="Arial" w:eastAsia="Arial" w:hAnsi="Arial"/>
          <w:sz w:val="16"/>
          <w:szCs w:val="16"/>
          <w:color w:val="auto"/>
        </w:rPr>
        <w:t>Foreign exchange gains of $7.0 million; and</w:t>
      </w:r>
    </w:p>
    <w:p>
      <w:pPr>
        <w:spacing w:after="0" w:line="14" w:lineRule="exact"/>
        <w:rPr>
          <w:rFonts w:ascii="Arial" w:cs="Arial" w:eastAsia="Arial" w:hAnsi="Arial"/>
          <w:sz w:val="16"/>
          <w:szCs w:val="16"/>
          <w:i w:val="1"/>
          <w:iCs w:val="1"/>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income, net of $2.9 million.</w:t>
      </w:r>
    </w:p>
    <w:p>
      <w:pPr>
        <w:spacing w:after="0" w:line="2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Income tax (benefit) expense for the fiscal year ended June 30, 2024 and 2023 of $(0.2) million and $3.7 million, respectively, was primarily due to state and international taxes.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22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We calculate Adjusted EBITDA as net (loss) income adjusted to exclude: other expense (income), net; income tax expense (benefit); depreciation and amortization expense; stock-based compensation expense; goodwill impairment; impairment expense; product recall related matters; certain litigation and settlement expenses; transaction and integration costs; reorganization, severance, exit, disposal and other costs associated with restructuring plans; supplier settlements; and other adjustment items that arise outside the ordinary course of our business.</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spacing w:after="0" w:line="205" w:lineRule="exact"/>
        <w:rPr>
          <w:sz w:val="20"/>
          <w:szCs w:val="20"/>
          <w:color w:val="auto"/>
        </w:rPr>
      </w:pPr>
    </w:p>
    <w:p>
      <w:pPr>
        <w:jc w:val="both"/>
        <w:ind w:left="660" w:hanging="328"/>
        <w:spacing w:after="0" w:line="268"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spacing w:after="0" w:line="207"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2"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 to supplement their GAAP results.</w:t>
      </w:r>
    </w:p>
    <w:p>
      <w:pPr>
        <w:spacing w:after="0" w:line="2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use of Adjusted EBITDA has limitations as an analytical tool, and you should not consider this measure in isolation or as a substitute for analysis of our financial results as reported under GAAP. Some of these limitations are, or may in the future be, as follows:</w:t>
      </w:r>
    </w:p>
    <w:p>
      <w:pPr>
        <w:spacing w:after="0" w:line="183" w:lineRule="exact"/>
        <w:rPr>
          <w:sz w:val="20"/>
          <w:szCs w:val="20"/>
          <w:color w:val="auto"/>
        </w:rPr>
      </w:pPr>
    </w:p>
    <w:p>
      <w:pPr>
        <w:jc w:val="both"/>
        <w:ind w:left="660" w:hanging="328"/>
        <w:spacing w:after="0" w:line="275"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2" w:lineRule="exact"/>
        <w:rPr>
          <w:rFonts w:ascii="Arial" w:cs="Arial" w:eastAsia="Arial" w:hAnsi="Arial"/>
          <w:sz w:val="16"/>
          <w:szCs w:val="16"/>
          <w:color w:val="auto"/>
        </w:rPr>
      </w:pPr>
    </w:p>
    <w:p>
      <w:pPr>
        <w:ind w:left="660" w:hanging="328"/>
        <w:spacing w:after="0" w:line="29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which has recently been, and will continue to be for the foreseeable future, a significant recurring expense for our business and an important part of our compensation strategy;</w:t>
      </w:r>
    </w:p>
    <w:p>
      <w:pPr>
        <w:jc w:val="both"/>
        <w:ind w:left="660" w:hanging="328"/>
        <w:spacing w:after="0" w:line="275"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Adjusted EBITDA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2"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Adjusted EBITDA does not reflect gains (losses) associated with refinancing efforts that we have determined are outside of the ordinary course of business and are nonrecurring, infrequent or unusual based on factors such as the nature and strategy of the refinancing, as well as our frequency and past practice of performing refinancing activities.</w:t>
      </w:r>
    </w:p>
    <w:p>
      <w:pPr>
        <w:spacing w:after="0" w:line="15"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Adjusted EBITDA does not reflect certain litigation expenses, consisting of legal settlements and related fees for specific proceedings that we have determined arise outside of the ordinary course of business and are nonrecurring, infrequent or unusual based on the following considerations which we assess regularly: (1) the frequency of similar cases that have been brought to date, or are expected to be brought within two years; (2) the complexity of the case; (3) the nature of the remedy(ies) sought, including the size of any</w:t>
      </w:r>
    </w:p>
    <w:p>
      <w:pPr>
        <w:sectPr>
          <w:pgSz w:w="11900" w:h="16838" w:orient="portrait"/>
          <w:cols w:equalWidth="0" w:num="1">
            <w:col w:w="11240"/>
          </w:cols>
          <w:pgMar w:left="320" w:top="762"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2" w:right="339" w:bottom="1440" w:gutter="0" w:footer="0" w:header="0"/>
          <w:type w:val="continuous"/>
        </w:sectPr>
      </w:pPr>
    </w:p>
    <w:bookmarkStart w:id="56" w:name="page57"/>
    <w:bookmarkEnd w:id="56"/>
    <w:p>
      <w:pPr>
        <w:jc w:val="both"/>
        <w:ind w:left="660"/>
        <w:spacing w:after="0" w:line="265" w:lineRule="auto"/>
        <w:rPr>
          <w:sz w:val="20"/>
          <w:szCs w:val="20"/>
          <w:color w:val="auto"/>
        </w:rPr>
      </w:pPr>
      <w:r>
        <w:rPr>
          <w:rFonts w:ascii="Arial" w:cs="Arial" w:eastAsia="Arial" w:hAnsi="Arial"/>
          <w:sz w:val="16"/>
          <w:szCs w:val="16"/>
          <w:color w:val="auto"/>
        </w:rPr>
        <w:t>monetary damages sought; (4) offensive versus defensive posture of us; (5) the counterparty involved; and (6) our overall litigation strategy. Following a change in practice beginning during the fiscal year ended December 31, 2022, we no longer adjust adjusted EBITDA for costs from new patent litigation or consumer arbitration claims, unless we consider the matter to be nonrecurring, infrequent or unusual. We continue to adjust adjusted EBITDA for historical patent infringement and consumer arbitration claims that were determined, prior to our change in practice, to be nonrecurring, infrequent, or unusual;</w:t>
      </w:r>
    </w:p>
    <w:p>
      <w:pPr>
        <w:spacing w:after="0" w:line="10"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Adjusted EBITDA does not reflect transaction and integration costs related to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Adjusted EBITDA does not reflect impairment charges for goodwill and fixed assets, and gains (losses) on disposals for fixed assets;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Adjusted EBITDA does not reflect the impact of purchase accounting adjustments to inventory related to the Precor acquisition;</w:t>
      </w:r>
    </w:p>
    <w:p>
      <w:pPr>
        <w:spacing w:after="0" w:line="59" w:lineRule="exact"/>
        <w:rPr>
          <w:rFonts w:ascii="Arial" w:cs="Arial" w:eastAsia="Arial" w:hAnsi="Arial"/>
          <w:sz w:val="16"/>
          <w:szCs w:val="16"/>
          <w:color w:val="auto"/>
        </w:rPr>
      </w:pPr>
    </w:p>
    <w:p>
      <w:pPr>
        <w:jc w:val="both"/>
        <w:ind w:left="660" w:hanging="328"/>
        <w:spacing w:after="0" w:line="259"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Adjusted EBITDA does not reflect costs associated with certain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 We make adjustments for product recall related matters that we have determined arise outside of the ordinary course of business and are nonrecurring, infrequent or unusual based on factors including the nature of the product recall, our experience with similar product recalls at the time of such assessment, the impacts on us of the recall remedy and associated logistics, supply chain, and other externalities, as well as the expected consumer demand for such a remedy, and operational complexities in the design, regulatory approval and deployment of a remedy;</w:t>
      </w:r>
    </w:p>
    <w:p>
      <w:pPr>
        <w:spacing w:after="0" w:line="27"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 xml:space="preserve">Adjusted EBITDA does not reflect </w:t>
      </w:r>
      <w:r>
        <w:rPr>
          <w:rFonts w:ascii="Arial" w:cs="Arial" w:eastAsia="Arial" w:hAnsi="Arial"/>
          <w:sz w:val="16"/>
          <w:szCs w:val="16"/>
          <w:color w:val="050505"/>
        </w:rPr>
        <w:t>reorganization, severance, exit, disposal, and other costs associated with restructuring plans;</w:t>
      </w:r>
    </w:p>
    <w:p>
      <w:pPr>
        <w:spacing w:after="0" w:line="59" w:lineRule="exact"/>
        <w:rPr>
          <w:rFonts w:ascii="Arial" w:cs="Arial" w:eastAsia="Arial" w:hAnsi="Arial"/>
          <w:sz w:val="16"/>
          <w:szCs w:val="16"/>
          <w:b w:val="1"/>
          <w:bCs w:val="1"/>
          <w:color w:val="auto"/>
        </w:rPr>
      </w:pPr>
    </w:p>
    <w:p>
      <w:pPr>
        <w:jc w:val="both"/>
        <w:ind w:left="660" w:hanging="328"/>
        <w:spacing w:after="0" w:line="275" w:lineRule="auto"/>
        <w:tabs>
          <w:tab w:leader="none" w:pos="649" w:val="left"/>
        </w:tabs>
        <w:numPr>
          <w:ilvl w:val="0"/>
          <w:numId w:val="33"/>
        </w:numPr>
        <w:rPr>
          <w:rFonts w:ascii="Arial" w:cs="Arial" w:eastAsia="Arial" w:hAnsi="Arial"/>
          <w:sz w:val="16"/>
          <w:szCs w:val="16"/>
          <w:color w:val="050505"/>
        </w:rPr>
      </w:pPr>
      <w:r>
        <w:rPr>
          <w:rFonts w:ascii="Arial" w:cs="Arial" w:eastAsia="Arial" w:hAnsi="Arial"/>
          <w:sz w:val="16"/>
          <w:szCs w:val="16"/>
          <w:color w:val="050505"/>
        </w:rPr>
        <w:t xml:space="preserve">Adjusted EBITDA does not reflect nonrecurring supplier settlements that are </w:t>
      </w:r>
      <w:r>
        <w:rPr>
          <w:rFonts w:ascii="Arial" w:cs="Arial" w:eastAsia="Arial" w:hAnsi="Arial"/>
          <w:sz w:val="16"/>
          <w:szCs w:val="16"/>
          <w:color w:val="000000"/>
        </w:rPr>
        <w:t>outside of the ordinary course of business and are nonrecurring,</w:t>
      </w:r>
      <w:r>
        <w:rPr>
          <w:rFonts w:ascii="Arial" w:cs="Arial" w:eastAsia="Arial" w:hAnsi="Arial"/>
          <w:sz w:val="16"/>
          <w:szCs w:val="16"/>
          <w:color w:val="050505"/>
        </w:rPr>
        <w:t xml:space="preserve"> </w:t>
      </w:r>
      <w:r>
        <w:rPr>
          <w:rFonts w:ascii="Arial" w:cs="Arial" w:eastAsia="Arial" w:hAnsi="Arial"/>
          <w:sz w:val="16"/>
          <w:szCs w:val="16"/>
          <w:color w:val="000000"/>
        </w:rPr>
        <w:t>infrequent or unusual based on factors such as the nature of the settlements, as well as our frequency and past practice of performing refinancing activities</w:t>
      </w:r>
      <w:r>
        <w:rPr>
          <w:rFonts w:ascii="Arial" w:cs="Arial" w:eastAsia="Arial" w:hAnsi="Arial"/>
          <w:sz w:val="16"/>
          <w:szCs w:val="16"/>
          <w:color w:val="050505"/>
        </w:rPr>
        <w:t>; and</w:t>
      </w:r>
    </w:p>
    <w:p>
      <w:pPr>
        <w:spacing w:after="0" w:line="2" w:lineRule="exact"/>
        <w:rPr>
          <w:rFonts w:ascii="Arial" w:cs="Arial" w:eastAsia="Arial" w:hAnsi="Arial"/>
          <w:sz w:val="16"/>
          <w:szCs w:val="16"/>
          <w:color w:val="050505"/>
        </w:rPr>
      </w:pPr>
    </w:p>
    <w:p>
      <w:pPr>
        <w:jc w:val="both"/>
        <w:ind w:left="660" w:hanging="328"/>
        <w:spacing w:after="0" w:line="271"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spacing w:after="0" w:line="19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Because of these limitations, Adjusted EBITDA should be considered along with other operating and financial performance measures presented in accordance with GAAP.</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Adjusted EBITDA to Net loss, the most directly comparable financial measure prepared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GAAP, for each of the periods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00" w:type="dxa"/>
            <w:vAlign w:val="bottom"/>
          </w:tcPr>
          <w:p>
            <w:pPr>
              <w:spacing w:after="0"/>
              <w:rPr>
                <w:sz w:val="20"/>
                <w:szCs w:val="20"/>
                <w:color w:val="auto"/>
              </w:rPr>
            </w:pPr>
            <w:r>
              <w:rPr>
                <w:rFonts w:ascii="Arial" w:cs="Arial" w:eastAsia="Arial" w:hAnsi="Arial"/>
                <w:sz w:val="16"/>
                <w:szCs w:val="16"/>
                <w:b w:val="1"/>
                <w:bCs w:val="1"/>
                <w:i w:val="1"/>
                <w:iCs w:val="1"/>
                <w:color w:val="auto"/>
              </w:rPr>
              <w:t>Adjusted EBITDA</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4"/>
        </w:trPr>
        <w:tc>
          <w:tcPr>
            <w:tcW w:w="68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Fiscal Year Ended June 30,</w:t>
            </w:r>
          </w:p>
        </w:tc>
        <w:tc>
          <w:tcPr>
            <w:tcW w:w="1040" w:type="dxa"/>
            <w:vAlign w:val="bottom"/>
            <w:tcBorders>
              <w:bottom w:val="single" w:sz="8" w:color="auto"/>
            </w:tcBorders>
          </w:tcPr>
          <w:p>
            <w:pPr>
              <w:spacing w:after="0"/>
              <w:rPr>
                <w:sz w:val="22"/>
                <w:szCs w:val="22"/>
                <w:color w:val="auto"/>
              </w:rPr>
            </w:pPr>
          </w:p>
        </w:tc>
      </w:tr>
      <w:tr>
        <w:trPr>
          <w:trHeight w:val="223"/>
        </w:trPr>
        <w:tc>
          <w:tcPr>
            <w:tcW w:w="6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23"/>
        </w:trPr>
        <w:tc>
          <w:tcPr>
            <w:tcW w:w="6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0" w:type="dxa"/>
            <w:vAlign w:val="bottom"/>
            <w:gridSpan w:val="4"/>
          </w:tcPr>
          <w:p>
            <w:pPr>
              <w:jc w:val="center"/>
              <w:spacing w:after="0"/>
              <w:rPr>
                <w:sz w:val="20"/>
                <w:szCs w:val="20"/>
                <w:color w:val="auto"/>
              </w:rPr>
            </w:pPr>
            <w:r>
              <w:rPr>
                <w:rFonts w:ascii="Arial" w:cs="Arial" w:eastAsia="Arial" w:hAnsi="Arial"/>
                <w:sz w:val="16"/>
                <w:szCs w:val="16"/>
                <w:b w:val="1"/>
                <w:bCs w:val="1"/>
                <w:color w:val="auto"/>
              </w:rPr>
              <w:t>(dollars in millions)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(2,827.7)</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68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Total other (income) expense, net</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r>
      <w:tr>
        <w:trPr>
          <w:trHeight w:val="216"/>
        </w:trPr>
        <w:tc>
          <w:tcPr>
            <w:tcW w:w="6800" w:type="dxa"/>
            <w:vAlign w:val="bottom"/>
          </w:tcPr>
          <w:p>
            <w:pPr>
              <w:ind w:left="20"/>
              <w:spacing w:after="0" w:line="216" w:lineRule="exact"/>
              <w:rPr>
                <w:sz w:val="20"/>
                <w:szCs w:val="20"/>
                <w:color w:val="auto"/>
              </w:rPr>
            </w:pPr>
            <w:r>
              <w:rPr>
                <w:rFonts w:ascii="Arial" w:cs="Arial" w:eastAsia="Arial" w:hAnsi="Arial"/>
                <w:sz w:val="16"/>
                <w:szCs w:val="16"/>
                <w:color w:val="auto"/>
              </w:rPr>
              <w:t>Net gain on debt refinancing</w:t>
            </w:r>
            <w:r>
              <w:rPr>
                <w:rFonts w:ascii="Arial" w:cs="Arial" w:eastAsia="Arial" w:hAnsi="Arial"/>
                <w:sz w:val="21"/>
                <w:szCs w:val="21"/>
                <w:color w:val="auto"/>
                <w:vertAlign w:val="superscript"/>
              </w:rPr>
              <w:t>(2)</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142.8</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181.9</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390.5</w:t>
            </w:r>
          </w:p>
        </w:tc>
      </w:tr>
      <w:tr>
        <w:trPr>
          <w:trHeight w:val="216"/>
        </w:trPr>
        <w:tc>
          <w:tcPr>
            <w:tcW w:w="6800" w:type="dxa"/>
            <w:vAlign w:val="bottom"/>
          </w:tcPr>
          <w:p>
            <w:pPr>
              <w:ind w:left="20"/>
              <w:spacing w:after="0" w:line="216" w:lineRule="exact"/>
              <w:rPr>
                <w:sz w:val="20"/>
                <w:szCs w:val="20"/>
                <w:color w:val="auto"/>
              </w:rPr>
            </w:pPr>
            <w:r>
              <w:rPr>
                <w:rFonts w:ascii="Arial" w:cs="Arial" w:eastAsia="Arial" w:hAnsi="Arial"/>
                <w:sz w:val="16"/>
                <w:szCs w:val="16"/>
                <w:color w:val="auto"/>
              </w:rPr>
              <w:t>Restructuring expense</w:t>
            </w:r>
            <w:r>
              <w:rPr>
                <w:rFonts w:ascii="Arial" w:cs="Arial" w:eastAsia="Arial" w:hAnsi="Arial"/>
                <w:sz w:val="21"/>
                <w:szCs w:val="21"/>
                <w:color w:val="auto"/>
                <w:vertAlign w:val="superscript"/>
              </w:rPr>
              <w:t>(3)</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237.5</w:t>
            </w:r>
          </w:p>
        </w:tc>
      </w:tr>
      <w:tr>
        <w:trPr>
          <w:trHeight w:val="216"/>
        </w:trPr>
        <w:tc>
          <w:tcPr>
            <w:tcW w:w="68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Supplier settlements</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337.6</w:t>
            </w:r>
          </w:p>
        </w:tc>
      </w:tr>
      <w:tr>
        <w:trPr>
          <w:trHeight w:val="216"/>
        </w:trPr>
        <w:tc>
          <w:tcPr>
            <w:tcW w:w="6800" w:type="dxa"/>
            <w:vAlign w:val="bottom"/>
          </w:tcPr>
          <w:p>
            <w:pPr>
              <w:ind w:left="20"/>
              <w:spacing w:after="0" w:line="216" w:lineRule="exact"/>
              <w:rPr>
                <w:sz w:val="20"/>
                <w:szCs w:val="20"/>
                <w:color w:val="auto"/>
              </w:rPr>
            </w:pPr>
            <w:r>
              <w:rPr>
                <w:rFonts w:ascii="Arial" w:cs="Arial" w:eastAsia="Arial" w:hAnsi="Arial"/>
                <w:sz w:val="16"/>
                <w:szCs w:val="16"/>
                <w:color w:val="auto"/>
              </w:rPr>
              <w:t>Product recall related matters</w:t>
            </w:r>
            <w:r>
              <w:rPr>
                <w:rFonts w:ascii="Arial" w:cs="Arial" w:eastAsia="Arial" w:hAnsi="Arial"/>
                <w:sz w:val="21"/>
                <w:szCs w:val="21"/>
                <w:color w:val="auto"/>
                <w:vertAlign w:val="superscript"/>
              </w:rPr>
              <w:t>(5)</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62.3</w:t>
            </w:r>
          </w:p>
        </w:tc>
      </w:tr>
      <w:tr>
        <w:trPr>
          <w:trHeight w:val="216"/>
        </w:trPr>
        <w:tc>
          <w:tcPr>
            <w:tcW w:w="68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Litigation and settlement expenses</w:t>
            </w:r>
            <w:r>
              <w:rPr>
                <w:rFonts w:ascii="Arial" w:cs="Arial" w:eastAsia="Arial" w:hAnsi="Arial"/>
                <w:sz w:val="21"/>
                <w:szCs w:val="21"/>
                <w:color w:val="auto"/>
                <w:vertAlign w:val="superscript"/>
              </w:rPr>
              <w:t>(6)</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r>
      <w:tr>
        <w:trPr>
          <w:trHeight w:val="215"/>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adjustment items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235"/>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(982.7)</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5" w:lineRule="exact"/>
        <w:rPr>
          <w:sz w:val="20"/>
          <w:szCs w:val="20"/>
          <w:color w:val="auto"/>
        </w:rPr>
      </w:pPr>
    </w:p>
    <w:p>
      <w:pPr>
        <w:ind w:firstLine="8"/>
        <w:spacing w:after="0" w:line="286" w:lineRule="auto"/>
        <w:tabs>
          <w:tab w:leader="none" w:pos="196"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Primarily consists of Interest expense of $112.5 million, $97.1 million, (43.0), and Interest income of $35.1 million, $26.4 million, $2.3 million, for the for the fiscal years ended June 30, 2024, 2023 and 2022, respectively.</w:t>
      </w:r>
    </w:p>
    <w:p>
      <w:pPr>
        <w:spacing w:after="0" w:line="8" w:lineRule="exact"/>
        <w:rPr>
          <w:rFonts w:ascii="Arial" w:cs="Arial" w:eastAsia="Arial" w:hAnsi="Arial"/>
          <w:sz w:val="13"/>
          <w:szCs w:val="13"/>
          <w:color w:val="auto"/>
        </w:rPr>
      </w:pPr>
    </w:p>
    <w:p>
      <w:pPr>
        <w:ind w:firstLine="8"/>
        <w:spacing w:after="0" w:line="264" w:lineRule="auto"/>
        <w:tabs>
          <w:tab w:leader="none" w:pos="191"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the net charge resulting from our May 2024 refinancing efforts. The Company has not demonstrated a past practice of refinancing its previously issued and secured debt obligations, and considers these charges incurred in order to perform this refinancing to be nonrecurring, infrequent, unusual, and outside the ordinary of business.</w:t>
      </w:r>
    </w:p>
    <w:p>
      <w:pPr>
        <w:spacing w:after="0" w:line="22" w:lineRule="exact"/>
        <w:rPr>
          <w:rFonts w:ascii="Arial" w:cs="Arial" w:eastAsia="Arial" w:hAnsi="Arial"/>
          <w:sz w:val="13"/>
          <w:szCs w:val="13"/>
          <w:color w:val="auto"/>
        </w:rPr>
      </w:pPr>
    </w:p>
    <w:p>
      <w:pPr>
        <w:ind w:firstLine="8"/>
        <w:spacing w:after="0" w:line="264" w:lineRule="auto"/>
        <w:tabs>
          <w:tab w:leader="none" w:pos="191"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charges incurred in connection with the 2022 Restructuring Plan and 2024 Restructuring plan, refer to Note 4 - Restructuring in the Notes to Consolidated Financial Statements in Part II, Item 8 of this Annual Report on Form 10-K.</w:t>
      </w:r>
    </w:p>
    <w:p>
      <w:pPr>
        <w:spacing w:after="0" w:line="35" w:lineRule="exact"/>
        <w:rPr>
          <w:rFonts w:ascii="Arial" w:cs="Arial" w:eastAsia="Arial" w:hAnsi="Arial"/>
          <w:sz w:val="13"/>
          <w:szCs w:val="13"/>
          <w:color w:val="auto"/>
        </w:rPr>
      </w:pPr>
    </w:p>
    <w:p>
      <w:pPr>
        <w:ind w:firstLine="8"/>
        <w:spacing w:after="0" w:line="264" w:lineRule="auto"/>
        <w:tabs>
          <w:tab w:leader="none" w:pos="189" w:val="left"/>
        </w:tabs>
        <w:numPr>
          <w:ilvl w:val="0"/>
          <w:numId w:val="34"/>
        </w:numPr>
        <w:rPr>
          <w:rFonts w:ascii="Arial" w:cs="Arial" w:eastAsia="Arial" w:hAnsi="Arial"/>
          <w:sz w:val="13"/>
          <w:szCs w:val="13"/>
          <w:color w:val="auto"/>
        </w:rPr>
      </w:pPr>
      <w:r>
        <w:rPr>
          <w:rFonts w:ascii="Arial" w:cs="Arial" w:eastAsia="Arial" w:hAnsi="Arial"/>
          <w:sz w:val="13"/>
          <w:szCs w:val="13"/>
          <w:color w:val="050505"/>
        </w:rPr>
        <w:t>Represents supplier settlements entered into during fiscal years 2022 and 2023 with various third-party suppliers to align our inventory levels with then-current levels of decreased demand linked to our COVID-19 demand which was considered an unusual, one-time effort to evaluate and adjust our then-forecasted inventory needs.</w:t>
      </w:r>
    </w:p>
    <w:p>
      <w:pPr>
        <w:sectPr>
          <w:pgSz w:w="11900" w:h="16838" w:orient="portrait"/>
          <w:cols w:equalWidth="0" w:num="1">
            <w:col w:w="11240"/>
          </w:cols>
          <w:pgMar w:left="320" w:top="611" w:right="33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57" w:name="page58"/>
    <w:bookmarkEnd w:id="57"/>
    <w:p>
      <w:pPr>
        <w:jc w:val="both"/>
        <w:ind w:firstLine="8"/>
        <w:spacing w:after="0" w:line="254" w:lineRule="auto"/>
        <w:tabs>
          <w:tab w:leader="none" w:pos="191"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adjustments and charges primarily associated with our Tread+ and Bike Seat Post product recall related matters, as well as accrual adjustments. These include recorded (benefits) costs in Connected Fitness Products cost of revenue associated with recall related matters of $(9.5) million, $64.1 million, and $8.1 million, adjustments to Connected Fitness Products revenue for actual and estimated future returns of $(4.5) million, $14.6 million and $48.9 million, and operating expenses of zero, $2.3 million and $5.4 million associated with recall-related hardware development costs, in each case for the fiscal years ended June 30, 2024, 2023 and 2022, respectively.</w:t>
      </w:r>
    </w:p>
    <w:p>
      <w:pPr>
        <w:spacing w:after="0" w:line="28" w:lineRule="exact"/>
        <w:rPr>
          <w:rFonts w:ascii="Arial" w:cs="Arial" w:eastAsia="Arial" w:hAnsi="Arial"/>
          <w:sz w:val="13"/>
          <w:szCs w:val="13"/>
          <w:color w:val="auto"/>
        </w:rPr>
      </w:pPr>
    </w:p>
    <w:p>
      <w:pPr>
        <w:jc w:val="both"/>
        <w:ind w:firstLine="8"/>
        <w:spacing w:after="0" w:line="246" w:lineRule="auto"/>
        <w:tabs>
          <w:tab w:leader="none" w:pos="195"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Includes litigation-related expenses for certain patent infringement litigation, consumer arbitration, and product recalls for the fiscal years ended June 30, 2024, 2023 and 2022, that arise outside of the ordinary course of business and are nonrecurring, infrequent, or unusual. Includes Dish settlement accrual of $75.0 million, for the fiscal year ended June 30, 2023, which was considered significantly more complex than routine intellectual property claims and, in addition to seeking monetary damages or other more typical remedies from a district court, also sought an order from the International Trade Commission to broadly prohibit the Company from the sale, distribution, marketing, transferring, or advertising in the United States of products that had the infringing functionality installed on them, and the importation of products unless they were deemed non-infringing by the International Trade Commission and/or U.S. Customs and Border Protection. Also includes other litigation-related expenses and settlements for certain patent infringement litigation, securities litigation, and consumer arbitration for the fiscal year ended June 30, 2023, that arose outside of the ordinary course of business and were nonrecurring, infrequent, or unusual.</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5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spacing w:after="0" w:line="196" w:lineRule="exact"/>
        <w:rPr>
          <w:sz w:val="20"/>
          <w:szCs w:val="20"/>
          <w:color w:val="auto"/>
        </w:rPr>
      </w:pPr>
    </w:p>
    <w:p>
      <w:pPr>
        <w:jc w:val="both"/>
        <w:ind w:left="660" w:hanging="328"/>
        <w:spacing w:after="0" w:line="275"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2"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presents a reconciliation of Subscription Contribution and Subscription Contribution Margin to Subscription Gross Profit and Subscription Gross Margin, respectively, which are the most directly comparable financial measures prepared in accordance with GAAP, for each of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Fiscal Year Ended June 30,</w:t>
            </w:r>
          </w:p>
        </w:tc>
        <w:tc>
          <w:tcPr>
            <w:tcW w:w="1120" w:type="dxa"/>
            <w:vAlign w:val="bottom"/>
            <w:tcBorders>
              <w:bottom w:val="single" w:sz="8" w:color="auto"/>
            </w:tcBorders>
          </w:tcPr>
          <w:p>
            <w:pPr>
              <w:spacing w:after="0"/>
              <w:rPr>
                <w:sz w:val="18"/>
                <w:szCs w:val="18"/>
                <w:color w:val="auto"/>
              </w:rPr>
            </w:pPr>
          </w:p>
        </w:tc>
      </w:tr>
      <w:tr>
        <w:trPr>
          <w:trHeight w:val="220"/>
        </w:trPr>
        <w:tc>
          <w:tcPr>
            <w:tcW w:w="65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26"/>
        </w:trPr>
        <w:tc>
          <w:tcPr>
            <w:tcW w:w="6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3"/>
          </w:tcPr>
          <w:p>
            <w:pPr>
              <w:ind w:left="20"/>
              <w:spacing w:after="0"/>
              <w:rPr>
                <w:sz w:val="20"/>
                <w:szCs w:val="20"/>
                <w:color w:val="auto"/>
              </w:rPr>
            </w:pPr>
            <w:r>
              <w:rPr>
                <w:rFonts w:ascii="Arial" w:cs="Arial" w:eastAsia="Arial" w:hAnsi="Arial"/>
                <w:sz w:val="16"/>
                <w:szCs w:val="16"/>
                <w:b w:val="1"/>
                <w:bCs w:val="1"/>
                <w:color w:val="auto"/>
              </w:rPr>
              <w:t>(dollars in millions)</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1,708.7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1,670.1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1,394.7</w:t>
            </w:r>
          </w:p>
        </w:tc>
      </w:tr>
      <w:tr>
        <w:trPr>
          <w:trHeight w:val="215"/>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Cost of Subscription</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551.0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547.9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450.0</w:t>
            </w:r>
          </w:p>
        </w:tc>
      </w:tr>
      <w:tr>
        <w:trPr>
          <w:trHeight w:val="235"/>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1,157.7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1,122.1</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944.7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52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67.8 %</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67.2 %</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67.7 %</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5"/>
        </w:trPr>
        <w:tc>
          <w:tcPr>
            <w:tcW w:w="652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34.6</w:t>
            </w:r>
          </w:p>
        </w:tc>
        <w:tc>
          <w:tcPr>
            <w:tcW w:w="8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36.9</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26.8</w:t>
            </w:r>
          </w:p>
        </w:tc>
      </w:tr>
      <w:tr>
        <w:trPr>
          <w:trHeight w:val="216"/>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42.8</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22.7</w:t>
            </w:r>
          </w:p>
        </w:tc>
      </w:tr>
      <w:tr>
        <w:trPr>
          <w:trHeight w:val="210"/>
        </w:trPr>
        <w:tc>
          <w:tcPr>
            <w:tcW w:w="652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1,231.6</w:t>
            </w:r>
          </w:p>
        </w:tc>
        <w:tc>
          <w:tcPr>
            <w:tcW w:w="8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1,201.8</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994.2</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5"/>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72.1 %</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72.0 %</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71.3 %</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We expect the fixed nature of those expenses to scale over time as we grow our Connected Fitness Subscription base.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w:t>
      </w:r>
    </w:p>
    <w:p>
      <w:pPr>
        <w:spacing w:after="0" w:line="4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define Free Cash Flow as Net cash used in operating activities less capital expenditures and capitalized internal-use software development costs. Free cash flow reflects an additional way of viewing our liquidity that, we believe, when viewed with our GAAP results, provides</w:t>
      </w:r>
    </w:p>
    <w:p>
      <w:pPr>
        <w:sectPr>
          <w:pgSz w:w="11900" w:h="16838" w:orient="portrait"/>
          <w:cols w:equalWidth="0" w:num="1">
            <w:col w:w="11240"/>
          </w:cols>
          <w:pgMar w:left="320" w:top="662"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color w:val="auto"/>
        </w:rPr>
        <w:t>management, investors, and other users of our financial information with a more complete understanding of factors and trends affecting our cash flows.</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business combinations and asset acquisitions. Because of these limitations, Free Cash Flow should be considered along with other operating and financial performance measures presented in accordance with GAAP.</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presents a reconciliation of Free Cash Flow to Net cash used in operating activities, the most directly comparable financial measure prepared in accordance with GAAP, for each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center"/>
              <w:ind w:left="39"/>
              <w:spacing w:after="0"/>
              <w:rPr>
                <w:sz w:val="20"/>
                <w:szCs w:val="20"/>
                <w:color w:val="auto"/>
              </w:rPr>
            </w:pPr>
            <w:r>
              <w:rPr>
                <w:rFonts w:ascii="Arial" w:cs="Arial" w:eastAsia="Arial" w:hAnsi="Arial"/>
                <w:sz w:val="16"/>
                <w:szCs w:val="16"/>
                <w:b w:val="1"/>
                <w:bCs w:val="1"/>
                <w:color w:val="auto"/>
              </w:rPr>
              <w:t>Fiscal Year Ended June 30,</w:t>
            </w:r>
          </w:p>
        </w:tc>
        <w:tc>
          <w:tcPr>
            <w:tcW w:w="1040" w:type="dxa"/>
            <w:vAlign w:val="bottom"/>
            <w:tcBorders>
              <w:bottom w:val="single" w:sz="8" w:color="auto"/>
            </w:tcBorders>
          </w:tcPr>
          <w:p>
            <w:pPr>
              <w:spacing w:after="0"/>
              <w:rPr>
                <w:sz w:val="18"/>
                <w:szCs w:val="18"/>
                <w:color w:val="auto"/>
              </w:rPr>
            </w:pPr>
          </w:p>
        </w:tc>
      </w:tr>
      <w:tr>
        <w:trPr>
          <w:trHeight w:val="209"/>
        </w:trPr>
        <w:tc>
          <w:tcPr>
            <w:tcW w:w="68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0"/>
        </w:trPr>
        <w:tc>
          <w:tcPr>
            <w:tcW w:w="6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6800" w:type="dxa"/>
            <w:vAlign w:val="bottom"/>
          </w:tcPr>
          <w:p>
            <w:pPr>
              <w:ind w:left="240"/>
              <w:spacing w:after="0"/>
              <w:rPr>
                <w:sz w:val="20"/>
                <w:szCs w:val="20"/>
                <w:color w:val="auto"/>
              </w:rPr>
            </w:pPr>
            <w:r>
              <w:rPr>
                <w:rFonts w:ascii="Arial" w:cs="Arial" w:eastAsia="Arial" w:hAnsi="Arial"/>
                <w:sz w:val="16"/>
                <w:szCs w:val="16"/>
                <w:color w:val="auto"/>
              </w:rPr>
              <w:t>Net cash used in operating activities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(387.6)</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(2,020.0)</w:t>
            </w:r>
          </w:p>
        </w:tc>
      </w:tr>
      <w:tr>
        <w:trPr>
          <w:trHeight w:val="216"/>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 expenditures and capitalized internal-use software development costs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(337.3)</w:t>
            </w:r>
          </w:p>
        </w:tc>
      </w:tr>
      <w:tr>
        <w:trPr>
          <w:trHeight w:val="210"/>
        </w:trPr>
        <w:tc>
          <w:tcPr>
            <w:tcW w:w="680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(2,357.4)</w:t>
            </w:r>
          </w:p>
        </w:tc>
      </w:tr>
      <w:tr>
        <w:trPr>
          <w:trHeight w:val="21"/>
        </w:trPr>
        <w:tc>
          <w:tcPr>
            <w:tcW w:w="6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operations have been funded primarily through net proceeds from the sales of our equity and convertible debt securities, and term loan, as well as cash flows from operating activities. As of June 30, 2024, we had Cash and cash equivalents of approximately $697.6 million.</w:t>
      </w:r>
    </w:p>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anticipate capital expenditures over the next 12 months to include investments in product development, content and our studios, and systems implementation.</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believe our existing cash and cash equivalent balances and cash flow from operations will be sufficient to meet our working capital and capital expenditure needs for the next 12 months and beyond. Our future capital requirements may vary materially from those currently planned and will depend on many factors, including our rate of revenue growth, timing to adjust our supply chain and cost structures in response to material fluctuations in product demand, timing and amount of spending related to acquisitions, the timing and amount of spending on research and development and manufacturing initiatives, the timing and financial impact of product recalls, sales and marketing activities, the timing of new product introductions, market acceptance of our Connected Fitness Products, timing and investments needed for international expansion,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further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February 2022, we announced and began implementing the 2022 Restructuring Plan to realign our operational focus to support our multi-year growth, scale the business, and improve costs. The 2022 Restructuring Plan originally included: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fiscal year 2023, we continued to take actions to implement the 2022 Restructuring Plan. In July 2022, we announced we were exiting all owned-manufacturing operations and expanding our relationship with a Taiwanese manufacturer, Rexon Industrial Corporation. Additionally, in August 2022, we announced our decision to (i) fully transition our North American Field Operations to third-party providers, including the significant reduction of our delivery workforce teams; (ii) eliminate a significant number of roles on the North America Member Support team and exit our real-estate footprints in our Plano and Tempe locations; and (iii) reduce our retail showroom presence. In January 2024, we completed the sale of the Peloton Output Park building and a portion of the corresponding land and received net proceeds of approximately $31.9 million.</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April 22, 2024, our Board of Directors approved a new restructuring plan to expand upon its 2022 Restructuring Plan (as expanded, the “2024 Restructuring Plan”). The 2024 Restructuring Plan will position us for sustained, positive free cash flow, while enabling us to continue to invest in software, hardware and content innovation, improvements to its Member support experience, and optimizations to marketing efforts to scale the business. The 2024 Restructuring Plan includes: (i) a reduction in global headcount; and (ii) continued closures of our retail locations. We expect the majority of the 2024 Restructuring Plan to be implemented by the end of fiscal 2025.</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20"/>
                <w:szCs w:val="20"/>
                <w:color w:val="auto"/>
              </w:rPr>
            </w:pPr>
            <w:r>
              <w:rPr>
                <w:rFonts w:ascii="Arial" w:cs="Arial" w:eastAsia="Arial" w:hAnsi="Arial"/>
                <w:sz w:val="16"/>
                <w:szCs w:val="16"/>
                <w:i w:val="1"/>
                <w:iCs w:val="1"/>
                <w:color w:val="auto"/>
              </w:rPr>
              <w:t>Total charges related to the 2022 Restructuring Plan were as follows:</w:t>
            </w: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600" w:type="dxa"/>
            <w:vAlign w:val="bottom"/>
          </w:tcPr>
          <w:p>
            <w:pPr>
              <w:spacing w:after="0"/>
              <w:rPr>
                <w:sz w:val="20"/>
                <w:szCs w:val="20"/>
                <w:color w:val="auto"/>
              </w:rPr>
            </w:pPr>
          </w:p>
        </w:tc>
        <w:tc>
          <w:tcPr>
            <w:tcW w:w="3640" w:type="dxa"/>
            <w:vAlign w:val="bottom"/>
            <w:tcBorders>
              <w:bottom w:val="single" w:sz="8" w:color="auto"/>
            </w:tcBorders>
            <w:gridSpan w:val="5"/>
          </w:tcPr>
          <w:p>
            <w:pPr>
              <w:jc w:val="right"/>
              <w:ind w:right="699"/>
              <w:spacing w:after="0"/>
              <w:rPr>
                <w:sz w:val="20"/>
                <w:szCs w:val="20"/>
                <w:color w:val="auto"/>
              </w:rPr>
            </w:pPr>
            <w:r>
              <w:rPr>
                <w:rFonts w:ascii="Arial" w:cs="Arial" w:eastAsia="Arial" w:hAnsi="Arial"/>
                <w:sz w:val="16"/>
                <w:szCs w:val="16"/>
                <w:b w:val="1"/>
                <w:bCs w:val="1"/>
                <w:color w:val="auto"/>
              </w:rPr>
              <w:t>Fiscal Year Ended June 30,</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restructuring charges:</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Severance and other personnel costs</w:t>
            </w:r>
          </w:p>
        </w:tc>
        <w:tc>
          <w:tcPr>
            <w:tcW w:w="1220" w:type="dxa"/>
            <w:vAlign w:val="bottom"/>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Exit and disposal costs and professional fees</w:t>
            </w:r>
          </w:p>
        </w:tc>
        <w:tc>
          <w:tcPr>
            <w:tcW w:w="1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cash charges</w:t>
            </w:r>
          </w:p>
        </w:tc>
        <w:tc>
          <w:tcPr>
            <w:tcW w:w="1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charges:</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Asset write-downs and write-offs</w:t>
            </w:r>
          </w:p>
        </w:tc>
        <w:tc>
          <w:tcPr>
            <w:tcW w:w="1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139.3</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6"/>
                <w:szCs w:val="16"/>
                <w:color w:val="auto"/>
              </w:rPr>
              <w:t>Write-offs of inventory related to restructuring activities</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sale of subsidiary</w:t>
            </w:r>
          </w:p>
        </w:tc>
        <w:tc>
          <w:tcPr>
            <w:tcW w:w="1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non-cash charges</w:t>
            </w:r>
          </w:p>
        </w:tc>
        <w:tc>
          <w:tcPr>
            <w:tcW w:w="1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i w:val="1"/>
                <w:iCs w:val="1"/>
                <w:color w:val="auto"/>
              </w:rPr>
              <w:t>Total charges related to the 2024 Restructuring Plan were as follows:</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76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center"/>
              <w:ind w:right="79"/>
              <w:spacing w:after="0" w:line="178" w:lineRule="exact"/>
              <w:rPr>
                <w:sz w:val="20"/>
                <w:szCs w:val="20"/>
                <w:color w:val="auto"/>
              </w:rPr>
            </w:pPr>
            <w:r>
              <w:rPr>
                <w:rFonts w:ascii="Arial" w:cs="Arial" w:eastAsia="Arial" w:hAnsi="Arial"/>
                <w:sz w:val="16"/>
                <w:szCs w:val="16"/>
                <w:b w:val="1"/>
                <w:bCs w:val="1"/>
                <w:color w:val="auto"/>
              </w:rPr>
              <w:t>Fiscal Year Ended</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June 30, 2024</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ind w:right="5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restructuring charges:</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Severance and other personnel costs</w:t>
            </w: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Exit and disposal costs and professional fees</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cash charges</w:t>
            </w:r>
          </w:p>
        </w:tc>
        <w:tc>
          <w:tcPr>
            <w:tcW w:w="12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charges:</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Asset write-downs and write-offs</w:t>
            </w: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non-cash charges</w:t>
            </w:r>
          </w:p>
        </w:tc>
        <w:tc>
          <w:tcPr>
            <w:tcW w:w="12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the 2024 Restructuring Plan, which includes any remaining restructuring activity under the original 2022 Restructuring Plan, we estimate that we will incur additional cash charges of approximately $40.0 million, primarily composed of lease termination and other exit costs, the majority of which are expected to be incurred by the end of fiscal year 2025. Additionally, we expect to recognize additional non-cash charges of approximately $20.0 million primarily composed of non-inventory asset impairment charges on retail showrooms in connection with the 2024 Restructuring Plan, the majority of which are expected to be incurred by the end of fiscal year 2025.</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Upon full implementation, we expect the plan to result in reduced annual run-rate expenses by more than $200 million by the end of its fiscal year 2025. We do not believe these cost-saving measures will impair our ability to conduct any of our key business functions. However, we may not be able to realize the cost savings and benefits initially anticipated as a result of the 2022 Restructuring Plan and the 2024 Restructuring Plan, and costs may be greater than expected. See </w:t>
      </w:r>
      <w:r>
        <w:rPr>
          <w:rFonts w:ascii="Arial" w:cs="Arial" w:eastAsia="Arial" w:hAnsi="Arial"/>
          <w:sz w:val="16"/>
          <w:szCs w:val="16"/>
          <w:i w:val="1"/>
          <w:iCs w:val="1"/>
          <w:color w:val="auto"/>
        </w:rPr>
        <w:t>“Risk Factors—Risks Related to Our Business—We may not successfully execute or achieve the expected benefits of our restructuring</w:t>
      </w:r>
      <w:r>
        <w:rPr>
          <w:rFonts w:ascii="Arial" w:cs="Arial" w:eastAsia="Arial" w:hAnsi="Arial"/>
          <w:sz w:val="16"/>
          <w:szCs w:val="16"/>
          <w:color w:val="auto"/>
        </w:rPr>
        <w:t xml:space="preserve"> </w:t>
      </w:r>
      <w:r>
        <w:rPr>
          <w:rFonts w:ascii="Arial" w:cs="Arial" w:eastAsia="Arial" w:hAnsi="Arial"/>
          <w:sz w:val="16"/>
          <w:szCs w:val="16"/>
          <w:i w:val="1"/>
          <w:iCs w:val="1"/>
          <w:color w:val="auto"/>
        </w:rPr>
        <w:t>initiatives and other cost-saving measures we may take in the future, and our efforts may result in further actions and/or additional asset impairment charges and adversely affect our business</w:t>
      </w:r>
      <w:r>
        <w:rPr>
          <w:rFonts w:ascii="Arial" w:cs="Arial" w:eastAsia="Arial" w:hAnsi="Arial"/>
          <w:sz w:val="16"/>
          <w:szCs w:val="16"/>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2029 and 2026 Convertible Notes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May 2024, we issued $350.0 million aggregate principal amount of 5.50% Convertible Senior Notes due 2029 (the “2029 Notes”) in a private offering, including the exercise in full of the option granted to the initial purchasers to purchase $50.0 million of the 2029 Notes. The 2029 Notes were issued pursuant to an Indenture (the “2029 Notes Indenture”) between us and U.S. Bank Trust Company, National Association, as trustee. The 2029 Notes bear interest at a rate of 5.50% per annum, payable semi-annually in arrears on June 1 and December 1 of each year, beginning on December 1, 2024. The net proceeds from this offering of 2029 Notes were approximately $342.3 million, after deducting the initial purchasers' discounts and commissions. The net proceeds of the offering were used, together with proceeds from the Term Loan (as defined below) and cash on hand, to repurchase approximately $801.0 million aggregate principal amount of our outstanding 0.00% Convertible Senior Notes due 2026 (the “2026 Notes”) described below.</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interest rate upon issuance of the 2029 Notes was 5.97%, which is the effective interest rate as of June 30, 2024.</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3" w:right="339" w:bottom="1440" w:gutter="0" w:footer="0" w:header="0"/>
        </w:sectPr>
      </w:pPr>
    </w:p>
    <w:bookmarkStart w:id="60" w:name="page61"/>
    <w:bookmarkEnd w:id="60"/>
    <w:p>
      <w:pPr>
        <w:ind w:right="20"/>
        <w:spacing w:after="0" w:line="265" w:lineRule="auto"/>
        <w:rPr>
          <w:sz w:val="20"/>
          <w:szCs w:val="20"/>
          <w:color w:val="auto"/>
        </w:rPr>
      </w:pPr>
      <w:r>
        <w:rPr>
          <w:rFonts w:ascii="Arial" w:cs="Arial" w:eastAsia="Arial" w:hAnsi="Arial"/>
          <w:sz w:val="16"/>
          <w:szCs w:val="16"/>
          <w:color w:val="auto"/>
        </w:rPr>
        <w:t>In February 2021, we issued $1.0 billion aggregate principal amount of the 2026 Notes in a private offering, including the exercise in full of the option granted to the initial purchasers to purchase $125.0 million of the 2026 Notes. The 2026 Notes were issued pursuant to an Indenture (the “ 2026 Notes Indenture”) between us and U.S. Bank National Association, as trustee. The net proceeds from the offering were approximately $977.2 million, after deducting the initial purchasers’ discounts and commissions and our offering expenses.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interest rate upon issuance of the 2026 Notes was 0.45%, which is the effective interest rate as of June 30, 2024.</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Repurchase of a Portion of the 2026 Convertible Notes</w:t>
      </w:r>
    </w:p>
    <w:p>
      <w:pPr>
        <w:spacing w:after="0" w:line="5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May 2024, we entered into separate, privately negotiated transactions with certain holders of the 2026 Notes to repurchase $801.0 million of aggregate principal amount of the 2026 Notes for an aggregate of $724.9 million of cash. We accounted for this repurchase of the 2026 Notes as a debt extinguishment under ASC 470-50, Debt – Modifications and Extinguishments (“ASC 470-50”). We recorded a $69.8 million gain on early extinguishment of debt during the year ending June 30, 2024, which includes the write-off of previously deferred debt issuance costs of $6.3 million.</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Termination of Capped Call Transactions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offering of the 2026 Notes, we entered into privately negotiated capped call transactions with certain counterparties (the “Capped Call Transactions”). In the last quarter of fiscal year 2024, we terminated the Capped Call Transactions in their entirety pursuant to negotiated termination agreements with each such counterparty.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Amended and Restated Credit Agreement</w:t>
      </w:r>
    </w:p>
    <w:p>
      <w:pPr>
        <w:spacing w:after="0" w:line="5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On May 30, 2024, we entered into a Third Amended and Restated Credit Agreement (as amended, restated, amended and restated, supplemented or otherwise modified from time to time, the “Third Amended and Restated Credit Agreement”), with JPMorgan Chase Bank, N.A., as administrative agent, and certain banks and financial institutions party thereto as lenders and issuing banks.</w:t>
      </w:r>
    </w:p>
    <w:p>
      <w:pPr>
        <w:spacing w:after="0" w:line="19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 Third Amended and Restated Credit Agreement provides for a $1.0 billion term loan facility (the “Term Loan”), which will be due and payable on May 30, 2029. The Term Loan amortizes in quarterly installments of 0.25%, payable at the end of each fiscal quarter and on the maturity date.</w:t>
      </w:r>
    </w:p>
    <w:p>
      <w:pPr>
        <w:spacing w:after="0" w:line="16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Third Amended and Restated Credit Agreement also provides for a $100.0 million revolving credit facility (the “Revolving Facility”), which will mature on May 30, 2029. We are only required to meet the total liquidity covenant, set at $250.0 million for the last business day of any week, and the subscription revenues covenant, set at $1.2 billion for the four-quarter trailing period, to the extent any revolving loans are borrowed and outstanding.</w:t>
      </w:r>
    </w:p>
    <w:p>
      <w:pPr>
        <w:spacing w:after="0" w:line="19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Revolving Facility, when drawn, bears interest at a rate equal to, at our option, either the Alternate Base Rate (as defined in the Third Amended and Restated Credit Agreement) plus 4.00% per annum or the Term SOFR Rate (as defined in the Third Amended and Restated Credit Agreement) plus 5.00% per annum. We are required to pay an annual commitment fee of 0.50% per annum on a quarterly basis based on the unused portion of the Revolving Facility, provided that the commitment fee is subject to one 0.125% step-down after the delivery of the financial statements and related compliance certificate for the fiscal quarter ending on or after September 30, 2024 for which the First Lien Net Leverage Ratio (as defined in the Third Amended and Restated Credit Agreement) is less than 5.00 to 1.00.</w:t>
      </w:r>
    </w:p>
    <w:p>
      <w:pPr>
        <w:spacing w:after="0" w:line="21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Term Loan initially bears interest at a rate equal to, at our option, either the Alternate Base Rate (as defined in the Third Amended and Restated Credit Agreement) plus 5.00% per annum or the Term SOFR Rate (as defined in the Third Amended and Restated Credit Agreement) plus 6.00% per annum. After the delivery of the financial statements and related compliance certificate for the fiscal quarter ending on or after September 30, 2024 for which the First Lien Net Leverage Ratio (as defined in the Third Amended and Restated Credit Agreement) is less than 5.00 to 1.00, the applicable rate for Alternate Base Rate loans or Term SOFR Rate loans will be subject to one 0.50% step-down. Any borrowing at the Alternate Base Rate is subject to a 1.00% floor and the Term SOFR Rate is subject to a 0.00% floor.</w:t>
      </w:r>
    </w:p>
    <w:p>
      <w:pPr>
        <w:spacing w:after="0" w:line="20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Third Amended and Restated Credit Agreement contains customary affirmative covenants as well as customary negative covenants that restrict our ability to, among other things, incur additional indebtedness, incur liens or grant negative pledges, make loans and investments, conduct certain transactions with affiliates, sell certain assets, enter into certain swap agreements, guarantee obligations of third parties, declare dividends or make certain distributions, and undergo a merger or consolidation or certain other transactions. The Third Amended and Restated Credit Agreement also contains certain customary events of default. Certain baskets and covenant levels have been adjusted and will apply equally to both the Term Loan and Revolving Facility for so long as the Term Loan is outstanding.</w:t>
      </w:r>
    </w:p>
    <w:p>
      <w:pPr>
        <w:spacing w:after="0" w:line="203"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obligations under the Third Amended and Restated Credit Agreement with respect to the Term Loan and the Revolving Facility are secured by substantially all of our assets, with certain exceptions set forth in the Third Amended and Restated Credit Agreement, and are required to be guaranteed by certain material subsidiaries of the Company if, at the end of future financial quarters, certain conditions are not met.</w:t>
      </w:r>
    </w:p>
    <w:p>
      <w:pPr>
        <w:spacing w:after="0" w:line="2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the fiscal years ended June 30, 2024 and 2023, we incurred total commitment fees of $1.3 million and $1.6 million, respectively, which are included in Interest expense in the Consolidated Statements of Operations and Comprehensive Loss.</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June 30, 2024, we had drawn the full amount of the Term Loan and had not drawn on the Revolving Facility, and we had $1,000.0 million total outstanding borrowings under the Third Amended and Restated Credit Agreement. As of June 30, 2024, we had outstanding letters of credit totaling $53.2 million, which are classified as Restricted cash on the Consolidated Balance Sheets.</w:t>
      </w:r>
    </w:p>
    <w:p>
      <w:pPr>
        <w:spacing w:after="0" w:line="20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connection with the execution of the Third Amended and Restated Credit Agreement, the Term Loan was accounted for as a modification, extinguishment, or new loan for certain lenders in accordance with ASC 470-50. Accordingly, a discount and debt issuance costs of $10.0 million and $2.3 million, respectively, will be amortized to Interest expense using the effective interest method over the term of the Third Amended and</w:t>
      </w:r>
    </w:p>
    <w:p>
      <w:pPr>
        <w:sectPr>
          <w:pgSz w:w="11900" w:h="16838" w:orient="portrait"/>
          <w:cols w:equalWidth="0" w:num="1">
            <w:col w:w="11240"/>
          </w:cols>
          <w:pgMar w:left="320" w:top="611"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61" w:name="page62"/>
    <w:bookmarkEnd w:id="61"/>
    <w:p>
      <w:pPr>
        <w:ind w:right="280"/>
        <w:spacing w:after="0" w:line="286" w:lineRule="auto"/>
        <w:rPr>
          <w:sz w:val="20"/>
          <w:szCs w:val="20"/>
          <w:color w:val="auto"/>
        </w:rPr>
      </w:pPr>
      <w:r>
        <w:rPr>
          <w:rFonts w:ascii="Arial" w:cs="Arial" w:eastAsia="Arial" w:hAnsi="Arial"/>
          <w:sz w:val="16"/>
          <w:szCs w:val="16"/>
          <w:color w:val="auto"/>
        </w:rPr>
        <w:t>Restated Credit Agreement. Furthermore, we expensed $8.7 million of debt issuance costs incurred and wrote-off $7.5 million of previously deferred debt discount and debt issuance costs, which are included within Net gain on debt refinancing on the Consolidated Statements of Operations.</w:t>
      </w:r>
    </w:p>
    <w:p>
      <w:pPr>
        <w:spacing w:after="0" w:line="196"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As of June 30, 2024, we had not drawn any amount under the Revolving Facility and as such did not have to test the financial covenants under the Third Amended and Restated Credit Agreement. We are required to pledge or otherwise restrict a portion of cash and cash equivalents as collateral for standby letters of credit.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Upon entering into the Term Loan, the effective interest rate was 12.4%, which was the effective interest rate as of June 30, 2024.</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8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78"/>
        </w:trPr>
        <w:tc>
          <w:tcPr>
            <w:tcW w:w="57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left="7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24"/>
                <w:szCs w:val="24"/>
                <w:color w:val="auto"/>
              </w:rPr>
            </w:pPr>
          </w:p>
        </w:tc>
      </w:tr>
      <w:tr>
        <w:trPr>
          <w:trHeight w:val="223"/>
        </w:trPr>
        <w:tc>
          <w:tcPr>
            <w:tcW w:w="5780" w:type="dxa"/>
            <w:vAlign w:val="bottom"/>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r>
      <w:tr>
        <w:trPr>
          <w:trHeight w:val="223"/>
        </w:trPr>
        <w:tc>
          <w:tcPr>
            <w:tcW w:w="5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center"/>
              <w:ind w:right="219"/>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(66.1)</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(387.6)</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(2,020.0)</w:t>
            </w: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1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rPr>
              <w:t>26.8</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(69.9)</w:t>
            </w: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153.3</w:t>
            </w:r>
          </w:p>
        </w:tc>
      </w:tr>
      <w:tr>
        <w:trPr>
          <w:trHeight w:val="21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(94.4)</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76.8</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2,015.1</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Net cash used in operating activities of $66.1 million for the fiscal year ended June 30, 2024 was primarily due to a net loss of $551.9 million and a net increase in operating assets and liabilities of $13.9 million, partially offset by non-cash adjustments of $499.7 million. The increase in operating assets and liabilities was primarily due to a $95.5 million decrease in accounts payable and accrued expenses, a $90.8 million decrease in net operating lease liabilities due to lease payments and lease terminations as we continue to reduce our real estate footprint through our restructuring efforts, a $23.6 million decrease in deferred revenue and customer deposits due to lower extended warranty revenue sales, and a $7.0 million increase in accounts receivable. The decrease was partially offset by $163.0 million decrease in inventory and a $42.6 million decrease in prepaid expenses and other current assets, primarily due to timing of prepayments for music royalties and marketing expenses. Non-cash adjustments primarily consisted of stock-based compensation expense, depreciation and amortization, non-cash operating lease expense, and long-lived asset impairment expense, partially offset by a gain on debt extinguishment of convertible notes.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cash provided by investing activities of $26.8 million for the fiscal year ended June 30, 2024 was primarily related to $31.9 million in proceeds from the sale of Peloton Output Park and $14.6 million in proceeds from the sale of a manufacturing subsidiary in Taiwan, partially offset by $19.7 million used for capital expenditures, primarily related to product development and the build out of our warehouses.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Net cash used in financing activities of $(94.4) million for the fiscal year ended June 30, 2024 was primarily related to $(742.5) million payment on principal of the old term loan and $(724.9) million payment on a portion of the 2026 Notes, partially offset by $986.9 million net proceeds from the issuance of the new Term Loan, $342.3 million net proceeds from the issuance of the 2029 Notes, and exercises of stock options of $41.2 million</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2024, our contractual obligations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839"/>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Less than</w:t>
            </w:r>
          </w:p>
        </w:tc>
        <w:tc>
          <w:tcPr>
            <w:tcW w:w="160" w:type="dxa"/>
            <w:vAlign w:val="bottom"/>
          </w:tcPr>
          <w:p>
            <w:pPr>
              <w:spacing w:after="0"/>
              <w:rPr>
                <w:sz w:val="22"/>
                <w:szCs w:val="2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1-3 years</w:t>
            </w:r>
          </w:p>
        </w:tc>
        <w:tc>
          <w:tcPr>
            <w:tcW w:w="240" w:type="dxa"/>
            <w:vAlign w:val="bottom"/>
          </w:tcPr>
          <w:p>
            <w:pPr>
              <w:spacing w:after="0"/>
              <w:rPr>
                <w:sz w:val="22"/>
                <w:szCs w:val="22"/>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22"/>
                <w:szCs w:val="22"/>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08"/>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3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1 year</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Lease obligations </w:t>
            </w:r>
            <w:r>
              <w:rPr>
                <w:rFonts w:ascii="Arial" w:cs="Arial" w:eastAsia="Arial" w:hAnsi="Arial"/>
                <w:sz w:val="21"/>
                <w:szCs w:val="21"/>
                <w:color w:val="auto"/>
                <w:vertAlign w:val="superscript"/>
              </w:rPr>
              <w:t>(1)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748.6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103.9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186.0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135.6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323.1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Minimum guarantees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Unused credit facility fee payments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Convertible senior notes </w:t>
            </w:r>
            <w:r>
              <w:rPr>
                <w:rFonts w:ascii="Arial" w:cs="Arial" w:eastAsia="Arial" w:hAnsi="Arial"/>
                <w:sz w:val="21"/>
                <w:szCs w:val="21"/>
                <w:color w:val="auto"/>
                <w:vertAlign w:val="superscript"/>
              </w:rPr>
              <w:t>(5)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1"/>
                <w:szCs w:val="21"/>
                <w:color w:val="auto"/>
                <w:vertAlign w:val="superscript"/>
              </w:rPr>
              <w:t>(5)</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5" w:lineRule="exact"/>
        <w:rPr>
          <w:sz w:val="20"/>
          <w:szCs w:val="20"/>
          <w:color w:val="auto"/>
        </w:rPr>
      </w:pPr>
    </w:p>
    <w:p>
      <w:pPr>
        <w:ind w:firstLine="8"/>
        <w:spacing w:after="0" w:line="264" w:lineRule="auto"/>
        <w:tabs>
          <w:tab w:leader="none" w:pos="197" w:val="left"/>
        </w:tabs>
        <w:numPr>
          <w:ilvl w:val="0"/>
          <w:numId w:val="37"/>
        </w:numPr>
        <w:rPr>
          <w:rFonts w:ascii="Arial" w:cs="Arial" w:eastAsia="Arial" w:hAnsi="Arial"/>
          <w:sz w:val="13"/>
          <w:szCs w:val="13"/>
          <w:color w:val="050505"/>
        </w:rPr>
      </w:pPr>
      <w:r>
        <w:rPr>
          <w:rFonts w:ascii="Arial" w:cs="Arial" w:eastAsia="Arial" w:hAnsi="Arial"/>
          <w:sz w:val="13"/>
          <w:szCs w:val="13"/>
          <w:color w:val="050505"/>
        </w:rPr>
        <w:t>Lease obligations relate to our office space, warehouses, production studios, retail locations, and equipment. The original lease terms are between one and 21 years, and the majority of the lease agreements are renewable at the end of the lease period. The Company has finance lease obligations of $0.1 million, also included above.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2" w:name="page63"/>
    <w:bookmarkEnd w:id="62"/>
    <w:p>
      <w:pPr>
        <w:jc w:val="both"/>
        <w:ind w:firstLine="8"/>
        <w:spacing w:after="0" w:line="251" w:lineRule="auto"/>
        <w:tabs>
          <w:tab w:leader="none" w:pos="194" w:val="left"/>
        </w:tabs>
        <w:numPr>
          <w:ilvl w:val="0"/>
          <w:numId w:val="38"/>
        </w:numPr>
        <w:rPr>
          <w:rFonts w:ascii="Arial" w:cs="Arial" w:eastAsia="Arial" w:hAnsi="Arial"/>
          <w:sz w:val="13"/>
          <w:szCs w:val="13"/>
          <w:color w:val="050505"/>
        </w:rPr>
      </w:pPr>
      <w:r>
        <w:rPr>
          <w:rFonts w:ascii="Arial" w:cs="Arial" w:eastAsia="Arial" w:hAnsi="Arial"/>
          <w:sz w:val="13"/>
          <w:szCs w:val="13"/>
          <w:color w:val="050505"/>
        </w:rPr>
        <w:t xml:space="preserve">We are subject to minimum royalty payments associated with our license agreements for the use of licensed content. See </w:t>
      </w:r>
      <w:r>
        <w:rPr>
          <w:rFonts w:ascii="Arial" w:cs="Arial" w:eastAsia="Arial" w:hAnsi="Arial"/>
          <w:sz w:val="13"/>
          <w:szCs w:val="13"/>
          <w:i w:val="1"/>
          <w:iCs w:val="1"/>
          <w:color w:val="050505"/>
        </w:rPr>
        <w:t>“Risk Factors — Risks Related to Our Business—</w:t>
      </w:r>
      <w:r>
        <w:rPr>
          <w:rFonts w:ascii="Arial" w:cs="Arial" w:eastAsia="Arial" w:hAnsi="Arial"/>
          <w:sz w:val="13"/>
          <w:szCs w:val="13"/>
          <w:color w:val="050505"/>
        </w:rPr>
        <w:t xml:space="preserve"> </w:t>
      </w:r>
      <w:r>
        <w:rPr>
          <w:rFonts w:ascii="Arial" w:cs="Arial" w:eastAsia="Arial" w:hAnsi="Arial"/>
          <w:sz w:val="13"/>
          <w:szCs w:val="13"/>
          <w:i w:val="1"/>
          <w:iCs w:val="1"/>
          <w:color w:val="000000"/>
        </w:rPr>
        <w:t>We depend upon third-party licenses for the use of music in our content. An adverse change to, loss of, or claim that we do not hold necessary licenses may have an adverse effect on our business, operating results, and financial condition.”</w:t>
      </w:r>
    </w:p>
    <w:p>
      <w:pPr>
        <w:spacing w:after="0" w:line="43" w:lineRule="exact"/>
        <w:rPr>
          <w:rFonts w:ascii="Arial" w:cs="Arial" w:eastAsia="Arial" w:hAnsi="Arial"/>
          <w:sz w:val="13"/>
          <w:szCs w:val="13"/>
          <w:color w:val="050505"/>
        </w:rPr>
      </w:pPr>
    </w:p>
    <w:p>
      <w:pPr>
        <w:ind w:left="200" w:hanging="192"/>
        <w:spacing w:after="0"/>
        <w:tabs>
          <w:tab w:leader="none" w:pos="2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Pursuant to the Third Amended and Restated Credit Agreement, we are required to pay a commitment fee of 0.500% on a quarterly basis based on the unused portion of the Revolving Facility.</w:t>
      </w:r>
    </w:p>
    <w:p>
      <w:pPr>
        <w:spacing w:after="0" w:line="53" w:lineRule="exact"/>
        <w:rPr>
          <w:rFonts w:ascii="Arial" w:cs="Arial" w:eastAsia="Arial" w:hAnsi="Arial"/>
          <w:sz w:val="13"/>
          <w:szCs w:val="13"/>
          <w:color w:val="auto"/>
        </w:rPr>
      </w:pPr>
    </w:p>
    <w:p>
      <w:pPr>
        <w:ind w:left="200" w:hanging="192"/>
        <w:spacing w:after="0"/>
        <w:tabs>
          <w:tab w:leader="none" w:pos="2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Other purchase obligations include all other non-cancelable contractual obligations. These contracts are primarily related to cloud computing costs.</w:t>
      </w:r>
    </w:p>
    <w:p>
      <w:pPr>
        <w:spacing w:after="0" w:line="53" w:lineRule="exact"/>
        <w:rPr>
          <w:rFonts w:ascii="Arial" w:cs="Arial" w:eastAsia="Arial" w:hAnsi="Arial"/>
          <w:sz w:val="13"/>
          <w:szCs w:val="13"/>
          <w:color w:val="auto"/>
        </w:rPr>
      </w:pPr>
    </w:p>
    <w:p>
      <w:pPr>
        <w:ind w:firstLine="8"/>
        <w:spacing w:after="0" w:line="264" w:lineRule="auto"/>
        <w:tabs>
          <w:tab w:leader="none" w:pos="189" w:val="left"/>
        </w:tabs>
        <w:numPr>
          <w:ilvl w:val="0"/>
          <w:numId w:val="38"/>
        </w:numPr>
        <w:rPr>
          <w:rFonts w:ascii="Arial" w:cs="Arial" w:eastAsia="Arial" w:hAnsi="Arial"/>
          <w:sz w:val="13"/>
          <w:szCs w:val="13"/>
          <w:color w:val="auto"/>
        </w:rPr>
      </w:pPr>
      <w:r>
        <w:rPr>
          <w:rFonts w:ascii="Arial" w:cs="Arial" w:eastAsia="Arial" w:hAnsi="Arial"/>
          <w:sz w:val="13"/>
          <w:szCs w:val="13"/>
          <w:color w:val="auto"/>
        </w:rPr>
        <w:t xml:space="preserve">Refer to </w:t>
      </w:r>
      <w:r>
        <w:rPr>
          <w:rFonts w:ascii="Arial" w:cs="Arial" w:eastAsia="Arial" w:hAnsi="Arial"/>
          <w:sz w:val="13"/>
          <w:szCs w:val="13"/>
          <w:i w:val="1"/>
          <w:iCs w:val="1"/>
          <w:color w:val="auto"/>
        </w:rPr>
        <w:t>Note 12 - Debt</w:t>
      </w:r>
      <w:r>
        <w:rPr>
          <w:rFonts w:ascii="Arial" w:cs="Arial" w:eastAsia="Arial" w:hAnsi="Arial"/>
          <w:sz w:val="13"/>
          <w:szCs w:val="13"/>
          <w:color w:val="auto"/>
        </w:rPr>
        <w:t xml:space="preserve"> in the Notes to Consolidated Financial Statements in Part II, Item 8 of this Annual Report on Form 10-K for further details regarding our 2026 Notes and 2029 Notes and Term Loan obligations.</w:t>
      </w:r>
    </w:p>
    <w:p>
      <w:pPr>
        <w:spacing w:after="0" w:line="26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blanket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Peloton-specific designs, and/or specific non-cancellable, non-returnable components based on our provided forecasts.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2024, our commitments to contract with third-party manufacturers for their inventory on-hand and component purchase commitments related</w:t>
      </w:r>
    </w:p>
    <w:p>
      <w:pPr>
        <w:spacing w:after="0" w:line="3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to the manufacture of our products were estimated to be approximately $80.1 million. See </w:t>
      </w:r>
      <w:r>
        <w:rPr>
          <w:rFonts w:ascii="Arial" w:cs="Arial" w:eastAsia="Arial" w:hAnsi="Arial"/>
          <w:sz w:val="16"/>
          <w:szCs w:val="16"/>
          <w:i w:val="1"/>
          <w:iCs w:val="1"/>
          <w:color w:val="auto"/>
        </w:rPr>
        <w:t>“Risk Factors—Risks Related to Our Business—Our operating</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have been, and could in the future be, adversely affected if we are unable to accurately forecast consumer demand for our products and services and adequately manage our inventory</w:t>
      </w:r>
      <w:r>
        <w:rPr>
          <w:rFonts w:ascii="Arial" w:cs="Arial" w:eastAsia="Arial" w:hAnsi="Arial"/>
          <w:sz w:val="16"/>
          <w:szCs w:val="16"/>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undisclosed off-balance sheet arrangements as of June 30, 2024.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Recent Accounting Pronouncements</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xml:space="preserve"> in the Notes to Consolidated Financial Statements in Part II, Item 8 of this Annual Report on Form 10-K under the heading </w:t>
      </w:r>
      <w:r>
        <w:rPr>
          <w:rFonts w:ascii="Arial" w:cs="Arial" w:eastAsia="Arial" w:hAnsi="Arial"/>
          <w:sz w:val="16"/>
          <w:szCs w:val="16"/>
          <w:i w:val="1"/>
          <w:iCs w:val="1"/>
          <w:color w:val="auto"/>
        </w:rPr>
        <w:t>“Recently Issued Accounting Pronouncements”</w:t>
      </w:r>
      <w:r>
        <w:rPr>
          <w:rFonts w:ascii="Arial" w:cs="Arial" w:eastAsia="Arial" w:hAnsi="Arial"/>
          <w:sz w:val="16"/>
          <w:szCs w:val="16"/>
          <w:color w:val="auto"/>
        </w:rPr>
        <w:t xml:space="preserve"> for a discussion about new accounting pronouncements adopted and not yet adopted as of the date of this Annual Report on Form 10-K.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consolidated financial statements include those noted below.</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5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Our primary sources of revenue are our recurring content Subscription revenue, and revenue from the sales of our Connected Fitness Products and related accessories, as well as Precor branded fitness products, delivery and installation services.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We determine revenue recognition through the following steps in accordance with ASC 606:</w:t>
      </w:r>
    </w:p>
    <w:p>
      <w:pPr>
        <w:spacing w:after="0" w:line="248"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recognition of revenue when, or as, we satisfy a performance obligation.</w:t>
      </w: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Revenue is recognized when control of the promised goods or services is transferred to our customers, in an amount that reflects the consideration that we expect to be entitled to in exchange for those goods or services. Our revenue is reported net of sales returns and concessions, discounts and allowances, incentives, and rebates to commercial distributors as a reduction of the transaction price. Certain contracts include consideration payable that is accounted for as a payment for distinct goods or services. Our transaction price estimate includes our estimate for product returns and concessions based on the terms and conditions of home trial programs, historical return trends by product category, impact of seasonality, an evaluation of current economic and market conditions, and current business practices, and record the expected customer refund liability as a reduction to revenue, and the expected inventory right of recovery as a reduction of cost of revenue. If</w:t>
      </w:r>
    </w:p>
    <w:p>
      <w:pPr>
        <w:sectPr>
          <w:pgSz w:w="11900" w:h="16838" w:orient="portrait"/>
          <w:cols w:equalWidth="0" w:num="1">
            <w:col w:w="11240"/>
          </w:cols>
          <w:pgMar w:left="320" w:top="608" w:right="339" w:bottom="1440"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8"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color w:val="auto"/>
        </w:rPr>
        <w:t>actual return costs differ from previous estimates, the amount of the liability and corresponding revenue are adjusted in the period in which such costs occur.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There is not significant judgement required in the determination of performance obligations, allocation of our transaction price, or the recognition of revenue.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further discussion in </w:t>
      </w:r>
      <w:r>
        <w:rPr>
          <w:rFonts w:ascii="Arial" w:cs="Arial" w:eastAsia="Arial" w:hAnsi="Arial"/>
          <w:sz w:val="16"/>
          <w:szCs w:val="16"/>
          <w:i w:val="1"/>
          <w:iCs w:val="1"/>
          <w:color w:val="auto"/>
        </w:rPr>
        <w:t>Note 3 - Revenue</w:t>
      </w:r>
      <w:r>
        <w:rPr>
          <w:rFonts w:ascii="Arial" w:cs="Arial" w:eastAsia="Arial" w:hAnsi="Arial"/>
          <w:sz w:val="16"/>
          <w:szCs w:val="16"/>
          <w:color w:val="auto"/>
        </w:rPr>
        <w:t xml:space="preserve"> in the Notes to Consolidated Financial Statements in Part II, Item 8 of this Annual Report on Form 10-K.</w:t>
      </w:r>
    </w:p>
    <w:p>
      <w:pPr>
        <w:spacing w:after="0" w:line="23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As described in Note 13 - Commitments and Contingencies in the Notes to Consolidated Financial Statements in Part II, Item 8 of this Annual Report on Form 10-K, we announced a voluntary recall of the Company's Tread+ product in collaboration with the U.S. Consumer Product Safety Commission (“CPSC”) which had permitted customers to return the product for a refund. The amount of a refund customers were eligible to receive differed based on the status of an approved remediation of the issue driving the recall, and the age of the Connected Fitness product being returned. We estimated return reserves primarily based on historical and expected product returns, product warranty, and service call trends. We also considered current trends in consumer behavior in order to identify correlations to current trends in returns.</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050505"/>
        </w:rPr>
        <w:t>On October 18, 2022, the CPSC and we jointly announced that consumers have more time to get a full refund if they wish to return their Tread+, extending the full refund period for one additional year, to November 6, 2023. With the extension period now over, we adjusted its reserve assumptions for lower volume of expected returns, as well as an increase in estimated take rate of the rear guard repair, resulting in a reduction to the return reserve. As a result of these recalls, we have recorded return provisions as a (benefit)/reduction to Connected Fitness Products revenue of $(4.5) million, $14.6 million, and $48.9 million for the fiscal years ended June 30, 2024, 2023 and 2022, respectively. As of June 30, 2024 and June 30, 2023, our returns reserve related to the impacts of the recalls was $6.7 million and $24.4 million,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Recall Related Matters</w:t>
      </w:r>
    </w:p>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050505"/>
        </w:rPr>
        <w:t xml:space="preserve">We accrue cost of product recalls and potential corrective actions based on management’s estimate of when it is probable that a liability has been incurred and the amount can be reasonably estimated, which occurs when management commits to a corrective action plan or when required by regulatory requirements. Costs of product recalls and corrective actions are recognized in Connected Fitness Products cost of revenue, which may include the cost of the development of the product being replaced, logistics costs, and other related costs such as product scrap cost, inventory write-down and cancellation of any supplier commitments. The accrued cost is based on management’s estimate of the cost to repair each affected product and the estimated number of products to be repaired based on actions taken by the impacted customers. Estimating both cost to repair each affected product and the number of units to be repaired is highly subjective and requires significant management judgment. Based on information that is currently available, management believes that the accruals are adequate. It is possible that substantial additional charges may be required in future periods based on new information, changes in facts and circumstances, and actions we may commit to or be required to undertake. We did not accrue any additional liability related to its product recall related matters during the fiscal year ended June 30, 2024. During the fiscal year ended June 30, 2023, we accrued an additional $64.1 million liability related to its product recall related matters. As of June 30, 2024 and June 30, 2023, accruals related to product recall related matters were $8.3 million and $63.4 million, respectively, </w:t>
      </w:r>
      <w:r>
        <w:rPr>
          <w:rFonts w:ascii="Arial" w:cs="Arial" w:eastAsia="Arial" w:hAnsi="Arial"/>
          <w:sz w:val="16"/>
          <w:szCs w:val="16"/>
          <w:color w:val="000000"/>
        </w:rPr>
        <w:t>were</w:t>
      </w:r>
      <w:r>
        <w:rPr>
          <w:rFonts w:ascii="Arial" w:cs="Arial" w:eastAsia="Arial" w:hAnsi="Arial"/>
          <w:sz w:val="16"/>
          <w:szCs w:val="16"/>
          <w:color w:val="050505"/>
        </w:rPr>
        <w:t xml:space="preserve"> included within Accounts payable and accrued expenses on the Consolidated Balance Sheets.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Inventory Valuation and Reserves</w:t>
      </w:r>
    </w:p>
    <w:p>
      <w:pPr>
        <w:spacing w:after="0" w:line="59" w:lineRule="exact"/>
        <w:rPr>
          <w:sz w:val="20"/>
          <w:szCs w:val="20"/>
          <w:color w:val="auto"/>
        </w:rPr>
      </w:pPr>
    </w:p>
    <w:p>
      <w:pPr>
        <w:jc w:val="both"/>
        <w:ind w:right="160"/>
        <w:spacing w:after="0" w:line="265" w:lineRule="auto"/>
        <w:rPr>
          <w:sz w:val="20"/>
          <w:szCs w:val="20"/>
          <w:color w:val="auto"/>
        </w:rPr>
      </w:pPr>
      <w:r>
        <w:rPr>
          <w:rFonts w:ascii="Arial" w:cs="Arial" w:eastAsia="Arial" w:hAnsi="Arial"/>
          <w:sz w:val="16"/>
          <w:szCs w:val="16"/>
          <w:color w:val="auto"/>
        </w:rPr>
        <w:t>We review our inventory to ensure that its carrying value does not exceed its net realizable value (“NRV”), with NRV based on the estimated selling price of inventory in the ordinary course of business, less estimated costs of completion, disposal and transportation. When our expectations indicate that the carrying value of inventory may exceed its NRV, we perform an exercise to calculate the approximate amount by which carrying value is greater than NRV and record additional cost of revenue for the difference. Once a write-off occurs, a new, lower cost basis is established. Should our estimates used in these calculations change in the future, such as estimated selling prices or disposal costs, additional write-downs may occur.</w:t>
      </w:r>
    </w:p>
    <w:p>
      <w:pPr>
        <w:spacing w:after="0" w:line="172" w:lineRule="exact"/>
        <w:rPr>
          <w:sz w:val="20"/>
          <w:szCs w:val="20"/>
          <w:color w:val="auto"/>
        </w:rPr>
      </w:pPr>
    </w:p>
    <w:p>
      <w:pPr>
        <w:jc w:val="both"/>
        <w:ind w:right="160"/>
        <w:spacing w:after="0" w:line="265" w:lineRule="auto"/>
        <w:rPr>
          <w:sz w:val="20"/>
          <w:szCs w:val="20"/>
          <w:color w:val="auto"/>
        </w:rPr>
      </w:pPr>
      <w:r>
        <w:rPr>
          <w:rFonts w:ascii="Arial" w:cs="Arial" w:eastAsia="Arial" w:hAnsi="Arial"/>
          <w:sz w:val="16"/>
          <w:szCs w:val="16"/>
          <w:color w:val="auto"/>
        </w:rPr>
        <w:t>We also regularly monitor inventory quantities on hand and in transit and reserve for excess and obsolete inventories using estimates based on historical experience, historical and projected sales trends, specific categories of inventory, and age of on-hand inventory. Inventories presented in the Consolidated Balance Sheets are net of reserves for excess and obsolete inventory. If actual conditions or product demands are less favorable than our assumptions, additional inventory reserves may be required.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Warranty</w:t>
      </w:r>
    </w:p>
    <w:p>
      <w:pPr>
        <w:spacing w:after="0" w:line="59"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color w:val="auto"/>
        </w:rPr>
        <w:t>We offer a standard product warranty that our Connected Fitness Products will operate under normal, non-commercial use covering the touchscreen and most original Bike, Bike+, Tread, Tread+, Row, and Guide components. We have the obligation, at our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and business practices. Our products are manufactured by contract manufacturers, and in certain cases, we may have recourse to such contract manufacturers.</w:t>
      </w:r>
    </w:p>
    <w:p>
      <w:pPr>
        <w:spacing w:after="0" w:line="203"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We also offer the option for customers in some markets to purchase an extended warranty and service contract that extends or enhances the technical support, parts, and labor coverage offered as part of the base warranty included with the Connected Fitness Products for additional periods beyond the standard product warranty period.</w:t>
      </w:r>
    </w:p>
    <w:p>
      <w:pPr>
        <w:spacing w:after="0" w:line="191" w:lineRule="exact"/>
        <w:rPr>
          <w:sz w:val="20"/>
          <w:szCs w:val="20"/>
          <w:color w:val="auto"/>
        </w:rPr>
      </w:pPr>
    </w:p>
    <w:p>
      <w:pPr>
        <w:jc w:val="both"/>
        <w:ind w:right="160"/>
        <w:spacing w:after="0" w:line="304" w:lineRule="auto"/>
        <w:rPr>
          <w:sz w:val="20"/>
          <w:szCs w:val="20"/>
          <w:color w:val="auto"/>
        </w:rPr>
      </w:pPr>
      <w:r>
        <w:rPr>
          <w:rFonts w:ascii="Arial" w:cs="Arial" w:eastAsia="Arial" w:hAnsi="Arial"/>
          <w:sz w:val="16"/>
          <w:szCs w:val="16"/>
          <w:color w:val="auto"/>
        </w:rPr>
        <w:t>Extended warranty revenue is recognized ratably over the extended warranty coverage period and is included in Connected Fitness Products revenue in the Consolidated Statements of Operations and Comprehensive Loss.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Goodwill and Intangible Assets</w:t>
      </w:r>
    </w:p>
    <w:p>
      <w:pPr>
        <w:spacing w:after="0" w:line="5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Goodwill represents the excess of the aggregate of the consideration transferred and the amount recognized for non-controlling interest, if any, over the fair value of identifiable assets acquired and liabilities assumed in a business combination. We have no intangible assets with indefinite useful lives.</w:t>
      </w:r>
    </w:p>
    <w:p>
      <w:pPr>
        <w:spacing w:after="0" w:line="169"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Intangible assets other than goodwill are comprised of acquired developed technology and other finite-lived intangible assets. At initial recognition, intangible assets acquired in a business combination or asset acquisition are recognized at their fair value as of the date of acquisition. Following initial recognition, intangible assets are carried at acquisition date fair value less accumulated amortization and impairment losses, if any, and are amortized on a straight-line basis over the estimated useful life of the asset.</w:t>
      </w:r>
    </w:p>
    <w:p>
      <w:pPr>
        <w:spacing w:after="0" w:line="173"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color w:val="auto"/>
        </w:rPr>
        <w:t>We review goodwill for impairment annually on April 1 of each fiscal year or whenever events or changes in circumstances indicate that an impairment may exist. The process of evaluating the potential impairment of goodwill is highly subjective and requires significant judgment. In conducting our annual impairment test, we first review qualitative factors to determine whether it is more likely than not that the fair value of the reporting unit is less than its carrying amount. If factors indicate that the fair value of the reporting unit is less than its carrying amount, we perform a quantitative assessment and the fair value of the reporting unit is estimated by analyzing the expected present value of future cash flows. If the carrying value of the reporting unit exceeds its fair value, an impairment loss equal to the excess is recorded.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We assess the impairment of intangible assets whenever events or changes in circumstances indicate that the carrying amount may not be recoverable.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Long-Lived Assets</w:t>
      </w:r>
    </w:p>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test our long-lived asset groups when changes in circumstances indicate their carrying value may not be recoverable. Events that trigger a test for recoverability include material adverse changes in projected revenues and expenses, present cash flow losses combined with a history of cash flow losses and a forecast that demonstrates significant continuing losses, significant negative industry or economic trends, a current expectation that a long-lived asset group will be disposed of significantly before the end of its useful life, a significant adverse change in the manner in which an asset group is used or in its physical condition, or when there is a change in the asset grouping. When a triggering event occurs, a test for recoverability is performed, comparing projected undiscounted future cash flows to the carrying value of the asset group. If the test for recoverability identifies a possible impairment, the asset group’s fair value is measured relying primarily on a discounted cash flow method. To the extent available, we will also consider third-party valuations of our long-lived assets that were prepared for other business purposes. An impairment charge is recognized for the amount by which the carrying value of the asset group exceeds its estimated fair value. When an impairment loss is recognized for assets to be held and used, the adjusted carrying amounts of those assets are depreciated over their remaining useful life.</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our Connected Fitness segment and Subscription segment, we evaluate long-lived tangible assets at the lowest level at which independent cash flows can be identified, which is dependent on the strategy and expected future use of our long-lived assets. We evaluate corporate assets or other long-lived assets that are not segment-specific at the consolidated level.</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measure the fair value of an asset group based on market prices (i.e., the amount for which the asset could be sold to a third party) when available. When market prices are not available, we generally estimate the fair value of the asset group using the income approach and/or the market approach. The income approach uses cash flow projections. Inherent in our development of cash flow projections are assumptions and estimates derived from a review of our operating results, business plan forecasts, expected growth rates, and cost of capital, similar to those a market participant would use to assess fair value. We also make certain assumptions about future economic conditions and other data. Many of the factors used in assessing fair value are outside the control of management, and these assumptions and estimates may change in future periods.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Changes in assumptions or estimates can materially affect the fair value measurement of an asset group and, therefore, can affect the test results. Since there is typically no active market for our long-lived tangible assets, we estimate fair values based on the expected future cash flows. We estimate future cash flows based on historical results, current trends, and operating and cash flow projections. Our estimates are subject to uncertainty and may be affected by a number of factors outside our control, including general economic conditions and the competitive environment. While we believe our estimates and judgments about future cash flows are reasonable, future impairment charges may be required if the expected cash flow estimates, as projected, do not occur or if events change requiring us to revise our estimates.</w:t>
      </w:r>
    </w:p>
    <w:p>
      <w:pPr>
        <w:spacing w:after="0" w:line="19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During fiscal 2022, 2023 and 2024, management identified various qualitative factors that collectively indicated that the Company had impairment triggering events, including (i) realignment of cost structure in connection with the restructuring initiatives, (ii) softening demand and (iii) significant decrease in the market price of certain long-lived asset groups.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w:t>
      </w:r>
    </w:p>
    <w:p>
      <w:pPr>
        <w:spacing w:after="0" w:line="59" w:lineRule="exact"/>
        <w:rPr>
          <w:sz w:val="20"/>
          <w:szCs w:val="20"/>
          <w:color w:val="auto"/>
        </w:rPr>
      </w:pPr>
    </w:p>
    <w:p>
      <w:pPr>
        <w:jc w:val="both"/>
        <w:ind w:right="160"/>
        <w:spacing w:after="0" w:line="262" w:lineRule="auto"/>
        <w:rPr>
          <w:sz w:val="20"/>
          <w:szCs w:val="20"/>
          <w:color w:val="auto"/>
        </w:rPr>
      </w:pPr>
      <w:r>
        <w:rPr>
          <w:rFonts w:ascii="Arial" w:cs="Arial" w:eastAsia="Arial" w:hAnsi="Arial"/>
          <w:sz w:val="16"/>
          <w:szCs w:val="16"/>
          <w:color w:val="auto"/>
        </w:rPr>
        <w:t>To determine whether transactions should be accounted for as acquisitions of assets or business combinations, we make certain judgments, which include assessment of the inputs, processes, and outputs associated with the acquired set of activities. If we determine that substantially all of the fair value of gross assets included in a transaction is concentrated in a single asset (or a group of similar assets), the assets will not represent a business. To be considered a business, the assets in a transaction need to include an input and a substantive process that together significantly contribute to the ability to create outputs.</w:t>
      </w:r>
    </w:p>
    <w:p>
      <w:pPr>
        <w:spacing w:after="0" w:line="385"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We allocate the fair value of the purchase consideration to the assets acquired and liabilities assumed based on their estimated fair values at the acquisition date. The fair values of intangible assets are determined utilizing information available near the acquisition date based on expectations and assumptions that are deemed reasonable by management. Given the considerable judgment involved in determining fair</w:t>
      </w:r>
    </w:p>
    <w:p>
      <w:pPr>
        <w:sectPr>
          <w:pgSz w:w="11900" w:h="16838" w:orient="portrait"/>
          <w:cols w:equalWidth="0" w:num="1">
            <w:col w:w="11240"/>
          </w:cols>
          <w:pgMar w:left="320" w:top="652"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65" w:name="page66"/>
    <w:bookmarkEnd w:id="65"/>
    <w:p>
      <w:pPr>
        <w:jc w:val="both"/>
        <w:ind w:right="160"/>
        <w:spacing w:after="0" w:line="265" w:lineRule="auto"/>
        <w:rPr>
          <w:sz w:val="20"/>
          <w:szCs w:val="20"/>
          <w:color w:val="auto"/>
        </w:rPr>
      </w:pPr>
      <w:r>
        <w:rPr>
          <w:rFonts w:ascii="Arial" w:cs="Arial" w:eastAsia="Arial" w:hAnsi="Arial"/>
          <w:sz w:val="16"/>
          <w:szCs w:val="16"/>
          <w:color w:val="auto"/>
        </w:rPr>
        <w:t>values, we typically obtain assistance from third-party valuation specialists for significant items. Any excess of the purchase price (consideration transferred) over the estimated fair values of net assets acquired is recorded as goodwill. Transaction costs are expensed as incurred. Amounts recorded in a business combination may change during the measurement period, which is a period not to exceed one year from the date of acquisition, as additional information about conditions that existed at the acquisition date becomes available.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Contingencies</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or may become, a party to legal proceedings, claims, and regulatory, tax, and government inquiries and investigations that arise in the ordinary course of business. Certain of these matters include claims for substantial uncertainty or the amount of potential damages are unascertainable. Accordingly, except for proceedings that have settled or been terminated, or except where otherwise indicated in the accompanying notes to the consolidated financial statements, it is not possible to determine the probability of loss or estimate damages for such matters, and therefore, we have not established reserves for any of these proceedings. When we determine that a loss is both probable and reasonably estimable, we record a liability, and, if the liability is material, we disclose the amount of the liability reserved in the accompanying notes to the consolidated financial statements.</w:t>
      </w:r>
    </w:p>
    <w:p>
      <w:pPr>
        <w:spacing w:after="0" w:line="20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Unless otherwise disclosed in the accompanying notes to the consolidated financial statements, while it is reasonably possible that a loss may be incurred relating to the legal proceedings set forth in the accompanying notes to our consolidated financial statements, we are unable to estimate a range of potential loss due to the complexity and current status of these proceedings. In these matters, we have not established a reserve.</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evaluate, on a regular basis, developments in our legal proceedings and other contingencies that could affect the amount of the liability, including amounts in excess of any previous accruals and reasonably possible losses disclosed, and make adjustments and changes to our accruals and disclosures as appropriate to reflect the impact of negotiations, settlements, rulings, advice of legal counsel, and updated information. Significant judgment is required to determine both the probability and the estimated amount of loss. These estimates have been based on our assessment of the facts and circumstances at each balance sheet date and are subject to change based on new information and future events. For the matters we disclose in the accompanying notes to the consolidated financial statements that do not include an estimate of the amount of loss or range of losses, estimating such an amount is not possible or is immaterial.</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Given that our legal proceedings, claims, and regulatory, tax, and government inquiries and investigations are subject to uncertainty, there can be no assurance that such legal proceedings, either individually or in the aggregate, will not have a material adverse effect on our business, results of operations, financial condition or cash flows.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had Cash and cash equivalents of $697.6 million as of June 30, 2024.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Annual Report on Form 10-K would not have had a material impact on our consolidated financial statements.</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primarily exposed to changes in short-term interest rates with respect to our cost of borrowing under our Third Amended and Restated Credit Agreement. We monitor our cost of borrowing under our facilities, taking into account our funding requirements, and our expectations for short-term rates in the future. A hypothetical 10% change in the interest rate on our Third Amended and Restated Credit Agreement for all periods presented would not have a material impact on our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is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have the ability to use derivative instruments, such as foreign currency forwards, and have the ability to use option contracts, to hedge certain exposures to fluctuations in foreign currency exchange rates. Our exposure to foreign currency exchange rates historically has been partially hedged as our foreign currency denominated inflows create a natural hedge against our foreign currency denominated expenses.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a result of inflationary conditions, there have been and may continue to be additional pressures on the ongoing increases in supply chain and logistics costs, materials costs, and labor costs. While it is difficult to accurately measure the impact of inflation due to the imprecise nature of the estimates required, we have recently experienced the effects of inflation on our results of operations and financial condition. Our business may continue to be impacted by inflation in the future which could have an adverse effect on our ability to maintain current levels of gross margin and operating expenses as a percentage of net revenue if we are unable to fully offset such higher costs through price increases. Additionally, because we purchase component parts from our suppliers, we may be adversely impacted by their inability to adequately mitigate inflationary, industry, or economic pressures.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7" w:name="page68"/>
    <w:bookmarkEnd w:id="67"/>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320" w:type="dxa"/>
            <w:vAlign w:val="bottom"/>
            <w:gridSpan w:val="3"/>
          </w:tcPr>
          <w:p>
            <w:pPr>
              <w:jc w:val="center"/>
              <w:ind w:left="1419"/>
              <w:spacing w:after="0"/>
              <w:rPr>
                <w:sz w:val="20"/>
                <w:szCs w:val="20"/>
                <w:color w:val="auto"/>
              </w:rPr>
            </w:pPr>
            <w:r>
              <w:rPr>
                <w:rFonts w:ascii="Arial" w:cs="Arial" w:eastAsia="Arial" w:hAnsi="Arial"/>
                <w:sz w:val="16"/>
                <w:szCs w:val="16"/>
                <w:b w:val="1"/>
                <w:bCs w:val="1"/>
                <w:color w:val="auto"/>
                <w:w w:val="99"/>
              </w:rPr>
              <w:t>Page</w:t>
            </w:r>
          </w:p>
        </w:tc>
      </w:tr>
      <w:tr>
        <w:trPr>
          <w:trHeight w:val="176"/>
        </w:trPr>
        <w:tc>
          <w:tcPr>
            <w:tcW w:w="300" w:type="dxa"/>
            <w:vAlign w:val="bottom"/>
          </w:tcPr>
          <w:p>
            <w:pPr>
              <w:spacing w:after="0"/>
              <w:rPr>
                <w:sz w:val="15"/>
                <w:szCs w:val="15"/>
                <w:color w:val="auto"/>
              </w:rPr>
            </w:pPr>
          </w:p>
        </w:tc>
        <w:tc>
          <w:tcPr>
            <w:tcW w:w="7620" w:type="dxa"/>
            <w:vAlign w:val="bottom"/>
            <w:gridSpan w:val="6"/>
          </w:tcPr>
          <w:p>
            <w:pPr>
              <w:spacing w:after="0" w:line="176" w:lineRule="exact"/>
              <w:rPr>
                <w:sz w:val="20"/>
                <w:szCs w:val="20"/>
                <w:color w:val="auto"/>
              </w:rPr>
            </w:pPr>
            <w:r>
              <w:rPr>
                <w:rFonts w:ascii="Arial" w:cs="Arial" w:eastAsia="Arial" w:hAnsi="Arial"/>
                <w:sz w:val="16"/>
                <w:szCs w:val="16"/>
                <w:color w:val="0000FF"/>
              </w:rPr>
              <w:t xml:space="preserve">Report of Independent Registered Public Accounting Firm </w:t>
            </w:r>
            <w:r>
              <w:rPr>
                <w:rFonts w:ascii="Arial" w:cs="Arial" w:eastAsia="Arial" w:hAnsi="Arial"/>
                <w:sz w:val="16"/>
                <w:szCs w:val="16"/>
                <w:color w:val="000000"/>
              </w:rPr>
              <w:t>(PCAOB ID: 42)</w:t>
            </w:r>
          </w:p>
        </w:tc>
        <w:tc>
          <w:tcPr>
            <w:tcW w:w="3320" w:type="dxa"/>
            <w:vAlign w:val="bottom"/>
            <w:gridSpan w:val="3"/>
          </w:tcPr>
          <w:p>
            <w:pPr>
              <w:jc w:val="center"/>
              <w:ind w:left="1419"/>
              <w:spacing w:after="0" w:line="176" w:lineRule="exact"/>
              <w:rPr>
                <w:sz w:val="20"/>
                <w:szCs w:val="20"/>
                <w:color w:val="auto"/>
              </w:rPr>
            </w:pPr>
            <w:r>
              <w:rPr>
                <w:rFonts w:ascii="Arial" w:cs="Arial" w:eastAsia="Arial" w:hAnsi="Arial"/>
                <w:sz w:val="16"/>
                <w:szCs w:val="16"/>
                <w:color w:val="0000FF"/>
              </w:rPr>
              <w:t>67</w:t>
            </w: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080" w:type="dxa"/>
            <w:vAlign w:val="bottom"/>
            <w:gridSpan w:val="4"/>
          </w:tcPr>
          <w:p>
            <w:pPr>
              <w:spacing w:after="0"/>
              <w:rPr>
                <w:sz w:val="20"/>
                <w:szCs w:val="20"/>
                <w:color w:val="auto"/>
              </w:rPr>
            </w:pPr>
            <w:r>
              <w:rPr>
                <w:rFonts w:ascii="Arial" w:cs="Arial" w:eastAsia="Arial" w:hAnsi="Arial"/>
                <w:sz w:val="16"/>
                <w:szCs w:val="16"/>
                <w:color w:val="0000FF"/>
              </w:rPr>
              <w:t>Consolidated Balance Sheets</w:t>
            </w:r>
          </w:p>
        </w:tc>
        <w:tc>
          <w:tcPr>
            <w:tcW w:w="3540" w:type="dxa"/>
            <w:vAlign w:val="bottom"/>
            <w:gridSpan w:val="2"/>
          </w:tcPr>
          <w:p>
            <w:pPr>
              <w:spacing w:after="0"/>
              <w:rPr>
                <w:sz w:val="17"/>
                <w:szCs w:val="17"/>
                <w:color w:val="auto"/>
              </w:rPr>
            </w:pPr>
          </w:p>
        </w:tc>
        <w:tc>
          <w:tcPr>
            <w:tcW w:w="2320" w:type="dxa"/>
            <w:vAlign w:val="bottom"/>
          </w:tcPr>
          <w:p>
            <w:pPr>
              <w:spacing w:after="0"/>
              <w:rPr>
                <w:sz w:val="17"/>
                <w:szCs w:val="17"/>
                <w:color w:val="auto"/>
              </w:rPr>
            </w:pPr>
          </w:p>
        </w:tc>
        <w:tc>
          <w:tcPr>
            <w:tcW w:w="1000" w:type="dxa"/>
            <w:vAlign w:val="bottom"/>
            <w:gridSpan w:val="2"/>
          </w:tcPr>
          <w:p>
            <w:pPr>
              <w:jc w:val="center"/>
              <w:ind w:right="820"/>
              <w:spacing w:after="0"/>
              <w:rPr>
                <w:sz w:val="20"/>
                <w:szCs w:val="20"/>
                <w:color w:val="auto"/>
              </w:rPr>
            </w:pPr>
            <w:r>
              <w:rPr>
                <w:rFonts w:ascii="Arial" w:cs="Arial" w:eastAsia="Arial" w:hAnsi="Arial"/>
                <w:sz w:val="16"/>
                <w:szCs w:val="16"/>
                <w:color w:val="0000FF"/>
              </w:rPr>
              <w:t>70</w:t>
            </w: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700" w:type="dxa"/>
            <w:vAlign w:val="bottom"/>
            <w:gridSpan w:val="5"/>
          </w:tcPr>
          <w:p>
            <w:pPr>
              <w:spacing w:after="0"/>
              <w:rPr>
                <w:sz w:val="20"/>
                <w:szCs w:val="20"/>
                <w:color w:val="auto"/>
              </w:rPr>
            </w:pPr>
            <w:r>
              <w:rPr>
                <w:rFonts w:ascii="Arial" w:cs="Arial" w:eastAsia="Arial" w:hAnsi="Arial"/>
                <w:sz w:val="16"/>
                <w:szCs w:val="16"/>
                <w:color w:val="0000FF"/>
              </w:rPr>
              <w:t>Consolidated Statements of Operations and Comprehensive Loss</w:t>
            </w:r>
          </w:p>
        </w:tc>
        <w:tc>
          <w:tcPr>
            <w:tcW w:w="2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0" w:type="dxa"/>
            <w:vAlign w:val="bottom"/>
            <w:gridSpan w:val="2"/>
          </w:tcPr>
          <w:p>
            <w:pPr>
              <w:jc w:val="center"/>
              <w:ind w:right="820"/>
              <w:spacing w:after="0"/>
              <w:rPr>
                <w:sz w:val="20"/>
                <w:szCs w:val="20"/>
                <w:color w:val="auto"/>
              </w:rPr>
            </w:pPr>
            <w:r>
              <w:rPr>
                <w:rFonts w:ascii="Arial" w:cs="Arial" w:eastAsia="Arial" w:hAnsi="Arial"/>
                <w:sz w:val="16"/>
                <w:szCs w:val="16"/>
                <w:color w:val="0000FF"/>
              </w:rPr>
              <w:t>71</w:t>
            </w: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700" w:type="dxa"/>
            <w:vAlign w:val="bottom"/>
            <w:gridSpan w:val="5"/>
          </w:tcPr>
          <w:p>
            <w:pPr>
              <w:spacing w:after="0"/>
              <w:rPr>
                <w:sz w:val="20"/>
                <w:szCs w:val="20"/>
                <w:color w:val="auto"/>
              </w:rPr>
            </w:pPr>
            <w:r>
              <w:rPr>
                <w:rFonts w:ascii="Arial" w:cs="Arial" w:eastAsia="Arial" w:hAnsi="Arial"/>
                <w:sz w:val="16"/>
                <w:szCs w:val="16"/>
                <w:color w:val="0000FF"/>
              </w:rPr>
              <w:t>Consolidated Statements of Cash Flows</w:t>
            </w:r>
          </w:p>
        </w:tc>
        <w:tc>
          <w:tcPr>
            <w:tcW w:w="2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0" w:type="dxa"/>
            <w:vAlign w:val="bottom"/>
            <w:gridSpan w:val="2"/>
          </w:tcPr>
          <w:p>
            <w:pPr>
              <w:jc w:val="center"/>
              <w:ind w:right="820"/>
              <w:spacing w:after="0"/>
              <w:rPr>
                <w:sz w:val="20"/>
                <w:szCs w:val="20"/>
                <w:color w:val="auto"/>
              </w:rPr>
            </w:pPr>
            <w:r>
              <w:rPr>
                <w:rFonts w:ascii="Arial" w:cs="Arial" w:eastAsia="Arial" w:hAnsi="Arial"/>
                <w:sz w:val="16"/>
                <w:szCs w:val="16"/>
                <w:color w:val="0000FF"/>
              </w:rPr>
              <w:t>71</w:t>
            </w: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7620" w:type="dxa"/>
            <w:vAlign w:val="bottom"/>
            <w:gridSpan w:val="6"/>
          </w:tcPr>
          <w:p>
            <w:pPr>
              <w:spacing w:after="0"/>
              <w:rPr>
                <w:sz w:val="20"/>
                <w:szCs w:val="20"/>
                <w:color w:val="auto"/>
              </w:rPr>
            </w:pPr>
            <w:r>
              <w:rPr>
                <w:rFonts w:ascii="Arial" w:cs="Arial" w:eastAsia="Arial" w:hAnsi="Arial"/>
                <w:sz w:val="16"/>
                <w:szCs w:val="16"/>
                <w:color w:val="0000FF"/>
              </w:rPr>
              <w:t>Consolidated Statements of Stockholders’ Equity (Deficit)</w:t>
            </w:r>
          </w:p>
        </w:tc>
        <w:tc>
          <w:tcPr>
            <w:tcW w:w="3320" w:type="dxa"/>
            <w:vAlign w:val="bottom"/>
            <w:gridSpan w:val="3"/>
          </w:tcPr>
          <w:p>
            <w:pPr>
              <w:jc w:val="center"/>
              <w:ind w:left="1419"/>
              <w:spacing w:after="0"/>
              <w:rPr>
                <w:sz w:val="20"/>
                <w:szCs w:val="20"/>
                <w:color w:val="auto"/>
              </w:rPr>
            </w:pPr>
            <w:r>
              <w:rPr>
                <w:rFonts w:ascii="Arial" w:cs="Arial" w:eastAsia="Arial" w:hAnsi="Arial"/>
                <w:sz w:val="16"/>
                <w:szCs w:val="16"/>
                <w:color w:val="0000FF"/>
              </w:rPr>
              <w:t>74</w:t>
            </w: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080" w:type="dxa"/>
            <w:vAlign w:val="bottom"/>
            <w:gridSpan w:val="4"/>
          </w:tcPr>
          <w:p>
            <w:pPr>
              <w:spacing w:after="0"/>
              <w:rPr>
                <w:sz w:val="20"/>
                <w:szCs w:val="20"/>
                <w:color w:val="auto"/>
              </w:rPr>
            </w:pPr>
            <w:r>
              <w:rPr>
                <w:rFonts w:ascii="Arial" w:cs="Arial" w:eastAsia="Arial" w:hAnsi="Arial"/>
                <w:sz w:val="16"/>
                <w:szCs w:val="16"/>
                <w:color w:val="0000FF"/>
              </w:rPr>
              <w:t>Notes to Consolidated Financial Statements</w:t>
            </w:r>
          </w:p>
        </w:tc>
        <w:tc>
          <w:tcPr>
            <w:tcW w:w="3540" w:type="dxa"/>
            <w:vAlign w:val="bottom"/>
            <w:gridSpan w:val="2"/>
          </w:tcPr>
          <w:p>
            <w:pPr>
              <w:spacing w:after="0"/>
              <w:rPr>
                <w:sz w:val="17"/>
                <w:szCs w:val="17"/>
                <w:color w:val="auto"/>
              </w:rPr>
            </w:pPr>
          </w:p>
        </w:tc>
        <w:tc>
          <w:tcPr>
            <w:tcW w:w="2320" w:type="dxa"/>
            <w:vAlign w:val="bottom"/>
          </w:tcPr>
          <w:p>
            <w:pPr>
              <w:spacing w:after="0"/>
              <w:rPr>
                <w:sz w:val="17"/>
                <w:szCs w:val="17"/>
                <w:color w:val="auto"/>
              </w:rPr>
            </w:pPr>
          </w:p>
        </w:tc>
        <w:tc>
          <w:tcPr>
            <w:tcW w:w="1000" w:type="dxa"/>
            <w:vAlign w:val="bottom"/>
            <w:gridSpan w:val="2"/>
          </w:tcPr>
          <w:p>
            <w:pPr>
              <w:jc w:val="center"/>
              <w:ind w:right="820"/>
              <w:spacing w:after="0"/>
              <w:rPr>
                <w:sz w:val="20"/>
                <w:szCs w:val="20"/>
                <w:color w:val="auto"/>
              </w:rPr>
            </w:pPr>
            <w:r>
              <w:rPr>
                <w:rFonts w:ascii="Arial" w:cs="Arial" w:eastAsia="Arial" w:hAnsi="Arial"/>
                <w:sz w:val="16"/>
                <w:szCs w:val="16"/>
                <w:color w:val="0000FF"/>
              </w:rPr>
              <w:t>75</w:t>
            </w:r>
          </w:p>
        </w:tc>
      </w:tr>
      <w:tr>
        <w:trPr>
          <w:trHeight w:val="437"/>
        </w:trPr>
        <w:tc>
          <w:tcPr>
            <w:tcW w:w="300" w:type="dxa"/>
            <w:vAlign w:val="bottom"/>
          </w:tcPr>
          <w:p>
            <w:pPr>
              <w:spacing w:after="0"/>
              <w:rPr>
                <w:sz w:val="24"/>
                <w:szCs w:val="24"/>
                <w:color w:val="auto"/>
              </w:rPr>
            </w:pPr>
          </w:p>
        </w:tc>
        <w:tc>
          <w:tcPr>
            <w:tcW w:w="3140" w:type="dxa"/>
            <w:vAlign w:val="bottom"/>
            <w:tcBorders>
              <w:top w:val="single" w:sz="8" w:color="0000FF"/>
            </w:tcBorders>
            <w:gridSpan w:val="3"/>
          </w:tcPr>
          <w:p>
            <w:pPr>
              <w:spacing w:after="0"/>
              <w:rPr>
                <w:sz w:val="24"/>
                <w:szCs w:val="24"/>
                <w:color w:val="auto"/>
              </w:rPr>
            </w:pPr>
          </w:p>
        </w:tc>
        <w:tc>
          <w:tcPr>
            <w:tcW w:w="4480" w:type="dxa"/>
            <w:vAlign w:val="bottom"/>
            <w:gridSpan w:val="3"/>
          </w:tcPr>
          <w:p>
            <w:pPr>
              <w:jc w:val="right"/>
              <w:ind w:right="2200"/>
              <w:spacing w:after="0"/>
              <w:rPr>
                <w:sz w:val="20"/>
                <w:szCs w:val="20"/>
                <w:color w:val="auto"/>
              </w:rPr>
            </w:pPr>
            <w:r>
              <w:rPr>
                <w:rFonts w:ascii="Arial" w:cs="Arial" w:eastAsia="Arial" w:hAnsi="Arial"/>
                <w:sz w:val="16"/>
                <w:szCs w:val="16"/>
                <w:color w:val="auto"/>
              </w:rPr>
              <w:t>66</w:t>
            </w:r>
          </w:p>
        </w:tc>
        <w:tc>
          <w:tcPr>
            <w:tcW w:w="23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r>
      <w:tr>
        <w:trPr>
          <w:trHeight w:val="117"/>
        </w:trPr>
        <w:tc>
          <w:tcPr>
            <w:tcW w:w="3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ind w:left="33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Peloton Interactive, Inc.</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333333"/>
        </w:rPr>
        <w:t>We have audited the accompanying consolidated balance sheets of Peloton Interactive, Inc. (the Company) as of June 30, 2024 and 2023, the related consolidated statements of operations and comprehensive loss</w:t>
      </w:r>
      <w:r>
        <w:rPr>
          <w:rFonts w:ascii="Arial" w:cs="Arial" w:eastAsia="Arial" w:hAnsi="Arial"/>
          <w:sz w:val="16"/>
          <w:szCs w:val="16"/>
          <w:b w:val="1"/>
          <w:bCs w:val="1"/>
          <w:color w:val="333333"/>
        </w:rPr>
        <w:t>,</w:t>
      </w:r>
      <w:r>
        <w:rPr>
          <w:rFonts w:ascii="Arial" w:cs="Arial" w:eastAsia="Arial" w:hAnsi="Arial"/>
          <w:sz w:val="16"/>
          <w:szCs w:val="16"/>
          <w:color w:val="333333"/>
        </w:rPr>
        <w:t xml:space="preserve"> stockholders' equity (deficit) and cash flows for each of the three years in the period ended June 30, 2024, and the related notes (collectively referred to as the “consolidated financial statements”). In our opinion, the consolidated financial statements present fairly, in all material respects, the financial position of the Company at June 30, 2024 and 2023, and the results of its operations and its cash flows for each of the three years in the period ended June 30, 2024, in conformity with U.S. generally accepted accounting principles.</w:t>
      </w:r>
    </w:p>
    <w:p>
      <w:pPr>
        <w:spacing w:after="0" w:line="19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June 30, 2024, based on criteria established in Internal Control-Integrated Framework issued by the Committee of Sponsoring Organizations of the Treadway Commission (2013 framework) and our report dated August 22, 2024 expressed an adverse opinion thereon.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6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PCAOB.</w:t>
      </w:r>
    </w:p>
    <w:p>
      <w:pPr>
        <w:spacing w:after="0" w:line="23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24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69" w:name="page70"/>
    <w:bookmarkEnd w:id="69"/>
    <w:p>
      <w:pPr>
        <w:ind w:left="2760"/>
        <w:spacing w:after="0"/>
        <w:rPr>
          <w:sz w:val="20"/>
          <w:szCs w:val="20"/>
          <w:color w:val="auto"/>
        </w:rPr>
      </w:pPr>
      <w:r>
        <w:rPr>
          <w:rFonts w:ascii="Arial" w:cs="Arial" w:eastAsia="Arial" w:hAnsi="Arial"/>
          <w:sz w:val="16"/>
          <w:szCs w:val="16"/>
          <w:b w:val="1"/>
          <w:bCs w:val="1"/>
          <w:color w:val="auto"/>
        </w:rPr>
        <w:t>Tread+ Product Recall Return Reserve and Accrual for Estimated Repair Costs</w:t>
      </w:r>
    </w:p>
    <w:p>
      <w:pPr>
        <w:sectPr>
          <w:pgSz w:w="11900" w:h="16838" w:orient="portrait"/>
          <w:cols w:equalWidth="0" w:num="1">
            <w:col w:w="10960"/>
          </w:cols>
          <w:pgMar w:left="320" w:top="814" w:right="619" w:bottom="1440" w:gutter="0" w:footer="0" w:header="0"/>
        </w:sect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As described in Note 13 of the consolidated financial statements, the Company announced on May 5, 2021 a voluntary recall of its Tread+ product. The return reserve related to the impacts of the Tread+ recall of $6.7 million</w:t>
      </w:r>
    </w:p>
    <w:p>
      <w:pPr>
        <w:spacing w:after="0" w:line="1" w:lineRule="exact"/>
        <w:rPr>
          <w:sz w:val="20"/>
          <w:szCs w:val="20"/>
          <w:color w:val="auto"/>
        </w:rPr>
      </w:pPr>
    </w:p>
    <w:p>
      <w:pPr>
        <w:sectPr>
          <w:pgSz w:w="11900" w:h="16838" w:orient="portrait"/>
          <w:cols w:equalWidth="0" w:num="2">
            <w:col w:w="2040" w:space="720"/>
            <w:col w:w="8200"/>
          </w:cols>
          <w:pgMar w:left="320" w:top="814" w:right="619" w:bottom="1440" w:gutter="0" w:footer="0" w:header="0"/>
          <w:type w:val="continuous"/>
        </w:sectPr>
      </w:pPr>
    </w:p>
    <w:p>
      <w:pPr>
        <w:ind w:left="2760" w:right="200"/>
        <w:spacing w:after="0" w:line="255" w:lineRule="auto"/>
        <w:rPr>
          <w:sz w:val="20"/>
          <w:szCs w:val="20"/>
          <w:color w:val="auto"/>
        </w:rPr>
      </w:pPr>
      <w:r>
        <w:rPr>
          <w:rFonts w:ascii="Arial" w:cs="Arial" w:eastAsia="Arial" w:hAnsi="Arial"/>
          <w:sz w:val="16"/>
          <w:szCs w:val="16"/>
          <w:color w:val="auto"/>
        </w:rPr>
        <w:t>was included within Accounts payable and accrued expenses in the Consolidated Balance Sheet as of June 30, 2024. The accrual for estimated costs associated with the Tread+ repair of $4.1 million was included within</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Accounts payable and accrued expenses in the Consolidated Balance Sheet as of June 30, 2024.</w:t>
      </w:r>
    </w:p>
    <w:p>
      <w:pPr>
        <w:spacing w:after="0" w:line="182" w:lineRule="exact"/>
        <w:rPr>
          <w:sz w:val="20"/>
          <w:szCs w:val="20"/>
          <w:color w:val="auto"/>
        </w:rPr>
      </w:pPr>
    </w:p>
    <w:p>
      <w:pPr>
        <w:ind w:left="2760"/>
        <w:spacing w:after="0" w:line="263" w:lineRule="auto"/>
        <w:rPr>
          <w:sz w:val="20"/>
          <w:szCs w:val="20"/>
          <w:color w:val="auto"/>
        </w:rPr>
      </w:pPr>
      <w:r>
        <w:rPr>
          <w:rFonts w:ascii="Arial" w:cs="Arial" w:eastAsia="Arial" w:hAnsi="Arial"/>
          <w:sz w:val="16"/>
          <w:szCs w:val="16"/>
          <w:color w:val="auto"/>
        </w:rPr>
        <w:t>Auditing management’s estimates of the return reserve and cost accrual related to the Tread+ product recall was especially challenging due to the estimation in determining the expected rate of returns and number of requests for</w:t>
      </w:r>
    </w:p>
    <w:p>
      <w:pPr>
        <w:ind w:left="2760" w:right="120"/>
        <w:spacing w:after="0" w:line="255" w:lineRule="auto"/>
        <w:rPr>
          <w:sz w:val="20"/>
          <w:szCs w:val="20"/>
          <w:color w:val="auto"/>
        </w:rPr>
      </w:pPr>
      <w:r>
        <w:rPr>
          <w:rFonts w:ascii="Arial" w:cs="Arial" w:eastAsia="Arial" w:hAnsi="Arial"/>
          <w:sz w:val="16"/>
          <w:szCs w:val="16"/>
          <w:color w:val="auto"/>
        </w:rPr>
        <w:t>the Tread+ repair, both of which can fluctuate based on factors such as customer response to the relaunch of the remediated product, customer acceptance of the Tread+ repair and other market conditions with uncertain future</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outcomes.</w:t>
      </w:r>
    </w:p>
    <w:p>
      <w:pPr>
        <w:sectPr>
          <w:pgSz w:w="11900" w:h="16838" w:orient="portrait"/>
          <w:cols w:equalWidth="0" w:num="1">
            <w:col w:w="10960"/>
          </w:cols>
          <w:pgMar w:left="320" w:top="814" w:right="619" w:bottom="1440" w:gutter="0" w:footer="0" w:header="0"/>
          <w:type w:val="continuous"/>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 xml:space="preserve">How We Addressed the Matter in Our </w:t>
      </w:r>
      <w:r>
        <w:rPr>
          <w:rFonts w:ascii="Arial" w:cs="Arial" w:eastAsia="Arial" w:hAnsi="Arial"/>
          <w:sz w:val="16"/>
          <w:szCs w:val="16"/>
          <w:color w:val="auto"/>
        </w:rPr>
        <w:t>We obtained an understanding, evaluated the design, and tested the operating effectiveness of the controls for</w:t>
      </w:r>
    </w:p>
    <w:p>
      <w:pPr>
        <w:spacing w:after="0" w:line="6"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6"/>
          <w:szCs w:val="16"/>
          <w:i w:val="1"/>
          <w:iCs w:val="1"/>
          <w:color w:val="auto"/>
        </w:rPr>
        <w:t>Audit</w:t>
      </w:r>
      <w:r>
        <w:rPr>
          <w:sz w:val="20"/>
          <w:szCs w:val="20"/>
          <w:color w:val="auto"/>
        </w:rPr>
        <w:tab/>
      </w:r>
      <w:r>
        <w:rPr>
          <w:rFonts w:ascii="Arial" w:cs="Arial" w:eastAsia="Arial" w:hAnsi="Arial"/>
          <w:sz w:val="16"/>
          <w:szCs w:val="16"/>
          <w:color w:val="auto"/>
        </w:rPr>
        <w:t>estimating the return reserve and cost accrual. For example, we tested management’s review controls over the</w:t>
      </w:r>
    </w:p>
    <w:p>
      <w:pPr>
        <w:spacing w:after="0" w:line="42" w:lineRule="exact"/>
        <w:rPr>
          <w:sz w:val="20"/>
          <w:szCs w:val="20"/>
          <w:color w:val="auto"/>
        </w:rPr>
      </w:pPr>
    </w:p>
    <w:p>
      <w:pPr>
        <w:ind w:left="2760" w:right="460"/>
        <w:spacing w:after="0" w:line="270" w:lineRule="auto"/>
        <w:rPr>
          <w:sz w:val="20"/>
          <w:szCs w:val="20"/>
          <w:color w:val="auto"/>
        </w:rPr>
      </w:pPr>
      <w:r>
        <w:rPr>
          <w:rFonts w:ascii="Arial" w:cs="Arial" w:eastAsia="Arial" w:hAnsi="Arial"/>
          <w:sz w:val="16"/>
          <w:szCs w:val="16"/>
          <w:color w:val="auto"/>
        </w:rPr>
        <w:t>estimation processes to calculate the return reserve and cost accrual and the development of the underlying assumptions utilized.</w:t>
      </w:r>
    </w:p>
    <w:p>
      <w:pPr>
        <w:spacing w:after="0" w:line="154" w:lineRule="exact"/>
        <w:rPr>
          <w:sz w:val="20"/>
          <w:szCs w:val="20"/>
          <w:color w:val="auto"/>
        </w:rPr>
      </w:pPr>
    </w:p>
    <w:p>
      <w:pPr>
        <w:ind w:left="2760"/>
        <w:spacing w:after="0" w:line="257" w:lineRule="auto"/>
        <w:rPr>
          <w:sz w:val="20"/>
          <w:szCs w:val="20"/>
          <w:color w:val="auto"/>
        </w:rPr>
      </w:pPr>
      <w:r>
        <w:rPr>
          <w:rFonts w:ascii="Arial" w:cs="Arial" w:eastAsia="Arial" w:hAnsi="Arial"/>
          <w:sz w:val="16"/>
          <w:szCs w:val="16"/>
          <w:color w:val="auto"/>
        </w:rPr>
        <w:t>To test the return reserve and cost accrual, our audit procedures included, among others, validating that the Company’s estimation methodology agrees with the terms and conditions of the announced Tread+ recall and examining the Company’s key assumptions and judgements. We also performed a sensitivity analysis on each key</w:t>
      </w:r>
    </w:p>
    <w:p>
      <w:pPr>
        <w:spacing w:after="0" w:line="2" w:lineRule="exact"/>
        <w:rPr>
          <w:sz w:val="20"/>
          <w:szCs w:val="20"/>
          <w:color w:val="auto"/>
        </w:rPr>
      </w:pPr>
    </w:p>
    <w:p>
      <w:pPr>
        <w:ind w:left="2760" w:right="100"/>
        <w:spacing w:after="0" w:line="255" w:lineRule="auto"/>
        <w:rPr>
          <w:sz w:val="20"/>
          <w:szCs w:val="20"/>
          <w:color w:val="auto"/>
        </w:rPr>
      </w:pPr>
      <w:r>
        <w:rPr>
          <w:rFonts w:ascii="Arial" w:cs="Arial" w:eastAsia="Arial" w:hAnsi="Arial"/>
          <w:sz w:val="16"/>
          <w:szCs w:val="16"/>
          <w:color w:val="auto"/>
        </w:rPr>
        <w:t>assumption to evaluate the effect of changes on the estimated amounts, evaluated the relevance and reliability of data used in the calculations, and recalculated the estimated return reserve and the cost accrual based on the</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Company’s methodology.</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2017.</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August 22, 2024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814" w:right="619" w:bottom="1440" w:gutter="0" w:footer="0" w:header="0"/>
          <w:type w:val="continuous"/>
        </w:sectPr>
      </w:pPr>
    </w:p>
    <w:bookmarkStart w:id="70" w:name="page71"/>
    <w:bookmarkEnd w:id="70"/>
    <w:p>
      <w:pPr>
        <w:ind w:left="33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Peloton Interactive, Inc.</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48"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We have audited Peloton Interactive, Inc.’s internal control over financial reporting as of June 30, 2024, based on criteria established in Internal Control— Integrated Framework issued by the Committee of Sponsoring Organizations of the Treadway Commission (2013 framework) (the COSO criteria). In our opinion, because of the effect of the material weaknesses described below on the achievement of the objectives of the control criteria, Peloton Interactive, Inc. (the Company) has not maintained effective internal control over financial reporting as of June 30, 2024, based on the COSO criteria.</w:t>
      </w:r>
    </w:p>
    <w:p>
      <w:pPr>
        <w:spacing w:after="0" w:line="21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Management has identified a material weakness in internal controls over financial reporting related to controls around the existence, completeness and valuation of inventory. Management has also identified a material weakness in internal control over financial reporting related to Precor’s business process control environment.</w:t>
      </w:r>
    </w:p>
    <w:p>
      <w:pPr>
        <w:spacing w:after="0" w:line="21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June 30, 2024 and 2023, the related consolidated statements of operations and comprehensive loss, stockholders’ equity (deficit) and cash flows for each of the three years in the period ended June 30, 2024, and the related notes. These material weaknesses were considered in determining the nature, timing and extent of audit tests applied in our audit of the 2024 consolidated financial statements, and this report does not affect our report dated August 22, 2024, which expressed an unqualified opinion thereon.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48"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6"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00"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August 22, 2024</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1" w:name="page72"/>
    <w:bookmarkEnd w:id="71"/>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320" w:type="dxa"/>
            <w:vAlign w:val="bottom"/>
          </w:tcPr>
          <w:p>
            <w:pPr>
              <w:spacing w:after="0"/>
              <w:rPr>
                <w:sz w:val="19"/>
                <w:szCs w:val="19"/>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51"/>
        </w:trPr>
        <w:tc>
          <w:tcPr>
            <w:tcW w:w="76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813.9</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 net</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522.6</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1,639.1</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444.8</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right-of-use assets, net</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524.1</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0"/>
        </w:trPr>
        <w:tc>
          <w:tcPr>
            <w:tcW w:w="760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2,185.2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2,769.1</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DEFICIT</w:t>
            </w: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Deferred revenue and customer deposits</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187.3</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 term debt</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Operating lease liabilities, current</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761.4</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 net</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988.0</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Term loan, net</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950.1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690.9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593.8</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3,064.2</w:t>
            </w:r>
          </w:p>
        </w:tc>
        <w:tc>
          <w:tcPr>
            <w:tcW w:w="0" w:type="dxa"/>
            <w:vAlign w:val="bottom"/>
          </w:tcPr>
          <w:p>
            <w:pPr>
              <w:spacing w:after="0"/>
              <w:rPr>
                <w:sz w:val="1"/>
                <w:szCs w:val="1"/>
                <w:color w:val="auto"/>
              </w:rPr>
            </w:pPr>
          </w:p>
        </w:tc>
      </w:tr>
      <w:tr>
        <w:trPr>
          <w:trHeight w:val="195"/>
        </w:trPr>
        <w:tc>
          <w:tcPr>
            <w:tcW w:w="760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Common stock, $0.000025 par value; 2,500,000,000 and 2,500,000,000 Class A shares authorized,</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358,120,105 and 338,750,774 shares issued and outstanding as of June 30, 2024 and June 30,</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2023, respectively; 2,500,000,000 and 2,500,000,000 Class B shares authorized, 18,141,608 and</w:t>
            </w:r>
          </w:p>
        </w:tc>
        <w:tc>
          <w:tcPr>
            <w:tcW w:w="340" w:type="dxa"/>
            <w:vAlign w:val="bottom"/>
          </w:tcPr>
          <w:p>
            <w:pPr>
              <w:spacing w:after="0"/>
              <w:rPr>
                <w:sz w:val="14"/>
                <w:szCs w:val="14"/>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18,016,853 shares issued and outstanding as of June 30, 2024 and June 30, 2023, respectively.</w:t>
            </w:r>
          </w:p>
        </w:tc>
        <w:tc>
          <w:tcPr>
            <w:tcW w:w="3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4,619.8</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(5,483.7)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(4,931.8)</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Total stockholders’ deficit</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Total liabilities and stockholders’ deficit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2,769.1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Fiscal Year Ended June 30,</w:t>
            </w:r>
          </w:p>
        </w:tc>
        <w:tc>
          <w:tcPr>
            <w:tcW w:w="1080" w:type="dxa"/>
            <w:vAlign w:val="bottom"/>
            <w:tcBorders>
              <w:bottom w:val="single" w:sz="8" w:color="auto"/>
            </w:tcBorders>
          </w:tcPr>
          <w:p>
            <w:pPr>
              <w:spacing w:after="0"/>
              <w:rPr>
                <w:sz w:val="18"/>
                <w:szCs w:val="18"/>
                <w:color w:val="auto"/>
              </w:rPr>
            </w:pPr>
          </w:p>
        </w:tc>
      </w:tr>
      <w:tr>
        <w:trPr>
          <w:trHeight w:val="209"/>
        </w:trPr>
        <w:tc>
          <w:tcPr>
            <w:tcW w:w="68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19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991.7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1,130.2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2,187.5</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1,708.7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1,394.7</w:t>
            </w:r>
          </w:p>
        </w:tc>
      </w:tr>
      <w:tr>
        <w:trPr>
          <w:trHeight w:val="209"/>
        </w:trPr>
        <w:tc>
          <w:tcPr>
            <w:tcW w:w="68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2,800.2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3,582.1</w:t>
            </w:r>
          </w:p>
        </w:tc>
      </w:tr>
      <w:tr>
        <w:trPr>
          <w:trHeight w:val="197"/>
        </w:trPr>
        <w:tc>
          <w:tcPr>
            <w:tcW w:w="6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2,433.8</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w:t>
            </w:r>
          </w:p>
        </w:tc>
      </w:tr>
      <w:tr>
        <w:trPr>
          <w:trHeight w:val="209"/>
        </w:trPr>
        <w:tc>
          <w:tcPr>
            <w:tcW w:w="68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cost of revenue</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2,883.8</w:t>
            </w:r>
          </w:p>
        </w:tc>
      </w:tr>
      <w:tr>
        <w:trPr>
          <w:trHeight w:val="210"/>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698.4</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1,018.9</w:t>
            </w: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963.4</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w:t>
            </w: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Goodwill impairment</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181.9</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 expense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390.5</w:t>
            </w: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Restructuring expense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180.7</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Supplier settlements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337.6</w:t>
            </w:r>
          </w:p>
        </w:tc>
      </w:tr>
      <w:tr>
        <w:trPr>
          <w:trHeight w:val="209"/>
        </w:trPr>
        <w:tc>
          <w:tcPr>
            <w:tcW w:w="6800" w:type="dxa"/>
            <w:vAlign w:val="bottom"/>
          </w:tcPr>
          <w:p>
            <w:pPr>
              <w:ind w:left="680"/>
              <w:spacing w:after="0"/>
              <w:rPr>
                <w:sz w:val="20"/>
                <w:szCs w:val="20"/>
                <w:color w:val="auto"/>
              </w:rPr>
            </w:pPr>
            <w:r>
              <w:rPr>
                <w:rFonts w:ascii="Arial" w:cs="Arial" w:eastAsia="Arial" w:hAnsi="Arial"/>
                <w:sz w:val="16"/>
                <w:szCs w:val="16"/>
                <w:color w:val="auto"/>
              </w:rPr>
              <w:t>Total operating expenses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1,735.5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3,432.4</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(2,734.0)</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(loss) gain</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gain on debt refinancing</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8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other expense, net</w:t>
            </w: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(74.1)</w:t>
            </w:r>
          </w:p>
        </w:tc>
      </w:tr>
      <w:tr>
        <w:trPr>
          <w:trHeight w:val="210"/>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(2,808.1)</w:t>
            </w:r>
          </w:p>
        </w:tc>
      </w:tr>
      <w:tr>
        <w:trPr>
          <w:trHeight w:val="215"/>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expense</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r>
      <w:tr>
        <w:trPr>
          <w:trHeight w:val="235"/>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(2,827.7)</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800" w:type="dxa"/>
            <w:vAlign w:val="bottom"/>
          </w:tcPr>
          <w:p>
            <w:pPr>
              <w:ind w:left="20"/>
              <w:spacing w:after="0"/>
              <w:rPr>
                <w:sz w:val="20"/>
                <w:szCs w:val="20"/>
                <w:color w:val="auto"/>
              </w:rPr>
            </w:pPr>
            <w:r>
              <w:rPr>
                <w:rFonts w:ascii="Arial" w:cs="Arial" w:eastAsia="Arial" w:hAnsi="Arial"/>
                <w:sz w:val="16"/>
                <w:szCs w:val="16"/>
                <w:color w:val="auto"/>
              </w:rPr>
              <w:t>Net loss attributable to Class A and Class B common stockholders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(1,261.7)</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(2,827.7)</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5"/>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800" w:type="dxa"/>
            <w:vAlign w:val="bottom"/>
          </w:tcPr>
          <w:p>
            <w:pPr>
              <w:ind w:left="20"/>
              <w:spacing w:after="0"/>
              <w:rPr>
                <w:sz w:val="20"/>
                <w:szCs w:val="20"/>
                <w:color w:val="auto"/>
              </w:rPr>
            </w:pPr>
            <w:r>
              <w:rPr>
                <w:rFonts w:ascii="Arial" w:cs="Arial" w:eastAsia="Arial" w:hAnsi="Arial"/>
                <w:sz w:val="16"/>
                <w:szCs w:val="16"/>
                <w:color w:val="auto"/>
              </w:rPr>
              <w:t>Weighted-average Class A and Class B common shares outstanding, basic and diluted</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365,546,334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346,670,699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322,368,818</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income:</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5"/>
        </w:trPr>
        <w:tc>
          <w:tcPr>
            <w:tcW w:w="6800" w:type="dxa"/>
            <w:vAlign w:val="bottom"/>
          </w:tcPr>
          <w:p>
            <w:pPr>
              <w:ind w:left="240"/>
              <w:spacing w:after="0"/>
              <w:rPr>
                <w:sz w:val="20"/>
                <w:szCs w:val="20"/>
                <w:color w:val="auto"/>
              </w:rPr>
            </w:pPr>
            <w:r>
              <w:rPr>
                <w:rFonts w:ascii="Arial" w:cs="Arial" w:eastAsia="Arial" w:hAnsi="Arial"/>
                <w:sz w:val="16"/>
                <w:szCs w:val="16"/>
                <w:color w:val="auto"/>
              </w:rPr>
              <w:t>Net unrealized losses on marketable securities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5"/>
        </w:trPr>
        <w:tc>
          <w:tcPr>
            <w:tcW w:w="6800" w:type="dxa"/>
            <w:vAlign w:val="bottom"/>
          </w:tcPr>
          <w:p>
            <w:pPr>
              <w:ind w:left="240"/>
              <w:spacing w:after="0"/>
              <w:rPr>
                <w:sz w:val="20"/>
                <w:szCs w:val="20"/>
                <w:color w:val="auto"/>
              </w:rPr>
            </w:pPr>
            <w:r>
              <w:rPr>
                <w:rFonts w:ascii="Arial" w:cs="Arial" w:eastAsia="Arial" w:hAnsi="Arial"/>
                <w:sz w:val="16"/>
                <w:szCs w:val="16"/>
                <w:color w:val="auto"/>
              </w:rPr>
              <w:t>Derivative adjustments: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6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unrealized loss on hedging derivatives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5"/>
        </w:trPr>
        <w:tc>
          <w:tcPr>
            <w:tcW w:w="6800" w:type="dxa"/>
            <w:vAlign w:val="bottom"/>
          </w:tcPr>
          <w:p>
            <w:pPr>
              <w:ind w:left="460"/>
              <w:spacing w:after="0"/>
              <w:rPr>
                <w:sz w:val="20"/>
                <w:szCs w:val="20"/>
                <w:color w:val="auto"/>
              </w:rPr>
            </w:pPr>
            <w:r>
              <w:rPr>
                <w:rFonts w:ascii="Arial" w:cs="Arial" w:eastAsia="Arial" w:hAnsi="Arial"/>
                <w:sz w:val="16"/>
                <w:szCs w:val="16"/>
                <w:color w:val="auto"/>
              </w:rPr>
              <w:t>Reclassification for derivative adjustments included in Net loss</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09"/>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comprehensive (loss) income</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0"/>
        </w:trPr>
        <w:tc>
          <w:tcPr>
            <w:tcW w:w="680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(2,833.7)</w:t>
            </w:r>
          </w:p>
        </w:tc>
      </w:tr>
      <w:tr>
        <w:trPr>
          <w:trHeight w:val="20"/>
        </w:trPr>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Fiscal Year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19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(1,261.7)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(2,827.7)</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142.8</w:t>
            </w:r>
          </w:p>
        </w:tc>
      </w:tr>
      <w:tr>
        <w:trPr>
          <w:trHeight w:val="217"/>
        </w:trPr>
        <w:tc>
          <w:tcPr>
            <w:tcW w:w="6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w:t>
            </w: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Non-cash operating lease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92.4</w:t>
            </w:r>
          </w:p>
        </w:tc>
      </w:tr>
      <w:tr>
        <w:trPr>
          <w:trHeight w:val="217"/>
        </w:trPr>
        <w:tc>
          <w:tcPr>
            <w:tcW w:w="6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Amortization of premium from marketable securities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Amortization of debt discount and issuance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217"/>
        </w:trPr>
        <w:tc>
          <w:tcPr>
            <w:tcW w:w="6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Goodwill impairment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Impairment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390.5</w:t>
            </w:r>
          </w:p>
        </w:tc>
      </w:tr>
      <w:tr>
        <w:trPr>
          <w:trHeight w:val="217"/>
        </w:trPr>
        <w:tc>
          <w:tcPr>
            <w:tcW w:w="6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Loss on sale of subsidiary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Net foreign currency adjustments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17"/>
        </w:trPr>
        <w:tc>
          <w:tcPr>
            <w:tcW w:w="6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Gain on debt extinguishment of convertible notes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Loss on debt extinguishment of term loan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17"/>
        </w:trPr>
        <w:tc>
          <w:tcPr>
            <w:tcW w:w="6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Inventories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w:t>
            </w: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17"/>
        </w:trPr>
        <w:tc>
          <w:tcPr>
            <w:tcW w:w="6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(168.6)</w:t>
            </w:r>
          </w:p>
        </w:tc>
      </w:tr>
      <w:tr>
        <w:trPr>
          <w:trHeight w:val="217"/>
        </w:trPr>
        <w:tc>
          <w:tcPr>
            <w:tcW w:w="6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Deferred revenue and customer deposits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Operating lease liabilities,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(55.8)</w:t>
            </w:r>
          </w:p>
        </w:tc>
      </w:tr>
      <w:tr>
        <w:trPr>
          <w:trHeight w:val="217"/>
        </w:trPr>
        <w:tc>
          <w:tcPr>
            <w:tcW w:w="6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09"/>
        </w:trPr>
        <w:tc>
          <w:tcPr>
            <w:tcW w:w="6800" w:type="dxa"/>
            <w:vAlign w:val="bottom"/>
            <w:tcBorders>
              <w:bottom w:val="single" w:sz="8" w:color="CCEEFF"/>
            </w:tcBorders>
          </w:tcPr>
          <w:p>
            <w:pPr>
              <w:ind w:left="132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(2,020.0)</w:t>
            </w:r>
          </w:p>
        </w:tc>
      </w:tr>
      <w:tr>
        <w:trPr>
          <w:trHeight w:val="19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Proceeds from sale of Peloton Output Park</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Maturities of marketable securities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Sales of marketable securities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306.7</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 and capitalized internal-use software development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(337.3)</w:t>
            </w: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Business combinations, net of cash acquired</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 acquisitions, net of cash acquired</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15"/>
        </w:trPr>
        <w:tc>
          <w:tcPr>
            <w:tcW w:w="68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Proceeds from sales of subsidiary and net assets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8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153.3</w:t>
            </w:r>
          </w:p>
        </w:tc>
      </w:tr>
      <w:tr>
        <w:trPr>
          <w:trHeight w:val="195"/>
        </w:trPr>
        <w:tc>
          <w:tcPr>
            <w:tcW w:w="68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public offering, net of issuance costs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1,218.8</w:t>
            </w: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Principal repayment of Term Loan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of principal on convertible notes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Proceeds from issuance of convertible notes, net of issuance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issuance of term loan, net of issuance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696.4</w:t>
            </w: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Proceeds from employee stock purchase plan withholdings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r>
      <w:tr>
        <w:trPr>
          <w:trHeight w:val="215"/>
        </w:trPr>
        <w:tc>
          <w:tcPr>
            <w:tcW w:w="68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Principal repayments of finance leases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68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2,015.1</w:t>
            </w:r>
          </w:p>
        </w:tc>
      </w:tr>
      <w:tr>
        <w:trPr>
          <w:trHeight w:val="208"/>
        </w:trPr>
        <w:tc>
          <w:tcPr>
            <w:tcW w:w="680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580"/>
        </w:trPr>
        <w:tc>
          <w:tcPr>
            <w:tcW w:w="6800" w:type="dxa"/>
            <w:vAlign w:val="bottom"/>
          </w:tcPr>
          <w:p>
            <w:pPr>
              <w:ind w:left="5540"/>
              <w:spacing w:after="0"/>
              <w:rPr>
                <w:sz w:val="20"/>
                <w:szCs w:val="20"/>
                <w:color w:val="auto"/>
              </w:rPr>
            </w:pPr>
            <w:r>
              <w:rPr>
                <w:rFonts w:ascii="Arial" w:cs="Arial" w:eastAsia="Arial" w:hAnsi="Arial"/>
                <w:sz w:val="16"/>
                <w:szCs w:val="16"/>
                <w:color w:val="auto"/>
              </w:rPr>
              <w:t>72</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7"/>
        </w:trPr>
        <w:tc>
          <w:tcPr>
            <w:tcW w:w="6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15"/>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1,135.7</w:t>
            </w:r>
          </w:p>
        </w:tc>
        <w:tc>
          <w:tcPr>
            <w:tcW w:w="0" w:type="dxa"/>
            <w:vAlign w:val="bottom"/>
          </w:tcPr>
          <w:p>
            <w:pPr>
              <w:spacing w:after="0"/>
              <w:rPr>
                <w:sz w:val="1"/>
                <w:szCs w:val="1"/>
                <w:color w:val="auto"/>
              </w:rPr>
            </w:pPr>
          </w:p>
        </w:tc>
      </w:tr>
      <w:tr>
        <w:trPr>
          <w:trHeight w:val="235"/>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1,257.6</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Cash paid for income taxes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Term Loan issuance costs recorded within Net Loss</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Supplemental Disclosures of Non-Cash Investing and Financing Information:</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and unpaid capital expenditures, including software</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6"/>
                <w:szCs w:val="16"/>
                <w:color w:val="auto"/>
              </w:rPr>
              <w:t>Stock-based compensation capitalized for software development costs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
        </w:trPr>
        <w:tc>
          <w:tcPr>
            <w:tcW w:w="6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1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Class A and Class B</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0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01"/>
        </w:trPr>
        <w:tc>
          <w:tcPr>
            <w:tcW w:w="4340" w:type="dxa"/>
            <w:vAlign w:val="bottom"/>
          </w:tcPr>
          <w:p>
            <w:pPr>
              <w:spacing w:after="0"/>
              <w:rPr>
                <w:sz w:val="17"/>
                <w:szCs w:val="17"/>
                <w:color w:val="auto"/>
              </w:rPr>
            </w:pPr>
          </w:p>
        </w:tc>
        <w:tc>
          <w:tcPr>
            <w:tcW w:w="21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54"/>
        </w:trPr>
        <w:tc>
          <w:tcPr>
            <w:tcW w:w="43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rPr>
              <w:t>Paid-In</w:t>
            </w:r>
          </w:p>
        </w:tc>
        <w:tc>
          <w:tcPr>
            <w:tcW w:w="134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Comprehensive</w:t>
            </w:r>
          </w:p>
        </w:tc>
        <w:tc>
          <w:tcPr>
            <w:tcW w:w="116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4"/>
                <w:szCs w:val="4"/>
                <w:color w:val="auto"/>
              </w:rPr>
            </w:pPr>
          </w:p>
        </w:tc>
        <w:tc>
          <w:tcPr>
            <w:tcW w:w="960" w:type="dxa"/>
            <w:vAlign w:val="bottom"/>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34"/>
        </w:trPr>
        <w:tc>
          <w:tcPr>
            <w:tcW w:w="4340" w:type="dxa"/>
            <w:vAlign w:val="bottom"/>
          </w:tcPr>
          <w:p>
            <w:pPr>
              <w:spacing w:after="0"/>
              <w:rPr>
                <w:sz w:val="2"/>
                <w:szCs w:val="2"/>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2"/>
                <w:szCs w:val="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Income</w:t>
            </w:r>
          </w:p>
        </w:tc>
        <w:tc>
          <w:tcPr>
            <w:tcW w:w="20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8"/>
                <w:szCs w:val="18"/>
                <w:color w:val="auto"/>
              </w:rPr>
            </w:pPr>
          </w:p>
        </w:tc>
        <w:tc>
          <w:tcPr>
            <w:tcW w:w="960" w:type="dxa"/>
            <w:vAlign w:val="bottom"/>
          </w:tcPr>
          <w:p>
            <w:pPr>
              <w:jc w:val="center"/>
              <w:ind w:right="120"/>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35"/>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June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vMerge w:val="restart"/>
          </w:tcPr>
          <w:p>
            <w:pPr>
              <w:ind w:left="22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40" w:type="dxa"/>
            <w:vAlign w:val="bottom"/>
            <w:tcBorders>
              <w:top w:val="single" w:sz="8" w:color="CCEEFF"/>
            </w:tcBorders>
            <w:vMerge w:val="continue"/>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431.7</w:t>
            </w:r>
          </w:p>
        </w:tc>
        <w:tc>
          <w:tcPr>
            <w:tcW w:w="8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431.7</w:t>
            </w:r>
          </w:p>
        </w:tc>
        <w:tc>
          <w:tcPr>
            <w:tcW w:w="0" w:type="dxa"/>
            <w:vAlign w:val="bottom"/>
          </w:tcPr>
          <w:p>
            <w:pPr>
              <w:spacing w:after="0"/>
              <w:rPr>
                <w:sz w:val="1"/>
                <w:szCs w:val="1"/>
                <w:color w:val="auto"/>
              </w:rPr>
            </w:pPr>
          </w:p>
        </w:tc>
      </w:tr>
      <w:tr>
        <w:trPr>
          <w:trHeight w:val="163"/>
        </w:trPr>
        <w:tc>
          <w:tcPr>
            <w:tcW w:w="434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Issuance of common stock under employee stock</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340" w:type="dxa"/>
            <w:vAlign w:val="bottom"/>
          </w:tcPr>
          <w:p>
            <w:pPr>
              <w:ind w:left="220"/>
              <w:spacing w:after="0" w:line="162" w:lineRule="exact"/>
              <w:rPr>
                <w:sz w:val="20"/>
                <w:szCs w:val="20"/>
                <w:color w:val="auto"/>
              </w:rPr>
            </w:pPr>
            <w:r>
              <w:rPr>
                <w:rFonts w:ascii="Arial" w:cs="Arial" w:eastAsia="Arial" w:hAnsi="Arial"/>
                <w:sz w:val="16"/>
                <w:szCs w:val="16"/>
                <w:color w:val="auto"/>
              </w:rPr>
              <w:t>Issuance of common stock pursuant to public offering,</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1,218.7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1,218.7</w:t>
            </w:r>
          </w:p>
        </w:tc>
        <w:tc>
          <w:tcPr>
            <w:tcW w:w="0" w:type="dxa"/>
            <w:vAlign w:val="bottom"/>
          </w:tcPr>
          <w:p>
            <w:pPr>
              <w:spacing w:after="0"/>
              <w:rPr>
                <w:sz w:val="1"/>
                <w:szCs w:val="1"/>
                <w:color w:val="auto"/>
              </w:rPr>
            </w:pPr>
          </w:p>
        </w:tc>
      </w:tr>
      <w:tr>
        <w:trPr>
          <w:trHeight w:val="215"/>
        </w:trPr>
        <w:tc>
          <w:tcPr>
            <w:tcW w:w="4340" w:type="dxa"/>
            <w:vAlign w:val="bottom"/>
          </w:tcPr>
          <w:p>
            <w:pPr>
              <w:ind w:left="220"/>
              <w:spacing w:after="0"/>
              <w:rPr>
                <w:sz w:val="20"/>
                <w:szCs w:val="20"/>
                <w:color w:val="auto"/>
              </w:rPr>
            </w:pPr>
            <w:r>
              <w:rPr>
                <w:rFonts w:ascii="Arial" w:cs="Arial" w:eastAsia="Arial" w:hAnsi="Arial"/>
                <w:sz w:val="16"/>
                <w:szCs w:val="16"/>
                <w:color w:val="auto"/>
              </w:rPr>
              <w:t>net of issuance costs</w:t>
            </w: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434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(2,827.7)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(2,827.7)</w:t>
            </w:r>
          </w:p>
        </w:tc>
        <w:tc>
          <w:tcPr>
            <w:tcW w:w="0" w:type="dxa"/>
            <w:vAlign w:val="bottom"/>
          </w:tcPr>
          <w:p>
            <w:pPr>
              <w:spacing w:after="0"/>
              <w:rPr>
                <w:sz w:val="1"/>
                <w:szCs w:val="1"/>
                <w:color w:val="auto"/>
              </w:rPr>
            </w:pPr>
          </w:p>
        </w:tc>
      </w:tr>
      <w:tr>
        <w:trPr>
          <w:trHeight w:val="235"/>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June 30,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vMerge w:val="restart"/>
          </w:tcPr>
          <w:p>
            <w:pPr>
              <w:ind w:left="22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40" w:type="dxa"/>
            <w:vAlign w:val="bottom"/>
            <w:tcBorders>
              <w:top w:val="single" w:sz="8" w:color="CCEEFF"/>
            </w:tcBorders>
            <w:vMerge w:val="continue"/>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480.7</w:t>
            </w:r>
          </w:p>
        </w:tc>
        <w:tc>
          <w:tcPr>
            <w:tcW w:w="8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480.7</w:t>
            </w:r>
          </w:p>
        </w:tc>
        <w:tc>
          <w:tcPr>
            <w:tcW w:w="0" w:type="dxa"/>
            <w:vAlign w:val="bottom"/>
          </w:tcPr>
          <w:p>
            <w:pPr>
              <w:spacing w:after="0"/>
              <w:rPr>
                <w:sz w:val="1"/>
                <w:szCs w:val="1"/>
                <w:color w:val="auto"/>
              </w:rPr>
            </w:pPr>
          </w:p>
        </w:tc>
      </w:tr>
      <w:tr>
        <w:trPr>
          <w:trHeight w:val="163"/>
        </w:trPr>
        <w:tc>
          <w:tcPr>
            <w:tcW w:w="434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Issuance of common stock under employee stock</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220"/>
              <w:spacing w:after="0"/>
              <w:rPr>
                <w:sz w:val="20"/>
                <w:szCs w:val="20"/>
                <w:color w:val="auto"/>
              </w:rPr>
            </w:pPr>
            <w:r>
              <w:rPr>
                <w:rFonts w:ascii="Arial" w:cs="Arial" w:eastAsia="Arial" w:hAnsi="Arial"/>
                <w:sz w:val="16"/>
                <w:szCs w:val="16"/>
                <w:color w:val="auto"/>
              </w:rPr>
              <w:t>Cumulative effect of adopting ASU 2020-06</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5"/>
        </w:trPr>
        <w:tc>
          <w:tcPr>
            <w:tcW w:w="434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(1,261.7)</w:t>
            </w:r>
          </w:p>
        </w:tc>
        <w:tc>
          <w:tcPr>
            <w:tcW w:w="0" w:type="dxa"/>
            <w:vAlign w:val="bottom"/>
          </w:tcPr>
          <w:p>
            <w:pPr>
              <w:spacing w:after="0"/>
              <w:rPr>
                <w:sz w:val="1"/>
                <w:szCs w:val="1"/>
                <w:color w:val="auto"/>
              </w:rPr>
            </w:pPr>
          </w:p>
        </w:tc>
      </w:tr>
      <w:tr>
        <w:trPr>
          <w:trHeight w:val="235"/>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June 30,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4,619.8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vMerge w:val="restart"/>
          </w:tcPr>
          <w:p>
            <w:pPr>
              <w:ind w:left="22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40" w:type="dxa"/>
            <w:vAlign w:val="bottom"/>
            <w:tcBorders>
              <w:top w:val="single" w:sz="8" w:color="CCEEFF"/>
            </w:tcBorders>
            <w:vMerge w:val="continue"/>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324.5</w:t>
            </w:r>
          </w:p>
        </w:tc>
        <w:tc>
          <w:tcPr>
            <w:tcW w:w="8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324.5</w:t>
            </w:r>
          </w:p>
        </w:tc>
        <w:tc>
          <w:tcPr>
            <w:tcW w:w="0" w:type="dxa"/>
            <w:vAlign w:val="bottom"/>
          </w:tcPr>
          <w:p>
            <w:pPr>
              <w:spacing w:after="0"/>
              <w:rPr>
                <w:sz w:val="1"/>
                <w:szCs w:val="1"/>
                <w:color w:val="auto"/>
              </w:rPr>
            </w:pPr>
          </w:p>
        </w:tc>
      </w:tr>
      <w:tr>
        <w:trPr>
          <w:trHeight w:val="163"/>
        </w:trPr>
        <w:tc>
          <w:tcPr>
            <w:tcW w:w="434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Issuance of common stock under employee stock</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220"/>
              <w:spacing w:after="0"/>
              <w:rPr>
                <w:sz w:val="20"/>
                <w:szCs w:val="20"/>
                <w:color w:val="auto"/>
              </w:rPr>
            </w:pPr>
            <w:r>
              <w:rPr>
                <w:rFonts w:ascii="Arial" w:cs="Arial" w:eastAsia="Arial" w:hAnsi="Arial"/>
                <w:sz w:val="16"/>
                <w:szCs w:val="16"/>
                <w:color w:val="auto"/>
              </w:rPr>
              <w:t>Other comprehensive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Balance - June 30, 2024</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376.3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4,948.6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(5,483.7)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(519.1)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these consolidated financial statements.</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Basis of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and Organization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Peloton Interactive, Inc. (“Peloton” or the “Company”) is a leading global fitness company with a highly engaged community of Members, which the Company defines as any individual who has a Peloton account through a paid Connected Fitness Subscription or a paid Peloton App Subscription, and completes 1 or more workouts in the trailing 12 month period. The Company is a category innovator at the nexus of fitness, technology, and media, with a first-of-its-kind subscription platform that seamlessly combines innovative hardware, distinctive software, and exclusive content. Its world-renowned Instructors coach and motivate Members to be the best version of themselves anytime, anywhere.</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Connected Fitness Products portfolio includes the Peloton Bike, Bike+, Tread, Tread+, Guide, Row and various Precor products. Access to the Peloton App is available with an All-Access or Guide Membership for Members who have Connected Fitness Products or through a standalone App Membership with multiple Membership tiers. The Company’s revenue is generated primarily from recurring Subscription revenue and the sale of its Connected Fitness Products. The Company defines a “Paid Connected Fitness Subscription” as a person, household, or commercial property, such as a hotel or residential building, who has paid for a subscription to a Connected Fitness Product (a Connected Fitness Subscription with a successful credit card billing or with prepaid subscription credits or waivers).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4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(“GAAP”) and applicable rules and regulations of the U.S. Securities and Exchange Commission (“SEC”). The consolidated financial statements include the accounts of Peloton Interactive, Inc. and its subsidiaries in which the Company has a controlling financial interest. All significant intercompany balances and transactions have been eliminated.</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64"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 xml:space="preserve">Except as described elsewhere in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xml:space="preserve"> in the section titled </w:t>
      </w:r>
      <w:r>
        <w:rPr>
          <w:rFonts w:ascii="Arial" w:cs="Arial" w:eastAsia="Arial" w:hAnsi="Arial"/>
          <w:sz w:val="16"/>
          <w:szCs w:val="16"/>
          <w:i w:val="1"/>
          <w:iCs w:val="1"/>
          <w:color w:val="auto"/>
        </w:rPr>
        <w:t>“Recently Issued Accounting Pronouncements,”</w:t>
      </w:r>
      <w:r>
        <w:rPr>
          <w:rFonts w:ascii="Arial" w:cs="Arial" w:eastAsia="Arial" w:hAnsi="Arial"/>
          <w:sz w:val="16"/>
          <w:szCs w:val="16"/>
          <w:color w:val="auto"/>
        </w:rPr>
        <w:t xml:space="preserve"> there have been no material changes to the Company’s significant accounting policies as described in the Form 10-K.</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considers all cash and short-term investments purchased with maturities of three months or less when acquired to be cash equivalents. As of June 30, 2024 and 2023, the Company’s cash and cash equivalents were primarily held in money market and operating accounts. At various times during the fiscal years ended June 30, 2024 and 2023, the balances of cash at financial institutions exceeded the federally insured limit. The Company has not experienced any losses in such accounts and believes its cash and cash equivalents are not subject to any significant credit risk.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Cash</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Restricted cash primarily relates to cash used to collateralize outstanding letters of credit.</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 Net of Allowances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accounts receivable primarily represent amounts due from third-party and commercial sales and amounts due from third-party payment processors. The allowance for credit losses is based upon a number of factors, including the length of time accounts receivable are past due, the Company's previous loss history, the specific customer's ability to pay its obligation and any other forward-looking data regarding customers' ability to pay which may be available.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4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Revenue is recognized when control of the promised goods or services is transferred to the Company’s customers, in an amount that reflects the consideration the Company expects to be entitled to in exchange for those goods or services. Refer to Note 3, Revenue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Inventories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Inventories consist of finished goods, work-in-process and raw materials. Finished goods are primarily purchased from contract manufacturers. Connected Fitness Product, accessories, apparel, and raw material inventories are stated at the lower of cost or net realizable value on a weighted-average cost basis. The Company periodically assesses and adjusts the value of inventory for estimated excess and obsolete inventory based upon estimates of future demand and market conditions, as well as damaged or otherwise impaired goods. Spare parts are recorded as inventory and recognized in cost of revenue as consumed. Refer to Note 6, Inventories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Property and equipment purchased by the Company are stated at cost less accumulated depreciation. Depreciation of property and equipment is calculated using the straight-line method over the estimated useful lives of the assets. For leasehold improvements, the useful life is the lesser of the applicable lease term or the expected asset life. Charges for repairs and maintenance that do not improve or extend the lives of the respective assets are expensed as incurred. Refer to Note 8, Property and Equipment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Internal-Use Software</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capitalizes certain qualified costs incurred in connection with the development of internal-use software. The Company evaluates the costs incurred during the application development stage of internal use software and website development to determine whether the costs meet the criteria for capitalization. Costs related to preliminary project activities and post-implementation activities including maintenance are expensed as incurred. Capitalized costs related to internal-use software are amortized on a straight-line basis over the estimated useful life of the software, not to exceed three years. Capitalized costs less accumulated amortization are included within Property and equipment, net on the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57"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To determine whether transactions should be accounted for as acquisitions of assets or business combinations, the Company makes certain judgments, which include assessment of the inputs, processes, and outputs associated with the acquired set of activities. If the Company determines that substantially all of the fair value of gross assets included in a transaction is concentrated in a single asset (or a group of similar assets), the assets will not represent a business. To be considered a business, the assets in a transaction need to include an input and a substantive process that together significantly contribute to the ability to create outputs.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allocates the fair value of the purchase consideration to the assets acquired and liabilities assumed based on their estimated fair values at the acquisition date. The fair values of intangible assets are determined utilizing information available near the acquisition date based on expectations and assumptions that are deemed reasonable by management. Given the considerable judgment involved in determining fair values, the Company typically obtains assistance from third-party valuation specialists for significant items. If the transaction is deemed to be a business combination, any excess of the purchase price (consideration transferred) over the estimated fair values of net assets acquired is recorded as goodwill. Transaction costs are expensed as incurred. Amounts recorded in a business combination may change during the measurement period, which is a period not to exceed one year from the date of acquisition, as additional information about conditions that existed at the acquisition date becomes available. Refer to Note 7, Acquisitions for additional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and Intangible Assets</w:t>
      </w:r>
    </w:p>
    <w:p>
      <w:pPr>
        <w:spacing w:after="0" w:line="5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Goodwill represents the excess of the aggregate of the consideration transferred and the amount recognized for non-controlling interest, if any, over the fair value of identifiable assets acquired and liabilities assumed in a business combination.</w:t>
      </w:r>
    </w:p>
    <w:p>
      <w:pPr>
        <w:sectPr>
          <w:pgSz w:w="11900" w:h="16838" w:orient="portrait"/>
          <w:cols w:equalWidth="0" w:num="1">
            <w:col w:w="11240"/>
          </w:cols>
          <w:pgMar w:left="320" w:top="611"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78" w:name="page79"/>
    <w:bookmarkEnd w:id="78"/>
    <w:p>
      <w:pPr>
        <w:jc w:val="both"/>
        <w:spacing w:after="0" w:line="265" w:lineRule="auto"/>
        <w:rPr>
          <w:sz w:val="20"/>
          <w:szCs w:val="20"/>
          <w:color w:val="auto"/>
        </w:rPr>
      </w:pPr>
      <w:r>
        <w:rPr>
          <w:rFonts w:ascii="Arial" w:cs="Arial" w:eastAsia="Arial" w:hAnsi="Arial"/>
          <w:sz w:val="16"/>
          <w:szCs w:val="16"/>
          <w:color w:val="auto"/>
        </w:rPr>
        <w:t>The Company reviews goodwill for impairment annually on April 1 of each fiscal year or whenever events or changes in circumstances indicate that an impairment may exist. In conducting its annual impairment test, the Company first reviews qualitative factors to determine whether it is more likely than not that the fair value of each reporting unit is less than its carrying amount. If factors indicate that the fair value of the reporting unit is less than its carrying amount, the Company performs a quantitative assessment and the fair value of the reporting unit is determined by analyzing the expected present value of future cash flows. If the carrying value of the reporting unit exceeds its fair value, an impairment loss equal to the excess is recorded.</w:t>
      </w:r>
    </w:p>
    <w:p>
      <w:pPr>
        <w:spacing w:after="0" w:line="199"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Intangible assets other than goodwill are comprised of acquired developed technology and other finite-lived intangible assets. At initial recognition, intangible assets acquired in a business combination or asset acquisition are recognized at their fair value as of the date of acquisition. Following initial recognition, intangible assets are carried at acquisition date fair value less accumulated amortization and impairment losses, if any, and are amortized on a straight-line basis over the estimated useful life of the asset. The Company has no intangible assets with indefinite useful lives.</w:t>
      </w:r>
    </w:p>
    <w:p>
      <w:pPr>
        <w:spacing w:after="0" w:line="2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assesses the impairment of intangible assets whenever events or changes in circumstances indicate that the carrying amount may not be recoverable. Refer to Note 9, Goodwill and Intangible Assets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Long-lived assets are reviewed for impairment whenever events or changes in circumstances (“triggering events”) indicate that the carrying amount of an asset group may not be recoverable. Recoverability of assets to be held and used is measured by a comparison of the carrying amount of an asset group to future undiscounted net cash flows expected to be generated by the assets. If the carrying amount of an asset group exceeds its estimated undiscounted net future cash flows, an impairment charge is recognized for the amount by which the carrying amount of the asset group exceeds its fair value.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Senior Notes</w:t>
      </w:r>
    </w:p>
    <w:p>
      <w:pPr>
        <w:spacing w:after="0" w:line="5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February 2021, the Company issued in a private offering $1.0 billion aggregate principal amount of 0.00% Convertible Senior Notes due 2026 (the "2026 Notes"), including the initial purchasers’ exercise in full of their option to purchase additional notes, of which $801.0 million aggregate principal amount was repurchased in May 2024.</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2024, the Company issued in a private offering $350.0 million aggregate principal amount of 5.50% Convertible Senior Notes due 2029 (the “2029 Notes”), including the initial purchasers’ exercise in full of the option to purchase additional notes.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The 2026 Notes and 2029 Notes are accounted for in accordance with Financial Accounting Standards Board (“FASB”) Accounting Standards Codification (“ASC”) Subtopic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Pursuant to ASC Subtopic 470-20, debt with an embedded conversion feature shall accounted for in its entirety as a liability and no portion of the proceeds from the issuance of the convertible debt instrument shall be accounted for as attributable to the conversion feature unless the conversion feature is required to be accounted for separately as an embedded derivative or the conversion feature results in a premium that is subject to the guidance in ASC 470.</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2026 Notes and the 2029 Notes (together, “the Notes”) are accounted for as a liability with no portion of the proceeds attributable to the conversion options as the conversion feature did not require separate accounting as a derivative, and the Notes did not involve a premium subject to the guidance in ASC 470.</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12, Debt for additional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Connected Fitness Products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Connected Fitness Products cost of revenue consists of our portfolio of Connected Fitness Products, related accessories, and branded apparel product costs, including third party manufacturing costs, duties and other applicable importing costs, shipping and handling costs, packaging, warranty replacement and service costs, fulfillment costs, warehousing costs, costs related to our commercial business, depreciation of property and equipment, and certain costs related to management, facilities, and personnel-related expenses associated with supply chain logistics. Inventory write-downs and related obsolescence reserve expense are also included within Connected Fitness Products cost of revenue.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Subscription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depreciation of property and equipment as well as variable costs, including music royalty fees, third-party platform streaming costs, and payment processing fees for our monthly subscription billings.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Music Royalty Fees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has entered into agreements with music rights holders for the music we include in the operation of our service. The Company pays and recognizes music royalty fees in accordance with the terms of the relevant license agreement with the music rights holder. This can include royalties incurred for paid subscriptions and royalties incurred as part of free-trial offers, which are recognized within Subscription cost of revenue and Sales and marketing in the Company’s Statements of Operations and Comprehensive Loss, respectively. If a minimum guarantee or advance payment provision exists within a license agreement, the guarantee or advance is recorded as a prepaid asset and amortized over the shorter of the period consumed or the term of the license agreement.</w:t>
      </w:r>
    </w:p>
    <w:p>
      <w:pPr>
        <w:sectPr>
          <w:pgSz w:w="11900" w:h="16838" w:orient="portrait"/>
          <w:cols w:equalWidth="0" w:num="1">
            <w:col w:w="11240"/>
          </w:cols>
          <w:pgMar w:left="320" w:top="854" w:right="339" w:bottom="1440"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79" w:name="page80"/>
    <w:bookmarkEnd w:id="79"/>
    <w:p>
      <w:pPr>
        <w:jc w:val="both"/>
        <w:spacing w:after="0" w:line="275" w:lineRule="auto"/>
        <w:rPr>
          <w:sz w:val="20"/>
          <w:szCs w:val="20"/>
          <w:color w:val="auto"/>
        </w:rPr>
      </w:pPr>
      <w:r>
        <w:rPr>
          <w:rFonts w:ascii="Arial" w:cs="Arial" w:eastAsia="Arial" w:hAnsi="Arial"/>
          <w:sz w:val="16"/>
          <w:szCs w:val="16"/>
          <w:color w:val="auto"/>
        </w:rPr>
        <w:t>Given the at times migratory, uncertain, or opaque nature of music rights ownership, the Company’s archived library may continue to include music for which certain rights or fractional interests have not been accurately determined or fully licensed. Prior to the execution of a music license agreement, the Company estimates and records a charge based upon license agreements previously entered into and the respective music rights holdings.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utilizes the asset and liability method for computing its income tax provision. Deferred tax assets and liabilities reflect the expected future consequences of temporary differences between the financial reporting and tax bases of assets and liabilities as well as operating loss, capital loss, and tax credit carryforwards, using enacted tax rates. Management makes estimates, assumptions, and judgments to determine the Company’s provision for income taxes, deferred tax assets and liabilities, and any valuation allowance recorded against deferred tax assets. The Company assesses the likelihood that its deferred tax assets will be recovered from future taxable income and, to the extent the Company believes recovery of its deferred tax assets is not more-likely-than-not, a valuation allowance is established.</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to date have not been material, are recognized within income tax expense. Refer to Note 17, Income Taxes for additional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Advertising Costs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Advertising and other promotional costs to market the Company's products are expensed as incurred. Advertising expenses were $435.0 million, $362.6 million, and $637.3 million for the fiscal years ended June 30, 2024, 2023 and 2022, respectively, and are included within Sales and marketing expenses in the Consolidated Statements of Operations and Comprehensive Loss.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Costs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Research and development expenses consist primarily of personnel- and facilities-related expenses, consulting and contractor expenses, tooling and prototype materials, software platform expenses, and depreciation of property and equipment. Substantially all of the Company’s research and development expenses are related to developing new products and services and improving existing products and services. Research and development expenses are expensed as incurred.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August 2019, the Company's Board of Directors ("Board of Directors") adopted the 2019 Employee Stock Purchase Plan ("ESPP"), which was subsequently approved by the Company’s stockholders in September 2019. The Company recognizes stock-based compensation expense related to shares issued pursuant to its ESPP on a straight-line basis over the offering period, which is twenty-four months. The ESPP allows employees to purchase shares of the Company's Class A common stock at a 15 percent discount. The ESPP also includes a look-back provision for the purchase price if the stock price on the purchase date is less than the stock price on the offering date.</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August 2019, the Board of Directors adopted the 2019 Equity Incentive Plan ("the 2019 Plan"), which was subsequently approved by the Company’s stockholders in September 2019. Stock-based awards are measured at the grant date based on the fair value of the award and are recognized as expense, net of actual forfeitures, on a straight-line basis over the requisite service period, which is generally the vesting period of the respective award. For stock option and restricted stock unit grants, vesting generally occurs over four years. For performance-based awards issued, the value of the instrument is measured at the grant date as the fair value of the award and expensed over the vesting term under an accelerated attribution method when the performance targets are considered probable of being achieved. The Company estimates the fair value of stock options using the Black-Scholes option pricing model. The determination of the grant date fair value of stock awards issued is affected by a number of variables, including the fair value of the Company’s common stock, the expected common stock price volatility over the expected life of the awards, the expected term of the stock option, risk-free interest rates, and the expected dividend yield of the Company’s common stock. Prior to the fourth quarter of fiscal year ended June 30, 2022, the Company derived its volatility from the average historical stock volatilities of several peer public companies over a period equivalent to the expected term of the awards. Beginning in the fourth quarter of fiscal year ended June 30, 2022, the expected volatility is based on a blended average of average historical stock volatilities of several peer companies over the expected term of the stock options, historical volatility of the Company's stock price, and implied stock price volatility derived from the price of exchange traded options on the Company's stock. The Company estimates the expected term based on the simplified method for employee stock options considered to be “plain vanilla” options, as the Company’s historical share option exercise experience does not provide a reasonable basis upon which to estimate the expected term. The risk-free interest rate is based on the United States Treasury yield curve in effect at the time of grant. Expected dividend yield is 0.0% as the Company has not paid and does not currently anticipate paying dividends on its common stock.</w:t>
      </w:r>
    </w:p>
    <w:p>
      <w:pPr>
        <w:spacing w:after="0" w:line="20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2019 Plan serves as the successor to the 2015 Stock Plan. The 2015 Stock Plan continues to govern the terms and conditions of the outstanding awards previously granted thereunder. Generally, the 2015 Stock Plan permitted the early exercise of stock options granted prior to the IPO. The unvested portion of shares exercised was recorded within Other current liabilities on the Company’s Consolidated Balance Sheets and reclassified to equity as vesting occurred. Refer to Note 15, Equity-Based Compensation for additional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w:t>
      </w:r>
    </w:p>
    <w:p>
      <w:pPr>
        <w:spacing w:after="0" w:line="5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Company's restructuring charges consist of employee severance, one-time termination benefits and ongoing benefits related to the reduction of its workforce, and other exit and disposal costs. One-time termination benefits are expensed at the date the entity notifies the</w:t>
      </w:r>
    </w:p>
    <w:p>
      <w:pPr>
        <w:sectPr>
          <w:pgSz w:w="11900" w:h="16838" w:orient="portrait"/>
          <w:cols w:equalWidth="0" w:num="1">
            <w:col w:w="11240"/>
          </w:cols>
          <w:pgMar w:left="320" w:top="854"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80" w:name="page81"/>
    <w:bookmarkEnd w:id="80"/>
    <w:p>
      <w:pPr>
        <w:jc w:val="both"/>
        <w:spacing w:after="0" w:line="265" w:lineRule="auto"/>
        <w:rPr>
          <w:sz w:val="20"/>
          <w:szCs w:val="20"/>
          <w:color w:val="auto"/>
        </w:rPr>
      </w:pPr>
      <w:r>
        <w:rPr>
          <w:rFonts w:ascii="Arial" w:cs="Arial" w:eastAsia="Arial" w:hAnsi="Arial"/>
          <w:sz w:val="16"/>
          <w:szCs w:val="16"/>
          <w:color w:val="auto"/>
        </w:rPr>
        <w:t>employee, unless the employee must provide future service beyond a minimum retention period, in which case the benefits are expensed ratably over the future service period. Ongoing benefits are expensed when restructuring activities are probable and the benefit amounts are estimable. Liabilities for other costs associated with a restructuring activity are measured at fair value and are recognized when the liability is incurred. Other costs primarily consist of termination fees, idle rent and related expenses for exited locations, professional services, and other costs related to restructuring activities, and are expensed when incurred. Refer to Note 4, Restructuring for additional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Defined Contribution Plan</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maintains a defined contribution retirement plan offered to all of its U.S. employees, as well as plans at certain foreign and domestic subsidiaries. For the fiscal years ended June 30, 2024, 2023, and 2022, the Company's matching contributions totaled $18.5 million, $19.1 million, and $26.3 million, respectively, and were expensed as contributed.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 and Contingencies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Liabilities for loss contingencies arising from claims, assessments, litigation, fines and penalties, and other sources are recorded when it is probable that a liability has been incurred and the amount of the assessment can be reasonably estimated. If a loss is reasonably possible and the loss or range of loss can be reasonably estimated, the Company discloses the possible loss. If a loss is probable and the loss or range of loss cannot be reasonably estimated, the Company discloses or states that such an estimate cannot be made. Refer to Note 13, Commitments and Contingencies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Subsequent changes in fair value of these financial assets and liabilities are recognized in earnings or other comprehensive income when they occur. When determining the fair value measurements for assets and liabilities which are required to be recorded at fair value, the Company considers the principal or most advantageous market in which the Company would transact and the market-based risk measurement or assumptions that market participants would use in pricing the assets or liabilities, such as inherent risk, transfer restrictions, and credit risk.</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83"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Level 1 inputs are based on quoted prices in active markets for identical assets or liabilities.</w:t>
      </w:r>
    </w:p>
    <w:p>
      <w:pPr>
        <w:spacing w:after="0" w:line="30" w:lineRule="exact"/>
        <w:rPr>
          <w:rFonts w:ascii="Arial" w:cs="Arial" w:eastAsia="Arial" w:hAnsi="Arial"/>
          <w:sz w:val="16"/>
          <w:szCs w:val="16"/>
          <w:color w:val="auto"/>
        </w:rPr>
      </w:pPr>
    </w:p>
    <w:p>
      <w:pPr>
        <w:jc w:val="both"/>
        <w:ind w:left="660" w:hanging="328"/>
        <w:spacing w:after="0" w:line="254"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Level 2 inputs are based on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ind w:left="660" w:hanging="328"/>
        <w:spacing w:after="0" w:line="265"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Level 3 inputs are based on unobservable inputs to the valuation methodology that are significant to the measurement of fair value of assets or liabilities, and typically reflect management’s estimates of assumptions that market participants would use in pricing the asset or liability.</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material financial instruments consist primarily of cash and cash equivalents, marketable securities, accounts receivable, accounts payable, accrued expenses, and the convertible senior notes. The carrying values of the Company’s accounts receivable, accounts payable and accrued expenses approximated their fair values at June 30, 2024 and 2023, due to the short period of time to maturity or repayment. Refer to Note 5, Fair Value Measurements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Earnings (Loss) Per Share</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computes earnings (loss) per share using the two-class method required for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The Company’s restricted stock awards and common stock issued upon early exercise of stock options are participating securities. The Company considers any shares issued upon early exercise of stock options, subject to repurchase, to be participating securities because holders of such shares have non-forfeitable dividend rights in the event a cash dividend is declared on common stock. These participating securities do not contractually require the holders of such shares to participate in the Company’s losses. As such, net losses for the periods presented were not allocated to the Company’s participating securities.</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Basic earnings (loss) per share is computed using the weighted-average number of outstanding shares of common stock during the period. Diluted earnings (loss) per share is computed using the weighted-average number of outstanding shares of common stock and, when dilutive, potential shares of common stock outstanding during the period. Potential shares of common stock consist of incremental shares issuable upon the assumed exercise of stock options, ESPP shares to be issued, and vesting of restricted stock awards. Refer to Note 18, Net Loss Per Share for additional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4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product recall and corrective action cost, the realizability of inventory, fair value measurements, the incremental borrowing rate associated with lease liabilities, impairment of long-lived and intangible assets, useful lives of long-lived assets, including property and equipment and finite-lived intangible assets, product warranty, goodwill, accounting for income taxes, stock-based</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81" w:name="page82"/>
    <w:bookmarkEnd w:id="81"/>
    <w:p>
      <w:pPr>
        <w:jc w:val="both"/>
        <w:spacing w:after="0" w:line="286" w:lineRule="auto"/>
        <w:rPr>
          <w:sz w:val="20"/>
          <w:szCs w:val="20"/>
          <w:color w:val="auto"/>
        </w:rPr>
      </w:pPr>
      <w:r>
        <w:rPr>
          <w:rFonts w:ascii="Arial" w:cs="Arial" w:eastAsia="Arial" w:hAnsi="Arial"/>
          <w:sz w:val="16"/>
          <w:szCs w:val="16"/>
          <w:color w:val="auto"/>
        </w:rPr>
        <w:t>compensation expense, transaction price estimates, the fair values of assets acquired and liabilities assumed in business combinations and asset acquisitions, future restructuring charges, contingent consideration, and commitments and contingencies. Actual results may differ from these estimates.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Recently Adopted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2020-06</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 Contracts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in Entity’s Own Equity (Subtopic 815-40): Accounting for Convertible Instruments and Contracts in an Entity’s Own Equity</w:t>
      </w:r>
      <w:r>
        <w:rPr>
          <w:rFonts w:ascii="Arial" w:cs="Arial" w:eastAsia="Arial" w:hAnsi="Arial"/>
          <w:sz w:val="16"/>
          <w:szCs w:val="16"/>
          <w:color w:val="auto"/>
        </w:rPr>
        <w:t>. The guidance simplified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for convertible instruments by reducing the number of accounting models for convertible debt instruments and convertible preferred stock, thereby limiting the accounting results in fewer embedded conversion features being separately recognized from the host contract as compared with current GAAP. Convertible instruments that continue to be subject to separation models are (1) those with embedded conversion features that are not clearly and closely related to the host contract, that meet the definition of a derivative, and that do not qualify for a scope exception from derivative accounting and (2) convertible debt instruments issued with substantial premiums for which the premiums are recorded as paid-in capital. ASU 2020-06 also amended the guidance for the derivatives scope exception for contracts in an entity’s own equity to reduce form-over-substance-based accounting conclusions. In addition, the guidance eliminated the treasury stock method to calculate diluted earnings per share for convertible instruments and requires the use of the if-converted method. The Company adopted the standard effective July 1, 2022 using the modified retrospective transition method. Adoption of the new standard resulted in a reduction to Additional paid-in capital of $160.1 million to remove the equity component separately recorded for the conversion features associated with the 2026 Notes (as defined in </w:t>
      </w:r>
      <w:r>
        <w:rPr>
          <w:rFonts w:ascii="Arial" w:cs="Arial" w:eastAsia="Arial" w:hAnsi="Arial"/>
          <w:sz w:val="16"/>
          <w:szCs w:val="16"/>
          <w:i w:val="1"/>
          <w:iCs w:val="1"/>
          <w:color w:val="auto"/>
        </w:rPr>
        <w:t>Note 12 - Debt</w:t>
      </w:r>
      <w:r>
        <w:rPr>
          <w:rFonts w:ascii="Arial" w:cs="Arial" w:eastAsia="Arial" w:hAnsi="Arial"/>
          <w:sz w:val="16"/>
          <w:szCs w:val="16"/>
          <w:color w:val="auto"/>
        </w:rPr>
        <w:t>), an increase of $119.6 million in the carrying value of its 2026 Notes to reflect the full principal amount of the 2026 Notes outstanding net of issuance costs, and a decrease to Accumulated deficit of $40.6 million.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2021-08</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 from Contracts</w:t>
      </w:r>
    </w:p>
    <w:p>
      <w:pPr>
        <w:spacing w:after="0" w:line="3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The guidance requires that an acquirer recognize and measure contract assets and liabilities acquired in a business combination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Company adopted ASU 2021-08 on July 1, 2023. The standard will be applied to acquisitions occurring on or after the effective date. The impact will depend on the contract assets and liabilities acquired in future business combinations.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2023-07</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November 2023, the Financial Accounting Standards Board issued ASU 2023-07, </w:t>
      </w:r>
      <w:r>
        <w:rPr>
          <w:rFonts w:ascii="Arial" w:cs="Arial" w:eastAsia="Arial" w:hAnsi="Arial"/>
          <w:sz w:val="16"/>
          <w:szCs w:val="16"/>
          <w:i w:val="1"/>
          <w:iCs w:val="1"/>
          <w:color w:val="auto"/>
        </w:rPr>
        <w:t>Segment Reporting (Topic 280): Improvements to Reportable Segment</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This ASU improves reportable segment disclosure requirements, primarily through enhanced disclosures about significant segment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and is effective for fiscal years beginning after December 15, 2023 on a retrospective basis. The Company is currently evaluating the impact of adopting this ASU.</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2023-09</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 December 2023, the Financial Accounting Standards Board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xml:space="preserve"> This ASU enhances income tax information primarily through changes in the rate reconciliation and income taxes paid information, and is effective for fiscal years beginning after December 15, 2024 on a prospective basis. The Company is currently evaluating the impact of adopting this ASU.</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3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Company’s primary sources of revenue are its recurring content Subscription revenue, and revenue from sales of its Connected Fitness Products and related accessories, as well as Precor branded fitness products, delivery and installation services.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262"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Revenue is recognized when control of the promised goods or services is transferred to the Company’s customers, in an amount that reflects the consideration that we expect to be entitled to in exchange for those goods or services. The Company’s revenue is reported net of sales returns and concessions, discounts and allowances, incentives, and rebates to commercial distributors as a reduction of the transaction price. Certain contracts include consideration payable that is accounted for as a payment for distinct goods or services. The Company’s transaction price estimate includes our estimate for product returns and concessions based on the terms and conditions of home trial programs, historical return trends by product category, impact of seasonality, an evaluation of current economic and market conditions, and current business practices, and record the expected customer refund liability as a reduction to revenue, and the expected inventory right of recovery as a reduction of cost of</w:t>
      </w:r>
    </w:p>
    <w:p>
      <w:pPr>
        <w:sectPr>
          <w:pgSz w:w="11900" w:h="16838" w:orient="portrait"/>
          <w:cols w:equalWidth="0" w:num="1">
            <w:col w:w="11240"/>
          </w:cols>
          <w:pgMar w:left="320" w:top="611" w:right="339" w:bottom="1440"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82" w:name="page83"/>
    <w:bookmarkEnd w:id="82"/>
    <w:p>
      <w:pPr>
        <w:jc w:val="both"/>
        <w:spacing w:after="0" w:line="286" w:lineRule="auto"/>
        <w:rPr>
          <w:sz w:val="20"/>
          <w:szCs w:val="20"/>
          <w:color w:val="auto"/>
        </w:rPr>
      </w:pPr>
      <w:r>
        <w:rPr>
          <w:rFonts w:ascii="Arial" w:cs="Arial" w:eastAsia="Arial" w:hAnsi="Arial"/>
          <w:sz w:val="16"/>
          <w:szCs w:val="16"/>
          <w:color w:val="auto"/>
        </w:rPr>
        <w:t>revenue. If actual return costs differ from previous estimates, the amount of the liability and corresponding revenue are adjusted in the period in which such costs occur.</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applies the practical expedient as per ASC 606-10-50-14 and does not disclose information related to remaining performance obligations due to their original expected terms being one year or less.</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applies the practical expedient as per ASC 340-40-25-4 and expenses sales commissions when incurred if the amortization period of the asset that the Company otherwise would have recognized is one year or less. These costs are recorded in Sales and marketing in the Company’s Consolidated Statements of Operations and Comprehensive Loss.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Some of the Company’s revenues relate to rental lease arrangements. The Company’s rental program allows Members to lease a Bike or Bike+ with a Peloton Rental Membership for a single monthly cost and a one-time delivery fee, and gives the Member the option to purchase the equipment outright or cancel at any time with no penalty. These lease arrangements include both lease and non-lease components. Consideration is allocated between the lease and non-lease components based on management’s best estimate of the relative standalone selling price of each component. The lease component relates to the customer’s right to use the equipment over the lease term and is accounted for as an operating lease in accordance with ASC 842, </w:t>
      </w:r>
      <w:r>
        <w:rPr>
          <w:rFonts w:ascii="Arial" w:cs="Arial" w:eastAsia="Arial" w:hAnsi="Arial"/>
          <w:sz w:val="16"/>
          <w:szCs w:val="16"/>
          <w:i w:val="1"/>
          <w:iCs w:val="1"/>
          <w:color w:val="auto"/>
        </w:rPr>
        <w:t>Leases</w:t>
      </w:r>
      <w:r>
        <w:rPr>
          <w:rFonts w:ascii="Arial" w:cs="Arial" w:eastAsia="Arial" w:hAnsi="Arial"/>
          <w:sz w:val="16"/>
          <w:szCs w:val="16"/>
          <w:color w:val="auto"/>
        </w:rPr>
        <w:t>. Lease revenue is recognized on a straight-line basis over the term of the lease within Connected Fitness Products revenue, while the underlying equipment subject to the lease remains within Property and equipment, net on the Company’s Consolidated Balance Sheets and depreciates over the equipment’s useful life. Depreciation expense associated with the underlying equipment is reflected in Connected Fitness Products cost of revenue in the Company’s Consolidated Statements of Operations and Comprehensive Loss. Non-lease components primarily consist of an All-Access Membership, which is recognized within Subscription revenue.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Connected Fitness Products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Connected Fitness Products include the Company’s portfolio of Connected Fitness Products and related accessories, Precor branded fitness products, delivery and installation services, rental lease agreements, extended warranty agreements, branded apparel, and commercial service contracts. The Company recognizes Connected Fitness Products revenue net of sales returns and concessions, discounts and allowances, and third-party financing program fees, when the product has been delivered to the customer, except for extended warranty revenue that is recognized over the warranty period and service revenue that is recognized over the term of the service contract. The Company allows customers to return Peloton branded Connected Fitness Products within thirty days of purchase, as stated in its return policy.</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Consolidated Statements of Operations and Comprehensive Loss.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subscriptions provide access to Peloton content and its library of live and on-demand fitness classes. The Company’s subscriptions are offered on a month-to-month or prepaid basis.</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Amounts paid for subscription fees, net of refunds are included within Deferred revenue and customer deposits on the Company’s Consolidated Balance Sheets and recognized ratably over the subscription term. The Company records payment processing fees for its monthly subscription charges within cost of Subscription revenue in the Company’s Consolidated Statements of Operations and Comprehensive Loss.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Sales tax collected from customers and remitted to governmental authorities is not included in revenue and is reflected as a liability on the Company’s Consolidated Balance Sheets.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Warranty</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offers a standard product warranty that its Connected Fitness Products will operate under normal, non-commercial use covering the touchscreen and most original Bike, Bike+, Tread, Tread+, Row, and Guide components. The Company has the obligation, at its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by contract manufacturers and, in certain cases, the Company may have recourse to such contract manufacturers.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Activity related to the Company’s accrual for its estimated future product warranty obligation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Fiscal Year Ended June 30,</w:t>
            </w:r>
          </w:p>
        </w:tc>
        <w:tc>
          <w:tcPr>
            <w:tcW w:w="580" w:type="dxa"/>
            <w:vAlign w:val="bottom"/>
            <w:tcBorders>
              <w:bottom w:val="single" w:sz="8" w:color="auto"/>
            </w:tcBorders>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r>
      <w:tr>
        <w:trPr>
          <w:trHeight w:val="209"/>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60" w:type="dxa"/>
            <w:vAlign w:val="bottom"/>
            <w:gridSpan w:val="3"/>
          </w:tcPr>
          <w:p>
            <w:pPr>
              <w:ind w:left="160"/>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6"/>
              </w:rPr>
              <w:t>51.1</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Provision for warranty accrual</w:t>
            </w:r>
          </w:p>
        </w:tc>
        <w:tc>
          <w:tcPr>
            <w:tcW w:w="120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center"/>
              <w:ind w:left="39"/>
              <w:spacing w:after="0"/>
              <w:rPr>
                <w:sz w:val="20"/>
                <w:szCs w:val="20"/>
                <w:color w:val="auto"/>
              </w:rPr>
            </w:pPr>
            <w:r>
              <w:rPr>
                <w:rFonts w:ascii="Arial" w:cs="Arial" w:eastAsia="Arial" w:hAnsi="Arial"/>
                <w:sz w:val="16"/>
                <w:szCs w:val="16"/>
                <w:color w:val="auto"/>
                <w:w w:val="96"/>
              </w:rPr>
              <w:t>17.7</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claims</w:t>
            </w:r>
          </w:p>
        </w:tc>
        <w:tc>
          <w:tcPr>
            <w:tcW w:w="1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rPr>
              <w:t>(42.4)</w:t>
            </w: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120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6"/>
              </w:rPr>
              <w:t>26.4</w:t>
            </w:r>
          </w:p>
        </w:tc>
      </w:tr>
      <w:tr>
        <w:trPr>
          <w:trHeight w:val="21"/>
        </w:trPr>
        <w:tc>
          <w:tcPr>
            <w:tcW w:w="7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offers the option for customers in some markets to purchase an extended warranty and service contract that extends or enhances the technical support, parts, and labor coverage offered as part of the base warranty included with the Connected Fitness Products for additional periods beyond the standard product warranty period.</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Extended warranty revenue is recognized ratably over the extended warranty coverage period and is included in Connected Fitness Products revenue in the Consolidated Statements of Operations and Comprehensive Loss. The Company’s revenue attributable to extended warranty was $36.0 million, $40.3 million and $29.6 million, representing 1%, 1%, and 1% of Total revenue for the fiscal years ended June 30, 2024, 2023, and 2022,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Company’s revenue disaggregated by segment, excluding sales-based taxes, is included in </w:t>
      </w:r>
      <w:r>
        <w:rPr>
          <w:rFonts w:ascii="Arial" w:cs="Arial" w:eastAsia="Arial" w:hAnsi="Arial"/>
          <w:sz w:val="16"/>
          <w:szCs w:val="16"/>
          <w:i w:val="1"/>
          <w:iCs w:val="1"/>
          <w:color w:val="auto"/>
        </w:rPr>
        <w:t>Note 19, Segment Information</w:t>
      </w:r>
      <w:r>
        <w:rPr>
          <w:rFonts w:ascii="Arial" w:cs="Arial" w:eastAsia="Arial" w:hAnsi="Arial"/>
          <w:sz w:val="16"/>
          <w:szCs w:val="16"/>
          <w:color w:val="auto"/>
        </w:rPr>
        <w: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20"/>
                <w:szCs w:val="20"/>
                <w:color w:val="auto"/>
              </w:rPr>
            </w:pPr>
            <w:r>
              <w:rPr>
                <w:rFonts w:ascii="Arial" w:cs="Arial" w:eastAsia="Arial" w:hAnsi="Arial"/>
                <w:sz w:val="16"/>
                <w:szCs w:val="16"/>
                <w:color w:val="auto"/>
              </w:rPr>
              <w:t>The Company’s revenue disaggregated by geographic region was as follows:</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48"/>
        </w:trPr>
        <w:tc>
          <w:tcPr>
            <w:tcW w:w="57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ind w:right="25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24"/>
                <w:szCs w:val="24"/>
                <w:color w:val="auto"/>
              </w:rPr>
            </w:pPr>
          </w:p>
        </w:tc>
      </w:tr>
      <w:tr>
        <w:trPr>
          <w:trHeight w:val="210"/>
        </w:trPr>
        <w:tc>
          <w:tcPr>
            <w:tcW w:w="57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r>
      <w:tr>
        <w:trPr>
          <w:trHeight w:val="209"/>
        </w:trPr>
        <w:tc>
          <w:tcPr>
            <w:tcW w:w="5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 America</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2,487.0</w:t>
            </w:r>
          </w:p>
        </w:tc>
        <w:tc>
          <w:tcPr>
            <w:tcW w:w="44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3,259.6</w:t>
            </w:r>
          </w:p>
        </w:tc>
      </w:tr>
      <w:tr>
        <w:trPr>
          <w:trHeight w:val="215"/>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International</w:t>
            </w: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322.5</w:t>
            </w:r>
          </w:p>
        </w:tc>
      </w:tr>
      <w:tr>
        <w:trPr>
          <w:trHeight w:val="235"/>
        </w:trPr>
        <w:tc>
          <w:tcPr>
            <w:tcW w:w="5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2,700.5</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3,582.1</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revenue attributable to the United States was $2,389.2 million, $2,496.3 million, and $3,100.0 million, representing 88%, 89%, and 87% of Total revenue for the fiscal years ended June 30, 2024, 2023 and 2022,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Revenue and Customer Deposits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June 30, 2024 and June 30, 2023, deferred revenue of $95.9 million and $92.1 million, respectively, and customer deposits of $67.7 million and $95.2 million, respectively, were included in Deferred revenue and customer deposits on the Company’s Consolidated Balance Sheets.</w:t>
      </w:r>
    </w:p>
    <w:p>
      <w:pPr>
        <w:spacing w:after="0" w:line="1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the fiscal years ended June 30, 2024 and 2023, the Company recognized revenue of $97.2 million and $92.4 million, respectively, that was included in the deferred revenue balance as of June 30, 2023 and 2022,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Restructuring</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February 2022, the Company announced and began implementing a restructuring plan to realign the Company’s operational focus to support its multi-year growth, scale the business, and improve costs (the “2022 Restructuring Plan”). The 2022 Restructuring Plan originally included: (i) reducing the Company’s headcount; (ii) closing several assembly and manufacturing plants, including the completion and subsequent sale of the shell facility for the Company’s previously planned Peloton Output Park; (iii) closing and consolidating several distribution facilities; and (iv) shifting to third-party logistics providers in certain locations.</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fiscal year 2023, the Company continued to take actions to implement the 2022 Restructuring Plan. In July 2022, the Company announced it was exiting all owned-manufacturing operations and expanding its current relationship with a Taiwanese manufacturer, Rexon Industrial Corporation. Additionally, in August 2022, the Company announced the decision to (i) fully transition its North American Field Operations to third-party providers, including the significant reduction of its delivery workforce teams; (ii) eliminate a significant number of roles on the North America Member Support team and exit its real-estate footprints in its Plano and Tempe locations; and (iii) reduce its retail showroom presence.</w:t>
      </w:r>
    </w:p>
    <w:p>
      <w:pPr>
        <w:spacing w:after="0" w:line="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January 2024, the Company completed the sale of the Peloton Output Park building and a portion of the corresponding land and received net proceeds of approximately $31.9 million.</w:t>
      </w:r>
    </w:p>
    <w:p>
      <w:pPr>
        <w:sectPr>
          <w:pgSz w:w="11900" w:h="16838" w:orient="portrait"/>
          <w:cols w:equalWidth="0" w:num="1">
            <w:col w:w="11240"/>
          </w:cols>
          <w:pgMar w:left="320" w:top="611" w:right="33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84" w:name="page85"/>
    <w:bookmarkEnd w:id="84"/>
    <w:p>
      <w:pPr>
        <w:jc w:val="both"/>
        <w:spacing w:after="0" w:line="265" w:lineRule="auto"/>
        <w:rPr>
          <w:sz w:val="20"/>
          <w:szCs w:val="20"/>
          <w:color w:val="auto"/>
        </w:rPr>
      </w:pPr>
      <w:r>
        <w:rPr>
          <w:rFonts w:ascii="Arial" w:cs="Arial" w:eastAsia="Arial" w:hAnsi="Arial"/>
          <w:sz w:val="16"/>
          <w:szCs w:val="16"/>
          <w:color w:val="auto"/>
        </w:rPr>
        <w:t>On April 22, 2024, the Company’s Board of Directors approved a new restructuring plan to expand upon its 2022 Restructuring Plan (as expanded, the “2024 Restructuring Plan”). The Company believes the 2024 Restructuring Plan will position Peloton for sustained, positive free cash flow, while enabling the Company to continue to invest in software, hardware and content innovation, improvements to its Member support experience, and optimizations to marketing efforts to scale the business. The 2024 Restructuring Plan includes: (i) a reduction in global headcount; and (ii) continued closures of the Company’s retail locations. The Company expects the majority of the 2024 Restructuring Plan to be implemented by the end of fiscal 2025.</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a result of these restructuring initiatives, the Company incurred the charges shown in the following table. Asset write-downs and write-offs are included within Impairment expense, and Write-offs of inventory related to restructuring activities are included within Connected Fitness Products Cost of Revenue, in the Consolidated Statements of Operations and Comprehensive Loss. The remaining charges incurred are included within Restructuring expense in the Consolidated Statements of Operations and Comprehensive Loss: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center"/>
              <w:ind w:left="9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Cash restructuring charges:</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Severance and other personnel costs</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Exit and disposal costs and professional fees</w:t>
            </w:r>
            <w:r>
              <w:rPr>
                <w:rFonts w:ascii="Arial" w:cs="Arial" w:eastAsia="Arial" w:hAnsi="Arial"/>
                <w:sz w:val="21"/>
                <w:szCs w:val="21"/>
                <w:color w:val="auto"/>
                <w:vertAlign w:val="superscript"/>
              </w:rPr>
              <w:t>(2)</w:t>
            </w: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cash charges</w:t>
            </w:r>
          </w:p>
        </w:tc>
        <w:tc>
          <w:tcPr>
            <w:tcW w:w="1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251"/>
        </w:trPr>
        <w:tc>
          <w:tcPr>
            <w:tcW w:w="5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charges: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line="216" w:lineRule="exact"/>
              <w:rPr>
                <w:sz w:val="20"/>
                <w:szCs w:val="20"/>
                <w:color w:val="auto"/>
              </w:rPr>
            </w:pPr>
            <w:r>
              <w:rPr>
                <w:rFonts w:ascii="Arial" w:cs="Arial" w:eastAsia="Arial" w:hAnsi="Arial"/>
                <w:sz w:val="16"/>
                <w:szCs w:val="16"/>
                <w:color w:val="auto"/>
              </w:rPr>
              <w:t>Asset write-downs and write-offs</w:t>
            </w:r>
            <w:r>
              <w:rPr>
                <w:rFonts w:ascii="Arial" w:cs="Arial" w:eastAsia="Arial" w:hAnsi="Arial"/>
                <w:sz w:val="21"/>
                <w:szCs w:val="21"/>
                <w:color w:val="auto"/>
                <w:vertAlign w:val="superscript"/>
              </w:rPr>
              <w:t>(3)</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373.8</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(4)</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line="216" w:lineRule="exact"/>
              <w:rPr>
                <w:sz w:val="20"/>
                <w:szCs w:val="20"/>
                <w:color w:val="auto"/>
              </w:rPr>
            </w:pPr>
            <w:r>
              <w:rPr>
                <w:rFonts w:ascii="Arial" w:cs="Arial" w:eastAsia="Arial" w:hAnsi="Arial"/>
                <w:sz w:val="16"/>
                <w:szCs w:val="16"/>
                <w:color w:val="auto"/>
              </w:rPr>
              <w:t>Write-offs of inventory related to restructuring activities</w:t>
            </w:r>
            <w:r>
              <w:rPr>
                <w:rFonts w:ascii="Arial" w:cs="Arial" w:eastAsia="Arial" w:hAnsi="Arial"/>
                <w:sz w:val="21"/>
                <w:szCs w:val="21"/>
                <w:color w:val="auto"/>
                <w:vertAlign w:val="superscript"/>
              </w:rPr>
              <w:t>(5)</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Loss on sale of subsidiary</w:t>
            </w:r>
            <w:r>
              <w:rPr>
                <w:rFonts w:ascii="Arial" w:cs="Arial" w:eastAsia="Arial" w:hAnsi="Arial"/>
                <w:sz w:val="21"/>
                <w:szCs w:val="21"/>
                <w:color w:val="auto"/>
                <w:vertAlign w:val="superscript"/>
              </w:rPr>
              <w:t>(6)</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non-cash charges</w:t>
            </w:r>
          </w:p>
        </w:tc>
        <w:tc>
          <w:tcPr>
            <w:tcW w:w="1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228.0</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486.8</w:t>
            </w:r>
          </w:p>
        </w:tc>
        <w:tc>
          <w:tcPr>
            <w:tcW w:w="0" w:type="dxa"/>
            <w:vAlign w:val="bottom"/>
          </w:tcPr>
          <w:p>
            <w:pPr>
              <w:spacing w:after="0"/>
              <w:rPr>
                <w:sz w:val="1"/>
                <w:szCs w:val="1"/>
                <w:color w:val="auto"/>
              </w:rPr>
            </w:pPr>
          </w:p>
        </w:tc>
      </w:tr>
      <w:tr>
        <w:trPr>
          <w:trHeight w:val="251"/>
        </w:trPr>
        <w:tc>
          <w:tcPr>
            <w:tcW w:w="578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611.3</w:t>
            </w:r>
          </w:p>
        </w:tc>
        <w:tc>
          <w:tcPr>
            <w:tcW w:w="0" w:type="dxa"/>
            <w:vAlign w:val="bottom"/>
          </w:tcPr>
          <w:p>
            <w:pPr>
              <w:spacing w:after="0"/>
              <w:rPr>
                <w:sz w:val="1"/>
                <w:szCs w:val="1"/>
                <w:color w:val="auto"/>
              </w:rPr>
            </w:pPr>
          </w:p>
        </w:tc>
      </w:tr>
      <w:tr>
        <w:trPr>
          <w:trHeight w:val="21"/>
        </w:trPr>
        <w:tc>
          <w:tcPr>
            <w:tcW w:w="5780" w:type="dxa"/>
            <w:vAlign w:val="bottom"/>
            <w:vMerge w:val="restart"/>
          </w:tcPr>
          <w:p>
            <w:pPr>
              <w:spacing w:after="0"/>
              <w:rPr>
                <w:sz w:val="20"/>
                <w:szCs w:val="20"/>
                <w:color w:val="auto"/>
              </w:rPr>
            </w:pPr>
            <w:r>
              <w:rPr>
                <w:rFonts w:ascii="Arial" w:cs="Arial" w:eastAsia="Arial" w:hAnsi="Arial"/>
                <w:sz w:val="16"/>
                <w:szCs w:val="16"/>
                <w:color w:val="auto"/>
              </w:rPr>
              <w:t>____________________________</w:t>
            </w: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5"/>
        </w:trPr>
        <w:tc>
          <w:tcPr>
            <w:tcW w:w="57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20" w:firstLine="8"/>
        <w:spacing w:after="0" w:line="264" w:lineRule="auto"/>
        <w:tabs>
          <w:tab w:leader="none" w:pos="189"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$7.5 million and $29.0 million of severance and other personnel costs related to the 2022 Restructuring Plan and 2024 Restructuring Plan, respectively, for the fiscal year ended June 30, 2024.</w:t>
      </w:r>
    </w:p>
    <w:p>
      <w:pPr>
        <w:spacing w:after="0" w:line="22" w:lineRule="exact"/>
        <w:rPr>
          <w:rFonts w:ascii="Arial" w:cs="Arial" w:eastAsia="Arial" w:hAnsi="Arial"/>
          <w:sz w:val="13"/>
          <w:szCs w:val="13"/>
          <w:color w:val="auto"/>
        </w:rPr>
      </w:pPr>
    </w:p>
    <w:p>
      <w:pPr>
        <w:ind w:right="320" w:firstLine="8"/>
        <w:spacing w:after="0" w:line="258" w:lineRule="auto"/>
        <w:tabs>
          <w:tab w:leader="none" w:pos="189"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$16.1 million and $3.1 million of exit and disposal costs and professional fees related to the 2022 Restructuring Plan and 2024 Restructuring Plan, respectively, for the fiscal year ended June 30, 2024.</w:t>
      </w:r>
    </w:p>
    <w:p>
      <w:pPr>
        <w:spacing w:after="0" w:line="1" w:lineRule="exact"/>
        <w:rPr>
          <w:rFonts w:ascii="Arial" w:cs="Arial" w:eastAsia="Arial" w:hAnsi="Arial"/>
          <w:sz w:val="13"/>
          <w:szCs w:val="13"/>
          <w:color w:val="auto"/>
        </w:rPr>
      </w:pPr>
    </w:p>
    <w:p>
      <w:pPr>
        <w:ind w:left="200" w:hanging="192"/>
        <w:spacing w:after="0"/>
        <w:tabs>
          <w:tab w:leader="none" w:pos="20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Includes $31.1 million and $9.7 million of asset write-downs and write-offs related to the 2022 Restructuring Plan and 2024 Restructuring Plan, respectively, for the fiscal year ended June 30, 2024.</w:t>
      </w:r>
    </w:p>
    <w:p>
      <w:pPr>
        <w:spacing w:after="0" w:line="52" w:lineRule="exact"/>
        <w:rPr>
          <w:rFonts w:ascii="Arial" w:cs="Arial" w:eastAsia="Arial" w:hAnsi="Arial"/>
          <w:sz w:val="12"/>
          <w:szCs w:val="12"/>
          <w:color w:val="auto"/>
        </w:rPr>
      </w:pPr>
    </w:p>
    <w:p>
      <w:pPr>
        <w:ind w:right="280" w:firstLine="8"/>
        <w:spacing w:after="0" w:line="264" w:lineRule="auto"/>
        <w:tabs>
          <w:tab w:leader="none" w:pos="189"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$7.2 million and $(0.6) million of stock-based compensation expense related to the 2022 Restructuring Plan and 2024 Restructuring Plan, respectively, for the fiscal year ended June 30, 2024.</w:t>
      </w:r>
    </w:p>
    <w:p>
      <w:pPr>
        <w:spacing w:after="0" w:line="22" w:lineRule="exact"/>
        <w:rPr>
          <w:rFonts w:ascii="Arial" w:cs="Arial" w:eastAsia="Arial" w:hAnsi="Arial"/>
          <w:sz w:val="13"/>
          <w:szCs w:val="13"/>
          <w:color w:val="auto"/>
        </w:rPr>
      </w:pPr>
    </w:p>
    <w:p>
      <w:pPr>
        <w:ind w:left="200" w:hanging="192"/>
        <w:spacing w:after="0"/>
        <w:tabs>
          <w:tab w:leader="none" w:pos="2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write-offs of inventory related to the 2022 Restructuring Plan.</w:t>
      </w:r>
    </w:p>
    <w:p>
      <w:pPr>
        <w:spacing w:after="0" w:line="66" w:lineRule="exact"/>
        <w:rPr>
          <w:rFonts w:ascii="Arial" w:cs="Arial" w:eastAsia="Arial" w:hAnsi="Arial"/>
          <w:sz w:val="13"/>
          <w:szCs w:val="13"/>
          <w:color w:val="auto"/>
        </w:rPr>
      </w:pPr>
    </w:p>
    <w:p>
      <w:pPr>
        <w:ind w:left="200" w:hanging="192"/>
        <w:spacing w:after="0"/>
        <w:tabs>
          <w:tab w:leader="none" w:pos="2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loss on sale of subsidiary recognized in connection with the 2022 Restructuring Plan.</w:t>
      </w: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Due to the actions taken pursuant to the 2022 Restructuring Plan and 2024 Restructuring Plan, the Company tested certain long-lived assets (asset groups) for recoverability by comparing the carrying values of the asset group to estimates of their future undiscounted cash flows, which were generally the liquidation value, or for operating lease right-of-use assets, income from a sublease arrangement. Based on the results of the recoverability tests, the Company determined that during the fiscal years ended June 30, 2024, 2023 and 2022, the undiscounted cash flows of certain assets (asset groups) were below their carrying values, indicating impairment. The assets were written down to their estimated fair values, which were determined based on their estimated liquidation or sales value, or for operating lease right-of-use assets, discounted cash flows of a sublease arrangement. See further discussion in Note 8 - </w:t>
      </w:r>
      <w:r>
        <w:rPr>
          <w:rFonts w:ascii="Arial" w:cs="Arial" w:eastAsia="Arial" w:hAnsi="Arial"/>
          <w:sz w:val="16"/>
          <w:szCs w:val="16"/>
          <w:i w:val="1"/>
          <w:iCs w:val="1"/>
          <w:color w:val="auto"/>
        </w:rPr>
        <w:t>Property and Equipment</w:t>
      </w:r>
      <w:r>
        <w:rPr>
          <w:rFonts w:ascii="Arial" w:cs="Arial" w:eastAsia="Arial" w:hAnsi="Arial"/>
          <w:sz w:val="16"/>
          <w:szCs w:val="16"/>
          <w:color w:val="auto"/>
        </w:rPr>
        <w:t xml:space="preserve"> and Note 11 - </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the Notes to Consolidated Financial Statements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The following table presents a roll-forward of cash restructuring-related liabilities, which is included within Accounts payable and accrued expenses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8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rPr>
              <w:t>Severance and other</w:t>
            </w:r>
          </w:p>
        </w:tc>
        <w:tc>
          <w:tcPr>
            <w:tcW w:w="16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Exit and disposal</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costs and</w:t>
            </w:r>
          </w:p>
        </w:tc>
        <w:tc>
          <w:tcPr>
            <w:tcW w:w="400" w:type="dxa"/>
            <w:vAlign w:val="bottom"/>
          </w:tcPr>
          <w:p>
            <w:pPr>
              <w:spacing w:after="0"/>
              <w:rPr>
                <w:sz w:val="14"/>
                <w:szCs w:val="14"/>
                <w:color w:val="auto"/>
              </w:rPr>
            </w:pPr>
          </w:p>
        </w:tc>
        <w:tc>
          <w:tcPr>
            <w:tcW w:w="136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personnel costs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professional fees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Charges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June 30,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5780" w:type="dxa"/>
            <w:vAlign w:val="bottom"/>
          </w:tcPr>
          <w:p>
            <w:pPr>
              <w:spacing w:after="0"/>
              <w:rPr>
                <w:sz w:val="24"/>
                <w:szCs w:val="24"/>
                <w:color w:val="auto"/>
              </w:rPr>
            </w:pPr>
          </w:p>
        </w:tc>
        <w:tc>
          <w:tcPr>
            <w:tcW w:w="18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rPr>
              <w:t>Severance and other</w:t>
            </w:r>
          </w:p>
        </w:tc>
        <w:tc>
          <w:tcPr>
            <w:tcW w:w="160" w:type="dxa"/>
            <w:vAlign w:val="bottom"/>
          </w:tcPr>
          <w:p>
            <w:pPr>
              <w:spacing w:after="0"/>
              <w:rPr>
                <w:sz w:val="24"/>
                <w:szCs w:val="2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Exit and disposal</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costs and</w:t>
            </w:r>
          </w:p>
        </w:tc>
        <w:tc>
          <w:tcPr>
            <w:tcW w:w="400" w:type="dxa"/>
            <w:vAlign w:val="bottom"/>
          </w:tcPr>
          <w:p>
            <w:pPr>
              <w:spacing w:after="0"/>
              <w:rPr>
                <w:sz w:val="14"/>
                <w:szCs w:val="14"/>
                <w:color w:val="auto"/>
              </w:rPr>
            </w:pPr>
          </w:p>
        </w:tc>
        <w:tc>
          <w:tcPr>
            <w:tcW w:w="136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personnel costs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professional fees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Charges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June 30,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8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rPr>
              <w:t>Severance and other</w:t>
            </w:r>
          </w:p>
        </w:tc>
        <w:tc>
          <w:tcPr>
            <w:tcW w:w="16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Exit and disposal</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costs and</w:t>
            </w:r>
          </w:p>
        </w:tc>
        <w:tc>
          <w:tcPr>
            <w:tcW w:w="400" w:type="dxa"/>
            <w:vAlign w:val="bottom"/>
          </w:tcPr>
          <w:p>
            <w:pPr>
              <w:spacing w:after="0"/>
              <w:rPr>
                <w:sz w:val="14"/>
                <w:szCs w:val="14"/>
                <w:color w:val="auto"/>
              </w:rPr>
            </w:pPr>
          </w:p>
        </w:tc>
        <w:tc>
          <w:tcPr>
            <w:tcW w:w="136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personnel costs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professional fees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w w:val="96"/>
              </w:rPr>
              <w:t>13.6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96"/>
              </w:rPr>
              <w:t>13.9</w:t>
            </w: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line="216" w:lineRule="exact"/>
              <w:rPr>
                <w:sz w:val="20"/>
                <w:szCs w:val="20"/>
                <w:color w:val="auto"/>
              </w:rPr>
            </w:pPr>
            <w:r>
              <w:rPr>
                <w:rFonts w:ascii="Arial" w:cs="Arial" w:eastAsia="Arial" w:hAnsi="Arial"/>
                <w:sz w:val="16"/>
                <w:szCs w:val="16"/>
                <w:color w:val="auto"/>
              </w:rPr>
              <w:t>Charges</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580" w:type="dxa"/>
            <w:vAlign w:val="bottom"/>
          </w:tcPr>
          <w:p>
            <w:pPr>
              <w:jc w:val="center"/>
              <w:ind w:left="1039"/>
              <w:spacing w:after="0"/>
              <w:rPr>
                <w:sz w:val="20"/>
                <w:szCs w:val="20"/>
                <w:color w:val="auto"/>
              </w:rPr>
            </w:pPr>
            <w:r>
              <w:rPr>
                <w:rFonts w:ascii="Arial" w:cs="Arial" w:eastAsia="Arial" w:hAnsi="Arial"/>
                <w:sz w:val="16"/>
                <w:szCs w:val="16"/>
                <w:color w:val="auto"/>
                <w:w w:val="96"/>
              </w:rPr>
              <w:t>36.5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center"/>
              <w:ind w:left="819"/>
              <w:spacing w:after="0"/>
              <w:rPr>
                <w:sz w:val="20"/>
                <w:szCs w:val="20"/>
                <w:color w:val="auto"/>
              </w:rPr>
            </w:pPr>
            <w:r>
              <w:rPr>
                <w:rFonts w:ascii="Arial" w:cs="Arial" w:eastAsia="Arial" w:hAnsi="Arial"/>
                <w:sz w:val="16"/>
                <w:szCs w:val="16"/>
                <w:color w:val="auto"/>
                <w:w w:val="96"/>
              </w:rPr>
              <w:t>55.7</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ind w:left="1039"/>
              <w:spacing w:after="0"/>
              <w:rPr>
                <w:sz w:val="20"/>
                <w:szCs w:val="20"/>
                <w:color w:val="auto"/>
              </w:rPr>
            </w:pPr>
            <w:r>
              <w:rPr>
                <w:rFonts w:ascii="Arial" w:cs="Arial" w:eastAsia="Arial" w:hAnsi="Arial"/>
                <w:sz w:val="16"/>
                <w:szCs w:val="16"/>
                <w:color w:val="auto"/>
              </w:rPr>
              <w:t>(37.4)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June 30, 2024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center"/>
              <w:ind w:left="1039"/>
              <w:spacing w:after="0"/>
              <w:rPr>
                <w:sz w:val="20"/>
                <w:szCs w:val="20"/>
                <w:color w:val="auto"/>
              </w:rPr>
            </w:pPr>
            <w:r>
              <w:rPr>
                <w:rFonts w:ascii="Arial" w:cs="Arial" w:eastAsia="Arial" w:hAnsi="Arial"/>
                <w:sz w:val="16"/>
                <w:szCs w:val="16"/>
                <w:color w:val="auto"/>
                <w:w w:val="96"/>
              </w:rPr>
              <w:t>12.7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center"/>
              <w:ind w:left="819"/>
              <w:spacing w:after="0"/>
              <w:rPr>
                <w:sz w:val="20"/>
                <w:szCs w:val="20"/>
                <w:color w:val="auto"/>
              </w:rPr>
            </w:pPr>
            <w:r>
              <w:rPr>
                <w:rFonts w:ascii="Arial" w:cs="Arial" w:eastAsia="Arial" w:hAnsi="Arial"/>
                <w:sz w:val="16"/>
                <w:szCs w:val="16"/>
                <w:color w:val="auto"/>
                <w:w w:val="96"/>
              </w:rPr>
              <w:t>17.0</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3" w:lineRule="exact"/>
        <w:rPr>
          <w:sz w:val="20"/>
          <w:szCs w:val="20"/>
          <w:color w:val="auto"/>
        </w:rPr>
      </w:pPr>
    </w:p>
    <w:p>
      <w:pPr>
        <w:ind w:firstLine="8"/>
        <w:spacing w:after="0" w:line="286" w:lineRule="auto"/>
        <w:tabs>
          <w:tab w:leader="none" w:pos="197"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$7.5 million and $29.0 million of charges for severance and other personnel costs related to the 2022 Restructuring Plan and 2024 Restructuring Plan, respectively, and $16.1 million and $3.1 million of charges for exit and disposal costs and professional fees related to the 2022 Restructuring Plan and 2024 Restructuring Plan, respectively, for the fiscal year ended June 30, 2024.</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connection with the 2024 Restructuring Plan, which includes any remaining restructuring activity under the original 2022 Restructuring Plan, the Company estimates that it will incur additional cash charges of approximately $40.0 million, primarily composed of lease termination and other exit costs, the majority of which are expected to be incurred by the end of fiscal year 2025. Additionally, the Company expects to recognize additional non-cash charges of approximately $20.0 million, primarily composed of non-inventory asset impairment charges on retail showrooms in connection with the 2024 Restructuring Plan, the majority of are expected to be incurred by the end of fiscal year 2025.</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Fair Value Measurements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 of Other Financial Instruments</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following tables present the estimated fair values of the Company’s financial instruments that are not recorded at fair value on the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As of June 30, 2024</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5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Level 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2</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0.00% Convertible Senior Notes due 2026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5.50% Convertible Senior Notes due 2029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10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353.0</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353.0</w:t>
            </w:r>
          </w:p>
        </w:tc>
      </w:tr>
      <w:tr>
        <w:trPr>
          <w:trHeight w:val="796"/>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959"/>
              <w:spacing w:after="0"/>
              <w:rPr>
                <w:sz w:val="20"/>
                <w:szCs w:val="20"/>
                <w:color w:val="auto"/>
              </w:rPr>
            </w:pPr>
            <w:r>
              <w:rPr>
                <w:rFonts w:ascii="Arial" w:cs="Arial" w:eastAsia="Arial" w:hAnsi="Arial"/>
                <w:sz w:val="16"/>
                <w:szCs w:val="16"/>
                <w:color w:val="auto"/>
              </w:rPr>
              <w:t>84</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3"/>
        </w:trPr>
        <w:tc>
          <w:tcPr>
            <w:tcW w:w="5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center"/>
              <w:ind w:right="579"/>
              <w:spacing w:after="0"/>
              <w:rPr>
                <w:sz w:val="20"/>
                <w:szCs w:val="20"/>
                <w:color w:val="auto"/>
              </w:rPr>
            </w:pPr>
            <w:r>
              <w:rPr>
                <w:rFonts w:ascii="Arial" w:cs="Arial" w:eastAsia="Arial" w:hAnsi="Arial"/>
                <w:sz w:val="16"/>
                <w:szCs w:val="16"/>
                <w:b w:val="1"/>
                <w:bCs w:val="1"/>
                <w:color w:val="auto"/>
              </w:rPr>
              <w:t>As of June 30, 2023</w:t>
            </w:r>
          </w:p>
        </w:tc>
        <w:tc>
          <w:tcPr>
            <w:tcW w:w="1100" w:type="dxa"/>
            <w:vAlign w:val="bottom"/>
            <w:tcBorders>
              <w:bottom w:val="single" w:sz="8" w:color="auto"/>
            </w:tcBorders>
          </w:tcPr>
          <w:p>
            <w:pPr>
              <w:spacing w:after="0"/>
              <w:rPr>
                <w:sz w:val="18"/>
                <w:szCs w:val="18"/>
                <w:color w:val="auto"/>
              </w:rPr>
            </w:pPr>
          </w:p>
        </w:tc>
      </w:tr>
      <w:tr>
        <w:trPr>
          <w:trHeight w:val="210"/>
        </w:trPr>
        <w:tc>
          <w:tcPr>
            <w:tcW w:w="5320" w:type="dxa"/>
            <w:vAlign w:val="bottom"/>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2</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Level 3</w:t>
            </w: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09"/>
        </w:trPr>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gridSpan w:val="2"/>
          </w:tcPr>
          <w:p>
            <w:pPr>
              <w:jc w:val="center"/>
              <w:ind w:left="639"/>
              <w:spacing w:after="0"/>
              <w:rPr>
                <w:sz w:val="20"/>
                <w:szCs w:val="20"/>
                <w:color w:val="auto"/>
              </w:rPr>
            </w:pPr>
            <w:r>
              <w:rPr>
                <w:rFonts w:ascii="Arial" w:cs="Arial" w:eastAsia="Arial" w:hAnsi="Arial"/>
                <w:sz w:val="16"/>
                <w:szCs w:val="16"/>
                <w:b w:val="1"/>
                <w:bCs w:val="1"/>
                <w:color w:val="auto"/>
              </w:rPr>
              <w:t>(in millions)</w:t>
            </w: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0.00% Convertible Senior Notes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759.5</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759.5</w:t>
            </w:r>
          </w:p>
        </w:tc>
      </w:tr>
    </w:tbl>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fair value of the Notes is determined based on the closing price on the last trading day of the reporting period. Refer to Note 12, Debt for additional information.</w:t>
      </w:r>
    </w:p>
    <w:p>
      <w:pPr>
        <w:spacing w:after="0" w:line="1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carrying value of the Term Loan (as defined in Note 12, Debt), as of June 30, 2024 and 2023, approximates the fair value of the Term Loan as of June 30, 2024 and 2023, respectively.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20"/>
                <w:szCs w:val="20"/>
                <w:color w:val="auto"/>
              </w:rPr>
            </w:pPr>
            <w:r>
              <w:rPr>
                <w:rFonts w:ascii="Arial" w:cs="Arial" w:eastAsia="Arial" w:hAnsi="Arial"/>
                <w:sz w:val="16"/>
                <w:szCs w:val="16"/>
                <w:b w:val="1"/>
                <w:bCs w:val="1"/>
                <w:color w:val="auto"/>
              </w:rPr>
              <w:t>6. Inventories</w:t>
            </w: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0"/>
        </w:trPr>
        <w:tc>
          <w:tcPr>
            <w:tcW w:w="7600" w:type="dxa"/>
            <w:vAlign w:val="bottom"/>
          </w:tcPr>
          <w:p>
            <w:pPr>
              <w:spacing w:after="0"/>
              <w:rPr>
                <w:sz w:val="20"/>
                <w:szCs w:val="20"/>
                <w:color w:val="auto"/>
              </w:rPr>
            </w:pPr>
            <w:r>
              <w:rPr>
                <w:rFonts w:ascii="Arial" w:cs="Arial" w:eastAsia="Arial" w:hAnsi="Arial"/>
                <w:sz w:val="16"/>
                <w:szCs w:val="16"/>
                <w:color w:val="auto"/>
              </w:rPr>
              <w:t>Inventories, net were as follows:</w:t>
            </w: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2"/>
        </w:trPr>
        <w:tc>
          <w:tcPr>
            <w:tcW w:w="76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June 30,</w:t>
            </w:r>
          </w:p>
        </w:tc>
        <w:tc>
          <w:tcPr>
            <w:tcW w:w="1220" w:type="dxa"/>
            <w:vAlign w:val="bottom"/>
            <w:tcBorders>
              <w:bottom w:val="single" w:sz="8" w:color="auto"/>
            </w:tcBorders>
          </w:tcPr>
          <w:p>
            <w:pPr>
              <w:spacing w:after="0"/>
              <w:rPr>
                <w:sz w:val="20"/>
                <w:szCs w:val="20"/>
                <w:color w:val="auto"/>
              </w:rPr>
            </w:pPr>
          </w:p>
        </w:tc>
      </w:tr>
      <w:tr>
        <w:trPr>
          <w:trHeight w:val="210"/>
        </w:trPr>
        <w:tc>
          <w:tcPr>
            <w:tcW w:w="76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09"/>
        </w:trPr>
        <w:tc>
          <w:tcPr>
            <w:tcW w:w="7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16"/>
        </w:trPr>
        <w:tc>
          <w:tcPr>
            <w:tcW w:w="76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Finished products</w:t>
            </w:r>
            <w:r>
              <w:rPr>
                <w:rFonts w:ascii="Arial" w:cs="Arial" w:eastAsia="Arial" w:hAnsi="Arial"/>
                <w:sz w:val="21"/>
                <w:szCs w:val="21"/>
                <w:color w:val="auto"/>
                <w:vertAlign w:val="superscript"/>
              </w:rPr>
              <w:t>(1)</w:t>
            </w: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703.0</w:t>
            </w:r>
          </w:p>
        </w:tc>
      </w:tr>
      <w:tr>
        <w:trPr>
          <w:trHeight w:val="210"/>
        </w:trPr>
        <w:tc>
          <w:tcPr>
            <w:tcW w:w="76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Total inventories</w:t>
            </w:r>
            <w:r>
              <w:rPr>
                <w:rFonts w:ascii="Arial" w:cs="Arial" w:eastAsia="Arial" w:hAnsi="Arial"/>
                <w:sz w:val="21"/>
                <w:szCs w:val="21"/>
                <w:color w:val="auto"/>
                <w:vertAlign w:val="superscript"/>
              </w:rPr>
              <w:t>(2)</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756.2</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Reserves</w:t>
            </w: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w:t>
            </w:r>
          </w:p>
        </w:tc>
      </w:tr>
      <w:tr>
        <w:trPr>
          <w:trHeight w:val="235"/>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inventories, net</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5" w:lineRule="exact"/>
        <w:rPr>
          <w:sz w:val="20"/>
          <w:szCs w:val="20"/>
          <w:color w:val="auto"/>
        </w:rPr>
      </w:pPr>
    </w:p>
    <w:p>
      <w:pPr>
        <w:ind w:right="80" w:firstLine="8"/>
        <w:spacing w:after="0" w:line="248" w:lineRule="auto"/>
        <w:tabs>
          <w:tab w:leader="none" w:pos="189"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Includes $35.2 million and $26.4 million of finished goods inventory in transit, products owned by the Company that have not yet been received at a Company distribution center, as of June 30, 2024 and June 30, 2023, respectively.</w:t>
      </w:r>
    </w:p>
    <w:p>
      <w:pPr>
        <w:ind w:left="200" w:hanging="192"/>
        <w:spacing w:after="0"/>
        <w:tabs>
          <w:tab w:leader="none" w:pos="2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 of June 30, 2024 and 2023, there was no work-in-process within inventories.</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periodically assesses and adjusts the value of inventory for estimated excess and obsolete inventory based upon estimates of future demand and market conditions, as well as damaged or otherwise impaired goods. The Company’s recorded inventory reserves as of June 30, 2024 and 2023, primarily consisted of $85.2 million and $105.6 million related to returned Connected Fitness Products that the Company does not expect to sell and $78.3 million and $97.8 million related to excess accessories and apparel inventory that the Company does not expect to sell.</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Acquisitions</w:t>
      </w:r>
    </w:p>
    <w:p>
      <w:pPr>
        <w:spacing w:after="0" w:line="26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the fiscal year ended June 30, 2022, the Company completed two transactions to acquire certain developed software and assembled workforce for use in the development of the Company’s data platform and content supply chain. The transactions were completed on November 1, 2021 and November 8, 2021, and were accounted for as a business combination and asset acquisition, respectively.</w:t>
      </w:r>
    </w:p>
    <w:p>
      <w:pPr>
        <w:spacing w:after="0" w:line="18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acquisitions resulted in the recognition of $12.0 million of goodwill, and $17.7 million of assets primarily consisting of developed software. The developed software was assigned a useful life of 3 years and is recorded in Property and equipment, net on the Company’s Consolidated Balance Sheets.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3"/>
        </w:trPr>
        <w:tc>
          <w:tcPr>
            <w:tcW w:w="7620" w:type="dxa"/>
            <w:vAlign w:val="bottom"/>
          </w:tcPr>
          <w:p>
            <w:pPr>
              <w:spacing w:after="0"/>
              <w:rPr>
                <w:sz w:val="20"/>
                <w:szCs w:val="20"/>
                <w:color w:val="auto"/>
              </w:rPr>
            </w:pPr>
            <w:r>
              <w:rPr>
                <w:rFonts w:ascii="Arial" w:cs="Arial" w:eastAsia="Arial" w:hAnsi="Arial"/>
                <w:sz w:val="16"/>
                <w:szCs w:val="16"/>
                <w:b w:val="1"/>
                <w:bCs w:val="1"/>
                <w:color w:val="auto"/>
              </w:rPr>
              <w:t>8. Property and Equipment</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97"/>
        </w:trPr>
        <w:tc>
          <w:tcPr>
            <w:tcW w:w="7620" w:type="dxa"/>
            <w:vAlign w:val="bottom"/>
          </w:tcPr>
          <w:p>
            <w:pPr>
              <w:spacing w:after="0"/>
              <w:rPr>
                <w:sz w:val="20"/>
                <w:szCs w:val="20"/>
                <w:color w:val="auto"/>
              </w:rPr>
            </w:pPr>
            <w:r>
              <w:rPr>
                <w:rFonts w:ascii="Arial" w:cs="Arial" w:eastAsia="Arial" w:hAnsi="Arial"/>
                <w:sz w:val="16"/>
                <w:szCs w:val="16"/>
                <w:color w:val="auto"/>
              </w:rPr>
              <w:t>Property and equipment consisted of the following:</w:t>
            </w: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61"/>
        </w:trPr>
        <w:tc>
          <w:tcPr>
            <w:tcW w:w="76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June 30,</w:t>
            </w:r>
          </w:p>
        </w:tc>
        <w:tc>
          <w:tcPr>
            <w:tcW w:w="1200" w:type="dxa"/>
            <w:vAlign w:val="bottom"/>
            <w:tcBorders>
              <w:bottom w:val="single" w:sz="8" w:color="auto"/>
            </w:tcBorders>
          </w:tcPr>
          <w:p>
            <w:pPr>
              <w:spacing w:after="0"/>
              <w:rPr>
                <w:sz w:val="24"/>
                <w:szCs w:val="24"/>
                <w:color w:val="auto"/>
              </w:rPr>
            </w:pPr>
          </w:p>
        </w:tc>
      </w:tr>
      <w:tr>
        <w:trPr>
          <w:trHeight w:val="209"/>
        </w:trPr>
        <w:tc>
          <w:tcPr>
            <w:tcW w:w="76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10"/>
        </w:trPr>
        <w:tc>
          <w:tcPr>
            <w:tcW w:w="7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spacing w:after="0"/>
              <w:rPr>
                <w:sz w:val="18"/>
                <w:szCs w:val="18"/>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Buildings</w:t>
            </w:r>
          </w:p>
        </w:tc>
        <w:tc>
          <w:tcPr>
            <w:tcW w:w="1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Machinery</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Customer-leased equipment</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47.1</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7"/>
        </w:trPr>
        <w:tc>
          <w:tcPr>
            <w:tcW w:w="76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Software </w:t>
            </w:r>
            <w:r>
              <w:rPr>
                <w:rFonts w:ascii="Arial" w:cs="Arial" w:eastAsia="Arial" w:hAnsi="Arial"/>
                <w:sz w:val="21"/>
                <w:szCs w:val="21"/>
                <w:color w:val="auto"/>
                <w:vertAlign w:val="superscript"/>
              </w:rPr>
              <w:t>(1)</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183.2</w:t>
            </w:r>
          </w:p>
        </w:tc>
      </w:tr>
      <w:tr>
        <w:trPr>
          <w:trHeight w:val="209"/>
        </w:trPr>
        <w:tc>
          <w:tcPr>
            <w:tcW w:w="7620" w:type="dxa"/>
            <w:vAlign w:val="bottom"/>
          </w:tcPr>
          <w:p>
            <w:pPr>
              <w:ind w:left="240"/>
              <w:spacing w:after="0"/>
              <w:rPr>
                <w:sz w:val="20"/>
                <w:szCs w:val="20"/>
                <w:color w:val="auto"/>
              </w:rPr>
            </w:pPr>
            <w:r>
              <w:rPr>
                <w:rFonts w:ascii="Arial" w:cs="Arial" w:eastAsia="Arial" w:hAnsi="Arial"/>
                <w:sz w:val="16"/>
                <w:szCs w:val="16"/>
                <w:color w:val="auto"/>
              </w:rPr>
              <w:t>Total property and equipment</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624.9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652.4</w:t>
            </w: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(271.2)</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(207.5)</w:t>
            </w:r>
          </w:p>
        </w:tc>
      </w:tr>
      <w:tr>
        <w:trPr>
          <w:trHeight w:val="210"/>
        </w:trPr>
        <w:tc>
          <w:tcPr>
            <w:tcW w:w="7620" w:type="dxa"/>
            <w:vAlign w:val="bottom"/>
          </w:tcPr>
          <w:p>
            <w:pPr>
              <w:ind w:left="240"/>
              <w:spacing w:after="0"/>
              <w:rPr>
                <w:sz w:val="20"/>
                <w:szCs w:val="20"/>
                <w:color w:val="auto"/>
              </w:rPr>
            </w:pPr>
            <w:r>
              <w:rPr>
                <w:rFonts w:ascii="Arial" w:cs="Arial" w:eastAsia="Arial" w:hAnsi="Arial"/>
                <w:sz w:val="16"/>
                <w:szCs w:val="16"/>
                <w:color w:val="auto"/>
              </w:rPr>
              <w:t>Total property and equipment, net</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353.7</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444.8</w:t>
            </w:r>
          </w:p>
        </w:tc>
      </w:tr>
      <w:tr>
        <w:trPr>
          <w:trHeight w:val="21"/>
        </w:trPr>
        <w:tc>
          <w:tcPr>
            <w:tcW w:w="7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(1) Includes $0.1 million and $1.0 million of software under development as of June 30, 2024 and June 30, 2023, respectively.</w:t>
      </w: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fiscal 2022, 2023, and 2024, management identified various qualitative factors that collectively indicated that the Company had impairment triggering events, including (i) realignment of cost structure in connection with the restructuring initiatives, (ii) softening demand and (iii) significant decrease in the market price of certain long-lived asset groups. The Company determined that the estimated undiscounted future cash flows were less than the carrying values for certain asset groups. The Company recognized impairment charges for the fiscal year ended June 30, 2024, primarily consisting of $14.9 million relating to exiting retail showrooms and $5.0 million related to Connected Fitness assets.</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recognized impairment charges for the fiscal year ended June 30, 2023, primarily consisting of impairment loss of $32.5 million related to capitalized software, $19.5 million related to exiting certain corporate office locations, $17.2 million relating to exiting retail showrooms, $16.5 million related to Connected Fitness assets, and $8.2 million related to other manufacturing assets.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recognized impairment charges for the fiscal year ended June 30, 2022, primarily consisting of impairment loss of $57.6 million related to Connected Fitness assets, $21.3 million related to manufacturing equipment, $19.0 million related to Peloton Output Park and $15.9 million related to acquired technology. These impairment charges reduced the carrying value of these asset groups from $222.9 million to $109.1 million. Additionally, management identified changes to the product and enterprise technology roadmaps that indicated that certain programs no longer had expected future use. Accordingly, the Company recognized an impairment loss of $54.1 million related to software under development that reduced the carrying value of those assets from $61.0 million to $6.9 million. Impairment charges are included within Impairment expense in the Consolidated Statements of Operations and Comprehensive Loss.</w:t>
      </w:r>
    </w:p>
    <w:p>
      <w:pPr>
        <w:spacing w:after="0" w:line="200" w:lineRule="exact"/>
        <w:rPr>
          <w:sz w:val="20"/>
          <w:szCs w:val="20"/>
          <w:color w:val="auto"/>
        </w:rPr>
      </w:pP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June 30, 2024, 81% and 17% of the Company's total Property and equipment, net was attributable to the United States and the United Kingdom, respectively. As of June 30, 2023, 79% and 15% of the Company's total Property and equipment, net was attributable to the United States and the United Kingdom,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60" w:type="dxa"/>
            <w:vAlign w:val="bottom"/>
          </w:tcPr>
          <w:p>
            <w:pPr>
              <w:spacing w:after="0"/>
              <w:rPr>
                <w:sz w:val="20"/>
                <w:szCs w:val="20"/>
                <w:color w:val="auto"/>
              </w:rPr>
            </w:pPr>
            <w:r>
              <w:rPr>
                <w:rFonts w:ascii="Arial" w:cs="Arial" w:eastAsia="Arial" w:hAnsi="Arial"/>
                <w:sz w:val="16"/>
                <w:szCs w:val="16"/>
                <w:color w:val="auto"/>
              </w:rPr>
              <w:t>The estimated useful lives of property and equipment are as follows:</w:t>
            </w:r>
          </w:p>
        </w:tc>
        <w:tc>
          <w:tcPr>
            <w:tcW w:w="5980" w:type="dxa"/>
            <w:vAlign w:val="bottom"/>
          </w:tcPr>
          <w:p>
            <w:pPr>
              <w:spacing w:after="0"/>
              <w:rPr>
                <w:sz w:val="19"/>
                <w:szCs w:val="19"/>
                <w:color w:val="auto"/>
              </w:rPr>
            </w:pPr>
          </w:p>
        </w:tc>
      </w:tr>
      <w:tr>
        <w:trPr>
          <w:trHeight w:val="224"/>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w:t>
            </w:r>
          </w:p>
        </w:tc>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40 years</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5980" w:type="dxa"/>
            <w:vAlign w:val="bottom"/>
          </w:tcPr>
          <w:p>
            <w:pPr>
              <w:ind w:left="380"/>
              <w:spacing w:after="0"/>
              <w:rPr>
                <w:sz w:val="20"/>
                <w:szCs w:val="20"/>
                <w:color w:val="auto"/>
              </w:rPr>
            </w:pPr>
            <w:r>
              <w:rPr>
                <w:rFonts w:ascii="Arial" w:cs="Arial" w:eastAsia="Arial" w:hAnsi="Arial"/>
                <w:sz w:val="16"/>
                <w:szCs w:val="16"/>
                <w:color w:val="auto"/>
              </w:rPr>
              <w:t>Shorter of remaining lease term or useful life</w:t>
            </w:r>
          </w:p>
        </w:tc>
      </w:tr>
      <w:tr>
        <w:trPr>
          <w:trHeight w:val="217"/>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w:t>
            </w:r>
          </w:p>
        </w:tc>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Three to ten years</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Equipment</w:t>
            </w:r>
          </w:p>
        </w:tc>
        <w:tc>
          <w:tcPr>
            <w:tcW w:w="5980" w:type="dxa"/>
            <w:vAlign w:val="bottom"/>
          </w:tcPr>
          <w:p>
            <w:pPr>
              <w:ind w:left="380"/>
              <w:spacing w:after="0"/>
              <w:rPr>
                <w:sz w:val="20"/>
                <w:szCs w:val="20"/>
                <w:color w:val="auto"/>
              </w:rPr>
            </w:pPr>
            <w:r>
              <w:rPr>
                <w:rFonts w:ascii="Arial" w:cs="Arial" w:eastAsia="Arial" w:hAnsi="Arial"/>
                <w:sz w:val="16"/>
                <w:szCs w:val="16"/>
                <w:color w:val="auto"/>
              </w:rPr>
              <w:t>Two to five years</w:t>
            </w:r>
          </w:p>
        </w:tc>
      </w:tr>
      <w:tr>
        <w:trPr>
          <w:trHeight w:val="217"/>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Customer-leased equipment</w:t>
            </w:r>
          </w:p>
        </w:tc>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Three years</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5980" w:type="dxa"/>
            <w:vAlign w:val="bottom"/>
          </w:tcPr>
          <w:p>
            <w:pPr>
              <w:ind w:left="380"/>
              <w:spacing w:after="0"/>
              <w:rPr>
                <w:sz w:val="20"/>
                <w:szCs w:val="20"/>
                <w:color w:val="auto"/>
              </w:rPr>
            </w:pPr>
            <w:r>
              <w:rPr>
                <w:rFonts w:ascii="Arial" w:cs="Arial" w:eastAsia="Arial" w:hAnsi="Arial"/>
                <w:sz w:val="16"/>
                <w:szCs w:val="16"/>
                <w:color w:val="auto"/>
              </w:rPr>
              <w:t>Four to ten years</w:t>
            </w:r>
          </w:p>
        </w:tc>
      </w:tr>
      <w:tr>
        <w:trPr>
          <w:trHeight w:val="217"/>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w:t>
            </w:r>
          </w:p>
        </w:tc>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Two to three years</w:t>
            </w:r>
          </w:p>
        </w:tc>
      </w:tr>
    </w:tbl>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Depreciation and amortization expense amounted to $98.2 million, $108.5 million, and $99.5 million for the fiscal years ended June 30, 2024, 2023 and 2022, respectively, of which $42.8 million, $38.4 million, and $23.5 million related to amortization of capitalized software costs for the fiscal years ended June 30, 2024, 2023, and 2022, respectively.</w:t>
      </w:r>
    </w:p>
    <w:p>
      <w:pPr>
        <w:sectPr>
          <w:pgSz w:w="11900" w:h="16838" w:orient="portrait"/>
          <w:cols w:equalWidth="0" w:num="1">
            <w:col w:w="11240"/>
          </w:cols>
          <w:pgMar w:left="320" w:top="827"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23"/>
        </w:trPr>
        <w:tc>
          <w:tcPr>
            <w:tcW w:w="8380" w:type="dxa"/>
            <w:vAlign w:val="bottom"/>
          </w:tcPr>
          <w:p>
            <w:pPr>
              <w:spacing w:after="0"/>
              <w:rPr>
                <w:sz w:val="20"/>
                <w:szCs w:val="20"/>
                <w:color w:val="auto"/>
              </w:rPr>
            </w:pPr>
            <w:r>
              <w:rPr>
                <w:rFonts w:ascii="Arial" w:cs="Arial" w:eastAsia="Arial" w:hAnsi="Arial"/>
                <w:sz w:val="16"/>
                <w:szCs w:val="16"/>
                <w:b w:val="1"/>
                <w:bCs w:val="1"/>
                <w:color w:val="auto"/>
              </w:rPr>
              <w:t>9. Goodwill and Intangible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97"/>
        </w:trPr>
        <w:tc>
          <w:tcPr>
            <w:tcW w:w="8380" w:type="dxa"/>
            <w:vAlign w:val="bottom"/>
          </w:tcPr>
          <w:p>
            <w:pPr>
              <w:spacing w:after="0"/>
              <w:rPr>
                <w:sz w:val="20"/>
                <w:szCs w:val="20"/>
                <w:color w:val="auto"/>
              </w:rPr>
            </w:pPr>
            <w:r>
              <w:rPr>
                <w:rFonts w:ascii="Arial" w:cs="Arial" w:eastAsia="Arial" w:hAnsi="Arial"/>
                <w:sz w:val="16"/>
                <w:szCs w:val="16"/>
                <w:color w:val="auto"/>
              </w:rPr>
              <w:t>The changes in the carrying value of goodwill are as follows: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5"/>
        </w:trPr>
        <w:tc>
          <w:tcPr>
            <w:tcW w:w="8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Amount</w:t>
            </w:r>
          </w:p>
        </w:tc>
      </w:tr>
      <w:tr>
        <w:trPr>
          <w:trHeight w:val="209"/>
        </w:trPr>
        <w:tc>
          <w:tcPr>
            <w:tcW w:w="8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w:t>
            </w:r>
          </w:p>
        </w:tc>
      </w:tr>
      <w:tr>
        <w:trPr>
          <w:trHeight w:val="215"/>
        </w:trPr>
        <w:tc>
          <w:tcPr>
            <w:tcW w:w="8380" w:type="dxa"/>
            <w:vAlign w:val="bottom"/>
          </w:tcPr>
          <w:p>
            <w:pPr>
              <w:ind w:left="20"/>
              <w:spacing w:after="0"/>
              <w:rPr>
                <w:sz w:val="20"/>
                <w:szCs w:val="20"/>
                <w:color w:val="auto"/>
              </w:rPr>
            </w:pPr>
            <w:r>
              <w:rPr>
                <w:rFonts w:ascii="Arial" w:cs="Arial" w:eastAsia="Arial" w:hAnsi="Arial"/>
                <w:sz w:val="16"/>
                <w:szCs w:val="16"/>
                <w:color w:val="auto"/>
              </w:rPr>
              <w:t>Acquisition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7"/>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Impairment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w:t>
            </w:r>
          </w:p>
        </w:tc>
      </w:tr>
      <w:tr>
        <w:trPr>
          <w:trHeight w:val="210"/>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r>
      <w:tr>
        <w:trPr>
          <w:trHeight w:val="21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June 30, 2023</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r>
      <w:tr>
        <w:trPr>
          <w:trHeight w:val="234"/>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2024</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reviews goodwill for impairment annually on April 1 or more frequently if events or changes in circumstances indicate that an impairment may exist (“a triggering event”). During the fiscal years ended June 30, 2024 and 2023, management identified no qualitative factors that collectively, indicated that the Company had triggering events. The Company did not recognize goodwill impairment for the fiscal years ended June 30, 2024 and 2023. During the fiscal year ended June 30, 2022, the Company recognized a goodwill impairment charge of $181.9 million representing the entire amount of goodwill related to the Connected Fitness Products reporting unit in the Connected Fitness Products segment.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accumulated amortization and impairment of the Company's Intangible assets, net, as of June 30, 2024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Gross Carrying</w:t>
            </w:r>
          </w:p>
        </w:tc>
        <w:tc>
          <w:tcPr>
            <w:tcW w:w="200" w:type="dxa"/>
            <w:vAlign w:val="bottom"/>
          </w:tcPr>
          <w:p>
            <w:pPr>
              <w:spacing w:after="0"/>
              <w:rPr>
                <w:sz w:val="16"/>
                <w:szCs w:val="16"/>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Impairment</w:t>
            </w:r>
          </w:p>
        </w:tc>
        <w:tc>
          <w:tcPr>
            <w:tcW w:w="15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Carrying Value</w:t>
            </w:r>
          </w:p>
        </w:tc>
        <w:tc>
          <w:tcPr>
            <w:tcW w:w="10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Useful</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8"/>
              </w:rPr>
              <w:t>Life (Years)</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Acquired developed technology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Other definite-lived intangibles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5"/>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accumulated amortization and impairment of the Company's Intangible assets, net, as of June 30, 2023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Gross Carrying</w:t>
            </w:r>
          </w:p>
        </w:tc>
        <w:tc>
          <w:tcPr>
            <w:tcW w:w="200" w:type="dxa"/>
            <w:vAlign w:val="bottom"/>
          </w:tcPr>
          <w:p>
            <w:pPr>
              <w:spacing w:after="0"/>
              <w:rPr>
                <w:sz w:val="16"/>
                <w:szCs w:val="16"/>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Impairment</w:t>
            </w:r>
          </w:p>
        </w:tc>
        <w:tc>
          <w:tcPr>
            <w:tcW w:w="16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Carrying Value</w:t>
            </w:r>
          </w:p>
        </w:tc>
        <w:tc>
          <w:tcPr>
            <w:tcW w:w="8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Useful</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Value</w:t>
            </w: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8"/>
              </w:rPr>
              <w:t>Life (Years)</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Acquired developed technology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2980" w:type="dxa"/>
            <w:vAlign w:val="bottom"/>
          </w:tcPr>
          <w:p>
            <w:pPr>
              <w:ind w:left="20"/>
              <w:spacing w:after="0"/>
              <w:rPr>
                <w:sz w:val="20"/>
                <w:szCs w:val="20"/>
                <w:color w:val="auto"/>
              </w:rPr>
            </w:pPr>
            <w:r>
              <w:rPr>
                <w:rFonts w:ascii="Arial" w:cs="Arial" w:eastAsia="Arial" w:hAnsi="Arial"/>
                <w:sz w:val="16"/>
                <w:szCs w:val="16"/>
                <w:color w:val="auto"/>
              </w:rPr>
              <w:t>Other definite-lived intangibles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5"/>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accumulated amortization and impairment of the Company's Intangible assets, net, as of June 30, 2022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Gross Carrying</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Impairment</w:t>
            </w:r>
          </w:p>
        </w:tc>
        <w:tc>
          <w:tcPr>
            <w:tcW w:w="15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Carrying Value</w:t>
            </w:r>
          </w:p>
        </w:tc>
        <w:tc>
          <w:tcPr>
            <w:tcW w:w="80" w:type="dxa"/>
            <w:vAlign w:val="bottom"/>
          </w:tcPr>
          <w:p>
            <w:pPr>
              <w:spacing w:after="0"/>
              <w:rPr>
                <w:sz w:val="14"/>
                <w:szCs w:val="14"/>
                <w:color w:val="auto"/>
              </w:rPr>
            </w:pP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Useful</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479"/>
              <w:spacing w:after="0"/>
              <w:rPr>
                <w:sz w:val="20"/>
                <w:szCs w:val="20"/>
                <w:color w:val="auto"/>
              </w:rPr>
            </w:pPr>
            <w:r>
              <w:rPr>
                <w:rFonts w:ascii="Arial" w:cs="Arial" w:eastAsia="Arial" w:hAnsi="Arial"/>
                <w:sz w:val="16"/>
                <w:szCs w:val="16"/>
                <w:b w:val="1"/>
                <w:bCs w:val="1"/>
                <w:color w:val="auto"/>
              </w:rPr>
              <w:t>Value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Life (Years)</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Acquired developed technology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6"/>
                <w:szCs w:val="16"/>
                <w:color w:val="auto"/>
                <w:w w:val="98"/>
              </w:rPr>
              <w:t>2.6</w:t>
            </w: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Brand</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94.0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(80.9)</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560" w:type="dxa"/>
            <w:vAlign w:val="bottom"/>
          </w:tcPr>
          <w:p>
            <w:pPr>
              <w:ind w:left="1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Distributor relationships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1560" w:type="dxa"/>
            <w:vAlign w:val="bottom"/>
          </w:tcPr>
          <w:p>
            <w:pPr>
              <w:ind w:left="1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definite-lived intangibles</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40" w:type="dxa"/>
            <w:vAlign w:val="bottom"/>
            <w:gridSpan w:val="2"/>
            <w:shd w:val="clear" w:color="auto" w:fill="CCEEFF"/>
          </w:tcPr>
          <w:p>
            <w:pPr>
              <w:ind w:left="1400"/>
              <w:spacing w:after="0"/>
              <w:rPr>
                <w:sz w:val="20"/>
                <w:szCs w:val="20"/>
                <w:color w:val="auto"/>
              </w:rPr>
            </w:pPr>
            <w:r>
              <w:rPr>
                <w:rFonts w:ascii="Arial" w:cs="Arial" w:eastAsia="Arial" w:hAnsi="Arial"/>
                <w:sz w:val="16"/>
                <w:szCs w:val="16"/>
                <w:color w:val="auto"/>
                <w:w w:val="98"/>
              </w:rPr>
              <w:t>2.5</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279.8</w:t>
            </w:r>
          </w:p>
        </w:tc>
        <w:tc>
          <w:tcPr>
            <w:tcW w:w="220" w:type="dxa"/>
            <w:vAlign w:val="bottom"/>
          </w:tcPr>
          <w:p>
            <w:pPr>
              <w:ind w:left="20"/>
              <w:spacing w:after="0"/>
              <w:rPr>
                <w:sz w:val="20"/>
                <w:szCs w:val="20"/>
                <w:color w:val="auto"/>
              </w:rPr>
            </w:pPr>
            <w:r>
              <w:rPr>
                <w:rFonts w:ascii="Arial" w:cs="Arial" w:eastAsia="Arial" w:hAnsi="Arial"/>
                <w:sz w:val="16"/>
                <w:szCs w:val="16"/>
                <w:color w:val="auto"/>
                <w:w w:val="84"/>
              </w:rPr>
              <w:t>XX</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w:t>
            </w: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2"/>
        </w:trPr>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479"/>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89" w:name="page90"/>
    <w:bookmarkEnd w:id="89"/>
    <w:p>
      <w:pPr>
        <w:jc w:val="both"/>
        <w:spacing w:after="0" w:line="265" w:lineRule="auto"/>
        <w:rPr>
          <w:sz w:val="20"/>
          <w:szCs w:val="20"/>
          <w:color w:val="auto"/>
        </w:rPr>
      </w:pPr>
      <w:r>
        <w:rPr>
          <w:rFonts w:ascii="Arial" w:cs="Arial" w:eastAsia="Arial" w:hAnsi="Arial"/>
          <w:sz w:val="16"/>
          <w:szCs w:val="16"/>
          <w:color w:val="auto"/>
        </w:rPr>
        <w:t>During fiscal years ended June 30, 2024 and 2023, the Company recognized no intangible asset impairment loss. In fiscal year ended June 30, 2022, the Company recognized an impairment loss of $165.6 million, primarily due to the write-off of certain acquired developed technology, brand, distributor and customer relationships, and assembled workforce, which resulted from strategic actions taken by the Company under the 2022 Restructuring Plan. The Company determined that the estimated future cash flows were less than the carrying values for certain intangibles. The impairment loss was included in Impairment expense in the Consolidated Statements of Operations and Comprehensive Loss.</w:t>
      </w:r>
    </w:p>
    <w:p>
      <w:pPr>
        <w:spacing w:after="0" w:line="199"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Company recognized intangible asset amortization in the Consolidated Statements of Operations and Comprehensive Loss in the amount of $10.6 million, $15.8 million, and $43.3 million for the fiscal years ended June 30, 2024, 2023, and 2022,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2024, estimated amortization related to the Company's identifiable acquisition-related intangible assets in future periods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Fiscal Year Ending June 30,</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center"/>
              <w:ind w:right="3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2026</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2028</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1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10. Accounts Payable and Accrued Expenses</w:t>
            </w:r>
          </w:p>
        </w:tc>
        <w:tc>
          <w:tcPr>
            <w:tcW w:w="1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76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600" w:type="dxa"/>
            <w:vAlign w:val="bottom"/>
          </w:tcPr>
          <w:p>
            <w:pPr>
              <w:spacing w:after="0"/>
              <w:rPr>
                <w:sz w:val="20"/>
                <w:szCs w:val="20"/>
                <w:color w:val="auto"/>
              </w:rPr>
            </w:pPr>
            <w:r>
              <w:rPr>
                <w:rFonts w:ascii="Arial" w:cs="Arial" w:eastAsia="Arial" w:hAnsi="Arial"/>
                <w:sz w:val="16"/>
                <w:szCs w:val="16"/>
                <w:color w:val="auto"/>
              </w:rPr>
              <w:t>Accounts payable and accrued expenses consisted of the following:</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76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Accrued music licensing royalties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Employee-related liabilities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Inventory received but not billed</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professional services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Accrued settlement costs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marketing</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Return reserve liability</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warranty</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Recall related costs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Total accounts payable and accrued expenses</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478.4</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Leases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Lessee arrangements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leases facilities under operating leases with various expiration dates through 2039. The Company leases space for its corporate headquarters and the operation of its distribution facilities, warehouses, factories, showrooms, production studio facilities, and other office spaces. The Company does not have any material finance leases. The Company determines if an arrangement is a lease, or contains a lease, at inception and records the leases in its financial statements upon lease commencement, which is the date when the underlying asset is made available for use by the lessor.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90" w:name="page91"/>
    <w:bookmarkEnd w:id="90"/>
    <w:p>
      <w:pPr>
        <w:jc w:val="both"/>
        <w:spacing w:after="0" w:line="275" w:lineRule="auto"/>
        <w:rPr>
          <w:sz w:val="20"/>
          <w:szCs w:val="20"/>
          <w:color w:val="auto"/>
        </w:rPr>
      </w:pPr>
      <w:r>
        <w:rPr>
          <w:rFonts w:ascii="Arial" w:cs="Arial" w:eastAsia="Arial" w:hAnsi="Arial"/>
          <w:sz w:val="16"/>
          <w:szCs w:val="16"/>
          <w:color w:val="auto"/>
        </w:rPr>
        <w:t>Right-of-use assets and lease liabilities are established on the Consolidated Balance Sheets for leases with an expected term greater than one year. As the rate implicit in the lease is not determinable, the Company uses its secured incremental borrowing rate to determine the present value of the lease payments. Leases with an initial term of 12 months or less are not recorded on the Consolidated Balance Sheets.</w:t>
      </w:r>
    </w:p>
    <w:p>
      <w:pPr>
        <w:spacing w:after="0" w:line="19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Company has lease agreements with lease and non-lease components, and has elected the practical expedient to not separate lease and non-lease components for its real estate and equipment leases.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recognizes lease expense for operating leases on a straight-line basis over the term of the lease. The Company's lease terms include options to extend or terminate the underlying lease when it is reasonably certain that the Company will exercise that option. The operating lease arrangements included in the measurement of lease liabilities do not reflect options to extend or terminate, as management does not consider the exercise of these options to be reasonably certain. Certain operating leases provide for annual increases to lease payments based on an index or rate. The Company calculates the present value of future lease payments based on the index or rate at the lease commencement date for new leases. Differences between the calculated lease payment and actual payment are expensed as incurred.</w:t>
      </w:r>
    </w:p>
    <w:p>
      <w:pPr>
        <w:spacing w:after="0" w:line="20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Variable lease payments include, but are not limited to, percentage of sales, common area charges, taxes paid by the landlord that are charged to the Company, and changes to the consumer price index. Variable lease payments are expensed as incurred.</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subleases certain warehouses, office spaces, and showroom spaces to third parties, which does not relieve the Company of its primary lease obligations with the lessor (the “head lease”). These subleases are classified as operating leases, and therefore the Company continues to account for the head lease as it did before the commencement date of the sublease. Sublease income is presented within the same category of operating expenses as the underlying head lease expense on the Consolidated Statements of Operations and Comprehensive Loss. If the lease cost for the term of the sublease exceeds the Company’s anticipated sublease income for the same period, the Company assesses the right-of-use asset associated with the head lease for impairment under the long-lived asset impairment provisions of ASC 360.</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lease expense, net, for the fiscal years ended June 30, 2024, 2023, and 2022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Total Operating Lease Expense, Net</w:t>
            </w:r>
          </w:p>
        </w:tc>
        <w:tc>
          <w:tcPr>
            <w:tcW w:w="11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center"/>
              <w:ind w:left="11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18"/>
                <w:szCs w:val="18"/>
                <w:color w:val="auto"/>
              </w:rPr>
            </w:pPr>
          </w:p>
        </w:tc>
      </w:tr>
      <w:tr>
        <w:trPr>
          <w:trHeight w:val="210"/>
        </w:trPr>
        <w:tc>
          <w:tcPr>
            <w:tcW w:w="5780" w:type="dxa"/>
            <w:vAlign w:val="bottom"/>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r>
      <w:tr>
        <w:trPr>
          <w:trHeight w:val="209"/>
        </w:trPr>
        <w:tc>
          <w:tcPr>
            <w:tcW w:w="5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w:t>
            </w: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1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expense</w:t>
            </w: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5780" w:type="dxa"/>
            <w:vAlign w:val="bottom"/>
          </w:tcPr>
          <w:p>
            <w:pPr>
              <w:ind w:left="20"/>
              <w:spacing w:after="0"/>
              <w:rPr>
                <w:sz w:val="20"/>
                <w:szCs w:val="20"/>
                <w:color w:val="auto"/>
              </w:rPr>
            </w:pPr>
            <w:r>
              <w:rPr>
                <w:rFonts w:ascii="Arial" w:cs="Arial" w:eastAsia="Arial" w:hAnsi="Arial"/>
                <w:sz w:val="16"/>
                <w:szCs w:val="16"/>
                <w:color w:val="auto"/>
              </w:rPr>
              <w:t>Total operating lease expense</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122.6</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167.4</w:t>
            </w:r>
          </w:p>
        </w:tc>
      </w:tr>
      <w:tr>
        <w:trPr>
          <w:trHeight w:val="21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Sublease income</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5"/>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Variable sublease income</w:t>
            </w: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3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lease expense, net</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163.6</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2024, the total remaining lease payments included in the measurement of operating lease liabilities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Future Minimum</w:t>
            </w:r>
          </w:p>
        </w:tc>
      </w:tr>
      <w:tr>
        <w:trPr>
          <w:trHeight w:val="216"/>
        </w:trPr>
        <w:tc>
          <w:tcPr>
            <w:tcW w:w="9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Payments</w:t>
            </w:r>
          </w:p>
        </w:tc>
      </w:tr>
      <w:tr>
        <w:trPr>
          <w:trHeight w:val="209"/>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Fiscal Year Ended June 30,</w:t>
            </w:r>
          </w:p>
        </w:tc>
        <w:tc>
          <w:tcPr>
            <w:tcW w:w="180" w:type="dxa"/>
            <w:vAlign w:val="bottom"/>
          </w:tcPr>
          <w:p>
            <w:pPr>
              <w:spacing w:after="0"/>
              <w:rPr>
                <w:sz w:val="18"/>
                <w:szCs w:val="18"/>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99.0</w:t>
            </w: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2028</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71.9</w:t>
            </w: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r>
      <w:tr>
        <w:trPr>
          <w:trHeight w:val="215"/>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323.1</w:t>
            </w:r>
          </w:p>
        </w:tc>
      </w:tr>
      <w:tr>
        <w:trPr>
          <w:trHeight w:val="210"/>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748.5</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5"/>
        </w:trPr>
        <w:tc>
          <w:tcPr>
            <w:tcW w:w="9480" w:type="dxa"/>
            <w:vAlign w:val="bottom"/>
          </w:tcPr>
          <w:p>
            <w:pPr>
              <w:spacing w:after="0"/>
              <w:rPr>
                <w:sz w:val="20"/>
                <w:szCs w:val="20"/>
                <w:color w:val="auto"/>
              </w:rPr>
            </w:pPr>
            <w:r>
              <w:rPr>
                <w:rFonts w:ascii="Arial" w:cs="Arial" w:eastAsia="Arial" w:hAnsi="Arial"/>
                <w:sz w:val="16"/>
                <w:szCs w:val="16"/>
                <w:color w:val="auto"/>
              </w:rPr>
              <w:t>As of June 30, 2024, future minimum lease payments to be received from operating subleases were as follows: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9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Fiscal Year Ended June 30,</w:t>
            </w:r>
          </w:p>
        </w:tc>
        <w:tc>
          <w:tcPr>
            <w:tcW w:w="180" w:type="dxa"/>
            <w:vAlign w:val="bottom"/>
          </w:tcPr>
          <w:p>
            <w:pPr>
              <w:spacing w:after="0"/>
              <w:rPr>
                <w:sz w:val="24"/>
                <w:szCs w:val="24"/>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Future Minimum</w:t>
            </w:r>
          </w:p>
        </w:tc>
        <w:tc>
          <w:tcPr>
            <w:tcW w:w="0" w:type="dxa"/>
            <w:vAlign w:val="bottom"/>
          </w:tcPr>
          <w:p>
            <w:pPr>
              <w:spacing w:after="0"/>
              <w:rPr>
                <w:sz w:val="1"/>
                <w:szCs w:val="1"/>
                <w:color w:val="auto"/>
              </w:rPr>
            </w:pPr>
          </w:p>
        </w:tc>
      </w:tr>
      <w:tr>
        <w:trPr>
          <w:trHeight w:val="216"/>
        </w:trPr>
        <w:tc>
          <w:tcPr>
            <w:tcW w:w="94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Payments</w:t>
            </w:r>
          </w:p>
        </w:tc>
        <w:tc>
          <w:tcPr>
            <w:tcW w:w="0" w:type="dxa"/>
            <w:vAlign w:val="bottom"/>
          </w:tcPr>
          <w:p>
            <w:pPr>
              <w:spacing w:after="0"/>
              <w:rPr>
                <w:sz w:val="1"/>
                <w:szCs w:val="1"/>
                <w:color w:val="auto"/>
              </w:rPr>
            </w:pPr>
          </w:p>
        </w:tc>
      </w:tr>
      <w:tr>
        <w:trPr>
          <w:trHeight w:val="210"/>
        </w:trPr>
        <w:tc>
          <w:tcPr>
            <w:tcW w:w="9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2028</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0"/>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bl>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20"/>
                <w:szCs w:val="20"/>
                <w:color w:val="auto"/>
              </w:rPr>
            </w:pPr>
            <w:r>
              <w:rPr>
                <w:rFonts w:ascii="Arial" w:cs="Arial" w:eastAsia="Arial" w:hAnsi="Arial"/>
                <w:sz w:val="16"/>
                <w:szCs w:val="16"/>
                <w:color w:val="auto"/>
              </w:rPr>
              <w:t>Supplemental information related to operating leases was as follows:</w:t>
            </w: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Reconciliation of Operating Lease Liabilities</w:t>
            </w:r>
          </w:p>
        </w:tc>
        <w:tc>
          <w:tcPr>
            <w:tcW w:w="1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As of June 30,</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(dollars in millions)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5.38 %</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5.17 %</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Undiscounted Operating Lease Liability</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748.5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882.5</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1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(169.9)</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(205.1)</w:t>
            </w:r>
          </w:p>
        </w:tc>
        <w:tc>
          <w:tcPr>
            <w:tcW w:w="0" w:type="dxa"/>
            <w:vAlign w:val="bottom"/>
          </w:tcPr>
          <w:p>
            <w:pPr>
              <w:spacing w:after="0"/>
              <w:rPr>
                <w:sz w:val="1"/>
                <w:szCs w:val="1"/>
                <w:color w:val="auto"/>
              </w:rPr>
            </w:pPr>
          </w:p>
        </w:tc>
      </w:tr>
      <w:tr>
        <w:trPr>
          <w:trHeight w:val="23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Discounted Operating Lease Liability</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578.6</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677.4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Current portion of operating lease liabilities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40" w:type="dxa"/>
            <w:vAlign w:val="bottom"/>
            <w:vMerge w:val="continue"/>
          </w:tcPr>
          <w:p>
            <w:pPr>
              <w:spacing w:after="0"/>
              <w:rPr>
                <w:sz w:val="16"/>
                <w:szCs w:val="16"/>
                <w:color w:val="auto"/>
              </w:rPr>
            </w:pP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75.3</w:t>
            </w:r>
          </w:p>
        </w:tc>
        <w:tc>
          <w:tcPr>
            <w:tcW w:w="80" w:type="dxa"/>
            <w:vAlign w:val="bottom"/>
          </w:tcPr>
          <w:p>
            <w:pPr>
              <w:spacing w:after="0"/>
              <w:rPr>
                <w:sz w:val="16"/>
                <w:szCs w:val="16"/>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operating lease liabilities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503.3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593.8</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and other information related to leases was as follows: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Operating cash flows from operating leases</w:t>
      </w:r>
    </w:p>
    <w:p>
      <w:pPr>
        <w:spacing w:after="0" w:line="32" w:lineRule="exact"/>
        <w:rPr>
          <w:sz w:val="20"/>
          <w:szCs w:val="20"/>
          <w:color w:val="auto"/>
        </w:rPr>
      </w:pPr>
    </w:p>
    <w:p>
      <w:pPr>
        <w:ind w:left="20"/>
        <w:spacing w:after="0" w:line="246" w:lineRule="auto"/>
        <w:rPr>
          <w:sz w:val="20"/>
          <w:szCs w:val="20"/>
          <w:color w:val="auto"/>
        </w:rPr>
      </w:pPr>
      <w:r>
        <w:rPr>
          <w:rFonts w:ascii="Arial" w:cs="Arial" w:eastAsia="Arial" w:hAnsi="Arial"/>
          <w:sz w:val="16"/>
          <w:szCs w:val="16"/>
          <w:color w:val="auto"/>
        </w:rPr>
        <w:t>Right-of-use assets obtained in exchange for operating lease liabilities (non-cash)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400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 w:right="160"/>
        <w:spacing w:after="0" w:line="251" w:lineRule="auto"/>
        <w:rPr>
          <w:sz w:val="20"/>
          <w:szCs w:val="20"/>
          <w:color w:val="auto"/>
        </w:rPr>
      </w:pPr>
      <w:r>
        <w:rPr>
          <w:rFonts w:ascii="Arial" w:cs="Arial" w:eastAsia="Arial" w:hAnsi="Arial"/>
          <w:sz w:val="16"/>
          <w:szCs w:val="16"/>
          <w:color w:val="auto"/>
        </w:rPr>
        <w:t>Right-of-use asset reductions related to operating lease modifications and terminations (non-cash)</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Fiscal Year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r>
      <w:tr>
        <w:trPr>
          <w:trHeight w:val="216"/>
        </w:trPr>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23"/>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121.7</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133.3</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109.8</w:t>
            </w:r>
          </w:p>
        </w:tc>
      </w:tr>
      <w:tr>
        <w:trPr>
          <w:trHeight w:val="29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24.9</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229.3</w:t>
            </w:r>
          </w:p>
        </w:tc>
      </w:tr>
      <w:tr>
        <w:trPr>
          <w:trHeight w:val="459"/>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(23.0)</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(50.2)</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(15.6)</w:t>
            </w:r>
          </w:p>
        </w:tc>
      </w:tr>
    </w:tbl>
    <w:p>
      <w:pPr>
        <w:spacing w:after="0" w:line="208" w:lineRule="exact"/>
        <w:rPr>
          <w:sz w:val="20"/>
          <w:szCs w:val="20"/>
          <w:color w:val="auto"/>
        </w:rPr>
      </w:pPr>
    </w:p>
    <w:p>
      <w:pPr>
        <w:sectPr>
          <w:pgSz w:w="11900" w:h="16838" w:orient="portrait"/>
          <w:cols w:equalWidth="0" w:num="2">
            <w:col w:w="5480" w:space="320"/>
            <w:col w:w="5440"/>
          </w:cols>
          <w:pgMar w:left="320" w:top="611" w:right="339" w:bottom="1440" w:gutter="0" w:footer="0" w:header="0"/>
          <w:type w:val="continuous"/>
        </w:sectPr>
      </w:pP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discussed in Note 8 - Property and Equipment, management identified various qualitative factors that collectively indicated that the Company had triggering events for its long-lived assets, including the Company’s right-of-use assets. The Company recognized impairment charges for the fiscal year ended June 30, 2024, primarily consisting of $16.6 million related to retail showroom right-of-use assets and $7.5 million related to Connected Fitness right-of-use assets.</w:t>
      </w:r>
    </w:p>
    <w:p>
      <w:pPr>
        <w:spacing w:after="0" w:line="38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For the fiscal year ended June 30, 2023, the Company recognized impairment charges of $6.4 million related to certain corporate office right-of-use assets, $5.3 million related to Connected Fitness right-of-use assets, $3.0 million related to retail showroom right-of-use assets, and $1.2 million related to other manufacturing right-of-use assets. For the fiscal year ended June 30, 2022, the Company recognized impairment charges of $28.5 million related to Connected Fitness right-of-use assets, which reduced the carrying value of these right-of-use assets from $161.2 million to $132.7 million. Impairment charges are included within Impairment expense in the Consolidated Statements of Operations and Comprehensive Loss.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Lessor arrangements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discussed in Note 3 - Revenue, the Company leases certain Connected Fitness equipment under its rental program. The lease arrangement provides the customer with an option to purchase the underlying equipment or terminate the lease at any time. The price to purchase the underlying equipment is determined based on the number of months that the customer has leased the equipment, and is not considered a bargain purchase option. All rental lease agreements are considered operating leases, and the Company currently does not have any sales-type or direct financing leases as a lessor. For the fiscal years ended June 30, 2024, 2023, and 2022, the Company recognized lease revenue on its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92" w:name="page93"/>
    <w:bookmarkEnd w:id="92"/>
    <w:p>
      <w:pPr>
        <w:jc w:val="both"/>
        <w:spacing w:after="0" w:line="286" w:lineRule="auto"/>
        <w:rPr>
          <w:sz w:val="20"/>
          <w:szCs w:val="20"/>
          <w:color w:val="auto"/>
        </w:rPr>
      </w:pPr>
      <w:r>
        <w:rPr>
          <w:rFonts w:ascii="Arial" w:cs="Arial" w:eastAsia="Arial" w:hAnsi="Arial"/>
          <w:sz w:val="16"/>
          <w:szCs w:val="16"/>
          <w:color w:val="auto"/>
        </w:rPr>
        <w:t>rental program of $47.3 million, $19.1 million and $0.1 million, respectively, within Connected Fitness Products revenue in the Company’s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Debt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 due 2029</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May 2024, the Company issued $350.0 million aggregate principal amount of 5.50% Convertible Senior Notes due 2029 (the “2029 Notes”) in a private offering, including the exercise in full of the option granted to the initial purchasers to purchase $50.0 million of the 2029 Notes. The 2029 Notes were issued pursuant to an Indenture (the “2029 Notes Indenture”) between the Company and U.S. Bank Trust Company, National Association, as trustee. The 2029 Notes bear interest at a rate of 5.50% per annum, payable semi-annually in arrears on June 1 and December 1 of each year, beginning on December 1, 2024. The net proceeds from this offering of 2029 Notes were approximately $342.3 million, after deducting the initial purchasers' discounts and commissions of $7.7 million.</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Each $1,000 principal amount of the 2029 Notes is initially convertible into 218.4360 shares of the Company’s Class A common stock, which is equivalent to an initial conversion price of approximately $4.58 per share. The conversion rate is subject to customary adjustments under certain circumstances in accordance with the terms of the 2029 Notes Indenture. In addition, if certain corporate events that constitute a make-whole fundamental change occur or the Company elects to redeem the 2029 Notes, then the conversion rate will, in certain circumstances, be increased for a specified period of time.</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2029 Notes will mature on December 1, 2029, unless earlier converted, redeemed, or repurchased. The 2029 Notes will be convertible at the option of the holders at certain times and upon the occurrence of certain events.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or after September 1, 2029, until the close of business on the second scheduled trading day immediately preceding the maturity date, holders may convert all or any portion of their 2029 Notes, in multiples of $1,000 principal amount, at the option of the holder. Upon conversion, the Company may satisfy its conversion obligation by paying and/or delivering, as the case may be, cash, shares of the Class A common stock or a combination of cash and shares of the Class A common stock, at the Company’s election, in the manner and subject to the terms and conditions provided in the 2029 Notes Indenture.</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may redeem for cash all or any portion (subject to the partial redemption limitation described in the 2029 Notes Indenture) of the 2029 Notes, at its option, on or after June 7, 2027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2029 Notes to be redeemed, plus any accrued and unpaid interest to, but excluding, the redemption date. No sinking fund is provided for the 2029 Notes, which means that the Company is not required to redeem or retire the 2029 Notes periodically.</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Upon the occurrence of a fundamental change (as defined in the 2029 Notes Indenture), subject to certain conditions, holders may require the Company to repurchase all or a portion of the 2029 Notes for cash at a price equal to 100% of the principal amount of the 2029 Notes to be repurchased, plus any accrued and unpaid interest to, but excluding, the fundamental change repurchase date. The definition of fundamental change includes certain business combination transactions involving the Company and certain de-listing events with respect to the Company’s common stock.</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2029 Notes are senior unsecured obligations of the Company and rank senior in right of payment to any of the Company’s future indebtedness that is expressly subordinated in right of payment to the 2029 Notes; equal in right of payment to any of the Company’s existing and future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interest rate upon issuance of the 2029 Notes was 5.97%, which is the effective interest rate as of June 30, 2024.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20"/>
                <w:szCs w:val="20"/>
                <w:color w:val="auto"/>
              </w:rPr>
            </w:pPr>
            <w:r>
              <w:rPr>
                <w:rFonts w:ascii="Arial" w:cs="Arial" w:eastAsia="Arial" w:hAnsi="Arial"/>
                <w:sz w:val="16"/>
                <w:szCs w:val="16"/>
                <w:color w:val="auto"/>
              </w:rPr>
              <w:t>The net carrying amount of the 2029 Notes was as follows:</w:t>
            </w: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4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30, 2024</w:t>
            </w: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4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5"/>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46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5"/>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4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bottom w:val="single" w:sz="8" w:color="CCEEFF"/>
            </w:tcBorders>
            <w:vMerge w:val="restart"/>
          </w:tcPr>
          <w:p>
            <w:pPr>
              <w:jc w:val="right"/>
              <w:ind w:right="3679"/>
              <w:spacing w:after="0"/>
              <w:rPr>
                <w:sz w:val="20"/>
                <w:szCs w:val="20"/>
                <w:color w:val="auto"/>
              </w:rPr>
            </w:pPr>
            <w:r>
              <w:rPr>
                <w:rFonts w:ascii="Arial" w:cs="Arial" w:eastAsia="Arial" w:hAnsi="Arial"/>
                <w:sz w:val="16"/>
                <w:szCs w:val="16"/>
                <w:color w:val="auto"/>
              </w:rPr>
              <w:t>91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488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88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20"/>
                <w:szCs w:val="20"/>
                <w:color w:val="auto"/>
              </w:rPr>
            </w:pPr>
            <w:r>
              <w:rPr>
                <w:rFonts w:ascii="Arial" w:cs="Arial" w:eastAsia="Arial" w:hAnsi="Arial"/>
                <w:sz w:val="16"/>
                <w:szCs w:val="16"/>
                <w:color w:val="auto"/>
              </w:rPr>
              <w:t>The following table sets forth the interest expense recognized related to the 2029 Notes:</w:t>
            </w: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86"/>
        </w:trPr>
        <w:tc>
          <w:tcPr>
            <w:tcW w:w="8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Fiscal Year Ended June 30, 2024</w:t>
            </w:r>
          </w:p>
        </w:tc>
      </w:tr>
      <w:tr>
        <w:trPr>
          <w:trHeight w:val="209"/>
        </w:trPr>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jc w:val="right"/>
              <w:ind w:right="1039"/>
              <w:spacing w:after="0"/>
              <w:rPr>
                <w:sz w:val="20"/>
                <w:szCs w:val="20"/>
                <w:color w:val="auto"/>
              </w:rPr>
            </w:pPr>
            <w:r>
              <w:rPr>
                <w:rFonts w:ascii="Arial" w:cs="Arial" w:eastAsia="Arial" w:hAnsi="Arial"/>
                <w:sz w:val="16"/>
                <w:szCs w:val="16"/>
                <w:b w:val="1"/>
                <w:bCs w:val="1"/>
                <w:color w:val="auto"/>
              </w:rPr>
              <w:t>(in millions)</w:t>
            </w: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tcBorders>
              <w:bottom w:val="single" w:sz="8" w:color="auto"/>
            </w:tcBorders>
            <w:shd w:val="clear" w:color="auto" w:fill="CCEEFF"/>
          </w:tcPr>
          <w:p>
            <w:pPr>
              <w:spacing w:after="0"/>
              <w:rPr>
                <w:sz w:val="18"/>
                <w:szCs w:val="18"/>
                <w:color w:val="auto"/>
              </w:rPr>
            </w:pPr>
          </w:p>
        </w:tc>
        <w:tc>
          <w:tcPr>
            <w:tcW w:w="2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Total non-cash interest expense related to the 2029 Notes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Total interest expense recognized related to the 2029 Notes was $2.1 million during the fiscal year ended June 30, 2024, of which approximately $2.0 million is cash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 due 2026</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February 2021, the Company issued $1.0 billion aggregate principal amount of the 2026 Notes in a private offering, including the exercise in full of the option granted to the initial purchasers to purchase $125.0 million of the 2026 Notes. The 2026 Notes were issued pursuant to an Indenture (the “2026 Notes Indenture”) between the Company and U.S. Bank Trust Company, National Association, as trustee. The 2026 Notes do not bear regular interest, and the principal amount of the 2026 Notes does not accrete.</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Each $1,000 principal amount of the 2026 Notes is initially convertible into 4.1800 shares of the Company’s Class A common stock, which is equivalent to an initial conversion price of approximately $239.23 per share. The conversion rate is subject to customary adjustments under certain circumstances in accordance with the terms of the 2026 Notes Indenture. In addition, if certain corporate events that constitute a make-whole fundamental change occur or the Company elects to redeem the 2026 Notes, then the conversion rate will, in certain circumstances, be increased for a specified period of time.</w:t>
      </w:r>
    </w:p>
    <w:p>
      <w:pPr>
        <w:spacing w:after="0" w:line="20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2026 Notes will mature on February 15, 2026, unless earlier converted, redeemed, or repurchased. The 2026 Notes will be convertible at the option of the holders at certain times and upon the occurrence of certain events.</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or after August 15, 2025, until the close of business on the second scheduled trading day immediately preceding the maturity date, holders may convert all or any portion of their 2026 Notes, in multiples of $1,000 principal amount, at the option of the holder. Upon conversion, the Company may satisfy its conversion obligation by paying and/or delivering, as the case may be, cash, shares of the Class A common stock or a combination of cash and shares of the Class A common stock, at the Company’s election, in the manner and subject to the terms and conditions provided in the 2026 Notes Indenture.</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may redeem for cash all or any portion (subject to the partial redemption limitation described in the 2026 Notes Indenture) of the 2026 Notes, at its option,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w:t>
      </w:r>
    </w:p>
    <w:p>
      <w:pPr>
        <w:jc w:val="both"/>
        <w:ind w:firstLine="8"/>
        <w:spacing w:after="0" w:line="264" w:lineRule="auto"/>
        <w:tabs>
          <w:tab w:leader="none" w:pos="2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trading day immediately before the date the Company sends such notice at a redemption price equal to 100% of the principal amount of the 2026 Notes to be redeemed, plus any accrued and unpaid special interest, if any, to, but excluding, the redemption date. No sinking fund is provided for the 2026 Notes, which means that the Company is not required to redeem or retire the 2026 Notes periodically.</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Upon the occurrence of a fundamental change (as defined in the 2026 Notes Indenture), subject to certain conditions, holders may require the Company to repurchase all or a portion of the 2026 Notes for cash at a price equal to 100% of the principal amount of the 2026 Notes to be repurchased, plus any accrued and unpaid special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2026 Notes are senior unsecured obligations of the Company and rank senior in right of payment to any of the Company’s future indebtedness that is expressly subordinated in right of payment to the 2026 Notes; equal in right of payment to any of the Company’s existing and future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Repurchase of a Portion of the 2026 Convertible Notes</w:t>
      </w:r>
    </w:p>
    <w:p>
      <w:pPr>
        <w:spacing w:after="0" w:line="2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May 2024, the Company entered into separate, privately negotiated transactions with certain holders of the 2026 Notes to repurchase $801.0 million of aggregate principal amount of the 2026 Notes for an aggregate of $724.9 million of cash. The Company accounted for this repurchase of the 2026 Notes as a debt extinguishment under ASC 470-50, Debt – Modifications and Extinguishments (“ASC 470-50”). The Company recorded a $69.8 million gain on early extinguishment of debt during the year ending June 30, 2024, which includes the write-off of previously deferred debt issuance costs of $6.3 million, which is included within Net gain on debt refinancing on the Consolidated Statements of Operations and Comprehensive Loss.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interest rate upon issuance of the 2026 Notes was 0.45%, which is the effective interest rate as of June 30, 2024.</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color w:val="auto"/>
              </w:rPr>
              <w:t>The net carrying amount of the 2026 Notes was as follows:</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86"/>
        </w:trPr>
        <w:tc>
          <w:tcPr>
            <w:tcW w:w="76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June 30,</w:t>
            </w:r>
          </w:p>
        </w:tc>
        <w:tc>
          <w:tcPr>
            <w:tcW w:w="1220" w:type="dxa"/>
            <w:vAlign w:val="bottom"/>
            <w:tcBorders>
              <w:bottom w:val="single" w:sz="8" w:color="auto"/>
            </w:tcBorders>
          </w:tcPr>
          <w:p>
            <w:pPr>
              <w:spacing w:after="0"/>
              <w:rPr>
                <w:sz w:val="24"/>
                <w:szCs w:val="24"/>
                <w:color w:val="auto"/>
              </w:rPr>
            </w:pPr>
          </w:p>
        </w:tc>
      </w:tr>
      <w:tr>
        <w:trPr>
          <w:trHeight w:val="209"/>
        </w:trPr>
        <w:tc>
          <w:tcPr>
            <w:tcW w:w="760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10"/>
        </w:trPr>
        <w:tc>
          <w:tcPr>
            <w:tcW w:w="7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interest expense recognized related to the 2026 Notes: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right="25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18"/>
                <w:szCs w:val="18"/>
                <w:color w:val="auto"/>
              </w:rPr>
            </w:pPr>
          </w:p>
        </w:tc>
      </w:tr>
      <w:tr>
        <w:trPr>
          <w:trHeight w:val="209"/>
        </w:trPr>
        <w:tc>
          <w:tcPr>
            <w:tcW w:w="5780" w:type="dxa"/>
            <w:vAlign w:val="bottom"/>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r>
      <w:tr>
        <w:trPr>
          <w:trHeight w:val="209"/>
        </w:trPr>
        <w:tc>
          <w:tcPr>
            <w:tcW w:w="5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Amortization of debt discount </w:t>
            </w:r>
            <w:r>
              <w:rPr>
                <w:rFonts w:ascii="Arial" w:cs="Arial" w:eastAsia="Arial" w:hAnsi="Arial"/>
                <w:sz w:val="21"/>
                <w:szCs w:val="21"/>
                <w:color w:val="auto"/>
                <w:vertAlign w:val="superscript"/>
              </w:rPr>
              <w:t>(1)</w:t>
            </w: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Amortization of debt issuance costs</w:t>
            </w:r>
          </w:p>
        </w:tc>
        <w:tc>
          <w:tcPr>
            <w:tcW w:w="1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Interest capitalized</w:t>
            </w: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5780" w:type="dxa"/>
            <w:vAlign w:val="bottom"/>
          </w:tcPr>
          <w:p>
            <w:pPr>
              <w:ind w:left="20"/>
              <w:spacing w:after="0"/>
              <w:rPr>
                <w:sz w:val="20"/>
                <w:szCs w:val="20"/>
                <w:color w:val="auto"/>
              </w:rPr>
            </w:pPr>
            <w:r>
              <w:rPr>
                <w:rFonts w:ascii="Arial" w:cs="Arial" w:eastAsia="Arial" w:hAnsi="Arial"/>
                <w:sz w:val="16"/>
                <w:szCs w:val="16"/>
                <w:color w:val="auto"/>
              </w:rPr>
              <w:t>Total interest expense related to the 2026 Notes</w:t>
            </w:r>
          </w:p>
        </w:tc>
        <w:tc>
          <w:tcPr>
            <w:tcW w:w="1260" w:type="dxa"/>
            <w:vAlign w:val="bottom"/>
            <w:tcBorders>
              <w:top w:val="single" w:sz="8" w:color="auto"/>
              <w:bottom w:val="single" w:sz="8" w:color="auto"/>
            </w:tcBorders>
          </w:tcPr>
          <w:p>
            <w:pPr>
              <w:jc w:val="right"/>
              <w:ind w:right="107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w:t>
            </w:r>
          </w:p>
        </w:tc>
      </w:tr>
      <w:tr>
        <w:trPr>
          <w:trHeight w:val="21"/>
        </w:trPr>
        <w:tc>
          <w:tcPr>
            <w:tcW w:w="5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109" w:lineRule="exact"/>
        <w:rPr>
          <w:sz w:val="20"/>
          <w:szCs w:val="20"/>
          <w:color w:val="auto"/>
        </w:rPr>
      </w:pPr>
    </w:p>
    <w:p>
      <w:pPr>
        <w:ind w:right="20" w:firstLine="8"/>
        <w:spacing w:after="0" w:line="251" w:lineRule="auto"/>
        <w:tabs>
          <w:tab w:leader="none" w:pos="189" w:val="left"/>
        </w:tabs>
        <w:numPr>
          <w:ilvl w:val="0"/>
          <w:numId w:val="46"/>
        </w:numPr>
        <w:rPr>
          <w:rFonts w:ascii="Arial" w:cs="Arial" w:eastAsia="Arial" w:hAnsi="Arial"/>
          <w:sz w:val="13"/>
          <w:szCs w:val="13"/>
          <w:color w:val="auto"/>
        </w:rPr>
      </w:pPr>
      <w:r>
        <w:rPr>
          <w:rFonts w:ascii="Arial" w:cs="Arial" w:eastAsia="Arial" w:hAnsi="Arial"/>
          <w:sz w:val="13"/>
          <w:szCs w:val="13"/>
          <w:color w:val="auto"/>
        </w:rPr>
        <w:t xml:space="preserve">The decreases in total interest expense during the fiscal year ended June 30, 2023 were due to the derecognition of the unamortized debt discount, partially offset by the increases in the amortization of issuance costs previously recognized in equity. These changes were the result of the Company’s adoption of ASU No. 2020-06, as of July 1, 2022, as described in </w:t>
      </w:r>
      <w:r>
        <w:rPr>
          <w:rFonts w:ascii="Arial" w:cs="Arial" w:eastAsia="Arial" w:hAnsi="Arial"/>
          <w:sz w:val="13"/>
          <w:szCs w:val="13"/>
          <w:i w:val="1"/>
          <w:iCs w:val="1"/>
          <w:color w:val="auto"/>
        </w:rPr>
        <w:t>Note 2 - Summary of Significant</w:t>
      </w:r>
      <w:r>
        <w:rPr>
          <w:rFonts w:ascii="Arial" w:cs="Arial" w:eastAsia="Arial" w:hAnsi="Arial"/>
          <w:sz w:val="13"/>
          <w:szCs w:val="13"/>
          <w:color w:val="auto"/>
        </w:rPr>
        <w:t xml:space="preserve"> </w:t>
      </w:r>
      <w:r>
        <w:rPr>
          <w:rFonts w:ascii="Arial" w:cs="Arial" w:eastAsia="Arial" w:hAnsi="Arial"/>
          <w:sz w:val="13"/>
          <w:szCs w:val="13"/>
          <w:i w:val="1"/>
          <w:iCs w:val="1"/>
          <w:color w:val="auto"/>
        </w:rPr>
        <w:t>Accounting Policies.</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Termination of Capped Call Transactions</w:t>
      </w:r>
    </w:p>
    <w:p>
      <w:pPr>
        <w:spacing w:after="0" w:line="44"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In connection with the offering of the 2026 Notes, the Company entered into privately negotiated capped call transactions with certain counterparties (the “Capped Call Transactions”). In the last quarter of its fiscal year ending 2024, the Company terminated the Capped Call Transactions in their entirety pursuant to negotiated termination agreements with each such counterparty.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Amended and Restated Credit Agreement</w:t>
      </w:r>
    </w:p>
    <w:p>
      <w:pPr>
        <w:spacing w:after="0" w:line="246" w:lineRule="exact"/>
        <w:rPr>
          <w:sz w:val="20"/>
          <w:szCs w:val="20"/>
          <w:color w:val="auto"/>
        </w:rPr>
      </w:pPr>
    </w:p>
    <w:p>
      <w:pPr>
        <w:ind w:right="680"/>
        <w:spacing w:after="0" w:line="275" w:lineRule="auto"/>
        <w:rPr>
          <w:sz w:val="20"/>
          <w:szCs w:val="20"/>
          <w:color w:val="auto"/>
        </w:rPr>
      </w:pPr>
      <w:r>
        <w:rPr>
          <w:rFonts w:ascii="Arial" w:cs="Arial" w:eastAsia="Arial" w:hAnsi="Arial"/>
          <w:sz w:val="16"/>
          <w:szCs w:val="16"/>
          <w:color w:val="auto"/>
        </w:rPr>
        <w:t>On May 30, 2024, the Company entered into a Third Amended and Restated Credit Agreement (as amended, restated, amended and restated, supplemented or otherwise modified from time to time, the “Third Amended and Restated Credit Agreement”), with JPMorgan Chase Bank, N.A., as administrative agent, and certain banks and financial institutions party thereto as lenders and issuing banks.</w:t>
      </w:r>
    </w:p>
    <w:p>
      <w:pPr>
        <w:spacing w:after="0" w:line="19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 Third Amended and Restated Credit Agreement provides for a $1.0 billion term loan facility (the “Term Loan”), which will be due and payable on May 30, 2029. The Term Loan amortizes in quarterly installments of 0.25%, payable at the end of each fiscal quarter and on the maturity date.</w:t>
      </w:r>
    </w:p>
    <w:p>
      <w:pPr>
        <w:spacing w:after="0" w:line="16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Third Amended and Restated Credit Agreement also provides for a $100.0 million revolving credit facility (the “Revolving Facility”), which will mature on May 30, 2029. The Company is only required to meet the total liquidity covenant, set at $250.0 million for the last business day of any week, and the subscription revenues covenant, set at $1.2 billion for the four-quarter trailing period, to the extent any revolving loans are borrowed and outstanding.</w:t>
      </w:r>
    </w:p>
    <w:p>
      <w:pPr>
        <w:spacing w:after="0" w:line="191"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 Revolving Facility, when drawn, bears interest at a rate equal to, at the Company’s option, either the Alternate Base Rate (as defined in the Third Amended and Restated Credit Agreement) plus 4.00% per annum or the Term SOFR Rate (as defined in the Third Amended and Restated Credit Agreement) plus 5.00% per annum. The Company is required to pay an annual commitment fee of 0.50% per annum on a quarterly basis based on the unused portion of the Revolving Facility, provided that the commitment fee is subject to one 0.125% step-down after the delivery of the financial statements and related compliance certificate for the fiscal quarter ending on or after September 30, 2024 for which the First Lien Net Leverage Ratio (as defined in the Third Amended and Restated Credit Agreement) is less than 5.00 to 1.00.</w:t>
      </w:r>
    </w:p>
    <w:p>
      <w:pPr>
        <w:spacing w:after="0" w:line="203"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The Term Loan initially bears interest at a rate equal to, at the Company’s option, either the Alternate Base Rate (as defined in the Third Amended and Restated Credit Agreement) plus 5.00% per annum or the Term SOFR Rate (as defined in the Third Amended and Restated Credit Agreement) plus 6.00% per annum. After the delivery of the financial statements and related compliance certificate for the fiscal quarter ending on or after September 30, 2024 for which the First Lien Net Leverage Ratio (as defined in the Third Amended and Restated Credit Agreement) is less than 5.00 to 1.00, the applicable rate for Alternate Base Rate loans or Term SOFR Rate loans will be subject to one 0.50% step-down. Any borrowing at the Alternate Base Rate is subject to a 1.00% floor and the Term SOFR Rate is subject to a 0.00% floor.</w:t>
      </w:r>
    </w:p>
    <w:p>
      <w:pPr>
        <w:spacing w:after="0" w:line="21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Third Amended and Restated Credit Agreement contains customary affirmative covenants as well as customary negative covenants that restrict the Company’s ability to, among other things, incur additional indebtedness, incur liens or grant negative pledges, make loans and investments, conduct certain transactions with affiliates, sell certain assets, enter into certain swap agreements, guarantee obligations of third parties, declare dividends or make certain distributions, and undergo a merger or consolidation or certain other transactions. The Third Amended</w:t>
      </w:r>
    </w:p>
    <w:p>
      <w:pPr>
        <w:sectPr>
          <w:pgSz w:w="11900" w:h="16838" w:orient="portrait"/>
          <w:cols w:equalWidth="0" w:num="1">
            <w:col w:w="11240"/>
          </w:cols>
          <w:pgMar w:left="320" w:top="652"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95" w:name="page96"/>
    <w:bookmarkEnd w:id="95"/>
    <w:p>
      <w:pPr>
        <w:ind w:right="240"/>
        <w:spacing w:after="0" w:line="286" w:lineRule="auto"/>
        <w:rPr>
          <w:sz w:val="20"/>
          <w:szCs w:val="20"/>
          <w:color w:val="auto"/>
        </w:rPr>
      </w:pPr>
      <w:r>
        <w:rPr>
          <w:rFonts w:ascii="Arial" w:cs="Arial" w:eastAsia="Arial" w:hAnsi="Arial"/>
          <w:sz w:val="16"/>
          <w:szCs w:val="16"/>
          <w:color w:val="auto"/>
        </w:rPr>
        <w:t>and Restated Credit Agreement also contains certain customary events of default. Certain baskets and covenant levels have been adjusted and will apply equally to both the Term Loan and Revolving Facility for so long as the Term Loan is outstanding.</w:t>
      </w:r>
    </w:p>
    <w:p>
      <w:pPr>
        <w:spacing w:after="0" w:line="196"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The obligations under the Third Amended and Restated Credit Agreement with respect to the Term Loan and the Revolving Facility are secured by substantially all of the Company’s assets, with certain exceptions set forth in the Third Amended and Restated Credit Agreement, and are required to be guaranteed by certain material subsidiaries of the Company if, at the end of future financial quarters, certain conditions are not met.</w:t>
      </w:r>
    </w:p>
    <w:p>
      <w:pPr>
        <w:spacing w:after="0" w:line="19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During the fiscal years ended June 30, 2024, 2023, and 2022, the Company incurred total commitment fees of $1.3 million, $1.6 million, and $1.4 million, respectively, which are included in Interest expense in the Consolidated Statements of Operations and Comprehensive Loss.</w:t>
      </w:r>
    </w:p>
    <w:p>
      <w:pPr>
        <w:spacing w:after="0" w:line="1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June 30, 2024, the Company had drawn the full amount of the Term Loan and had not drawn on the Revolving Facility, and the Company had $1,000.0 million total outstanding borrowings under the Third Amended and Restated Credit Agreement.</w:t>
      </w:r>
    </w:p>
    <w:p>
      <w:pPr>
        <w:spacing w:after="0" w:line="196"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In connection with the execution of the Third Amended and Restated Credit Agreement, the Term Loan was accounted for as a modification, extinguishment, or new loan for certain lenders in accordance with ASC 470-50. Accordingly, incremental discount and debt issuance costs of $10.0 million and $2.3 million, respectively, will be amortized to Interest expense using the effective interest method over the term of the Third Amended and Restated Credit Agreement.</w:t>
      </w:r>
    </w:p>
    <w:p>
      <w:pPr>
        <w:spacing w:after="0" w:line="2" w:lineRule="exact"/>
        <w:rPr>
          <w:sz w:val="20"/>
          <w:szCs w:val="20"/>
          <w:color w:val="auto"/>
        </w:rPr>
      </w:pPr>
    </w:p>
    <w:p>
      <w:pPr>
        <w:ind w:right="340"/>
        <w:spacing w:after="0" w:line="258" w:lineRule="auto"/>
        <w:rPr>
          <w:sz w:val="20"/>
          <w:szCs w:val="20"/>
          <w:color w:val="auto"/>
        </w:rPr>
      </w:pPr>
      <w:r>
        <w:rPr>
          <w:rFonts w:ascii="Arial" w:cs="Arial" w:eastAsia="Arial" w:hAnsi="Arial"/>
          <w:sz w:val="16"/>
          <w:szCs w:val="16"/>
          <w:color w:val="auto"/>
        </w:rPr>
        <w:t>Furthermore, the Company expensed $8.7 million of debt issuance costs incurred with third parties related to loss on debt modification and recognized a $7.5 million loss on extinguishment related to previously deferred debt discount and debt issuance costs, which are included within Net gain on debt refinancing on the Consolidated Statements of Operations and Comprehensive Loss.</w:t>
      </w:r>
    </w:p>
    <w:p>
      <w:pPr>
        <w:spacing w:after="0" w:line="218"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As of June 30, 2024, the Company had not drawn any amount under the Revolving Facility and as such did not have to test the financial covenants under the Third Amended and Restated Credit Agreement. The Company is required to pledge or otherwise restrict a portion of cash and cash equivalents as collateral for standby letters of credit. As of June 30, 2024, the Company had outstanding letters of credit totaling $53.2 million, which are classified as Restricted cash on the Consolidated Balance Sheets.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Upon entering into the Term Loan, the effective interest rate was 12.4%, which is the effective interest rate as of June 30,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color w:val="auto"/>
              </w:rPr>
              <w:t>The net carrying amount of the Term Loan was as follows: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2"/>
        </w:trPr>
        <w:tc>
          <w:tcPr>
            <w:tcW w:w="76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June 30,</w:t>
            </w:r>
          </w:p>
        </w:tc>
        <w:tc>
          <w:tcPr>
            <w:tcW w:w="1220" w:type="dxa"/>
            <w:vAlign w:val="bottom"/>
            <w:tcBorders>
              <w:bottom w:val="single" w:sz="8" w:color="auto"/>
            </w:tcBorders>
          </w:tcPr>
          <w:p>
            <w:pPr>
              <w:spacing w:after="0"/>
              <w:rPr>
                <w:sz w:val="20"/>
                <w:szCs w:val="20"/>
                <w:color w:val="auto"/>
              </w:rPr>
            </w:pPr>
          </w:p>
        </w:tc>
      </w:tr>
      <w:tr>
        <w:trPr>
          <w:trHeight w:val="209"/>
        </w:trPr>
        <w:tc>
          <w:tcPr>
            <w:tcW w:w="76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10"/>
        </w:trPr>
        <w:tc>
          <w:tcPr>
            <w:tcW w:w="7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Principal Payments</w:t>
            </w:r>
          </w:p>
        </w:tc>
        <w:tc>
          <w:tcPr>
            <w:tcW w:w="1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discount</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non-cash interest expense recognized related to the Term Loan: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center"/>
              <w:ind w:left="1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18"/>
                <w:szCs w:val="18"/>
                <w:color w:val="auto"/>
              </w:rPr>
            </w:pPr>
          </w:p>
        </w:tc>
      </w:tr>
      <w:tr>
        <w:trPr>
          <w:trHeight w:val="210"/>
        </w:trPr>
        <w:tc>
          <w:tcPr>
            <w:tcW w:w="5780" w:type="dxa"/>
            <w:vAlign w:val="bottom"/>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r>
      <w:tr>
        <w:trPr>
          <w:trHeight w:val="210"/>
        </w:trPr>
        <w:tc>
          <w:tcPr>
            <w:tcW w:w="5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w:t>
            </w: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5"/>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1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35"/>
        </w:trPr>
        <w:tc>
          <w:tcPr>
            <w:tcW w:w="5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non-cash interest expense related to the Term Loan</w:t>
            </w: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Total cash interest expense recognized related to the Term Loan was $94.9 million, $79.1 million, and $6.0 million during the fiscal years ended June 30, 2024, 2023, and 2022, respectively. Total interest expense recognized related to the Term Loan was $103.8 million, $87.6 million, and $7.1 million during the fiscal years ended June 30, 2024, 2023, and 2022, respectively.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i w:val="1"/>
          <w:iCs w:val="1"/>
          <w:color w:val="auto"/>
        </w:rPr>
        <w:t>Maturities of Debt Instruments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maturities of our debt instruments, including convertible notes payable, gross of debt issuance costs and debt discounts, as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June 30,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Future Minimum</w:t>
            </w:r>
          </w:p>
        </w:tc>
      </w:tr>
      <w:tr>
        <w:trPr>
          <w:trHeight w:val="216"/>
        </w:trPr>
        <w:tc>
          <w:tcPr>
            <w:tcW w:w="9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Payments</w:t>
            </w:r>
          </w:p>
        </w:tc>
      </w:tr>
      <w:tr>
        <w:trPr>
          <w:trHeight w:val="210"/>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Fiscal Year Ended June 30,</w:t>
            </w:r>
          </w:p>
        </w:tc>
        <w:tc>
          <w:tcPr>
            <w:tcW w:w="180" w:type="dxa"/>
            <w:vAlign w:val="bottom"/>
          </w:tcPr>
          <w:p>
            <w:pPr>
              <w:spacing w:after="0"/>
              <w:rPr>
                <w:sz w:val="18"/>
                <w:szCs w:val="18"/>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9480" w:type="dxa"/>
            <w:vAlign w:val="bottom"/>
          </w:tcPr>
          <w:p>
            <w:pPr>
              <w:ind w:left="20"/>
              <w:spacing w:after="0" w:line="216" w:lineRule="exact"/>
              <w:rPr>
                <w:sz w:val="20"/>
                <w:szCs w:val="20"/>
                <w:color w:val="auto"/>
              </w:rPr>
            </w:pPr>
            <w:r>
              <w:rPr>
                <w:rFonts w:ascii="Arial" w:cs="Arial" w:eastAsia="Arial" w:hAnsi="Arial"/>
                <w:sz w:val="16"/>
                <w:szCs w:val="16"/>
                <w:color w:val="auto"/>
              </w:rPr>
              <w:t>2026</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209.0</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2028</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960.0</w:t>
            </w:r>
          </w:p>
        </w:tc>
      </w:tr>
      <w:tr>
        <w:trPr>
          <w:trHeight w:val="216"/>
        </w:trPr>
        <w:tc>
          <w:tcPr>
            <w:tcW w:w="94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Thereafter</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r>
      <w:tr>
        <w:trPr>
          <w:trHeight w:val="234"/>
        </w:trPr>
        <w:tc>
          <w:tcPr>
            <w:tcW w:w="9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1,549.0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96" w:lineRule="exact"/>
        <w:rPr>
          <w:sz w:val="20"/>
          <w:szCs w:val="20"/>
          <w:color w:val="auto"/>
        </w:rPr>
      </w:pPr>
    </w:p>
    <w:p>
      <w:pPr>
        <w:ind w:left="200" w:hanging="192"/>
        <w:spacing w:after="0"/>
        <w:tabs>
          <w:tab w:leader="none" w:pos="2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$10.0 million related to the Term Loan and $199.0 million related to the 2026 Convertible Notes.</w:t>
      </w:r>
    </w:p>
    <w:p>
      <w:pPr>
        <w:spacing w:after="0" w:line="66" w:lineRule="exact"/>
        <w:rPr>
          <w:rFonts w:ascii="Arial" w:cs="Arial" w:eastAsia="Arial" w:hAnsi="Arial"/>
          <w:sz w:val="13"/>
          <w:szCs w:val="13"/>
          <w:color w:val="auto"/>
        </w:rPr>
      </w:pPr>
    </w:p>
    <w:p>
      <w:pPr>
        <w:ind w:left="200" w:hanging="192"/>
        <w:spacing w:after="0"/>
        <w:tabs>
          <w:tab w:leader="none" w:pos="2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$350.0 million related to the 2029 Convertible Notes.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Commitments and Contingencies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Music License Agreements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minimum guarantee royalty payments associated under certain music license agreements.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Company's minimum annual guarantee payments under music license agreements for the next two years as of June 30, 2024:</w:t>
      </w:r>
    </w:p>
    <w:p>
      <w:pPr>
        <w:sectPr>
          <w:pgSz w:w="11900" w:h="16838" w:orient="portrait"/>
          <w:cols w:equalWidth="0" w:num="1">
            <w:col w:w="11240"/>
          </w:cols>
          <w:pgMar w:left="320" w:top="6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Fiscal 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2025</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jc w:val="center"/>
        <w:ind w:right="29"/>
        <w:spacing w:after="0"/>
        <w:rPr>
          <w:sz w:val="20"/>
          <w:szCs w:val="20"/>
          <w:color w:val="auto"/>
        </w:rPr>
      </w:pPr>
      <w:r>
        <w:rPr>
          <w:rFonts w:ascii="Arial" w:cs="Arial" w:eastAsia="Arial" w:hAnsi="Arial"/>
          <w:sz w:val="16"/>
          <w:szCs w:val="16"/>
          <w:b w:val="1"/>
          <w:bCs w:val="1"/>
          <w:color w:val="auto"/>
        </w:rPr>
        <w:t>Future Minimum</w:t>
      </w:r>
    </w:p>
    <w:p>
      <w:pPr>
        <w:jc w:val="center"/>
        <w:ind w:right="29"/>
        <w:spacing w:after="0"/>
        <w:rPr>
          <w:sz w:val="20"/>
          <w:szCs w:val="20"/>
          <w:color w:val="auto"/>
        </w:rPr>
      </w:pPr>
      <w:r>
        <w:rPr>
          <w:rFonts w:ascii="Arial" w:cs="Arial" w:eastAsia="Arial" w:hAnsi="Arial"/>
          <w:sz w:val="16"/>
          <w:szCs w:val="16"/>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11226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0" w:lineRule="exact"/>
        <w:rPr>
          <w:sz w:val="20"/>
          <w:szCs w:val="20"/>
          <w:color w:val="auto"/>
        </w:rPr>
      </w:pPr>
    </w:p>
    <w:p>
      <w:pPr>
        <w:ind w:left="411"/>
        <w:spacing w:after="0"/>
        <w:rPr>
          <w:sz w:val="20"/>
          <w:szCs w:val="20"/>
          <w:color w:val="auto"/>
        </w:rPr>
      </w:pPr>
      <w:r>
        <w:rPr>
          <w:rFonts w:ascii="Arial" w:cs="Arial" w:eastAsia="Arial" w:hAnsi="Arial"/>
          <w:sz w:val="16"/>
          <w:szCs w:val="16"/>
          <w:b w:val="1"/>
          <w:bCs w:val="1"/>
          <w:color w:val="auto"/>
        </w:rPr>
        <w:t>(in millions)</w:t>
      </w:r>
    </w:p>
    <w:p>
      <w:pPr>
        <w:spacing w:after="0" w:line="39" w:lineRule="exact"/>
        <w:rPr>
          <w:sz w:val="20"/>
          <w:szCs w:val="20"/>
          <w:color w:val="auto"/>
        </w:rPr>
      </w:pPr>
    </w:p>
    <w:p>
      <w:pPr>
        <w:ind w:left="1371" w:hanging="1371"/>
        <w:spacing w:after="0"/>
        <w:tabs>
          <w:tab w:leader="none" w:pos="1371" w:val="left"/>
        </w:tabs>
        <w:numPr>
          <w:ilvl w:val="0"/>
          <w:numId w:val="48"/>
        </w:numPr>
        <w:rPr>
          <w:rFonts w:ascii="Arial" w:cs="Arial" w:eastAsia="Arial" w:hAnsi="Arial"/>
          <w:sz w:val="15"/>
          <w:szCs w:val="15"/>
          <w:color w:val="auto"/>
        </w:rPr>
      </w:pPr>
      <w:r>
        <w:rPr>
          <w:rFonts w:ascii="Arial" w:cs="Arial" w:eastAsia="Arial" w:hAnsi="Arial"/>
          <w:sz w:val="15"/>
          <w:szCs w:val="15"/>
          <w:color w:val="auto"/>
        </w:rPr>
        <w:t>57.7</w:t>
      </w:r>
    </w:p>
    <w:p>
      <w:pPr>
        <w:spacing w:after="0" w:line="36" w:lineRule="exact"/>
        <w:rPr>
          <w:rFonts w:ascii="Arial" w:cs="Arial" w:eastAsia="Arial" w:hAnsi="Arial"/>
          <w:sz w:val="15"/>
          <w:szCs w:val="15"/>
          <w:color w:val="auto"/>
        </w:rPr>
      </w:pPr>
    </w:p>
    <w:p>
      <w:pPr>
        <w:ind w:left="1451"/>
        <w:spacing w:after="0"/>
        <w:rPr>
          <w:rFonts w:ascii="Arial" w:cs="Arial" w:eastAsia="Arial" w:hAnsi="Arial"/>
          <w:sz w:val="15"/>
          <w:szCs w:val="15"/>
          <w:color w:val="auto"/>
        </w:rPr>
      </w:pPr>
      <w:r>
        <w:rPr>
          <w:rFonts w:ascii="Arial" w:cs="Arial" w:eastAsia="Arial" w:hAnsi="Arial"/>
          <w:sz w:val="15"/>
          <w:szCs w:val="15"/>
          <w:color w:val="auto"/>
        </w:rPr>
        <w:t>9.8</w:t>
      </w:r>
    </w:p>
    <w:p>
      <w:pPr>
        <w:spacing w:after="0" w:line="57" w:lineRule="exact"/>
        <w:rPr>
          <w:sz w:val="20"/>
          <w:szCs w:val="20"/>
          <w:color w:val="auto"/>
        </w:rPr>
      </w:pPr>
    </w:p>
    <w:p>
      <w:pPr>
        <w:ind w:left="1371" w:hanging="1371"/>
        <w:spacing w:after="0"/>
        <w:tabs>
          <w:tab w:leader="none" w:pos="1371" w:val="left"/>
        </w:tabs>
        <w:numPr>
          <w:ilvl w:val="0"/>
          <w:numId w:val="49"/>
        </w:numPr>
        <w:rPr>
          <w:rFonts w:ascii="Arial" w:cs="Arial" w:eastAsia="Arial" w:hAnsi="Arial"/>
          <w:sz w:val="15"/>
          <w:szCs w:val="15"/>
          <w:color w:val="auto"/>
        </w:rPr>
      </w:pPr>
      <w:r>
        <w:rPr>
          <w:rFonts w:ascii="Arial" w:cs="Arial" w:eastAsia="Arial" w:hAnsi="Arial"/>
          <w:sz w:val="15"/>
          <w:szCs w:val="15"/>
          <w:color w:val="auto"/>
        </w:rPr>
        <w:t>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11226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769" w:space="720"/>
            <w:col w:w="1751"/>
          </w:cols>
          <w:pgMar w:left="320" w:top="613" w:right="33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Tread+ and Tread Product Recall Return Reserves and Cost Estimates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 xml:space="preserve">On May 5, 2021, the Company announced a voluntary recall of its Tread+ in collaboration with the </w:t>
      </w:r>
      <w:r>
        <w:rPr>
          <w:rFonts w:ascii="Arial" w:cs="Arial" w:eastAsia="Arial" w:hAnsi="Arial"/>
          <w:sz w:val="16"/>
          <w:szCs w:val="16"/>
          <w:color w:val="000000"/>
        </w:rPr>
        <w:t>U.S. Consumer Product Safety Commission ("</w:t>
      </w:r>
      <w:r>
        <w:rPr>
          <w:rFonts w:ascii="Arial" w:cs="Arial" w:eastAsia="Arial" w:hAnsi="Arial"/>
          <w:sz w:val="16"/>
          <w:szCs w:val="16"/>
          <w:color w:val="050505"/>
        </w:rPr>
        <w:t>CPSC") and halted sales of this product to work on product enhancements. On May 18, 2023, the Company and the CPSC jointly announced the approval of a rear guard repair for the recalled Tread+. The Company has made this rear guard available to its Members who continue to own a Tread+ and, during the year ended June 30, 2024, the Company resumed deliveries of the Tread+ from its existing inventory with the rear guard installed.</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050505"/>
        </w:rPr>
        <w:t>The following table details the (benefit)/reduction to Connected Fitness Products revenue for actual and future returns and costs associated with Tread+ and Tread product recalls that were recorded in Connected Fitness Products cost of revenue.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Fiscal Year Ended June 30,</w:t>
            </w:r>
          </w:p>
        </w:tc>
        <w:tc>
          <w:tcPr>
            <w:tcW w:w="1080" w:type="dxa"/>
            <w:vAlign w:val="bottom"/>
            <w:tcBorders>
              <w:bottom w:val="single" w:sz="8" w:color="auto"/>
            </w:tcBorders>
          </w:tcPr>
          <w:p>
            <w:pPr>
              <w:spacing w:after="0"/>
              <w:rPr>
                <w:sz w:val="18"/>
                <w:szCs w:val="18"/>
                <w:color w:val="auto"/>
              </w:rPr>
            </w:pPr>
          </w:p>
        </w:tc>
      </w:tr>
      <w:tr>
        <w:trPr>
          <w:trHeight w:val="209"/>
        </w:trPr>
        <w:tc>
          <w:tcPr>
            <w:tcW w:w="6680" w:type="dxa"/>
            <w:vAlign w:val="bottom"/>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10"/>
        </w:trPr>
        <w:tc>
          <w:tcPr>
            <w:tcW w:w="6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Returns accrual for (benefit)/reduction to Connected Fitness Products revenue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r>
      <w:tr>
        <w:trPr>
          <w:trHeight w:val="215"/>
        </w:trPr>
        <w:tc>
          <w:tcPr>
            <w:tcW w:w="6680" w:type="dxa"/>
            <w:vAlign w:val="bottom"/>
          </w:tcPr>
          <w:p>
            <w:pPr>
              <w:ind w:left="20"/>
              <w:spacing w:after="0"/>
              <w:rPr>
                <w:sz w:val="20"/>
                <w:szCs w:val="20"/>
                <w:color w:val="auto"/>
              </w:rPr>
            </w:pPr>
            <w:r>
              <w:rPr>
                <w:rFonts w:ascii="Arial" w:cs="Arial" w:eastAsia="Arial" w:hAnsi="Arial"/>
                <w:sz w:val="16"/>
                <w:szCs w:val="16"/>
                <w:color w:val="auto"/>
              </w:rPr>
              <w:t>(Benefits) costs of product recalls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15.7</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8.1</w:t>
            </w:r>
          </w:p>
        </w:tc>
      </w:tr>
    </w:tbl>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050505"/>
        </w:rPr>
        <w:t xml:space="preserve">Return reserves related to the impacts of the Tread+ recall of $6.7 million and $24.4 million were included within Accounts payable and accrued expenses in the Consolidated Balance Sheets as of </w:t>
      </w:r>
      <w:r>
        <w:rPr>
          <w:rFonts w:ascii="Arial" w:cs="Arial" w:eastAsia="Arial" w:hAnsi="Arial"/>
          <w:sz w:val="16"/>
          <w:szCs w:val="16"/>
          <w:color w:val="000000"/>
        </w:rPr>
        <w:t>June 30, 2024 and 2023, respectively</w:t>
      </w:r>
      <w:r>
        <w:rPr>
          <w:rFonts w:ascii="Arial" w:cs="Arial" w:eastAsia="Arial" w:hAnsi="Arial"/>
          <w:sz w:val="16"/>
          <w:szCs w:val="16"/>
          <w:color w:val="050505"/>
        </w:rPr>
        <w:t xml:space="preserve">. Accruals for costs associated with the Tread+ repair of $4.1 million and </w:t>
      </w:r>
      <w:r>
        <w:rPr>
          <w:rFonts w:ascii="Arial" w:cs="Arial" w:eastAsia="Arial" w:hAnsi="Arial"/>
          <w:sz w:val="16"/>
          <w:szCs w:val="16"/>
          <w:color w:val="000000"/>
        </w:rPr>
        <w:t>$10.0</w:t>
      </w:r>
      <w:r>
        <w:rPr>
          <w:rFonts w:ascii="Arial" w:cs="Arial" w:eastAsia="Arial" w:hAnsi="Arial"/>
          <w:sz w:val="16"/>
          <w:szCs w:val="16"/>
          <w:color w:val="050505"/>
        </w:rPr>
        <w:t xml:space="preserve"> </w:t>
      </w:r>
      <w:r>
        <w:rPr>
          <w:rFonts w:ascii="Arial" w:cs="Arial" w:eastAsia="Arial" w:hAnsi="Arial"/>
          <w:sz w:val="16"/>
          <w:szCs w:val="16"/>
          <w:color w:val="000000"/>
        </w:rPr>
        <w:t xml:space="preserve">million </w:t>
      </w:r>
      <w:r>
        <w:rPr>
          <w:rFonts w:ascii="Arial" w:cs="Arial" w:eastAsia="Arial" w:hAnsi="Arial"/>
          <w:sz w:val="16"/>
          <w:szCs w:val="16"/>
          <w:color w:val="050505"/>
        </w:rPr>
        <w:t>were included within Accounts payable and accrued expenses in the Consolidated Balance Sheets as of</w:t>
      </w:r>
      <w:r>
        <w:rPr>
          <w:rFonts w:ascii="Arial" w:cs="Arial" w:eastAsia="Arial" w:hAnsi="Arial"/>
          <w:sz w:val="16"/>
          <w:szCs w:val="16"/>
          <w:color w:val="000000"/>
        </w:rPr>
        <w:t xml:space="preserve"> June 30, 2024 and </w:t>
      </w:r>
      <w:r>
        <w:rPr>
          <w:rFonts w:ascii="Arial" w:cs="Arial" w:eastAsia="Arial" w:hAnsi="Arial"/>
          <w:sz w:val="16"/>
          <w:szCs w:val="16"/>
          <w:color w:val="050505"/>
        </w:rPr>
        <w:t>June 30, 2023</w:t>
      </w:r>
      <w:r>
        <w:rPr>
          <w:rFonts w:ascii="Arial" w:cs="Arial" w:eastAsia="Arial" w:hAnsi="Arial"/>
          <w:sz w:val="16"/>
          <w:szCs w:val="16"/>
          <w:color w:val="000000"/>
        </w:rPr>
        <w:t>, respectively</w:t>
      </w:r>
      <w:r>
        <w:rPr>
          <w:rFonts w:ascii="Arial" w:cs="Arial" w:eastAsia="Arial" w:hAnsi="Arial"/>
          <w:sz w:val="16"/>
          <w:szCs w:val="16"/>
          <w:color w:val="050505"/>
        </w:rPr>
        <w:t>. The estimated return reserves are based on historical and expected product returns. The estimated costs associated with the Tread+ repair are</w:t>
      </w:r>
      <w:r>
        <w:rPr>
          <w:rFonts w:ascii="Arial" w:cs="Arial" w:eastAsia="Arial" w:hAnsi="Arial"/>
          <w:sz w:val="16"/>
          <w:szCs w:val="16"/>
          <w:color w:val="000000"/>
        </w:rPr>
        <w:t xml:space="preserve"> </w:t>
      </w:r>
      <w:r>
        <w:rPr>
          <w:rFonts w:ascii="Arial" w:cs="Arial" w:eastAsia="Arial" w:hAnsi="Arial"/>
          <w:sz w:val="16"/>
          <w:szCs w:val="16"/>
          <w:color w:val="050505"/>
        </w:rPr>
        <w:t>primarily based on the estimated number of requests for the Tread+ repair and the estimated costs of the production, delivery, and installation of the remedy.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3"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6"/>
          <w:szCs w:val="16"/>
          <w:b w:val="1"/>
          <w:bCs w:val="1"/>
          <w:i w:val="1"/>
          <w:iCs w:val="1"/>
          <w:color w:val="auto"/>
        </w:rPr>
        <w:t>Bike Seat Post Recall</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 xml:space="preserve">On May 11, 2023, in collaboration with the CPSC, the Company announced a voluntary recall of the original Peloton Bike (not Bike+) sold in the U.S. from January 2018 to May 2023 related to its seat post, and the Company is offering Members a free replacement seat post as the approved repair. As a result of this recall, the Company recognized </w:t>
      </w:r>
      <w:r>
        <w:rPr>
          <w:rFonts w:ascii="Arial" w:cs="Arial" w:eastAsia="Arial" w:hAnsi="Arial"/>
          <w:sz w:val="16"/>
          <w:szCs w:val="16"/>
          <w:color w:val="050505"/>
        </w:rPr>
        <w:t>$(5.5) million</w:t>
      </w:r>
      <w:r>
        <w:rPr>
          <w:rFonts w:ascii="Arial" w:cs="Arial" w:eastAsia="Arial" w:hAnsi="Arial"/>
          <w:sz w:val="16"/>
          <w:szCs w:val="16"/>
          <w:color w:val="auto"/>
        </w:rPr>
        <w:t xml:space="preserve"> and </w:t>
      </w:r>
      <w:r>
        <w:rPr>
          <w:rFonts w:ascii="Arial" w:cs="Arial" w:eastAsia="Arial" w:hAnsi="Arial"/>
          <w:sz w:val="16"/>
          <w:szCs w:val="16"/>
          <w:color w:val="050505"/>
        </w:rPr>
        <w:t>$48.4 million</w:t>
      </w:r>
      <w:r>
        <w:rPr>
          <w:rFonts w:ascii="Arial" w:cs="Arial" w:eastAsia="Arial" w:hAnsi="Arial"/>
          <w:sz w:val="16"/>
          <w:szCs w:val="16"/>
          <w:color w:val="auto"/>
        </w:rPr>
        <w:t xml:space="preserve"> for the (benefits) costs to replace the bike seat posts based on an amount that was deemed probable and reasonably estimable, reflected in Connected Fitness Products cost of revenue in the Consolidated Statements of Operations and Comprehensive Loss for the fiscal year ended June 30, 2024 </w:t>
      </w:r>
      <w:r>
        <w:rPr>
          <w:rFonts w:ascii="Arial" w:cs="Arial" w:eastAsia="Arial" w:hAnsi="Arial"/>
          <w:sz w:val="16"/>
          <w:szCs w:val="16"/>
          <w:color w:val="050505"/>
        </w:rPr>
        <w:t>and 2023. As o</w:t>
      </w:r>
      <w:r>
        <w:rPr>
          <w:rFonts w:ascii="Arial" w:cs="Arial" w:eastAsia="Arial" w:hAnsi="Arial"/>
          <w:sz w:val="16"/>
          <w:szCs w:val="16"/>
          <w:color w:val="auto"/>
        </w:rPr>
        <w:t>f June 30, 2024 and June 30, 2023</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accruals of $1.2 million and </w:t>
      </w:r>
      <w:r>
        <w:rPr>
          <w:rFonts w:ascii="Arial" w:cs="Arial" w:eastAsia="Arial" w:hAnsi="Arial"/>
          <w:sz w:val="16"/>
          <w:szCs w:val="16"/>
          <w:color w:val="050505"/>
        </w:rPr>
        <w:t>$42.2 million,</w:t>
      </w:r>
      <w:r>
        <w:rPr>
          <w:rFonts w:ascii="Arial" w:cs="Arial" w:eastAsia="Arial" w:hAnsi="Arial"/>
          <w:sz w:val="16"/>
          <w:szCs w:val="16"/>
          <w:color w:val="auto"/>
        </w:rPr>
        <w:t xml:space="preserve"> </w:t>
      </w:r>
      <w:r>
        <w:rPr>
          <w:rFonts w:ascii="Arial" w:cs="Arial" w:eastAsia="Arial" w:hAnsi="Arial"/>
          <w:sz w:val="16"/>
          <w:szCs w:val="16"/>
          <w:color w:val="050505"/>
        </w:rPr>
        <w:t xml:space="preserve">respectively, </w:t>
      </w:r>
      <w:r>
        <w:rPr>
          <w:rFonts w:ascii="Arial" w:cs="Arial" w:eastAsia="Arial" w:hAnsi="Arial"/>
          <w:sz w:val="16"/>
          <w:szCs w:val="16"/>
          <w:color w:val="000000"/>
        </w:rPr>
        <w:t>were</w:t>
      </w:r>
      <w:r>
        <w:rPr>
          <w:rFonts w:ascii="Arial" w:cs="Arial" w:eastAsia="Arial" w:hAnsi="Arial"/>
          <w:sz w:val="16"/>
          <w:szCs w:val="16"/>
          <w:color w:val="050505"/>
        </w:rPr>
        <w:t xml:space="preserve"> included within Accounts payable and accrued expenses in the accompanying Consolidated Balance Sheets related to the recall. The estimated cost to replace the bike seat posts is primarily based on the estimated number of requests for seat posts and the estimated costs of the production and shipment of the replacement parts. </w:t>
      </w:r>
      <w:r>
        <w:rPr>
          <w:rFonts w:ascii="Arial" w:cs="Arial" w:eastAsia="Arial" w:hAnsi="Arial"/>
          <w:sz w:val="16"/>
          <w:szCs w:val="16"/>
          <w:color w:val="000000"/>
        </w:rPr>
        <w:t>For more detail on the potential impacts of the recall to the Company’s business, see</w:t>
      </w:r>
      <w:r>
        <w:rPr>
          <w:rFonts w:ascii="Arial" w:cs="Arial" w:eastAsia="Arial" w:hAnsi="Arial"/>
          <w:sz w:val="16"/>
          <w:szCs w:val="16"/>
          <w:color w:val="050505"/>
        </w:rPr>
        <w:t xml:space="preserve"> </w:t>
      </w:r>
      <w:r>
        <w:rPr>
          <w:rFonts w:ascii="Arial" w:cs="Arial" w:eastAsia="Arial" w:hAnsi="Arial"/>
          <w:sz w:val="16"/>
          <w:szCs w:val="16"/>
          <w:i w:val="1"/>
          <w:iCs w:val="1"/>
          <w:color w:val="000000"/>
        </w:rPr>
        <w:t>“Risk Factors—Risks Related</w:t>
      </w:r>
    </w:p>
    <w:p>
      <w:pPr>
        <w:spacing w:after="0" w:line="2"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i w:val="1"/>
          <w:iCs w:val="1"/>
          <w:color w:val="auto"/>
        </w:rPr>
        <w:t>to Our Connected Fitness Products and Members—Our products and services may be affected from time to time by design and manufacturing defects or product safety issues, real or perceived, that could adversely affect our business and result in harm to our reputation.”</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 to Suppliers</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utilizes contract manufacturers to build its products and accessories. These contract manufacturers acquire components and build products based on demand forecast information the Company supplies, which typically covers a rolling 12-month period. Consistent with industry practice, the Company acquires inventories from such manufacturers through blanket purchase orders against which orders are applied based on projected demand information and availability of goods. Such purchase commitments typically cover the Company’s forecasted product and manufacturing requirements for periods that range a number of months. In certain instances, these agreements allow the Company the option to cancel, reschedule, and/or adjust its requirements based on its business needs for a period of time before the order is due to be fulfilled. While the Company’s purchase orders are legally cancellable in many situations, there are some which are not cancellable in the event of a demand plan change or other circumstances, such as where the supplier has procured unique, Peloton-specific designs, and/or specific non-cancellable, non-returnable components based on the Company’s provided forecasts.</w:t>
      </w:r>
    </w:p>
    <w:p>
      <w:pPr>
        <w:spacing w:after="0" w:line="200" w:lineRule="exact"/>
        <w:rPr>
          <w:sz w:val="20"/>
          <w:szCs w:val="20"/>
          <w:color w:val="auto"/>
        </w:rPr>
      </w:pP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June 30, 2024, the Company’s commitments to contract with third-party manufacturers for their inventory on-hand and component purchase commitments related to the manufacture of Peloton products were estimated to be approximately $87.8 million, of which $80.1 million is expected to be paid over the next twelve months.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and Regulatory Proceedings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is, or may become, a party to legal and regulatory proceedings with respect to a variety of matters in the ordinary course of its business, including the matters set forth below. We deny the allegations in the active matters described below and intend to vigorously defend against such matters.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Some of the Company’s legal and regulatory proceedings, including matters and litigation that center around intellectual property claims, may be based on complex claims involving substantial uncertainties and unascertainable damages. Accordingly, except for proceedings that have settled or been terminated, or except where otherwise indicated below, it is not possible to determine the probability of loss or estimate damages for such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w:t>
      </w:r>
    </w:p>
    <w:p>
      <w:pPr>
        <w:spacing w:after="0" w:line="21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Unless otherwise disclosed below, while it is reasonably possible that a loss may be incurred, the Company is unable to estimate a range of potential loss due to the complexity and current status of these lawsuits. In these matters, the Company has not established a reserve.</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evaluates, on a regular basis, developments in our legal proceedings and other contingencies that could affect the amount of liability, including amounts in excess of any previous accruals and reasonably possible losses disclosed, and make adjustments and changes to the Company’s accruals and disclosures as appropriate. For the matters the Company discloses that do not include an estimate of the amount of loss or range of losses, such an estimate is not possible or is immaterial.</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Given that the Company’s legal and regulatory proceedings are subject to uncertainty, there can be no assurance that such legal and regulatory proceedings, either individually or in the aggregate, will not have a material adverse effect on our business, results of operations, financial condition or cash flows.</w:t>
      </w:r>
    </w:p>
    <w:p>
      <w:pPr>
        <w:spacing w:after="0" w:line="3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May 2021, the Company initiated a voluntary recall of our Tread+ product in collaboration with the CPSC. In December 2022, the Company entered into a settlement agreement with the CPSC regarding matters related to the Tread+ recall. In the settlement, the Company agreed to pay a $19.1 million civil penalty, resolving the CPSC’s charges that we violated the Consumer Product Safety Act (the “CPSA”). On May 18, 2023, the Company and the CPSC jointly announced the approval of a rear guard repair for the recalled Tread+. The SEC is investigating the Company’s public disclosures concerning the Tread+ recall, as well as other matters. In addition, in 2021, the U.S. Department of Justice (the “DOJ”) and the Department of Homeland Security subpoenaed the Company for documents and other information related to the Company’s statutory obligations, including under the CPSA. In addition to such investigations, the Company is presently subject to personal injury claims related to the safety of the Tread+.</w:t>
      </w: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November 16, 2021, the United States District Court for the Eastern District of New York consolidated two putative securities class action lawsuits against the Company and certain of the Company’s officers under the caption In re Peloton Interactive, Inc. Securities Litigation, Master File No. 21-cv-02369-CBA-PK (“EDNY Class Action”), and appointed Richard Neswick as lead plaintiff. On January 21, 2022, the lead plaintiff filed an amended consolidated complaint in the action purportedly on behalf of a class consisting of those individuals who purchased or otherwise acquired the Company’s common stock between September 11, 2020 and May 5, 2021. Lead plaintiff alleged that the Company and certain of the Company’s officers made false or misleading statements in violation of Sections 10(b) and 20(a) of the Securities Exchange Act of 1934, as</w:t>
      </w:r>
    </w:p>
    <w:p>
      <w:pPr>
        <w:sectPr>
          <w:pgSz w:w="11900" w:h="16838" w:orient="portrait"/>
          <w:cols w:equalWidth="0" w:num="1">
            <w:col w:w="11240"/>
          </w:cols>
          <w:pgMar w:left="320" w:top="654" w:right="339" w:bottom="1440"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type w:val="continuous"/>
        </w:sectPr>
      </w:pPr>
    </w:p>
    <w:bookmarkStart w:id="98" w:name="page99"/>
    <w:bookmarkEnd w:id="98"/>
    <w:p>
      <w:pPr>
        <w:jc w:val="both"/>
        <w:spacing w:after="0" w:line="275" w:lineRule="auto"/>
        <w:rPr>
          <w:sz w:val="20"/>
          <w:szCs w:val="20"/>
          <w:color w:val="auto"/>
        </w:rPr>
      </w:pPr>
      <w:r>
        <w:rPr>
          <w:rFonts w:ascii="Arial" w:cs="Arial" w:eastAsia="Arial" w:hAnsi="Arial"/>
          <w:sz w:val="16"/>
          <w:szCs w:val="16"/>
          <w:color w:val="auto"/>
        </w:rPr>
        <w:t>amended (the “Exchange Act”), regarding the Peloton Tread+ and the safety of the product. On April 17, 2023, the parties entered into a settlement agreement to resolve the action for $14.0 million, for which the Company had previously taken a reserve. Under the terms of this agreement, defendants continue to deny any liability or wrongdoing. On July 9, 2024, the court approved the settlement and entered a final judgment in the EDNY Class Action.</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October 26, 2021 and January 24, 2022, the United States District Court for the Eastern District of New York consolidated four stockholder derivative actions purportedly on behalf of the Company against certain of the Company’s officers and directors under the caption In re Peloton Interactive, Inc. Derivative Litigation, Master File No. 21-cv-02862-CBA-PK (the “EDNY Derivative Action”), which alleged, among other claims, breaches of fiduciary duties, unjust enrichment, abuse of control, gross mismanagement, waste, and violations of Section 14(a) of the Exchange Act. Alan Chu, Moshe Genack, Xingqi Liu and Anthony Franchi were appointed as co-lead plaintiffs. The EDNY Derivative Action was stayed on February 11, 2022, and that stay was continued on March 8, 2023 pending resolution of the EDNY Class Action. On December 14, 2022, two putative verified stockholder derivative actions in the Court of Chancery of the State of Delaware, purportedly on behalf of the Company against certain of the Company’s officers and directors asserting similar allegations to those made in the EDNY Derivative Action, were consolidated as In re Peloton Interactive, Inc. Stockholder Derivative Litigation, Consol. Case No. 2022-1051-KSJM (the “Chancery Derivative Action”). The Chancery Derivative Action was stayed pending resolution of the EDNY Class Action. On December 22, 2022, a stockholder filed a putative stockholder derivative action in the United States District Court for the District of Delaware, asserting similar allegations to those in the EDNY Derivative Action and the Chancery Derivative Action against certain of the Company’s officers and directors, captioned Blackburn v. Foley, et al., Case No. 22-cv-01618-GBW (the “Blackburn Action”), which was also stayed on January 12, 2023 pending resolution of the EDNY Class Action. On July 29, 2024, the parties in the EDNY Derivative Action, the Chancery Derivative Action, and the Blackburn Action agreed to a settlement-in-principle to resolve those derivative actions.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May 11, 2023, in collaboration with the CPSC, the Company announced a voluntary recall of the original Peloton Bike (not Bike+) sold in the U.S. from January 2018 to May 2023 related to its seat post, and the Company is offering a free replacement seat post as the approved repair. On June 9, 2023, Sam Solomon filed a putative securities class action against the Company and certain of the Company’s officers in the U.S. District Court for the Eastern District of New York, Case No. 1:23-cv-04279-MKB-JRC (the “2023 Securities Litigation”). Jia Tian and David Feigelman were appointed as co-lead plaintiffs. On November 6, 2023, co-lead plaintiffs filed an amended complaint purportedly on behalf of a class consisting of those individuals who purchased or otherwise acquired our common stock between May 6, 2021 and August 22, 2023, alleging that the defendants made false and/or misleading statements relating to the seat post recall in violation of Sections 10(b) and 20(a) of the Exchange Act. On February 2, 2024, defendants served a motion to dismiss the amended complaint. Briefing on defendants’ motion to dismiss the amended complaint in the 2023 Securities Litigation was completed on May 17, 2024.</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September 27, 2023, Courtney Cooper and Abdo P. Faissal filed a verified stockholder derivative complaint, purportedly on behalf of the Company against certain of the Company’s officers and directors, captioned Cooper v. Boone, et. al., Case No. 23-cv-07193-MKB-MMH, in the U.S. District Court for the Eastern District of New York, which alleges breaches of fiduciary duties and violations of Section 14(a) of the Exchange Act, as well as a claim for contribution under Sections 10(b) and 21D of the Exchange Act for any liability the Company may incur as a result of the 2023 Securities Litigation. On January 8, 2024, the court stayed the action pending resolution of the motion to dismiss in the 2023 Securities Litigation.</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May 5, 2022, the United States District Court for the Southern District of New York consolidated two putative securities class action lawsuits against the Company and certain of the Company’s officers under the caption City of Hialeah Employees Retirement System et al. v. Peloton Interactive, Inc., et al., Case No. 21-CV-09582-ALC-OTW and appointed Robeco Capital Growth Funds SICAV – Robeco Global Consumer Trends as lead plaintiff in the class action (the “SDNY Class Action”). Lead plaintiff filed its amended complaint on June 25, 2022, alleging that the defendants made false and/or misleading statements about demand for the Company’s products and the reasons for the Company’s inventory growth, and engaged in improper trading in violation of Sections 10(b) and 20A of the Exchange Act. On March 30, 2023, the court granted defendants’ motion to dismiss, with leave to amend. Plaintiffs filed an amended complaint on May 6, 2023, purportedly on behalf of a class consisting of those individuals who purchased or otherwise acquired our common stock between February 5, 2021 and January 19, 2022, and defendants moved to dismiss the complaint on June 16, 2023. Briefing on defendants’ motion to dismiss the amended complaint in the SDNY Class Action was completed on August 18, 2023.</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July 26, 2023, the Court of Chancery in the State of Delaware consolidated three stockholder derivative actions purportedly on behalf of the Company against certain of the Company’s officers and directors under the caption In re Peloton Interactive, Inc. 2023 Derivative Litigation, Consol. Case No. 2023-0224-KSJM, which alleges that defendants breached their fiduciary duties by purportedly making false statements about demand for the Company’s products and engaging in improper trading. Allison Manzella, Clark Ovruchesky, Daniel Banks and Karen Florentino are co-lead plaintiffs. The court stayed the action on September 26, 2023 pending resolution of the motion to dismiss in the SDNY Class Action.</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August 4, 2022, Mayville Engineering Company, Inc. (“MEC”) filed suit against the Company in the Supreme Court of the State of New York, Index No. 652735/2022, alleging claims for breach of contract, or, in the alternative, breach of the implied duty of good faith and fair dealing. MEC alleges that the Company breached a supply agreement under which MEC agreed to supply certain parts for Peloton products, and that it is entitled to damages in an amount exceeding $107.0 million, plus pre-judgment interest, fees, and costs. On January 6, 2023, the court partially granted and partially denied the Company’s motion to dismiss MEC’s complaint, dismissing MEC’s alternative claim for breach of the implied duty of good faith and fair dealing with prejudice, but allowing MEC’s claim for breach of contract to move forward. On April 11, 2024, the court’s decision on the motion to dismiss was upheld on appeal, and the appellate Court simultaneously ruled in the Company’s favor on a separate appeal of a discovery order. In September 2023, the Company asserted a counterclaim and affirmative defense against MEC for fraudulent inducement of the supply agreement. Discovery is ongoing with a current fact discovery deadline of October 4, 2024. No trial date has been set. The Company cannot estimate the precise amount of any reasonably possible loss, as the estimate would depend on numerous uncertainties including future legal rulings, further factual developments concerning the extent of any recoverable damages, and the success of its counterclaim. The range of reasonably possible loss runs from zero to the full amount of MEC’s claim described above.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14. Stockholders' Equity</w:t>
      </w:r>
    </w:p>
    <w:p>
      <w:pPr>
        <w:spacing w:after="0" w:line="24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November 16, 2021, the Company entered into an underwriting agreement (the “Underwriting Agreement”) with Goldman Sachs &amp; Co. LLC and J.P. Morgan Securities LLC as representatives of the several underwriters named therein relating to the offer and sale by the Company (the “Offering”) of 27,173,912 shares (the “Shares”) of the Company’s Class A common stock, which includes 3,260,869 shares of Class A common stock issued and sold pursuant to the exercise in full by the underwriters of their option to purchase additional shares of Class A common stock. The Company sold the Shares to the underwriters at the public offering price of $46.00 per share less underwriting discounts</w:t>
      </w:r>
      <w:r>
        <w:rPr>
          <w:rFonts w:ascii="Arial" w:cs="Arial" w:eastAsia="Arial" w:hAnsi="Arial"/>
          <w:sz w:val="16"/>
          <w:szCs w:val="16"/>
          <w:b w:val="1"/>
          <w:bCs w:val="1"/>
          <w:color w:val="auto"/>
        </w:rPr>
        <w:t>.</w:t>
      </w:r>
    </w:p>
    <w:p>
      <w:pPr>
        <w:spacing w:after="0" w:line="192"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The net proceeds to the Company from the Offering were approximately $1.2 billion after deducting the underwriters’ discounts and commissions and the Company’s offering expenses.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Equity-Based Compensation</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Equity Incentive Plan</w:t>
      </w:r>
    </w:p>
    <w:p>
      <w:pPr>
        <w:spacing w:after="0" w:line="4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August 2019, the Board of Directors adopted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terms of the 2019 Plan, for stock option and restricted stock unit grants, vesting generally occurs over four years. Stock option grants are not exercisable after the expiration of ten years from the date of grant or such shorter period as specified in a stock award agreement.</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(the “evergreen feature”), or a lesser amount as determined by the Board of Directors. On July 1, 2023, the number of shares of Class A common stock available for issuance under the 2019 Plan was automatically increased according to its terms by 17,838,381 shares.</w:t>
      </w:r>
    </w:p>
    <w:p>
      <w:pPr>
        <w:spacing w:after="0" w:line="200" w:lineRule="exact"/>
        <w:rPr>
          <w:sz w:val="20"/>
          <w:szCs w:val="20"/>
          <w:color w:val="auto"/>
        </w:rPr>
      </w:pP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October 2023, the Company’s Board of Directors adopted an amendment to the 2019 Plan (the “Amendment”) that increases the number of shares available under the 2019 Plan by 36,000,000 shares of Class A common stock (and retains the existing evergreen feature through July 1, 2029) and extends the right to grant awards under the 2019 Plan through October 24, 2033. The Amendment became effective following approval by the Company’s stockholders on December 7, 2023. As of June 30, 2024, 63,750,706 shares of Class A common stock were available for future award under the 2019 Plan.</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summary sets forth the stock option activity under the 2019 Plan: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ind w:left="540"/>
              <w:spacing w:after="0"/>
              <w:rPr>
                <w:sz w:val="20"/>
                <w:szCs w:val="20"/>
                <w:color w:val="auto"/>
              </w:rPr>
            </w:pPr>
            <w:r>
              <w:rPr>
                <w:rFonts w:ascii="Arial" w:cs="Arial" w:eastAsia="Arial" w:hAnsi="Arial"/>
                <w:sz w:val="16"/>
                <w:szCs w:val="16"/>
                <w:b w:val="1"/>
                <w:bCs w:val="1"/>
                <w:color w:val="auto"/>
              </w:rPr>
              <w:t>Options Outstanding</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left="179"/>
              <w:spacing w:after="0" w:line="155" w:lineRule="exact"/>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rPr>
              <w:t>Weighted-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159"/>
              <w:spacing w:after="0" w:line="162" w:lineRule="exact"/>
              <w:rPr>
                <w:sz w:val="20"/>
                <w:szCs w:val="20"/>
                <w:color w:val="auto"/>
              </w:rPr>
            </w:pPr>
            <w:r>
              <w:rPr>
                <w:rFonts w:ascii="Arial" w:cs="Arial" w:eastAsia="Arial" w:hAnsi="Arial"/>
                <w:sz w:val="16"/>
                <w:szCs w:val="16"/>
                <w:b w:val="1"/>
                <w:bCs w:val="1"/>
                <w:color w:val="auto"/>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179"/>
              <w:spacing w:after="0" w:line="162" w:lineRule="exact"/>
              <w:rPr>
                <w:sz w:val="20"/>
                <w:szCs w:val="20"/>
                <w:color w:val="auto"/>
              </w:rPr>
            </w:pPr>
            <w:r>
              <w:rPr>
                <w:rFonts w:ascii="Arial" w:cs="Arial" w:eastAsia="Arial" w:hAnsi="Arial"/>
                <w:sz w:val="16"/>
                <w:szCs w:val="16"/>
                <w:b w:val="1"/>
                <w:bCs w:val="1"/>
                <w:color w:val="auto"/>
              </w:rPr>
              <w:t>Remaining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 Term</w:t>
            </w: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Stock Options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Exercise Price</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6"/>
                <w:szCs w:val="16"/>
                <w:b w:val="1"/>
                <w:bCs w:val="1"/>
                <w:color w:val="auto"/>
              </w:rPr>
              <w:t>(years)</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millions)</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2023</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42,999,273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19.71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w w:val="98"/>
              </w:rPr>
              <w:t>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spacing w:after="0"/>
              <w:rPr>
                <w:sz w:val="20"/>
                <w:szCs w:val="20"/>
                <w:color w:val="auto"/>
              </w:rPr>
            </w:pPr>
            <w:r>
              <w:rPr>
                <w:rFonts w:ascii="Arial" w:cs="Arial" w:eastAsia="Arial" w:hAnsi="Arial"/>
                <w:sz w:val="16"/>
                <w:szCs w:val="16"/>
                <w:color w:val="auto"/>
              </w:rPr>
              <w:t>922,816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3.94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(4,184,638)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Forfeited or expired</w:t>
            </w:r>
          </w:p>
        </w:tc>
        <w:tc>
          <w:tcPr>
            <w:tcW w:w="1400" w:type="dxa"/>
            <w:vAlign w:val="bottom"/>
          </w:tcPr>
          <w:p>
            <w:pPr>
              <w:jc w:val="right"/>
              <w:spacing w:after="0"/>
              <w:rPr>
                <w:sz w:val="20"/>
                <w:szCs w:val="20"/>
                <w:color w:val="auto"/>
              </w:rPr>
            </w:pPr>
            <w:r>
              <w:rPr>
                <w:rFonts w:ascii="Arial" w:cs="Arial" w:eastAsia="Arial" w:hAnsi="Arial"/>
                <w:sz w:val="16"/>
                <w:szCs w:val="16"/>
                <w:color w:val="auto"/>
              </w:rPr>
              <w:t>(10,835,962)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23.62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June 30, 2024</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28,901,489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20.14</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8"/>
              </w:rPr>
              <w:t>4.7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Vested and Exercisable— June 30,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22,553,224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18.73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98"/>
              </w:rPr>
              <w:t>4.0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6"/>
                <w:szCs w:val="16"/>
                <w:color w:val="auto"/>
              </w:rPr>
              <w:t>Unvested option activity is as follows:</w:t>
            </w: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53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Options</w:t>
            </w:r>
          </w:p>
        </w:tc>
        <w:tc>
          <w:tcPr>
            <w:tcW w:w="17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1760" w:type="dxa"/>
            <w:vAlign w:val="bottom"/>
            <w:gridSpan w:val="4"/>
          </w:tcPr>
          <w:p>
            <w:pPr>
              <w:jc w:val="right"/>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 June 30, 2023</w:t>
            </w: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12,407,094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18.84</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922,816</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(5,048,153)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0" w:type="dxa"/>
            <w:vAlign w:val="bottom"/>
          </w:tcPr>
          <w:p>
            <w:pPr>
              <w:spacing w:after="0"/>
              <w:rPr>
                <w:sz w:val="1"/>
                <w:szCs w:val="1"/>
                <w:color w:val="auto"/>
              </w:rPr>
            </w:pPr>
          </w:p>
        </w:tc>
      </w:tr>
      <w:tr>
        <w:trPr>
          <w:trHeight w:val="215"/>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 or expired</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(1,933,492)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18.78</w:t>
            </w:r>
          </w:p>
        </w:tc>
        <w:tc>
          <w:tcPr>
            <w:tcW w:w="0" w:type="dxa"/>
            <w:vAlign w:val="bottom"/>
          </w:tcPr>
          <w:p>
            <w:pPr>
              <w:spacing w:after="0"/>
              <w:rPr>
                <w:sz w:val="1"/>
                <w:szCs w:val="1"/>
                <w:color w:val="auto"/>
              </w:rPr>
            </w:pPr>
          </w:p>
        </w:tc>
      </w:tr>
      <w:tr>
        <w:trPr>
          <w:trHeight w:val="23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 June 30, 2024</w:t>
            </w: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6,348,265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27"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100" w:name="page101"/>
    <w:bookmarkEnd w:id="100"/>
    <w:p>
      <w:pPr>
        <w:jc w:val="both"/>
        <w:spacing w:after="0" w:line="265" w:lineRule="auto"/>
        <w:rPr>
          <w:sz w:val="20"/>
          <w:szCs w:val="20"/>
          <w:color w:val="auto"/>
        </w:rPr>
      </w:pPr>
      <w:r>
        <w:rPr>
          <w:rFonts w:ascii="Arial" w:cs="Arial" w:eastAsia="Arial" w:hAnsi="Arial"/>
          <w:sz w:val="16"/>
          <w:szCs w:val="16"/>
          <w:color w:val="auto"/>
        </w:rPr>
        <w:t>The aggregate intrinsic value of options outstanding and vested and exercisable, were calculated as the difference between the exercise price of the options and the fair value of the Company’s common stock as of June 30, 2024. The fair value of the common stock is the closing stock price of the Company's Class A common stock as reported on The Nasdaq Global Select Market. The aggregate intrinsic value of exercised options was $12.7 million, $85.1 million, and $376.3 million for the fiscal years ended June 30, 2024, 2023, and 2022, respectively.</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July 1, 2022, the Compensation Committee of the Board of Directors of the Company approved a one-time repricing of certain stock option awards that had been granted to date under the 2019 Plan. The repricing impacted stock options held by all employees who remained employed through July 25, 2022. The repricing did not apply to the Company’s U.S.-based hourly employees (or employees with equivalent roles in non-U.S. locations) or its C-level executives. The original exercise prices of the repriced stock options ranged from $12.94 to $146.79 per share for the 2,138 total grantees. Each stock option was repriced to have a per share exercise price of $9.13, which was the closing price of the Company’s Class A common stock on July 1, 2022. There were no changes to the number of shares, the vesting schedule or the expiration date of the repriced stock options. Incremental stock-based compensation expense resulting from the repricing was $21.9 million in the aggregate.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For the fiscal years ended June 30, 2024, 2023, and 2022, the weighted-average grant date fair value per option was $2.46, $6.42, and $22.27,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option was estimated at the grant date using the Black-Scholes method with the following assumptions:</w:t>
      </w:r>
    </w:p>
    <w:p>
      <w:pPr>
        <w:spacing w:after="0" w:line="249"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auto"/>
        </w:rPr>
        <w:t>Fiscal Year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r>
      <w:tr>
        <w:trPr>
          <w:trHeight w:val="209"/>
        </w:trPr>
        <w:tc>
          <w:tcPr>
            <w:tcW w:w="55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Weighted average risk-free interest rate </w:t>
            </w:r>
            <w:r>
              <w:rPr>
                <w:rFonts w:ascii="Arial" w:cs="Arial" w:eastAsia="Arial" w:hAnsi="Arial"/>
                <w:sz w:val="21"/>
                <w:szCs w:val="21"/>
                <w:color w:val="auto"/>
                <w:vertAlign w:val="superscript"/>
              </w:rPr>
              <w:t>(1)</w:t>
            </w: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15"/>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6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6760" w:type="dxa"/>
            <w:vAlign w:val="bottom"/>
            <w:gridSpan w:val="2"/>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Weighted average expected volatility </w:t>
            </w:r>
            <w:r>
              <w:rPr>
                <w:rFonts w:ascii="Arial" w:cs="Arial" w:eastAsia="Arial" w:hAnsi="Arial"/>
                <w:sz w:val="21"/>
                <w:szCs w:val="21"/>
                <w:color w:val="auto"/>
                <w:vertAlign w:val="superscript"/>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56.2 %</w:t>
            </w:r>
          </w:p>
        </w:tc>
      </w:tr>
      <w:tr>
        <w:trPr>
          <w:trHeight w:val="215"/>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Expected dividend yield</w:t>
            </w: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55"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Based on U.S. Treasury yield curve in effect at the time of grant.</w:t>
      </w:r>
    </w:p>
    <w:p>
      <w:pPr>
        <w:spacing w:after="0" w:line="53" w:lineRule="exact"/>
        <w:rPr>
          <w:rFonts w:ascii="Arial" w:cs="Arial" w:eastAsia="Arial" w:hAnsi="Arial"/>
          <w:sz w:val="13"/>
          <w:szCs w:val="13"/>
          <w:color w:val="auto"/>
        </w:rPr>
      </w:pPr>
    </w:p>
    <w:p>
      <w:pPr>
        <w:ind w:right="200" w:firstLine="8"/>
        <w:spacing w:after="0" w:line="286" w:lineRule="auto"/>
        <w:tabs>
          <w:tab w:leader="none" w:pos="189" w:val="left"/>
        </w:tabs>
        <w:numPr>
          <w:ilvl w:val="0"/>
          <w:numId w:val="50"/>
        </w:numPr>
        <w:rPr>
          <w:rFonts w:ascii="Arial" w:cs="Arial" w:eastAsia="Arial" w:hAnsi="Arial"/>
          <w:sz w:val="13"/>
          <w:szCs w:val="13"/>
          <w:color w:val="auto"/>
        </w:rPr>
      </w:pPr>
      <w:r>
        <w:rPr>
          <w:rFonts w:ascii="Arial" w:cs="Arial" w:eastAsia="Arial" w:hAnsi="Arial"/>
          <w:sz w:val="13"/>
          <w:szCs w:val="13"/>
          <w:color w:val="auto"/>
        </w:rPr>
        <w:t>Expected volatility is based on a blended average of average historical stock volatilities of several peer companies over the expected term of the stock options, historical volatility of the Company's stock price, and implied stock price volatility derived from the price of exchange traded options on the Company's stock.</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and Restricted Stock Units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the Company's restricted stock and restricted stock units: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2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5"/>
        </w:trPr>
        <w:tc>
          <w:tcPr>
            <w:tcW w:w="7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17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Number of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2023</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27,236,428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0" w:type="dxa"/>
            <w:vAlign w:val="bottom"/>
          </w:tcPr>
          <w:p>
            <w:pPr>
              <w:spacing w:after="0"/>
              <w:rPr>
                <w:sz w:val="1"/>
                <w:szCs w:val="1"/>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spacing w:after="0"/>
              <w:rPr>
                <w:sz w:val="20"/>
                <w:szCs w:val="20"/>
                <w:color w:val="auto"/>
              </w:rPr>
            </w:pPr>
            <w:r>
              <w:rPr>
                <w:rFonts w:ascii="Arial" w:cs="Arial" w:eastAsia="Arial" w:hAnsi="Arial"/>
                <w:sz w:val="16"/>
                <w:szCs w:val="16"/>
                <w:color w:val="auto"/>
              </w:rPr>
              <w:t>59,268,491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and converted to shares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(14,459,231)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(16,234,225)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35"/>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June 30,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55,811,463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August 2019, the Board of Directors adopted, and in September 2019, the Company's stockholders approved, the ESPP, through which eligible employees may purchase shares of the Company's Class A common stock at a discount through accumulated payroll deductions. The ESPP became effective on September 25, 2019, the date the registration statement, in connection with the Company’s initial public offering, was declared effective by the SEC (the "Effective Date"). The number of shares of the Company's Class A common stock that will be available for issuance and sale to eligible employees under the ESPP will increase automatically on the first day of each fiscal year of the Company beginning on July 1, 2020 through 2029, in an amount equal to 1% of the total number of outstanding shares of all classes of the Company's common stock on the immediately preceding June 30, or such lesser number as may be determined by the Board of Directors or applicable committee in its sole discretion. On July 1, 2023, the number of shares of Class A common stock available for issuance under the ESPP was automatically increased according to its terms by 3,567,676 shares. As of June 30, 2024, a total of 15,245,417 shares of Class A common stock were available for sale to employees under the ESPP.</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Unless otherwise determined by the Board of Directors, each offering period will consist of four six-month purchase periods, provided that the initial offering period commenced on the Effective Date and ended on August 31, 2021, and the initial purchase period ended February 28, 2020. Thereafter, each offering period and each purchase period commences on September 1 and March 1 and ends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 ongoing offering period immediately following the purchase of ESPP shares on the purchase date and would automatically be enrolled in the subsequent offering period (“ESPP reset”), resulting in a modification under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01" w:name="page102"/>
    <w:bookmarkEnd w:id="101"/>
    <w:p>
      <w:pPr>
        <w:jc w:val="both"/>
        <w:spacing w:after="0" w:line="275" w:lineRule="auto"/>
        <w:rPr>
          <w:sz w:val="20"/>
          <w:szCs w:val="20"/>
          <w:color w:val="auto"/>
        </w:rPr>
      </w:pPr>
      <w:r>
        <w:rPr>
          <w:rFonts w:ascii="Arial" w:cs="Arial" w:eastAsia="Arial" w:hAnsi="Arial"/>
          <w:sz w:val="16"/>
          <w:szCs w:val="16"/>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Black-Scholes option pricing model assumptions used to calculate the fair value of shares estimated to be purchased at the commencement of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ESPP offering periods were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Fiscal Year Ended June 30,</w:t>
            </w:r>
          </w:p>
        </w:tc>
        <w:tc>
          <w:tcPr>
            <w:tcW w:w="1040" w:type="dxa"/>
            <w:vAlign w:val="bottom"/>
            <w:tcBorders>
              <w:bottom w:val="single" w:sz="8" w:color="auto"/>
            </w:tcBorders>
          </w:tcPr>
          <w:p>
            <w:pPr>
              <w:spacing w:after="0"/>
              <w:rPr>
                <w:sz w:val="18"/>
                <w:szCs w:val="18"/>
                <w:color w:val="auto"/>
              </w:rPr>
            </w:pPr>
          </w:p>
        </w:tc>
      </w:tr>
      <w:tr>
        <w:trPr>
          <w:trHeight w:val="209"/>
        </w:trPr>
        <w:tc>
          <w:tcPr>
            <w:tcW w:w="6840" w:type="dxa"/>
            <w:vAlign w:val="bottom"/>
          </w:tcPr>
          <w:p>
            <w:pPr>
              <w:spacing w:after="0"/>
              <w:rPr>
                <w:sz w:val="18"/>
                <w:szCs w:val="18"/>
                <w:color w:val="auto"/>
              </w:rPr>
            </w:pPr>
          </w:p>
        </w:tc>
        <w:tc>
          <w:tcPr>
            <w:tcW w:w="104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rPr>
              <w:t>2024</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c>
          <w:tcPr>
            <w:tcW w:w="104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rPr>
              <w:t>2022</w:t>
            </w:r>
          </w:p>
        </w:tc>
      </w:tr>
      <w:tr>
        <w:trPr>
          <w:trHeight w:val="250"/>
        </w:trPr>
        <w:tc>
          <w:tcPr>
            <w:tcW w:w="6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risk-free interest rate</w:t>
            </w:r>
          </w:p>
        </w:tc>
        <w:tc>
          <w:tcPr>
            <w:tcW w:w="10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w w:val="98"/>
              </w:rPr>
              <w:t>2.1%</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0.9%</w:t>
            </w:r>
          </w:p>
        </w:tc>
        <w:tc>
          <w:tcPr>
            <w:tcW w:w="1040" w:type="dxa"/>
            <w:vAlign w:val="bottom"/>
            <w:shd w:val="clear" w:color="auto" w:fill="CCEEFF"/>
          </w:tcPr>
          <w:p>
            <w:pPr>
              <w:jc w:val="center"/>
              <w:ind w:right="279"/>
              <w:spacing w:after="0"/>
              <w:rPr>
                <w:sz w:val="20"/>
                <w:szCs w:val="20"/>
                <w:color w:val="auto"/>
              </w:rPr>
            </w:pPr>
            <w:r>
              <w:rPr>
                <w:rFonts w:ascii="Arial" w:cs="Arial" w:eastAsia="Arial" w:hAnsi="Arial"/>
                <w:sz w:val="16"/>
                <w:szCs w:val="16"/>
                <w:color w:val="auto"/>
                <w:w w:val="98"/>
              </w:rPr>
              <w:t>0.6%</w:t>
            </w:r>
          </w:p>
        </w:tc>
      </w:tr>
      <w:tr>
        <w:trPr>
          <w:trHeight w:val="215"/>
        </w:trPr>
        <w:tc>
          <w:tcPr>
            <w:tcW w:w="6840" w:type="dxa"/>
            <w:vAlign w:val="bottom"/>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1040" w:type="dxa"/>
            <w:vAlign w:val="bottom"/>
          </w:tcPr>
          <w:p>
            <w:pPr>
              <w:jc w:val="center"/>
              <w:ind w:left="279"/>
              <w:spacing w:after="0"/>
              <w:rPr>
                <w:sz w:val="20"/>
                <w:szCs w:val="20"/>
                <w:color w:val="auto"/>
              </w:rPr>
            </w:pPr>
            <w:r>
              <w:rPr>
                <w:rFonts w:ascii="Arial" w:cs="Arial" w:eastAsia="Arial" w:hAnsi="Arial"/>
                <w:sz w:val="16"/>
                <w:szCs w:val="16"/>
                <w:color w:val="auto"/>
              </w:rPr>
              <w:t>1.3</w:t>
            </w:r>
          </w:p>
        </w:tc>
        <w:tc>
          <w:tcPr>
            <w:tcW w:w="2320" w:type="dxa"/>
            <w:vAlign w:val="bottom"/>
          </w:tcPr>
          <w:p>
            <w:pPr>
              <w:jc w:val="center"/>
              <w:spacing w:after="0"/>
              <w:rPr>
                <w:sz w:val="20"/>
                <w:szCs w:val="20"/>
                <w:color w:val="auto"/>
              </w:rPr>
            </w:pPr>
            <w:r>
              <w:rPr>
                <w:rFonts w:ascii="Arial" w:cs="Arial" w:eastAsia="Arial" w:hAnsi="Arial"/>
                <w:sz w:val="16"/>
                <w:szCs w:val="16"/>
                <w:color w:val="auto"/>
              </w:rPr>
              <w:t>1.3</w:t>
            </w:r>
          </w:p>
        </w:tc>
        <w:tc>
          <w:tcPr>
            <w:tcW w:w="1040" w:type="dxa"/>
            <w:vAlign w:val="bottom"/>
          </w:tcPr>
          <w:p>
            <w:pPr>
              <w:jc w:val="center"/>
              <w:ind w:right="279"/>
              <w:spacing w:after="0"/>
              <w:rPr>
                <w:sz w:val="20"/>
                <w:szCs w:val="20"/>
                <w:color w:val="auto"/>
              </w:rPr>
            </w:pPr>
            <w:r>
              <w:rPr>
                <w:rFonts w:ascii="Arial" w:cs="Arial" w:eastAsia="Arial" w:hAnsi="Arial"/>
                <w:sz w:val="16"/>
                <w:szCs w:val="16"/>
                <w:color w:val="auto"/>
              </w:rPr>
              <w:t>1.2</w:t>
            </w:r>
          </w:p>
        </w:tc>
      </w:tr>
      <w:tr>
        <w:trPr>
          <w:trHeight w:val="21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expected volatility</w:t>
            </w:r>
          </w:p>
        </w:tc>
        <w:tc>
          <w:tcPr>
            <w:tcW w:w="104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93.0%</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88.2%</w:t>
            </w:r>
          </w:p>
        </w:tc>
        <w:tc>
          <w:tcPr>
            <w:tcW w:w="1040" w:type="dxa"/>
            <w:vAlign w:val="bottom"/>
            <w:shd w:val="clear" w:color="auto" w:fill="CCEEFF"/>
          </w:tcPr>
          <w:p>
            <w:pPr>
              <w:jc w:val="center"/>
              <w:ind w:right="299"/>
              <w:spacing w:after="0"/>
              <w:rPr>
                <w:sz w:val="20"/>
                <w:szCs w:val="20"/>
                <w:color w:val="auto"/>
              </w:rPr>
            </w:pPr>
            <w:r>
              <w:rPr>
                <w:rFonts w:ascii="Arial" w:cs="Arial" w:eastAsia="Arial" w:hAnsi="Arial"/>
                <w:sz w:val="16"/>
                <w:szCs w:val="16"/>
                <w:color w:val="auto"/>
              </w:rPr>
              <w:t>70.7%</w:t>
            </w:r>
          </w:p>
        </w:tc>
      </w:tr>
      <w:tr>
        <w:trPr>
          <w:trHeight w:val="215"/>
        </w:trPr>
        <w:tc>
          <w:tcPr>
            <w:tcW w:w="68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040" w:type="dxa"/>
            <w:vAlign w:val="bottom"/>
          </w:tcPr>
          <w:p>
            <w:pPr>
              <w:jc w:val="center"/>
              <w:ind w:left="279"/>
              <w:spacing w:after="0"/>
              <w:rPr>
                <w:sz w:val="20"/>
                <w:szCs w:val="20"/>
                <w:color w:val="auto"/>
              </w:rPr>
            </w:pPr>
            <w:r>
              <w:rPr>
                <w:rFonts w:ascii="Arial" w:cs="Arial" w:eastAsia="Arial" w:hAnsi="Arial"/>
                <w:sz w:val="16"/>
                <w:szCs w:val="16"/>
                <w:color w:val="auto"/>
                <w:w w:val="99"/>
              </w:rPr>
              <w:t>—</w:t>
            </w:r>
          </w:p>
        </w:tc>
        <w:tc>
          <w:tcPr>
            <w:tcW w:w="2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right="279"/>
              <w:spacing w:after="0"/>
              <w:rPr>
                <w:sz w:val="20"/>
                <w:szCs w:val="20"/>
                <w:color w:val="auto"/>
              </w:rPr>
            </w:pPr>
            <w:r>
              <w:rPr>
                <w:rFonts w:ascii="Arial" w:cs="Arial" w:eastAsia="Arial" w:hAnsi="Arial"/>
                <w:sz w:val="16"/>
                <w:szCs w:val="16"/>
                <w:color w:val="auto"/>
                <w:w w:val="99"/>
              </w:rPr>
              <w:t>—</w:t>
            </w:r>
          </w:p>
        </w:tc>
      </w:tr>
    </w:tbl>
    <w:p>
      <w:pPr>
        <w:spacing w:after="0" w:line="3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expected term assumptions were based on each offering period's respective purchase date. The expected volatility was derived from the blended average of historical stock volatilities of several unrelated public companies that the Company considers to be comparable to its business over a period equivalent to the expected terms of the stock options and the historical volatility of the Company's stock price. Beginning in the fiscal quarter ended March 31, 2022, the expected volatility is based on the historical volatility of the Company’s stock price. The risk-free rate assumptions 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20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During the fiscal years ended June 30, 2024, 2023, and 2022, the Company recorded Stock-based compensation expense associated with the ESPP of $7.6 million, $17.3 million, and $13.0 million respectively.</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the offering period that ended on August 31, 2023, employees purchased 373,114 shares of Class A common stock at a weighted-average price of $5.42 under the ESPP. In connection with the offering period that ended on February 28, 2024, employees purchased under the ESPP 575,897 shares of Class A common stock at a weighted-average price of $3.94. As of June 30, 2024, total unrecognized compensation cost related to the ESPP was $8.0 million, which will be amortized over a weighted-average remaining period of 1.7 years.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stock-based compensation expense was as follows:</w:t>
      </w: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65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Fiscal Year Ended June 30,</w:t>
            </w:r>
          </w:p>
        </w:tc>
        <w:tc>
          <w:tcPr>
            <w:tcW w:w="1000" w:type="dxa"/>
            <w:vAlign w:val="bottom"/>
            <w:tcBorders>
              <w:bottom w:val="single" w:sz="8" w:color="auto"/>
            </w:tcBorders>
          </w:tcPr>
          <w:p>
            <w:pPr>
              <w:spacing w:after="0"/>
              <w:rPr>
                <w:sz w:val="18"/>
                <w:szCs w:val="18"/>
                <w:color w:val="auto"/>
              </w:rPr>
            </w:pPr>
          </w:p>
        </w:tc>
      </w:tr>
      <w:tr>
        <w:trPr>
          <w:trHeight w:val="210"/>
        </w:trPr>
        <w:tc>
          <w:tcPr>
            <w:tcW w:w="65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50"/>
        </w:trPr>
        <w:tc>
          <w:tcPr>
            <w:tcW w:w="6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5"/>
        </w:trPr>
        <w:tc>
          <w:tcPr>
            <w:tcW w:w="656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17"/>
        </w:trPr>
        <w:tc>
          <w:tcPr>
            <w:tcW w:w="6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09"/>
        </w:trPr>
        <w:tc>
          <w:tcPr>
            <w:tcW w:w="6560" w:type="dxa"/>
            <w:vAlign w:val="bottom"/>
          </w:tcPr>
          <w:p>
            <w:pPr>
              <w:ind w:left="220"/>
              <w:spacing w:after="0"/>
              <w:rPr>
                <w:sz w:val="20"/>
                <w:szCs w:val="20"/>
                <w:color w:val="auto"/>
              </w:rPr>
            </w:pPr>
            <w:r>
              <w:rPr>
                <w:rFonts w:ascii="Arial" w:cs="Arial" w:eastAsia="Arial" w:hAnsi="Arial"/>
                <w:sz w:val="16"/>
                <w:szCs w:val="16"/>
                <w:color w:val="auto"/>
              </w:rPr>
              <w:t>Total cost of revenue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42.9</w:t>
            </w:r>
          </w:p>
        </w:tc>
      </w:tr>
      <w:tr>
        <w:trPr>
          <w:trHeight w:val="21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15"/>
        </w:trPr>
        <w:tc>
          <w:tcPr>
            <w:tcW w:w="656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177.1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152.4</w:t>
            </w:r>
          </w:p>
        </w:tc>
      </w:tr>
      <w:tr>
        <w:trPr>
          <w:trHeight w:val="21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215"/>
        </w:trPr>
        <w:tc>
          <w:tcPr>
            <w:tcW w:w="6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Restructuring expense</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w:t>
            </w:r>
          </w:p>
        </w:tc>
      </w:tr>
      <w:tr>
        <w:trPr>
          <w:trHeight w:val="235"/>
        </w:trPr>
        <w:tc>
          <w:tcPr>
            <w:tcW w:w="6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stock-based compensation expense</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311.7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June 30, 2024, the Company had $470.4 million of unrecognized stock-based compensation expense related to unvested stock-based awards that is expected to be recognized over a weighted-average period of 2.6 years.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fiscal year ended June 30, 2023, 13 employees of the Company who were eligible to participate in the Company’s Severance and Change in Control Plan (the “Severance Plan”) terminated their employment. Certain modifications were made to equity awards, including, in certain instances, the post-termination period during which an employee may exercise outstanding stock options was extended from 90 days to one year (or the option expiration date, if earlier), and extended vesting was tied to certain consulting services that were deemed to be non-substantive. In one instance, the post-termination period during which an employee may exercise outstanding stock options was extended from 90 days to approximately 2.8 years. As a result of these modifications, the Company recognized incremental stock-based compensation expense of $49.6 million within Restructuring expense in the Consolidated Statements of Operations and Comprehensive Loss.</w:t>
      </w:r>
    </w:p>
    <w:p>
      <w:pPr>
        <w:spacing w:after="0" w:line="23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In the fiscal year ended June 30, 2024, certain modifications were made to equity awards for four employees, who were eligible to participate in the Severance Plan, excluding the impact separately disclosed below, of our former President and Chief Executive Officer (“CEO”) who was also</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02" w:name="page103"/>
    <w:bookmarkEnd w:id="102"/>
    <w:p>
      <w:pPr>
        <w:jc w:val="both"/>
        <w:spacing w:after="0" w:line="261" w:lineRule="auto"/>
        <w:rPr>
          <w:sz w:val="20"/>
          <w:szCs w:val="20"/>
          <w:color w:val="auto"/>
        </w:rPr>
      </w:pPr>
      <w:r>
        <w:rPr>
          <w:rFonts w:ascii="Arial" w:cs="Arial" w:eastAsia="Arial" w:hAnsi="Arial"/>
          <w:sz w:val="16"/>
          <w:szCs w:val="16"/>
          <w:color w:val="auto"/>
        </w:rPr>
        <w:t>covered under the Severance Plan. For the fiscal year ended June 30, 2024, this included the extension of the post-termination period during which an employee may exercise outstanding stock options from 90 days to one year (or the option expiration date, if earlier). In one instances during the fiscal year ended June 30, 2024, the post-termination period during which an employee may exercise outstanding stock options was extended from 90 days to the earlier of the original expiration date or 3 years. This employee transitioned to a non-executive advisory role. As a result of these modifications, the Company recognized incremental stock-based compensation expense of $5.6 million for the fiscal year ended June 30, 2024 within Restructuring expense in the Consolidated Statements of Operations and Comprehensive Loss.</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February 7, 2022, the Board of Directors granted our former President and CEO, 8,000,000 shares of the Company's Class A Common Stock (the "Option Award"). The Option Award had an exercise price of $38.77 per share, equal to the closing price of the Company's Class A common stock on the CEO Commencement Date of February 9, 2022. The awards were to vest and become exercisable over four years, with 1/48th vesting on each monthly anniversary of the CEO Commencement Date, subject to the provision of the CEO’s continued service to the Company through each vesting date. The awards were to be exercisable through February 8, 2032.</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2, 2024, Mr. McCarthy transitioned to a non-executive, strategic advisory role and was granted a new option award (the "Advisory Award") that will vest in equal monthly installments through December 31, 2024. Mr. McCarthy also received one year of accelerated vesting on all outstanding stock options (other than the Advisory Award), which will remain exercisable until December 31, 2027.</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the fiscal year ended June 30, 2024, in connection with the CEO transition, the Company recognized stock-based compensation expense of $41.9 million for the one year of accelerated vesting of the Option Award, which had an exercise price of $38.77 per share and a grant date fair value of approximately $167.6 million. In addition, the Company recognized incremental stock-based compensation expense of $5.4 million for the modification of stock option awards related to the extension of the exercise window through December 31, 2027. These expenses were recognized within General and administrative expense in the Consolidated Statements of Operations and Comprehensive Loss.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Concentration of Credit Risk and Major Customers and Vendors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and cash equivalents. The Company’s cash and cash equivalents are maintained with high-quality financial institutions, the compositions and maturities of which are regularly monitored by management.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For the fiscal years ended June 30, 2024, 2023, and 2022, there were no customers representing greater than 10% of the Company’s Total revenue.</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Company's top two vendors accounted for approximately 86% of inventory purchased the fiscal year ended June 30, 2024. For the fiscal years ended June 30, 2023 and 2022, the Company’s top three vendors accounted for approximately 78% of inventory purchased and the Company’s top two vendors accounted for approximately 60% of inventory purchased, respectively.</w:t>
      </w:r>
    </w:p>
    <w:p>
      <w:pPr>
        <w:spacing w:after="0" w:line="20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procures components from a broad group of suppliers. Some of the Company’s products require one or more components that are available from only a single source.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Pr>
          <w:p>
            <w:pPr>
              <w:spacing w:after="0"/>
              <w:rPr>
                <w:sz w:val="20"/>
                <w:szCs w:val="20"/>
                <w:color w:val="auto"/>
              </w:rPr>
            </w:pPr>
            <w:r>
              <w:rPr>
                <w:rFonts w:ascii="Arial" w:cs="Arial" w:eastAsia="Arial" w:hAnsi="Arial"/>
                <w:sz w:val="16"/>
                <w:szCs w:val="16"/>
                <w:b w:val="1"/>
                <w:bCs w:val="1"/>
                <w:color w:val="auto"/>
              </w:rPr>
              <w:t>17. Income Taxes</w:t>
            </w: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10"/>
        </w:trPr>
        <w:tc>
          <w:tcPr>
            <w:tcW w:w="4900" w:type="dxa"/>
            <w:vAlign w:val="bottom"/>
          </w:tcPr>
          <w:p>
            <w:pPr>
              <w:spacing w:after="0"/>
              <w:rPr>
                <w:sz w:val="20"/>
                <w:szCs w:val="20"/>
                <w:color w:val="auto"/>
              </w:rPr>
            </w:pPr>
            <w:r>
              <w:rPr>
                <w:rFonts w:ascii="Arial" w:cs="Arial" w:eastAsia="Arial" w:hAnsi="Arial"/>
                <w:sz w:val="16"/>
                <w:szCs w:val="16"/>
                <w:color w:val="auto"/>
              </w:rPr>
              <w:t>The components of loss before income taxes are as follows:</w:t>
            </w: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2"/>
        </w:trPr>
        <w:tc>
          <w:tcPr>
            <w:tcW w:w="4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center"/>
              <w:ind w:left="13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20"/>
                <w:szCs w:val="20"/>
                <w:color w:val="auto"/>
              </w:rPr>
            </w:pPr>
          </w:p>
        </w:tc>
      </w:tr>
      <w:tr>
        <w:trPr>
          <w:trHeight w:val="209"/>
        </w:trPr>
        <w:tc>
          <w:tcPr>
            <w:tcW w:w="4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r>
      <w:tr>
        <w:trPr>
          <w:trHeight w:val="210"/>
        </w:trPr>
        <w:tc>
          <w:tcPr>
            <w:tcW w:w="4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000" w:type="dxa"/>
            <w:vAlign w:val="bottom"/>
            <w:gridSpan w:val="2"/>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(2,454.4)</w:t>
            </w:r>
          </w:p>
        </w:tc>
      </w:tr>
      <w:tr>
        <w:trPr>
          <w:trHeight w:val="215"/>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8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(353.7)</w:t>
            </w:r>
          </w:p>
        </w:tc>
      </w:tr>
      <w:tr>
        <w:trPr>
          <w:trHeight w:val="235"/>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 before income taxes</w:t>
            </w:r>
          </w:p>
        </w:tc>
        <w:tc>
          <w:tcPr>
            <w:tcW w:w="8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(2,808.1)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795"/>
        </w:trPr>
        <w:tc>
          <w:tcPr>
            <w:tcW w:w="4900" w:type="dxa"/>
            <w:vAlign w:val="bottom"/>
          </w:tcPr>
          <w:p>
            <w:pPr>
              <w:spacing w:after="0"/>
              <w:rPr>
                <w:sz w:val="24"/>
                <w:szCs w:val="24"/>
                <w:color w:val="auto"/>
              </w:rPr>
            </w:pPr>
          </w:p>
        </w:tc>
        <w:tc>
          <w:tcPr>
            <w:tcW w:w="2000" w:type="dxa"/>
            <w:vAlign w:val="bottom"/>
            <w:gridSpan w:val="2"/>
          </w:tcPr>
          <w:p>
            <w:pPr>
              <w:jc w:val="right"/>
              <w:ind w:right="1059"/>
              <w:spacing w:after="0"/>
              <w:rPr>
                <w:sz w:val="20"/>
                <w:szCs w:val="20"/>
                <w:color w:val="auto"/>
              </w:rPr>
            </w:pPr>
            <w:r>
              <w:rPr>
                <w:rFonts w:ascii="Arial" w:cs="Arial" w:eastAsia="Arial" w:hAnsi="Arial"/>
                <w:sz w:val="16"/>
                <w:szCs w:val="16"/>
                <w:color w:val="auto"/>
              </w:rPr>
              <w:t>101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7"/>
        </w:trPr>
        <w:tc>
          <w:tcPr>
            <w:tcW w:w="49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20"/>
                <w:szCs w:val="20"/>
                <w:color w:val="auto"/>
              </w:rPr>
            </w:pPr>
            <w:r>
              <w:rPr>
                <w:rFonts w:ascii="Arial" w:cs="Arial" w:eastAsia="Arial" w:hAnsi="Arial"/>
                <w:sz w:val="16"/>
                <w:szCs w:val="16"/>
                <w:color w:val="auto"/>
              </w:rPr>
              <w:t>The components of income tax (benefit) expense are as follows: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48"/>
        </w:trPr>
        <w:tc>
          <w:tcPr>
            <w:tcW w:w="57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left="85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24"/>
                <w:szCs w:val="24"/>
                <w:color w:val="auto"/>
              </w:rPr>
            </w:pPr>
          </w:p>
        </w:tc>
      </w:tr>
      <w:tr>
        <w:trPr>
          <w:trHeight w:val="209"/>
        </w:trPr>
        <w:tc>
          <w:tcPr>
            <w:tcW w:w="57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r>
      <w:tr>
        <w:trPr>
          <w:trHeight w:val="210"/>
        </w:trPr>
        <w:tc>
          <w:tcPr>
            <w:tcW w:w="5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Federal</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Foreign</w:t>
            </w:r>
          </w:p>
        </w:tc>
        <w:tc>
          <w:tcPr>
            <w:tcW w:w="4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0"/>
        </w:trPr>
        <w:tc>
          <w:tcPr>
            <w:tcW w:w="57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195"/>
        </w:trPr>
        <w:tc>
          <w:tcPr>
            <w:tcW w:w="5780" w:type="dxa"/>
            <w:vAlign w:val="bottom"/>
          </w:tcPr>
          <w:p>
            <w:pPr>
              <w:ind w:left="20"/>
              <w:spacing w:after="0"/>
              <w:rPr>
                <w:sz w:val="20"/>
                <w:szCs w:val="20"/>
                <w:color w:val="auto"/>
              </w:rPr>
            </w:pPr>
            <w:r>
              <w:rPr>
                <w:rFonts w:ascii="Arial" w:cs="Arial" w:eastAsia="Arial" w:hAnsi="Arial"/>
                <w:sz w:val="16"/>
                <w:szCs w:val="16"/>
                <w:color w:val="auto"/>
              </w:rPr>
              <w:t>Deferred:</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7"/>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State</w:t>
            </w:r>
          </w:p>
        </w:tc>
        <w:tc>
          <w:tcPr>
            <w:tcW w:w="4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0"/>
        </w:trPr>
        <w:tc>
          <w:tcPr>
            <w:tcW w:w="57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from the U.S. statutory federal income tax rate to the effective income tax rate is as follows:</w:t>
      </w:r>
    </w:p>
    <w:p>
      <w:pPr>
        <w:spacing w:after="0" w:line="262"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auto"/>
        </w:rPr>
        <w:t>Fiscal Year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6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income tax rate</w:t>
            </w: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Permanent differences</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(0.9)</w:t>
            </w:r>
          </w:p>
        </w:tc>
      </w:tr>
      <w:tr>
        <w:trPr>
          <w:trHeight w:val="217"/>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 based compensation</w:t>
            </w: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r>
      <w:tr>
        <w:trPr>
          <w:trHeight w:val="21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Return to provision</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82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7"/>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Effects of rates different than statutory</w:t>
            </w: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r>
      <w:tr>
        <w:trPr>
          <w:trHeight w:val="21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State and local income taxes, net of federal benefit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820" w:type="dxa"/>
            <w:vAlign w:val="bottom"/>
          </w:tcPr>
          <w:p>
            <w:pPr>
              <w:jc w:val="right"/>
              <w:ind w:right="1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4.4</w:t>
            </w:r>
          </w:p>
        </w:tc>
      </w:tr>
      <w:tr>
        <w:trPr>
          <w:trHeight w:val="217"/>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(28.3)</w:t>
            </w:r>
          </w:p>
        </w:tc>
      </w:tr>
      <w:tr>
        <w:trPr>
          <w:trHeight w:val="21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Rate change</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0.3</w:t>
            </w:r>
          </w:p>
        </w:tc>
      </w:tr>
      <w:tr>
        <w:trPr>
          <w:trHeight w:val="217"/>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Federal credits</w:t>
            </w: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0.9</w:t>
            </w:r>
          </w:p>
        </w:tc>
      </w:tr>
      <w:tr>
        <w:trPr>
          <w:trHeight w:val="21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State credits</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2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r>
      <w:tr>
        <w:trPr>
          <w:trHeight w:val="210"/>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Effective income tax rate</w:t>
            </w:r>
          </w:p>
        </w:tc>
        <w:tc>
          <w:tcPr>
            <w:tcW w:w="66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0"/>
        </w:trPr>
        <w:tc>
          <w:tcPr>
            <w:tcW w:w="5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primary differences from the U.S. statutory rate and the Company’s effective tax rate for the fiscal year ended June 30, 2024 are due to the change in valuation allowance, stock-based compensation, and state and international taxes. The primary differences from the U.S. statutory rate and the Company’s effective tax rate for the fiscal year ended June 30, 2023 were due to the change in valuation allowance, stock-based compensation including excess tax benefits, and state and international taxes. The primary differences from the U.S. statutory rate and the Company’s effective tax rate for the fiscal year ended June 30, 2022 were due to the change in valuation allowance, stock-based compensation including excess tax benefits, and state and international taxes.</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16, 2022, the Inflation Reduction Act was signed into law in the United States. Among other provisions, the Inflation Reduction Act includes a 15% minimum tax rate applied to corporations with profits in excess of $1 billion and also includes an excise tax on the repurchase of corporate stock. The Company has reviewed the provisions of the law and does not believe that any of the provisions will have a material impact on the business.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March 11, 2021, the American Rescue Plan was enacted, which extends the period companies can claim an Employee Retention Credit, expands the IRC Section 162(m) limit on deductions for publicly traded companies, and repeals the election that allows US affiliate groups to allocate interest expense on a worldwide basis, among other provisions. The Company reviewed the provisions of the law and determined it had no material impact for the fiscal year ended June 30, 2024.</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June 30, 2024 and June 30, 2023, the Company’s deferred tax assets were primarily the result of U.S. federal and state net operating losses (“NOLs”), non-qualified stock options, accruals and reserves, lease liability, research and development tax credits, §263A UNICAP, and Section 174 capitalized expenditures. A valuation allowance was maintained and/or established in substantially all jurisdictions on the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4" w:name="page105"/>
    <w:bookmarkEnd w:id="104"/>
    <w:p>
      <w:pPr>
        <w:jc w:val="both"/>
        <w:spacing w:after="0" w:line="262" w:lineRule="auto"/>
        <w:rPr>
          <w:sz w:val="20"/>
          <w:szCs w:val="20"/>
          <w:color w:val="auto"/>
        </w:rPr>
      </w:pPr>
      <w:r>
        <w:rPr>
          <w:rFonts w:ascii="Arial" w:cs="Arial" w:eastAsia="Arial" w:hAnsi="Arial"/>
          <w:sz w:val="16"/>
          <w:szCs w:val="16"/>
          <w:color w:val="auto"/>
        </w:rPr>
        <w:t>Company’s gross deferred tax asset balances as of June 30, 2024 and 2023. As of each reporting date, the Company’s management considers new evidence, both positive and negative, that could impact management’s view with regard to future realization of deferred tax assets. The realization of deferred tax assets was based on the evaluation of current and estimated future profitability of the operations, reversal of deferred tax liabilities and the likelihood of utilizing tax credit and/or loss carryforwards. As of June 30, 2024 and June 30, 2023, the Company continued to maintain that it is not at the more likely than not standard, wherein deferred taxes will be realized due to the recent history of losses and management’s expectation of continued tax losses.</w:t>
      </w:r>
    </w:p>
    <w:p>
      <w:pPr>
        <w:spacing w:after="0" w:line="4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(liabilities)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Fiscal Year Ended June 30,</w:t>
            </w:r>
          </w:p>
        </w:tc>
        <w:tc>
          <w:tcPr>
            <w:tcW w:w="680" w:type="dxa"/>
            <w:vAlign w:val="bottom"/>
            <w:tcBorders>
              <w:bottom w:val="single" w:sz="8" w:color="auto"/>
            </w:tcBorders>
          </w:tcPr>
          <w:p>
            <w:pPr>
              <w:spacing w:after="0"/>
              <w:rPr>
                <w:sz w:val="18"/>
                <w:szCs w:val="18"/>
                <w:color w:val="auto"/>
              </w:rPr>
            </w:pPr>
          </w:p>
        </w:tc>
      </w:tr>
      <w:tr>
        <w:trPr>
          <w:trHeight w:val="209"/>
        </w:trPr>
        <w:tc>
          <w:tcPr>
            <w:tcW w:w="76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09"/>
        </w:trPr>
        <w:tc>
          <w:tcPr>
            <w:tcW w:w="7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Net operating loss</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1,025.0</w:t>
            </w:r>
          </w:p>
        </w:tc>
        <w:tc>
          <w:tcPr>
            <w:tcW w:w="100" w:type="dxa"/>
            <w:vAlign w:val="bottom"/>
          </w:tcPr>
          <w:p>
            <w:pPr>
              <w:spacing w:after="0"/>
              <w:rPr>
                <w:sz w:val="18"/>
                <w:szCs w:val="18"/>
                <w:color w:val="auto"/>
              </w:rPr>
            </w:pP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939.3</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Accruals and reserves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w:t>
            </w: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R&amp;D credit</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74.9</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legal and professional fees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Non-qualified stock options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109.0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110.5</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Restricted stock options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Disallowed Interest Carryover</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Intangible Amortization</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Capitalized R&amp;E</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66.1</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Inventory capitalization</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Lease liability</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163.0</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revenue</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Construction in Progress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Convertible Securities</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5"/>
        </w:trPr>
        <w:tc>
          <w:tcPr>
            <w:tcW w:w="76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1,699.0</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Valuation allowance</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(1,603.3)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9"/>
              </w:rPr>
              <w:t>(1,533.3)</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Prepaid Expenses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Property and equipment</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Right-of-use assets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(103.9)</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(127.7)</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Convertible securities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6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 tax liabilities:</w:t>
            </w: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(166.0)</w:t>
            </w: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1"/>
        </w:trPr>
        <w:tc>
          <w:tcPr>
            <w:tcW w:w="7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of June 30, 2024 and 2023, the Company had federal NOLs of approximately $3,313.8 million and $3,101.6 million, respectively, of which $64.8 million will begin to expire in 2034 and the remainder will be carried forward indefinitely. The Company has undergone three ownership changes in the past which have historically subjected its NOLs to a Section 382 limitation. The resulting Section 382 limitations are large enough to avail the Section 382 limited NOLs by June 30, 2022, therefore no NOLs are currently limited. As of June 30, 2024 and 2023, the Company had state NOLs of approximately $2,590.8 million and $2,309.9 million, respectively, which began to expire at various dates beginning in 2024 if not utilized. As of June 30, 2024 and 2023, the Company had foreign NOLs of approximately $711.3 million and $609.7 million, respectively, generated primarily from its operations in the United Kingdom, which will be carried forward indefinitely. As of June 30, 2024 and 2023, the Company had $74.6 million and $71.9 million, respectively, of federal U.S. research and development credit carryovers that will begin to expire in 2036.</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June 30, 2024, the Company did not have material undistributed foreign earnings. The Company has not recorded a deferred tax liability for foreign withholding or other foreign local tax on the undistributed earnings from the Company’s international subsidiaries as such earnings are considered to be indefinitely reinvested.</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5" w:name="page106"/>
    <w:bookmarkEnd w:id="105"/>
    <w:p>
      <w:pPr>
        <w:jc w:val="both"/>
        <w:spacing w:after="0" w:line="265" w:lineRule="auto"/>
        <w:rPr>
          <w:sz w:val="20"/>
          <w:szCs w:val="20"/>
          <w:color w:val="auto"/>
        </w:rPr>
      </w:pPr>
      <w:r>
        <w:rPr>
          <w:rFonts w:ascii="Arial" w:cs="Arial" w:eastAsia="Arial" w:hAnsi="Arial"/>
          <w:sz w:val="16"/>
          <w:szCs w:val="16"/>
          <w:color w:val="auto"/>
        </w:rPr>
        <w:t>The Company utilizes a two-step approach to recognize and measure unrecognized tax benefits.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to be realized upon ultimate settlement.</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policy is to include interest and penalties related to unrecognized tax benefits, if any, within Income tax expense (benefit) in the Consolidated Statements of Operations and Comprehensive Income (Loss).</w:t>
      </w:r>
    </w:p>
    <w:p>
      <w:pPr>
        <w:spacing w:after="0" w:line="183" w:lineRule="exact"/>
        <w:rPr>
          <w:sz w:val="20"/>
          <w:szCs w:val="20"/>
          <w:color w:val="auto"/>
        </w:rPr>
      </w:pPr>
    </w:p>
    <w:p>
      <w:pPr>
        <w:ind w:right="720"/>
        <w:spacing w:after="0" w:line="304" w:lineRule="auto"/>
        <w:rPr>
          <w:sz w:val="20"/>
          <w:szCs w:val="20"/>
          <w:color w:val="auto"/>
        </w:rPr>
      </w:pPr>
      <w:r>
        <w:rPr>
          <w:rFonts w:ascii="Arial" w:cs="Arial" w:eastAsia="Arial" w:hAnsi="Arial"/>
          <w:sz w:val="16"/>
          <w:szCs w:val="16"/>
          <w:color w:val="auto"/>
        </w:rPr>
        <w:t>At both June 30, 2024 and 2023, the Company had no unrecognized tax benefits included as a component of income taxes payable within accrued expenses within the accompanying Consolidated Balance Sheets. The Company has the following activity relating to unrecognized tax benefits: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Fiscal Year Ended June 30,</w:t>
            </w:r>
          </w:p>
        </w:tc>
        <w:tc>
          <w:tcPr>
            <w:tcW w:w="460" w:type="dxa"/>
            <w:vAlign w:val="bottom"/>
            <w:tcBorders>
              <w:bottom w:val="single" w:sz="8" w:color="auto"/>
            </w:tcBorders>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r>
      <w:tr>
        <w:trPr>
          <w:trHeight w:val="209"/>
        </w:trPr>
        <w:tc>
          <w:tcPr>
            <w:tcW w:w="7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(decrease) increase in unrecognized tax positions</w:t>
            </w: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Although it is possible that unrecognized tax benefits may increase or decrease within the next twelve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w:t>
      </w:r>
    </w:p>
    <w:p>
      <w:pPr>
        <w:spacing w:after="0" w:line="191" w:lineRule="exact"/>
        <w:rPr>
          <w:sz w:val="20"/>
          <w:szCs w:val="20"/>
          <w:color w:val="auto"/>
        </w:rPr>
      </w:pPr>
    </w:p>
    <w:p>
      <w:pPr>
        <w:jc w:val="both"/>
        <w:ind w:right="200"/>
        <w:spacing w:after="0" w:line="265" w:lineRule="auto"/>
        <w:rPr>
          <w:sz w:val="20"/>
          <w:szCs w:val="20"/>
          <w:color w:val="auto"/>
        </w:rPr>
      </w:pPr>
      <w:r>
        <w:rPr>
          <w:rFonts w:ascii="Arial" w:cs="Arial" w:eastAsia="Arial" w:hAnsi="Arial"/>
          <w:sz w:val="16"/>
          <w:szCs w:val="16"/>
          <w:color w:val="auto"/>
        </w:rPr>
        <w:t>The Company is subject to taxation in the United States, various state and local jurisdictions, as well as foreign jurisdictions where the Company conducts business. Accordingly, on a continuing basis, the Company cooperates with taxing authorities for the various jurisdictions in which it conducts business to comply with audits and inquiries for tax periods that are open to examination. The tax years ended June 30, 2021 and later remain open to examination by tax authorities in the United States and United Kingdom.</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00" w:type="dxa"/>
            <w:vAlign w:val="bottom"/>
          </w:tcPr>
          <w:p>
            <w:pPr>
              <w:spacing w:after="0"/>
              <w:rPr>
                <w:sz w:val="20"/>
                <w:szCs w:val="20"/>
                <w:color w:val="auto"/>
              </w:rPr>
            </w:pPr>
            <w:r>
              <w:rPr>
                <w:rFonts w:ascii="Arial" w:cs="Arial" w:eastAsia="Arial" w:hAnsi="Arial"/>
                <w:sz w:val="16"/>
                <w:szCs w:val="16"/>
                <w:b w:val="1"/>
                <w:bCs w:val="1"/>
                <w:color w:val="auto"/>
              </w:rPr>
              <w:t>18. Net Loss Per Share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97"/>
        </w:trPr>
        <w:tc>
          <w:tcPr>
            <w:tcW w:w="6800" w:type="dxa"/>
            <w:vAlign w:val="bottom"/>
          </w:tcPr>
          <w:p>
            <w:pPr>
              <w:spacing w:after="0"/>
              <w:rPr>
                <w:sz w:val="20"/>
                <w:szCs w:val="20"/>
                <w:color w:val="auto"/>
              </w:rPr>
            </w:pPr>
            <w:r>
              <w:rPr>
                <w:rFonts w:ascii="Arial" w:cs="Arial" w:eastAsia="Arial" w:hAnsi="Arial"/>
                <w:sz w:val="16"/>
                <w:szCs w:val="16"/>
                <w:color w:val="auto"/>
              </w:rPr>
              <w:t>The computation of loss per share is as follows: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8"/>
        </w:trPr>
        <w:tc>
          <w:tcPr>
            <w:tcW w:w="6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left="719"/>
              <w:spacing w:after="0"/>
              <w:rPr>
                <w:sz w:val="20"/>
                <w:szCs w:val="20"/>
                <w:color w:val="auto"/>
              </w:rPr>
            </w:pPr>
            <w:r>
              <w:rPr>
                <w:rFonts w:ascii="Arial" w:cs="Arial" w:eastAsia="Arial" w:hAnsi="Arial"/>
                <w:sz w:val="16"/>
                <w:szCs w:val="16"/>
                <w:b w:val="1"/>
                <w:bCs w:val="1"/>
                <w:color w:val="auto"/>
              </w:rPr>
              <w:t>Fiscal Year Ended June 30,</w:t>
            </w:r>
          </w:p>
        </w:tc>
        <w:tc>
          <w:tcPr>
            <w:tcW w:w="1080" w:type="dxa"/>
            <w:vAlign w:val="bottom"/>
            <w:tcBorders>
              <w:bottom w:val="single" w:sz="8" w:color="auto"/>
            </w:tcBorders>
          </w:tcPr>
          <w:p>
            <w:pPr>
              <w:spacing w:after="0"/>
              <w:rPr>
                <w:sz w:val="24"/>
                <w:szCs w:val="24"/>
                <w:color w:val="auto"/>
              </w:rPr>
            </w:pPr>
          </w:p>
        </w:tc>
      </w:tr>
      <w:tr>
        <w:trPr>
          <w:trHeight w:val="210"/>
        </w:trPr>
        <w:tc>
          <w:tcPr>
            <w:tcW w:w="6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09"/>
        </w:trPr>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gridSpan w:val="7"/>
          </w:tcPr>
          <w:p>
            <w:pPr>
              <w:jc w:val="center"/>
              <w:ind w:right="199"/>
              <w:spacing w:after="0"/>
              <w:rPr>
                <w:sz w:val="20"/>
                <w:szCs w:val="20"/>
                <w:color w:val="auto"/>
              </w:rPr>
            </w:pPr>
            <w:r>
              <w:rPr>
                <w:rFonts w:ascii="Arial" w:cs="Arial" w:eastAsia="Arial" w:hAnsi="Arial"/>
                <w:sz w:val="16"/>
                <w:szCs w:val="16"/>
                <w:b w:val="1"/>
                <w:bCs w:val="1"/>
                <w:color w:val="auto"/>
              </w:rPr>
              <w:t>($ in millions, except per share amounts)</w:t>
            </w:r>
          </w:p>
        </w:tc>
      </w:tr>
      <w:tr>
        <w:trPr>
          <w:trHeight w:val="215"/>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 loss per share:</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r>
      <w:tr>
        <w:trPr>
          <w:trHeight w:val="210"/>
        </w:trPr>
        <w:tc>
          <w:tcPr>
            <w:tcW w:w="6800" w:type="dxa"/>
            <w:vAlign w:val="bottom"/>
          </w:tcPr>
          <w:p>
            <w:pPr>
              <w:ind w:left="240"/>
              <w:spacing w:after="0"/>
              <w:rPr>
                <w:sz w:val="20"/>
                <w:szCs w:val="20"/>
                <w:color w:val="auto"/>
              </w:rPr>
            </w:pPr>
            <w:r>
              <w:rPr>
                <w:rFonts w:ascii="Arial" w:cs="Arial" w:eastAsia="Arial" w:hAnsi="Arial"/>
                <w:sz w:val="16"/>
                <w:szCs w:val="16"/>
                <w:color w:val="auto"/>
              </w:rPr>
              <w:t>Net loss attributable to common stockholders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(2,827.7)</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used in computation:</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5"/>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365,546,334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346,670,699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322,368,818</w:t>
            </w:r>
          </w:p>
        </w:tc>
      </w:tr>
      <w:tr>
        <w:trPr>
          <w:trHeight w:val="235"/>
        </w:trPr>
        <w:tc>
          <w:tcPr>
            <w:tcW w:w="6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 and diluted loss per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loss per share are the same for each class of common stock because they are entitled to the same liquidation and dividend rights.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3380" w:type="dxa"/>
            <w:vAlign w:val="bottom"/>
            <w:tcBorders>
              <w:bottom w:val="single" w:sz="8" w:color="auto"/>
            </w:tcBorders>
            <w:gridSpan w:val="5"/>
          </w:tcPr>
          <w:p>
            <w:pPr>
              <w:ind w:left="1160"/>
              <w:spacing w:after="0"/>
              <w:rPr>
                <w:sz w:val="20"/>
                <w:szCs w:val="20"/>
                <w:color w:val="auto"/>
              </w:rPr>
            </w:pPr>
            <w:r>
              <w:rPr>
                <w:rFonts w:ascii="Arial" w:cs="Arial" w:eastAsia="Arial" w:hAnsi="Arial"/>
                <w:sz w:val="16"/>
                <w:szCs w:val="16"/>
                <w:b w:val="1"/>
                <w:bCs w:val="1"/>
                <w:color w:val="auto"/>
              </w:rPr>
              <w:t>Fiscal Year Ended June 30,</w:t>
            </w:r>
          </w:p>
        </w:tc>
        <w:tc>
          <w:tcPr>
            <w:tcW w:w="1020" w:type="dxa"/>
            <w:vAlign w:val="bottom"/>
            <w:tcBorders>
              <w:bottom w:val="single" w:sz="8" w:color="auto"/>
            </w:tcBorders>
          </w:tcPr>
          <w:p>
            <w:pPr>
              <w:spacing w:after="0"/>
              <w:rPr>
                <w:sz w:val="18"/>
                <w:szCs w:val="18"/>
                <w:color w:val="auto"/>
              </w:rPr>
            </w:pPr>
          </w:p>
        </w:tc>
      </w:tr>
      <w:tr>
        <w:trPr>
          <w:trHeight w:val="209"/>
        </w:trPr>
        <w:tc>
          <w:tcPr>
            <w:tcW w:w="684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options</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7,271,719</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13,742,253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36,846,242</w:t>
            </w:r>
          </w:p>
        </w:tc>
      </w:tr>
      <w:tr>
        <w:trPr>
          <w:trHeight w:val="215"/>
        </w:trPr>
        <w:tc>
          <w:tcPr>
            <w:tcW w:w="6840" w:type="dxa"/>
            <w:vAlign w:val="bottom"/>
          </w:tcPr>
          <w:p>
            <w:pPr>
              <w:ind w:left="20"/>
              <w:spacing w:after="0"/>
              <w:rPr>
                <w:sz w:val="20"/>
                <w:szCs w:val="20"/>
                <w:color w:val="auto"/>
              </w:rPr>
            </w:pPr>
            <w:r>
              <w:rPr>
                <w:rFonts w:ascii="Arial" w:cs="Arial" w:eastAsia="Arial" w:hAnsi="Arial"/>
                <w:sz w:val="16"/>
                <w:szCs w:val="16"/>
                <w:color w:val="auto"/>
              </w:rPr>
              <w:t>Restricted stock units and awards</w:t>
            </w:r>
          </w:p>
        </w:tc>
        <w:tc>
          <w:tcPr>
            <w:tcW w:w="1400" w:type="dxa"/>
            <w:vAlign w:val="bottom"/>
          </w:tcPr>
          <w:p>
            <w:pPr>
              <w:jc w:val="right"/>
              <w:spacing w:after="0"/>
              <w:rPr>
                <w:sz w:val="20"/>
                <w:szCs w:val="20"/>
                <w:color w:val="auto"/>
              </w:rPr>
            </w:pPr>
            <w:r>
              <w:rPr>
                <w:rFonts w:ascii="Arial" w:cs="Arial" w:eastAsia="Arial" w:hAnsi="Arial"/>
                <w:sz w:val="16"/>
                <w:szCs w:val="16"/>
                <w:color w:val="auto"/>
              </w:rPr>
              <w:t>817,182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1,408,482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174,580</w:t>
            </w:r>
          </w:p>
        </w:tc>
      </w:tr>
      <w:tr>
        <w:trPr>
          <w:trHeight w:val="21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estimated to be purchased under ESPP</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28,370</w:t>
            </w: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of the Notes</w:t>
      </w:r>
    </w:p>
    <w:p>
      <w:pPr>
        <w:spacing w:after="0" w:line="5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conversion option will have a dilutive impact on net income per share of common stock when the average market price per share of the Company's Class A common stock for a given period exceeds the conversion price of the 2026 Notes of $239.23 per share and the 2029 Notes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06" w:name="page107"/>
    <w:bookmarkEnd w:id="106"/>
    <w:p>
      <w:pPr>
        <w:jc w:val="both"/>
        <w:spacing w:after="0" w:line="286" w:lineRule="auto"/>
        <w:rPr>
          <w:sz w:val="20"/>
          <w:szCs w:val="20"/>
          <w:color w:val="auto"/>
        </w:rPr>
      </w:pPr>
      <w:r>
        <w:rPr>
          <w:rFonts w:ascii="Arial" w:cs="Arial" w:eastAsia="Arial" w:hAnsi="Arial"/>
          <w:sz w:val="16"/>
          <w:szCs w:val="16"/>
          <w:color w:val="auto"/>
        </w:rPr>
        <w:t>of $4.58 per share. During the fiscal year ended June 30, 2024, the weighted average price per share of the Company's Class A common stock was below the conversion price of the Notes.</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denominator for basic and diluted loss per share does not include any effect from the Capped Call Transactions the Company entered into concurrently with the issuance of the 2026 Notes as this effect would be anti-dilutive. During the fiscal year ended June 30, 2024, the Capped Call Transactions were terminated. Refer to Note 12, Debt for additional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Segment Information</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The Company applies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determining reportable segments. The Company has two reportable segments: Connected Fitness Products and Subscription. Segment information is presented in the same manner that the chief operating decision makers ("CODM"), the Interim Co-Chief Executive Officers, review the operating results in assessing performance and allocating resources. The CODM reviews revenue and gross profit for both of the reportable segments. Gross profit is defined as revenue less cost of revenue incurred by the segment.</w:t>
      </w:r>
    </w:p>
    <w:p>
      <w:pPr>
        <w:spacing w:after="0" w:line="19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Connected Fitness Products segment derives revenue from sale of the Company's portfolio of Connected Fitness Products and related accessories, as well as Precor branded fitness products, delivery and installation services, rental lease arrangements, extended warranty agreements, branded apparel, and commercial service contracts. The Subscription segment derives revenue from monthly Subscription fees. There are no internal revenue transactions between the Company’s segments.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Key financial performance measures of the segments including Revenue, Cost of revenue, and Gross profit are as follows:</w:t>
      </w:r>
    </w:p>
    <w:p>
      <w:pPr>
        <w:spacing w:after="0" w:line="275" w:lineRule="exact"/>
        <w:rPr>
          <w:sz w:val="20"/>
          <w:szCs w:val="20"/>
          <w:color w:val="auto"/>
        </w:rPr>
      </w:pPr>
    </w:p>
    <w:p>
      <w:pPr>
        <w:jc w:val="center"/>
        <w:ind w:left="6780"/>
        <w:spacing w:after="0"/>
        <w:rPr>
          <w:sz w:val="20"/>
          <w:szCs w:val="20"/>
          <w:color w:val="auto"/>
        </w:rPr>
      </w:pPr>
      <w:r>
        <w:rPr>
          <w:rFonts w:ascii="Arial" w:cs="Arial" w:eastAsia="Arial" w:hAnsi="Arial"/>
          <w:sz w:val="16"/>
          <w:szCs w:val="16"/>
          <w:b w:val="1"/>
          <w:bCs w:val="1"/>
          <w:color w:val="auto"/>
        </w:rPr>
        <w:t>Fiscal 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20955</wp:posOffset>
            </wp:positionV>
            <wp:extent cx="28200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ind w:left="7320"/>
        <w:spacing w:after="0"/>
        <w:tabs>
          <w:tab w:leader="none" w:pos="8820" w:val="left"/>
          <w:tab w:leader="none" w:pos="10340"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20955</wp:posOffset>
            </wp:positionV>
            <wp:extent cx="28200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Fitness Products:</w:t>
            </w:r>
          </w:p>
        </w:tc>
        <w:tc>
          <w:tcPr>
            <w:tcW w:w="3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680"/>
              <w:spacing w:after="0"/>
              <w:rPr>
                <w:sz w:val="20"/>
                <w:szCs w:val="20"/>
                <w:color w:val="auto"/>
              </w:rPr>
            </w:pPr>
            <w:r>
              <w:rPr>
                <w:rFonts w:ascii="Arial" w:cs="Arial" w:eastAsia="Arial" w:hAnsi="Arial"/>
                <w:sz w:val="16"/>
                <w:szCs w:val="16"/>
                <w:color w:val="auto"/>
              </w:rPr>
              <w:t>Revenue</w:t>
            </w:r>
          </w:p>
        </w:tc>
        <w:tc>
          <w:tcPr>
            <w:tcW w:w="346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991.7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1,130.2</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2,187.5</w:t>
            </w: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30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2,433.8</w:t>
            </w:r>
          </w:p>
        </w:tc>
        <w:tc>
          <w:tcPr>
            <w:tcW w:w="0" w:type="dxa"/>
            <w:vAlign w:val="bottom"/>
          </w:tcPr>
          <w:p>
            <w:pPr>
              <w:spacing w:after="0"/>
              <w:rPr>
                <w:sz w:val="1"/>
                <w:szCs w:val="1"/>
                <w:color w:val="auto"/>
              </w:rPr>
            </w:pPr>
          </w:p>
        </w:tc>
      </w:tr>
      <w:tr>
        <w:trPr>
          <w:trHeight w:val="210"/>
        </w:trPr>
        <w:tc>
          <w:tcPr>
            <w:tcW w:w="38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30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(246.3)</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3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680"/>
              <w:spacing w:after="0"/>
              <w:rPr>
                <w:sz w:val="20"/>
                <w:szCs w:val="20"/>
                <w:color w:val="auto"/>
              </w:rPr>
            </w:pPr>
            <w:r>
              <w:rPr>
                <w:rFonts w:ascii="Arial" w:cs="Arial" w:eastAsia="Arial" w:hAnsi="Arial"/>
                <w:sz w:val="16"/>
                <w:szCs w:val="16"/>
                <w:color w:val="auto"/>
              </w:rPr>
              <w:t>Revenue</w:t>
            </w:r>
          </w:p>
        </w:tc>
        <w:tc>
          <w:tcPr>
            <w:tcW w:w="346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1,708.7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1,670.1</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1,394.7</w:t>
            </w: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30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09"/>
        </w:trPr>
        <w:tc>
          <w:tcPr>
            <w:tcW w:w="38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30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944.7</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w:t>
            </w:r>
          </w:p>
        </w:tc>
        <w:tc>
          <w:tcPr>
            <w:tcW w:w="3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680"/>
              <w:spacing w:after="0"/>
              <w:rPr>
                <w:sz w:val="20"/>
                <w:szCs w:val="20"/>
                <w:color w:val="auto"/>
              </w:rPr>
            </w:pPr>
            <w:r>
              <w:rPr>
                <w:rFonts w:ascii="Arial" w:cs="Arial" w:eastAsia="Arial" w:hAnsi="Arial"/>
                <w:sz w:val="16"/>
                <w:szCs w:val="16"/>
                <w:color w:val="auto"/>
              </w:rPr>
              <w:t>Revenue</w:t>
            </w:r>
          </w:p>
        </w:tc>
        <w:tc>
          <w:tcPr>
            <w:tcW w:w="346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2,700.5</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2,800.2</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3,582.1</w:t>
            </w: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30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1,876.7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2,883.8</w:t>
            </w:r>
          </w:p>
        </w:tc>
        <w:tc>
          <w:tcPr>
            <w:tcW w:w="0" w:type="dxa"/>
            <w:vAlign w:val="bottom"/>
          </w:tcPr>
          <w:p>
            <w:pPr>
              <w:spacing w:after="0"/>
              <w:rPr>
                <w:sz w:val="1"/>
                <w:szCs w:val="1"/>
                <w:color w:val="auto"/>
              </w:rPr>
            </w:pPr>
          </w:p>
        </w:tc>
      </w:tr>
      <w:tr>
        <w:trPr>
          <w:trHeight w:val="210"/>
        </w:trPr>
        <w:tc>
          <w:tcPr>
            <w:tcW w:w="38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30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000" w:type="dxa"/>
            <w:vAlign w:val="bottom"/>
            <w:vMerge w:val="restart"/>
          </w:tcPr>
          <w:p>
            <w:pPr>
              <w:jc w:val="right"/>
              <w:ind w:right="959"/>
              <w:spacing w:after="0"/>
              <w:rPr>
                <w:sz w:val="20"/>
                <w:szCs w:val="20"/>
                <w:color w:val="auto"/>
              </w:rPr>
            </w:pPr>
            <w:r>
              <w:rPr>
                <w:rFonts w:ascii="Arial" w:cs="Arial" w:eastAsia="Arial" w:hAnsi="Arial"/>
                <w:sz w:val="16"/>
                <w:szCs w:val="16"/>
                <w:color w:val="auto"/>
              </w:rPr>
              <w:t>105</w:t>
            </w: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8"/>
        </w:trPr>
        <w:tc>
          <w:tcPr>
            <w:tcW w:w="380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380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i w:val="1"/>
          <w:iCs w:val="1"/>
          <w:color w:val="auto"/>
        </w:rPr>
        <w:t>Reconciliation of Gross Profit</w:t>
      </w:r>
    </w:p>
    <w:p>
      <w:pPr>
        <w:spacing w:after="0" w:line="5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Operating expenditures, interest income and other expense, and taxes are not allocated to individual segments as these are managed on an entity wide group basis. The reconciliation between reportable Segment Gross Profit to consolidated loss before provision (benefit) for income taxes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Fiscal Year Ended June 30,</w:t>
            </w:r>
          </w:p>
        </w:tc>
        <w:tc>
          <w:tcPr>
            <w:tcW w:w="1040" w:type="dxa"/>
            <w:vAlign w:val="bottom"/>
            <w:tcBorders>
              <w:bottom w:val="single" w:sz="8" w:color="auto"/>
            </w:tcBorders>
          </w:tcPr>
          <w:p>
            <w:pPr>
              <w:spacing w:after="0"/>
              <w:rPr>
                <w:sz w:val="18"/>
                <w:szCs w:val="18"/>
                <w:color w:val="auto"/>
              </w:rPr>
            </w:pPr>
          </w:p>
        </w:tc>
      </w:tr>
      <w:tr>
        <w:trPr>
          <w:trHeight w:val="210"/>
        </w:trPr>
        <w:tc>
          <w:tcPr>
            <w:tcW w:w="6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09"/>
        </w:trPr>
        <w:tc>
          <w:tcPr>
            <w:tcW w:w="6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Gross Profit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698.4</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(1,018.9)</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(963.4)</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(359.5)</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Impairment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(390.5)</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Supplier settlements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(337.6)</w:t>
            </w: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r>
      <w:tr>
        <w:trPr>
          <w:trHeight w:val="210"/>
        </w:trPr>
        <w:tc>
          <w:tcPr>
            <w:tcW w:w="680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(2,808.1)</w:t>
            </w:r>
          </w:p>
        </w:tc>
      </w:tr>
      <w:tr>
        <w:trPr>
          <w:trHeight w:val="21"/>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108" w:name="page109"/>
    <w:bookmarkEnd w:id="108"/>
    <w:p>
      <w:pPr>
        <w:ind w:right="2639"/>
        <w:spacing w:after="0" w:line="286" w:lineRule="auto"/>
        <w:rPr>
          <w:sz w:val="20"/>
          <w:szCs w:val="20"/>
          <w:color w:val="auto"/>
        </w:rPr>
      </w:pPr>
      <w:r>
        <w:rPr>
          <w:rFonts w:ascii="Arial" w:cs="Arial" w:eastAsia="Arial" w:hAnsi="Arial"/>
          <w:sz w:val="16"/>
          <w:szCs w:val="16"/>
          <w:b w:val="1"/>
          <w:bCs w:val="1"/>
          <w:color w:val="auto"/>
        </w:rPr>
        <w:t xml:space="preserve">Item 9. Changes in and Disagreements with Accountants on Accounting and Financial Disclosure </w:t>
      </w:r>
      <w:r>
        <w:rPr>
          <w:rFonts w:ascii="Arial" w:cs="Arial" w:eastAsia="Arial" w:hAnsi="Arial"/>
          <w:sz w:val="16"/>
          <w:szCs w:val="16"/>
          <w:color w:val="auto"/>
        </w:rPr>
        <w:t>None.</w:t>
      </w:r>
    </w:p>
    <w:p>
      <w:pPr>
        <w:spacing w:after="0" w:line="399"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57" w:lineRule="exact"/>
        <w:rPr>
          <w:sz w:val="20"/>
          <w:szCs w:val="20"/>
          <w:color w:val="auto"/>
        </w:rPr>
      </w:pPr>
    </w:p>
    <w:p>
      <w:pPr>
        <w:ind w:right="760"/>
        <w:spacing w:after="0" w:line="304" w:lineRule="auto"/>
        <w:rPr>
          <w:sz w:val="20"/>
          <w:szCs w:val="20"/>
          <w:color w:val="auto"/>
        </w:rPr>
      </w:pPr>
      <w:r>
        <w:rPr>
          <w:rFonts w:ascii="Arial" w:cs="Arial" w:eastAsia="Arial" w:hAnsi="Arial"/>
          <w:sz w:val="16"/>
          <w:szCs w:val="16"/>
          <w:color w:val="auto"/>
        </w:rPr>
        <w:t>Under the supervision of our Co-Chief Executive Officers and Chief Financial Officer, we evaluated the effectiveness of our disclosure controls and procedures (as defined in Rules 13a-15(e) and 15d-15(e) under the Exchange Act) as of June 30, 2024.</w:t>
      </w:r>
    </w:p>
    <w:p>
      <w:pPr>
        <w:spacing w:after="0" w:line="16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Co-Chief Executive Officers and Chief Financial Officer, to allow timely decisions regarding required disclosure. As described below, we have identified material weaknesses in our internal control over financial reporting related to controls. 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 Solely as a result of these material weaknesses, our Co-Chief Executive Officers and Chief Financial Officer concluded that our disclosure controls and procedures were not effective as of June 30, 2024.</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4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for Peloton. With the participation of the Co-Chief Executive Officers and the Chief Financial Officer, management conducted an evaluation of the effectiveness of our internal control over financial reporting as of June 30, 2024 based on the guidelines established in the Internal Control—Integrated Framework (2013 framework) issued by the Committee of Sponsoring Organizations of the Treadway Commission (COSO). Based on that evaluation, our management concluded that our internal control over financial reporting was not effective as of June 30, 2024 because of the material weaknesses described below.</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Material Weaknesses and Remediation Plans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Previously Reported Material Weaknesses</w:t>
      </w:r>
    </w:p>
    <w:p>
      <w:pPr>
        <w:spacing w:after="0" w:line="57"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As reported in Part II, Item 9A. “Controls and Procedures” of our Annual Reports on Form 10-K for the fiscal years ended June 30, 2023, June 30, 2022 and June 30, 2021, we have identified a material weakness in our internal control over financial reporting related to controls around the existence, completeness, and valuation of inventory.</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Management has made significant enhancements to the Company’s inventory management process related to the existence, completeness, and valuation of inventory. Management has implemented or is in process of implementing new or enhanced internal control procedures intended to both address the identified material weakness and strengthen our overall financial control environment, including:</w:t>
      </w:r>
    </w:p>
    <w:p>
      <w:pPr>
        <w:spacing w:after="0" w:line="191"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Increased frequency of the periodic physical inventory count process at our distribution centers and final mile and locations;</w:t>
      </w:r>
    </w:p>
    <w:p>
      <w:pPr>
        <w:spacing w:after="0" w:line="30"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Increased accuracy of periodic inventory count at all third-party logistics service providers through increased communication, oversight of their inventory management policies and procedures, and higher partner accountability when dealing with errors;</w:t>
      </w:r>
    </w:p>
    <w:p>
      <w:pPr>
        <w:ind w:left="660" w:hanging="328"/>
        <w:spacing w:after="0" w:line="249"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Designed and implemented management oversight controls specifically related to inventory counts at third party distribution centers and final mile locations;</w:t>
      </w: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Increased operational accuracy of inventory cycle count processes;</w:t>
      </w:r>
    </w:p>
    <w:p>
      <w:pPr>
        <w:spacing w:after="0" w:line="14"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Improved timeliness and accuracy of transactional processing between Peloton and third-party service providers and increased the accuracy of inventory data across Peloton internal systems, Peloton warehouses, and third-party providers;</w:t>
      </w: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Implemented or enhanced controls related to inventory costing and the review of inventory excess and obsolescence reserves;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Consolidation of our inventory network and reduced our inventory exposure to locations with historically high physical count inaccuracy; and</w:t>
      </w:r>
    </w:p>
    <w:p>
      <w:pPr>
        <w:spacing w:after="0" w:line="5" w:lineRule="exact"/>
        <w:rPr>
          <w:rFonts w:ascii="Arial" w:cs="Arial" w:eastAsia="Arial" w:hAnsi="Arial"/>
          <w:sz w:val="16"/>
          <w:szCs w:val="16"/>
          <w:color w:val="auto"/>
        </w:rPr>
      </w:pPr>
    </w:p>
    <w:p>
      <w:pPr>
        <w:ind w:left="660" w:hanging="328"/>
        <w:spacing w:after="0" w:line="283"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Enhancements to training of standard operating procedures and internal controls to key stakeholders within the supply chain, logistics, and inventory processes.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These steps are subject to ongoing senior management review, as well as oversight by the audit committee of our Board of Directors.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While significant progress has been made to remediate this material weakness, management does not believe that these corrective measures have been either fully implemented or operating for a sufficient period of time to enable management to conclude that these internal controls over financial reporting are operating effectively and sufficiently to remediate this material weakness. When fully implemented and operational, we believe the measures described above will remediate the material weakness. We are committed to continuing to improve our internal control processes and will continue to diligently and vigorously review our financial reporting controls and procedures.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as previously reported in Part II, Item 9A. “Controls and Procedures” of our Annual Reports on Form 10-K for the fiscal year ended June 30, 2023, we identified a material weakness related to information technology general controls (“ITGCs”) in the area of user access for a certain information technology system specific to Precor. Specifically, the Company did not design and maintain sufficient user access controls to ensure appropriate segregation of duties and adequately restrict user and privileged access to a financial application, programs, and data to appropriate Company personnel. Automated and manual business process controls that are dependent on the affected ITGCs were also deemed ineffective because they could have been adversely affected to the extent that they rely upon information and configurations from the affected IT system.</w:t>
      </w:r>
    </w:p>
    <w:p>
      <w:pPr>
        <w:spacing w:after="0" w:line="20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have completed the execution of our remediation plan for this material weakness and, as of June 30, 2024, successfully remediated this material weakness by implementing the following measures:</w:t>
      </w:r>
    </w:p>
    <w:p>
      <w:pPr>
        <w:sectPr>
          <w:pgSz w:w="11900" w:h="16838" w:orient="portrait"/>
          <w:cols w:equalWidth="0" w:num="1">
            <w:col w:w="11240"/>
          </w:cols>
          <w:pgMar w:left="320" w:top="827" w:right="3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110" w:name="page111"/>
    <w:bookmarkEnd w:id="110"/>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Rationalized access privileges for all system users and critical transactions based on job responsibilities considering segregation of duties;</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Limited excess rights and access for all system users;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implemented controls that require periodic re-evaluation of user access privileges, including administrative access;</w:t>
      </w:r>
    </w:p>
    <w:p>
      <w:pPr>
        <w:spacing w:after="0" w:line="8"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designed compensating business process review controls for any high risk segregation of duties conflicts not able to be resolved by limiting user access in the system;</w:t>
      </w:r>
    </w:p>
    <w:p>
      <w:pPr>
        <w:jc w:val="both"/>
        <w:ind w:left="660" w:hanging="328"/>
        <w:spacing w:after="0" w:line="252" w:lineRule="auto"/>
        <w:tabs>
          <w:tab w:leader="none" w:pos="6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Engaged an accounting advisory firm to assist with the documentation, evaluation, remediation, and testing of our internal control over financial reporting related to user access controls based on the criteria established in Internal Control - Integrated Framework (2013) issued by the Committee of Sponsoring Organizations (COSO) of the Treadway Commission; and</w:t>
      </w: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Trained relevant personnel on the design and operation of our internal controls over financial reporting related to our ITGCs.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Material Weakness during Fiscal Year 2024</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During the quarter-ended March 31, 2024, management determined an additional and separate material weakness in our internal control over financial reporting exists related to Precor’s business process control environment. These business process controls were inherently deemed ineffective in the fiscal year 2023 due to the existing material weakness related to lack of effective ITGCs over its underlying financial reporting IT system, and as such were not separately assessed for design and operating effectiveness. In fiscal year 2024, in parallel with progressing remediation efforts outlined above related to the ITGC-related material weakness, management assessed the design and operating effectiveness of automated and manual business process controls in Precor’s environment. We completed our evaluation as of March 31, 2024, and identified a number of deficiencies in Precor’s business process control environment related to lack of proper design of controls and lack of sufficient documentation to validate control design effectiveness, in particular management review controls. Management determined that in the aggregate, these control deficiencies constitute a material weakness.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Management has designed and performed additional procedures on a quarterly basis to gain comfort over the completeness and accuracy of the financial information relied upon at Precor and to ensure material errors do not exist within the Precor information consolidated into Peloton’s financial statements. We have not identified any material errors or misstatements as a result of these procedures in our annual financial statements for the year ended June 30, 2024.</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order to remediate the material weakness related to Precor’s business process controls, management has designed and is actively executing on the following remediation plan, which includes:</w:t>
      </w:r>
    </w:p>
    <w:p>
      <w:pPr>
        <w:spacing w:after="0" w:line="1" w:lineRule="exact"/>
        <w:rPr>
          <w:sz w:val="20"/>
          <w:szCs w:val="20"/>
          <w:color w:val="auto"/>
        </w:rPr>
      </w:pPr>
    </w:p>
    <w:p>
      <w:pPr>
        <w:jc w:val="both"/>
        <w:ind w:left="660" w:hanging="328"/>
        <w:spacing w:after="0" w:line="265" w:lineRule="auto"/>
        <w:tabs>
          <w:tab w:leader="none" w:pos="6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Taking a risk-based approach to remediation, prioritizing business process controls designed to mitigate significant financial statement risk areas, including financial statement close process review controls and management review controls over inventory and revenue judgments and estimates;</w:t>
      </w:r>
    </w:p>
    <w:p>
      <w:pPr>
        <w:spacing w:after="0" w:line="1" w:lineRule="exact"/>
        <w:rPr>
          <w:rFonts w:ascii="Arial" w:cs="Arial" w:eastAsia="Arial" w:hAnsi="Arial"/>
          <w:sz w:val="16"/>
          <w:szCs w:val="16"/>
          <w:color w:val="auto"/>
        </w:rPr>
      </w:pPr>
    </w:p>
    <w:p>
      <w:pPr>
        <w:jc w:val="both"/>
        <w:ind w:left="660" w:hanging="328"/>
        <w:spacing w:after="0" w:line="252" w:lineRule="auto"/>
        <w:tabs>
          <w:tab w:leader="none" w:pos="6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Engaging an accounting advisory firm to assist with the documentation, evaluation, remediation, and testing of our internal control over financial reporting related to Precor’s business process control environment based on the criteria established in Internal Control - Integrated Framework (2013) issued by the Committee of Sponsoring Organizations (COSO) of the Treadway Commission;</w:t>
      </w:r>
    </w:p>
    <w:p>
      <w:pPr>
        <w:ind w:left="660" w:right="20" w:hanging="328"/>
        <w:spacing w:after="0" w:line="252" w:lineRule="auto"/>
        <w:tabs>
          <w:tab w:leader="none" w:pos="6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Training of relevant personnel on the design and operation of our internal control over financial reporting relating to Precor’s business process control environment; and</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Hiring additional qualified accounting and financial reporting personnel with internal control expertise to support the Precor business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These steps are subject to ongoing senior management review, as well as oversight by the audit committee of our Board of Directors.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While management has made progress towards the remediation of the material weakness through the design and implementation of certain business process controls which mitigate significant financial risk, we will not be able to conclude that we have remediated this material weakness until the applicable remedial measures are fully implemented and operate for a sufficient period of time and management has concluded, through formal testing, that all of the remediated controls are operating effectively. We will continue to monitor the design and effectiveness of these controls and make any further changes management deems appropriate.</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concluded with respect to each of the material weaknesses described above that these material weaknesses did not result in any material misstatements in our financial statements or disclosures in the current year or in our annual consolidated financial statements in any of the prior fiscal years in which this material weakness existed. Based on additional procedures and post-closing review, management concluded that the consolidated financial statements included in this Annual Report on Form 10-K present fairly, in all material respects, our financial position, results of operations, and cash flows for the periods presented in conformity with accounting principles generally accepted in the United States.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than the ongoing remediation efforts and the new material weakness described above, there were no changes in our internal control over financial reporting (as defined in Rules 13a-15(f) and 15d-15(f) under the Exchange Act) during the fiscal year ended June 30, 2024 that have materially affected, or are reasonably likely to materially affect, our internal control over financial reporting.</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the Effectiveness of Disclosure Controls and Procedures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management, including our Co-Chief Executive Officers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w:t>
      </w:r>
    </w:p>
    <w:p>
      <w:pPr>
        <w:sectPr>
          <w:pgSz w:w="11900" w:h="16838" w:orient="portrait"/>
          <w:cols w:equalWidth="0" w:num="1">
            <w:col w:w="11240"/>
          </w:cols>
          <w:pgMar w:left="320" w:top="854" w:right="3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111" w:name="page112"/>
    <w:bookmarkEnd w:id="111"/>
    <w:p>
      <w:pPr>
        <w:jc w:val="both"/>
        <w:spacing w:after="0" w:line="275" w:lineRule="auto"/>
        <w:rPr>
          <w:sz w:val="20"/>
          <w:szCs w:val="20"/>
          <w:color w:val="auto"/>
        </w:rPr>
      </w:pPr>
      <w:r>
        <w:rPr>
          <w:rFonts w:ascii="Arial" w:cs="Arial" w:eastAsia="Arial" w:hAnsi="Arial"/>
          <w:sz w:val="16"/>
          <w:szCs w:val="16"/>
          <w:color w:val="auto"/>
        </w:rPr>
        <w:t>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 of Independent Registered Public Accounting Firm</w:t>
      </w:r>
    </w:p>
    <w:p>
      <w:pPr>
        <w:spacing w:after="0" w:line="5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Ernst &amp; Young LLP, our independent registered public accounting firm that audited the consolidated financial statements, has issued an audit report on our internal control over financial reporting as of June 30, 2024, which is included in Item 8 of this Annual Report on Form 10-K.</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color w:val="auto"/>
        </w:rPr>
        <w:t>Item 9B. Other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Rule 10b5-1 Trading Plans</w:t>
      </w:r>
    </w:p>
    <w:p>
      <w:pPr>
        <w:spacing w:after="0" w:line="26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On May 9, 2024, Pamela Thomas-Graham, a member of our Board of Directors, entered into a pre-arranged stock trading plan intended to satisfy the affirmative defense of Rule 10b5-1(c) under the Securities Exchange Act of 1934, as amended (each such plan, a “Rule 10b5-1 Plan”). Ms. Thomas-Graham’s Rule 10b5-1 Plan provides for the potential aggregate sale of up to 159,783 shares of the Company’s Class A common stock upon the exercise of certain stock options between August 8, 2024 and August 29, 2025.</w:t>
      </w:r>
    </w:p>
    <w:p>
      <w:pPr>
        <w:spacing w:after="0" w:line="20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 June 3, 2024, Elizabeth Coddington, our Chief Financial Officer, entered into a Rule 10b5-1 Plan. Ms. Coddington’s Rule 10b5-1 Plan provides for the aggregate sale of (i)119,305 shares of the Company’s Class A common stock, and (ii) 559,002 shares of the Company’s Class A common stock upon the vesting of certain restricted stock units (“RSUs”), in each case between September 2, 2024 and August 15, 2025. Each RSU represents a contingent right to receive one share of the Company’s Class A common stock.</w:t>
      </w:r>
    </w:p>
    <w:p>
      <w:pPr>
        <w:spacing w:after="0" w:line="19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Each of the Rule 10b5-1 Plans described above is in accordance with our Insider Trading Compliance Policy and Procedures. Sales pursuant to the Rule 10b5-1 Plans will be disclosed in filings made with the SEC in accordance with Section 16 of the Exchange Act.</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113" w:name="page114"/>
    <w:bookmarkEnd w:id="113"/>
    <w:p>
      <w:pPr>
        <w:ind w:right="4960"/>
        <w:spacing w:after="0" w:line="286" w:lineRule="auto"/>
        <w:rPr>
          <w:sz w:val="20"/>
          <w:szCs w:val="20"/>
          <w:color w:val="auto"/>
        </w:rPr>
      </w:pPr>
      <w:r>
        <w:rPr>
          <w:rFonts w:ascii="Arial" w:cs="Arial" w:eastAsia="Arial" w:hAnsi="Arial"/>
          <w:sz w:val="16"/>
          <w:szCs w:val="16"/>
          <w:b w:val="1"/>
          <w:bCs w:val="1"/>
          <w:color w:val="auto"/>
        </w:rPr>
        <w:t xml:space="preserve">Item 9C. Disclosure Regarding Foreign Jurisdictions that Prevent Inspections </w:t>
      </w:r>
      <w:r>
        <w:rPr>
          <w:rFonts w:ascii="Arial" w:cs="Arial" w:eastAsia="Arial" w:hAnsi="Arial"/>
          <w:sz w:val="16"/>
          <w:szCs w:val="16"/>
          <w:color w:val="auto"/>
        </w:rPr>
        <w:t>Not applicable.</w:t>
      </w:r>
    </w:p>
    <w:p>
      <w:pPr>
        <w:spacing w:after="0" w:line="16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III</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information required by this item will be included in our Proxy Statement for the 2024 Annual Meeting of Stockholders to be filed with the SEC, within 120 days of the fiscal year ended June 30, 2024, and is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information required by this item will be included in our Proxy Statement for the 2024 Annual Meeting of Stockholders to be filed with the SEC, within 120 days of the fiscal year ended June 30, 2024, and is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Securities Ownership of Certain Beneficial Owners and Management and Related Stockholder Matters</w:t>
      </w: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required by this item will be included in our Proxy Statement for the 2024 Annual Meeting of Stockholders to be filed with the SEC, within 120 days of the fiscal year ended June 30, 2024, and is incorporated herein by reference.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required by this item will be included in our Proxy Statement for the 2024 Annual Meeting of Stockholders to be filed with the SEC, within 120 days of the fiscal year ended June 30, 2024,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required by this item will be included in our Proxy Statement for the 2024 Annual Meeting of Stockholders to be filed with the SEC, within 120 days of the fiscal year ended June 30, 2024, and is incorporated herein by reference.</w:t>
      </w:r>
    </w:p>
    <w:p>
      <w:pPr>
        <w:spacing w:after="0" w:line="169"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Part IV</w:t>
      </w:r>
    </w:p>
    <w:p>
      <w:pPr>
        <w:spacing w:after="0" w:line="200" w:lineRule="exact"/>
        <w:rPr>
          <w:sz w:val="20"/>
          <w:szCs w:val="20"/>
          <w:color w:val="auto"/>
        </w:rPr>
      </w:pPr>
    </w:p>
    <w:p>
      <w:pPr>
        <w:spacing w:after="0" w:line="26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89" w:right="6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color w:val="auto"/>
        </w:rPr>
        <w:t>Item 15. Exhibit and Financial Statement Schedules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are filed, furnished or incorporated by reference as part of this Annual Report on Form 10-K:</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Financial Statements</w:t>
      </w:r>
    </w:p>
    <w:p>
      <w:pPr>
        <w:spacing w:after="0" w:line="2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Our consolidated financial statements are listed in the “Index to Consolidated Financial Statements” under Part II, Item 8, of this Annual Report on Form 10-K.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Financial Statement Schedules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All financial statement schedules have been omitted because they are not required or are not applicable, or the required information is shown in our</w:t>
      </w:r>
    </w:p>
    <w:p>
      <w:pPr>
        <w:sectPr>
          <w:pgSz w:w="11900" w:h="16838" w:orient="portrait"/>
          <w:cols w:equalWidth="0" w:num="1">
            <w:col w:w="11140"/>
          </w:cols>
          <w:pgMar w:left="320" w:top="773"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or the notes thereto.</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Exhibits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4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68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240" w:type="dxa"/>
            <w:vAlign w:val="bottom"/>
            <w:shd w:val="clear" w:color="auto" w:fill="FEFEFE"/>
          </w:tcPr>
          <w:p>
            <w:pPr>
              <w:spacing w:after="0"/>
              <w:rPr>
                <w:sz w:val="20"/>
                <w:szCs w:val="20"/>
                <w:color w:val="auto"/>
              </w:rPr>
            </w:pPr>
          </w:p>
        </w:tc>
        <w:tc>
          <w:tcPr>
            <w:tcW w:w="600" w:type="dxa"/>
            <w:vAlign w:val="bottom"/>
            <w:shd w:val="clear" w:color="auto" w:fill="FEFEFE"/>
          </w:tcPr>
          <w:p>
            <w:pPr>
              <w:spacing w:after="0"/>
              <w:rPr>
                <w:sz w:val="20"/>
                <w:szCs w:val="20"/>
                <w:color w:val="auto"/>
              </w:rPr>
            </w:pPr>
          </w:p>
        </w:tc>
        <w:tc>
          <w:tcPr>
            <w:tcW w:w="840" w:type="dxa"/>
            <w:vAlign w:val="bottom"/>
            <w:shd w:val="clear" w:color="auto" w:fill="FEFEFE"/>
          </w:tcPr>
          <w:p>
            <w:pPr>
              <w:spacing w:after="0"/>
              <w:rPr>
                <w:sz w:val="20"/>
                <w:szCs w:val="20"/>
                <w:color w:val="auto"/>
              </w:rPr>
            </w:pPr>
          </w:p>
        </w:tc>
        <w:tc>
          <w:tcPr>
            <w:tcW w:w="140" w:type="dxa"/>
            <w:vAlign w:val="bottom"/>
            <w:tcBorders>
              <w:right w:val="single" w:sz="8" w:color="FEFEFE"/>
            </w:tcBorders>
            <w:shd w:val="clear" w:color="auto" w:fill="FEFEFE"/>
          </w:tcPr>
          <w:p>
            <w:pPr>
              <w:spacing w:after="0"/>
              <w:rPr>
                <w:sz w:val="20"/>
                <w:szCs w:val="20"/>
                <w:color w:val="auto"/>
              </w:rPr>
            </w:pPr>
          </w:p>
        </w:tc>
        <w:tc>
          <w:tcPr>
            <w:tcW w:w="30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880" w:type="dxa"/>
            <w:vAlign w:val="bottom"/>
            <w:shd w:val="clear" w:color="auto" w:fill="FEFEFE"/>
          </w:tcPr>
          <w:p>
            <w:pPr>
              <w:spacing w:after="0"/>
              <w:rPr>
                <w:sz w:val="20"/>
                <w:szCs w:val="20"/>
                <w:color w:val="auto"/>
              </w:rPr>
            </w:pPr>
          </w:p>
        </w:tc>
        <w:tc>
          <w:tcPr>
            <w:tcW w:w="4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60" w:type="dxa"/>
            <w:vAlign w:val="bottom"/>
            <w:shd w:val="clear" w:color="auto" w:fill="FEFEFE"/>
          </w:tcPr>
          <w:p>
            <w:pPr>
              <w:spacing w:after="0"/>
              <w:rPr>
                <w:sz w:val="20"/>
                <w:szCs w:val="20"/>
                <w:color w:val="auto"/>
              </w:rPr>
            </w:pPr>
          </w:p>
        </w:tc>
        <w:tc>
          <w:tcPr>
            <w:tcW w:w="180" w:type="dxa"/>
            <w:vAlign w:val="bottom"/>
            <w:shd w:val="clear" w:color="auto" w:fill="FEFEFE"/>
          </w:tcPr>
          <w:p>
            <w:pPr>
              <w:spacing w:after="0"/>
              <w:rPr>
                <w:sz w:val="20"/>
                <w:szCs w:val="20"/>
                <w:color w:val="auto"/>
              </w:rPr>
            </w:pPr>
          </w:p>
        </w:tc>
        <w:tc>
          <w:tcPr>
            <w:tcW w:w="6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6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740" w:type="dxa"/>
            <w:vAlign w:val="bottom"/>
            <w:shd w:val="clear" w:color="auto" w:fill="FEFEFE"/>
          </w:tcPr>
          <w:p>
            <w:pPr>
              <w:spacing w:after="0"/>
              <w:rPr>
                <w:sz w:val="20"/>
                <w:szCs w:val="20"/>
                <w:color w:val="auto"/>
              </w:rPr>
            </w:pPr>
          </w:p>
        </w:tc>
        <w:tc>
          <w:tcPr>
            <w:tcW w:w="2660" w:type="dxa"/>
            <w:vAlign w:val="bottom"/>
            <w:gridSpan w:val="2"/>
            <w:shd w:val="clear" w:color="auto" w:fill="FEFEFE"/>
          </w:tcPr>
          <w:p>
            <w:pPr>
              <w:jc w:val="right"/>
              <w:ind w:right="99"/>
              <w:spacing w:after="0"/>
              <w:rPr>
                <w:sz w:val="20"/>
                <w:szCs w:val="20"/>
                <w:color w:val="auto"/>
              </w:rPr>
            </w:pPr>
            <w:r>
              <w:rPr>
                <w:rFonts w:ascii="Arial" w:cs="Arial" w:eastAsia="Arial" w:hAnsi="Arial"/>
                <w:sz w:val="16"/>
                <w:szCs w:val="16"/>
                <w:color w:val="auto"/>
              </w:rPr>
              <w:t>Incorporated by Reference</w:t>
            </w:r>
          </w:p>
        </w:tc>
        <w:tc>
          <w:tcPr>
            <w:tcW w:w="114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840" w:type="dxa"/>
            <w:vAlign w:val="bottom"/>
            <w:tcBorders>
              <w:bottom w:val="single" w:sz="8" w:color="FEFEFE"/>
            </w:tcBorders>
            <w:vMerge w:val="restart"/>
            <w:shd w:val="clear" w:color="auto" w:fill="FEFEFE"/>
          </w:tcPr>
          <w:p>
            <w:pPr>
              <w:jc w:val="right"/>
              <w:ind w:right="99"/>
              <w:spacing w:after="0"/>
              <w:rPr>
                <w:sz w:val="20"/>
                <w:szCs w:val="20"/>
                <w:color w:val="auto"/>
              </w:rPr>
            </w:pPr>
            <w:r>
              <w:rPr>
                <w:rFonts w:ascii="Arial" w:cs="Arial" w:eastAsia="Arial" w:hAnsi="Arial"/>
                <w:sz w:val="16"/>
                <w:szCs w:val="16"/>
                <w:color w:val="auto"/>
              </w:rPr>
              <w:t>Exhibit</w:t>
            </w:r>
          </w:p>
        </w:tc>
        <w:tc>
          <w:tcPr>
            <w:tcW w:w="160" w:type="dxa"/>
            <w:vAlign w:val="bottom"/>
            <w:tcBorders>
              <w:bottom w:val="single" w:sz="8" w:color="FEFEFE"/>
            </w:tcBorders>
            <w:shd w:val="clear" w:color="auto" w:fill="FEFEFE"/>
          </w:tcPr>
          <w:p>
            <w:pPr>
              <w:spacing w:after="0"/>
              <w:rPr>
                <w:sz w:val="15"/>
                <w:szCs w:val="15"/>
                <w:color w:val="auto"/>
              </w:rPr>
            </w:pPr>
          </w:p>
        </w:tc>
        <w:tc>
          <w:tcPr>
            <w:tcW w:w="680" w:type="dxa"/>
            <w:vAlign w:val="bottom"/>
            <w:tcBorders>
              <w:bottom w:val="single" w:sz="8" w:color="FEFEFE"/>
            </w:tcBorders>
            <w:shd w:val="clear" w:color="auto" w:fill="FEFEFE"/>
          </w:tcPr>
          <w:p>
            <w:pPr>
              <w:spacing w:after="0"/>
              <w:rPr>
                <w:sz w:val="15"/>
                <w:szCs w:val="15"/>
                <w:color w:val="auto"/>
              </w:rPr>
            </w:pPr>
          </w:p>
        </w:tc>
        <w:tc>
          <w:tcPr>
            <w:tcW w:w="100" w:type="dxa"/>
            <w:vAlign w:val="bottom"/>
            <w:tcBorders>
              <w:bottom w:val="single" w:sz="8" w:color="FEFEFE"/>
            </w:tcBorders>
            <w:shd w:val="clear" w:color="auto" w:fill="FEFEFE"/>
          </w:tcPr>
          <w:p>
            <w:pPr>
              <w:spacing w:after="0"/>
              <w:rPr>
                <w:sz w:val="15"/>
                <w:szCs w:val="15"/>
                <w:color w:val="auto"/>
              </w:rPr>
            </w:pPr>
          </w:p>
        </w:tc>
        <w:tc>
          <w:tcPr>
            <w:tcW w:w="240" w:type="dxa"/>
            <w:vAlign w:val="bottom"/>
            <w:tcBorders>
              <w:bottom w:val="single" w:sz="8" w:color="FEFEFE"/>
            </w:tcBorders>
            <w:shd w:val="clear" w:color="auto" w:fill="FEFEFE"/>
          </w:tcPr>
          <w:p>
            <w:pPr>
              <w:spacing w:after="0"/>
              <w:rPr>
                <w:sz w:val="15"/>
                <w:szCs w:val="15"/>
                <w:color w:val="auto"/>
              </w:rPr>
            </w:pPr>
          </w:p>
        </w:tc>
        <w:tc>
          <w:tcPr>
            <w:tcW w:w="600" w:type="dxa"/>
            <w:vAlign w:val="bottom"/>
            <w:tcBorders>
              <w:bottom w:val="single" w:sz="8" w:color="FEFEFE"/>
            </w:tcBorders>
            <w:shd w:val="clear" w:color="auto" w:fill="FEFEFE"/>
          </w:tcPr>
          <w:p>
            <w:pPr>
              <w:spacing w:after="0"/>
              <w:rPr>
                <w:sz w:val="15"/>
                <w:szCs w:val="15"/>
                <w:color w:val="auto"/>
              </w:rPr>
            </w:pPr>
          </w:p>
        </w:tc>
        <w:tc>
          <w:tcPr>
            <w:tcW w:w="2860" w:type="dxa"/>
            <w:vAlign w:val="bottom"/>
            <w:tcBorders>
              <w:bottom w:val="single" w:sz="8" w:color="FEFEFE"/>
            </w:tcBorders>
            <w:gridSpan w:val="14"/>
            <w:vMerge w:val="restart"/>
            <w:shd w:val="clear" w:color="auto" w:fill="FEFEFE"/>
          </w:tcPr>
          <w:p>
            <w:pPr>
              <w:ind w:left="200"/>
              <w:spacing w:after="0"/>
              <w:rPr>
                <w:sz w:val="20"/>
                <w:szCs w:val="20"/>
                <w:color w:val="auto"/>
              </w:rPr>
            </w:pPr>
            <w:r>
              <w:rPr>
                <w:rFonts w:ascii="Arial" w:cs="Arial" w:eastAsia="Arial" w:hAnsi="Arial"/>
                <w:sz w:val="16"/>
                <w:szCs w:val="16"/>
                <w:color w:val="auto"/>
              </w:rPr>
              <w:t>Exhibit Title</w:t>
            </w:r>
          </w:p>
        </w:tc>
        <w:tc>
          <w:tcPr>
            <w:tcW w:w="740" w:type="dxa"/>
            <w:vAlign w:val="bottom"/>
            <w:tcBorders>
              <w:bottom w:val="single" w:sz="8" w:color="auto"/>
            </w:tcBorders>
            <w:shd w:val="clear" w:color="auto" w:fill="FEFEFE"/>
          </w:tcPr>
          <w:p>
            <w:pPr>
              <w:spacing w:after="0"/>
              <w:rPr>
                <w:sz w:val="15"/>
                <w:szCs w:val="15"/>
                <w:color w:val="auto"/>
              </w:rPr>
            </w:pPr>
          </w:p>
        </w:tc>
        <w:tc>
          <w:tcPr>
            <w:tcW w:w="1320" w:type="dxa"/>
            <w:vAlign w:val="bottom"/>
            <w:tcBorders>
              <w:bottom w:val="single" w:sz="8" w:color="auto"/>
            </w:tcBorders>
            <w:shd w:val="clear" w:color="auto" w:fill="FEFEFE"/>
          </w:tcPr>
          <w:p>
            <w:pPr>
              <w:spacing w:after="0"/>
              <w:rPr>
                <w:sz w:val="15"/>
                <w:szCs w:val="15"/>
                <w:color w:val="auto"/>
              </w:rPr>
            </w:pPr>
          </w:p>
        </w:tc>
        <w:tc>
          <w:tcPr>
            <w:tcW w:w="1340" w:type="dxa"/>
            <w:vAlign w:val="bottom"/>
            <w:tcBorders>
              <w:bottom w:val="single" w:sz="8" w:color="auto"/>
            </w:tcBorders>
            <w:shd w:val="clear" w:color="auto" w:fill="FEFEFE"/>
          </w:tcPr>
          <w:p>
            <w:pPr>
              <w:spacing w:after="0"/>
              <w:rPr>
                <w:sz w:val="15"/>
                <w:szCs w:val="15"/>
                <w:color w:val="auto"/>
              </w:rPr>
            </w:pPr>
          </w:p>
        </w:tc>
        <w:tc>
          <w:tcPr>
            <w:tcW w:w="1140" w:type="dxa"/>
            <w:vAlign w:val="bottom"/>
            <w:tcBorders>
              <w:bottom w:val="single" w:sz="8" w:color="auto"/>
            </w:tcBorders>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68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240" w:type="dxa"/>
            <w:vAlign w:val="bottom"/>
            <w:shd w:val="clear" w:color="auto" w:fill="FEFEFE"/>
          </w:tcPr>
          <w:p>
            <w:pPr>
              <w:spacing w:after="0"/>
              <w:rPr>
                <w:sz w:val="13"/>
                <w:szCs w:val="13"/>
                <w:color w:val="auto"/>
              </w:rPr>
            </w:pPr>
          </w:p>
        </w:tc>
        <w:tc>
          <w:tcPr>
            <w:tcW w:w="600" w:type="dxa"/>
            <w:vAlign w:val="bottom"/>
            <w:shd w:val="clear" w:color="auto" w:fill="FEFEFE"/>
          </w:tcPr>
          <w:p>
            <w:pPr>
              <w:spacing w:after="0"/>
              <w:rPr>
                <w:sz w:val="13"/>
                <w:szCs w:val="13"/>
                <w:color w:val="auto"/>
              </w:rPr>
            </w:pPr>
          </w:p>
        </w:tc>
        <w:tc>
          <w:tcPr>
            <w:tcW w:w="2860" w:type="dxa"/>
            <w:vAlign w:val="bottom"/>
            <w:gridSpan w:val="14"/>
            <w:vMerge w:val="continue"/>
            <w:shd w:val="clear" w:color="auto" w:fill="FEFEFE"/>
          </w:tcPr>
          <w:p>
            <w:pPr>
              <w:spacing w:after="0"/>
              <w:rPr>
                <w:sz w:val="13"/>
                <w:szCs w:val="13"/>
                <w:color w:val="auto"/>
              </w:rPr>
            </w:pPr>
          </w:p>
        </w:tc>
        <w:tc>
          <w:tcPr>
            <w:tcW w:w="740" w:type="dxa"/>
            <w:vAlign w:val="bottom"/>
            <w:shd w:val="clear" w:color="auto" w:fill="FEFEFE"/>
          </w:tcPr>
          <w:p>
            <w:pPr>
              <w:ind w:left="240"/>
              <w:spacing w:after="0" w:line="155" w:lineRule="exact"/>
              <w:rPr>
                <w:sz w:val="20"/>
                <w:szCs w:val="20"/>
                <w:color w:val="auto"/>
              </w:rPr>
            </w:pPr>
            <w:r>
              <w:rPr>
                <w:rFonts w:ascii="Arial" w:cs="Arial" w:eastAsia="Arial" w:hAnsi="Arial"/>
                <w:sz w:val="16"/>
                <w:szCs w:val="16"/>
                <w:color w:val="auto"/>
              </w:rPr>
              <w:t>Form</w:t>
            </w:r>
          </w:p>
        </w:tc>
        <w:tc>
          <w:tcPr>
            <w:tcW w:w="1320" w:type="dxa"/>
            <w:vAlign w:val="bottom"/>
            <w:shd w:val="clear" w:color="auto" w:fill="FEFEFE"/>
          </w:tcPr>
          <w:p>
            <w:pPr>
              <w:ind w:left="400"/>
              <w:spacing w:after="0" w:line="155" w:lineRule="exact"/>
              <w:rPr>
                <w:sz w:val="20"/>
                <w:szCs w:val="20"/>
                <w:color w:val="auto"/>
              </w:rPr>
            </w:pPr>
            <w:r>
              <w:rPr>
                <w:rFonts w:ascii="Arial" w:cs="Arial" w:eastAsia="Arial" w:hAnsi="Arial"/>
                <w:sz w:val="16"/>
                <w:szCs w:val="16"/>
                <w:color w:val="auto"/>
              </w:rPr>
              <w:t>File No.</w:t>
            </w:r>
          </w:p>
        </w:tc>
        <w:tc>
          <w:tcPr>
            <w:tcW w:w="1340" w:type="dxa"/>
            <w:vAlign w:val="bottom"/>
            <w:shd w:val="clear" w:color="auto" w:fill="FEFEFE"/>
          </w:tcPr>
          <w:p>
            <w:pPr>
              <w:jc w:val="right"/>
              <w:ind w:right="439"/>
              <w:spacing w:after="0" w:line="155" w:lineRule="exact"/>
              <w:rPr>
                <w:sz w:val="20"/>
                <w:szCs w:val="20"/>
                <w:color w:val="auto"/>
              </w:rPr>
            </w:pPr>
            <w:r>
              <w:rPr>
                <w:rFonts w:ascii="Arial" w:cs="Arial" w:eastAsia="Arial" w:hAnsi="Arial"/>
                <w:sz w:val="16"/>
                <w:szCs w:val="16"/>
                <w:color w:val="auto"/>
              </w:rPr>
              <w:t>Exhibit</w:t>
            </w:r>
          </w:p>
        </w:tc>
        <w:tc>
          <w:tcPr>
            <w:tcW w:w="1140" w:type="dxa"/>
            <w:vAlign w:val="bottom"/>
            <w:shd w:val="clear" w:color="auto" w:fill="FEFEFE"/>
          </w:tcPr>
          <w:p>
            <w:pPr>
              <w:jc w:val="right"/>
              <w:ind w:right="159"/>
              <w:spacing w:after="0" w:line="155" w:lineRule="exact"/>
              <w:rPr>
                <w:sz w:val="20"/>
                <w:szCs w:val="20"/>
                <w:color w:val="auto"/>
              </w:rPr>
            </w:pPr>
            <w:r>
              <w:rPr>
                <w:rFonts w:ascii="Arial" w:cs="Arial" w:eastAsia="Arial" w:hAnsi="Arial"/>
                <w:sz w:val="16"/>
                <w:szCs w:val="16"/>
                <w:color w:val="auto"/>
              </w:rPr>
              <w:t>Filing Date</w:t>
            </w:r>
          </w:p>
        </w:tc>
        <w:tc>
          <w:tcPr>
            <w:tcW w:w="0" w:type="dxa"/>
            <w:vAlign w:val="bottom"/>
          </w:tcPr>
          <w:p>
            <w:pPr>
              <w:spacing w:after="0"/>
              <w:rPr>
                <w:sz w:val="1"/>
                <w:szCs w:val="1"/>
                <w:color w:val="auto"/>
              </w:rPr>
            </w:pPr>
          </w:p>
        </w:tc>
      </w:tr>
      <w:tr>
        <w:trPr>
          <w:trHeight w:val="237"/>
        </w:trPr>
        <w:tc>
          <w:tcPr>
            <w:tcW w:w="840" w:type="dxa"/>
            <w:vAlign w:val="bottom"/>
            <w:tcBorders>
              <w:bottom w:val="single" w:sz="8" w:color="FEFEFE"/>
            </w:tcBorders>
            <w:shd w:val="clear" w:color="auto" w:fill="FEFEFE"/>
          </w:tcPr>
          <w:p>
            <w:pPr>
              <w:jc w:val="right"/>
              <w:ind w:right="39"/>
              <w:spacing w:after="0"/>
              <w:rPr>
                <w:sz w:val="20"/>
                <w:szCs w:val="20"/>
                <w:color w:val="auto"/>
              </w:rPr>
            </w:pPr>
            <w:r>
              <w:rPr>
                <w:rFonts w:ascii="Arial" w:cs="Arial" w:eastAsia="Arial" w:hAnsi="Arial"/>
                <w:sz w:val="16"/>
                <w:szCs w:val="16"/>
                <w:color w:val="auto"/>
              </w:rPr>
              <w:t>Number</w:t>
            </w:r>
          </w:p>
        </w:tc>
        <w:tc>
          <w:tcPr>
            <w:tcW w:w="160" w:type="dxa"/>
            <w:vAlign w:val="bottom"/>
            <w:tcBorders>
              <w:bottom w:val="single" w:sz="8" w:color="FEFEFE"/>
            </w:tcBorders>
            <w:shd w:val="clear" w:color="auto" w:fill="FEFEFE"/>
          </w:tcPr>
          <w:p>
            <w:pPr>
              <w:spacing w:after="0"/>
              <w:rPr>
                <w:sz w:val="20"/>
                <w:szCs w:val="20"/>
                <w:color w:val="auto"/>
              </w:rPr>
            </w:pPr>
          </w:p>
        </w:tc>
        <w:tc>
          <w:tcPr>
            <w:tcW w:w="680" w:type="dxa"/>
            <w:vAlign w:val="bottom"/>
            <w:tcBorders>
              <w:bottom w:val="single" w:sz="8" w:color="FEFEFE"/>
            </w:tcBorders>
            <w:shd w:val="clear" w:color="auto" w:fill="FEFEFE"/>
          </w:tcPr>
          <w:p>
            <w:pPr>
              <w:spacing w:after="0"/>
              <w:rPr>
                <w:sz w:val="20"/>
                <w:szCs w:val="20"/>
                <w:color w:val="auto"/>
              </w:rPr>
            </w:pPr>
          </w:p>
        </w:tc>
        <w:tc>
          <w:tcPr>
            <w:tcW w:w="100" w:type="dxa"/>
            <w:vAlign w:val="bottom"/>
            <w:tcBorders>
              <w:bottom w:val="single" w:sz="8" w:color="FEFEFE"/>
            </w:tcBorders>
            <w:shd w:val="clear" w:color="auto" w:fill="FEFEFE"/>
          </w:tcPr>
          <w:p>
            <w:pPr>
              <w:spacing w:after="0"/>
              <w:rPr>
                <w:sz w:val="20"/>
                <w:szCs w:val="20"/>
                <w:color w:val="auto"/>
              </w:rPr>
            </w:pPr>
          </w:p>
        </w:tc>
        <w:tc>
          <w:tcPr>
            <w:tcW w:w="240" w:type="dxa"/>
            <w:vAlign w:val="bottom"/>
            <w:tcBorders>
              <w:bottom w:val="single" w:sz="8" w:color="FEFEFE"/>
            </w:tcBorders>
            <w:shd w:val="clear" w:color="auto" w:fill="FEFEFE"/>
          </w:tcPr>
          <w:p>
            <w:pPr>
              <w:spacing w:after="0"/>
              <w:rPr>
                <w:sz w:val="20"/>
                <w:szCs w:val="20"/>
                <w:color w:val="auto"/>
              </w:rPr>
            </w:pPr>
          </w:p>
        </w:tc>
        <w:tc>
          <w:tcPr>
            <w:tcW w:w="600" w:type="dxa"/>
            <w:vAlign w:val="bottom"/>
            <w:tcBorders>
              <w:bottom w:val="single" w:sz="8" w:color="FEFEFE"/>
            </w:tcBorders>
            <w:shd w:val="clear" w:color="auto" w:fill="FEFEFE"/>
          </w:tcPr>
          <w:p>
            <w:pPr>
              <w:spacing w:after="0"/>
              <w:rPr>
                <w:sz w:val="20"/>
                <w:szCs w:val="20"/>
                <w:color w:val="auto"/>
              </w:rPr>
            </w:pPr>
          </w:p>
        </w:tc>
        <w:tc>
          <w:tcPr>
            <w:tcW w:w="840" w:type="dxa"/>
            <w:vAlign w:val="bottom"/>
            <w:tcBorders>
              <w:bottom w:val="single" w:sz="8" w:color="FEFEFE"/>
            </w:tcBorders>
            <w:shd w:val="clear" w:color="auto" w:fill="FEFEFE"/>
          </w:tcPr>
          <w:p>
            <w:pPr>
              <w:spacing w:after="0"/>
              <w:rPr>
                <w:sz w:val="20"/>
                <w:szCs w:val="20"/>
                <w:color w:val="auto"/>
              </w:rPr>
            </w:pPr>
          </w:p>
        </w:tc>
        <w:tc>
          <w:tcPr>
            <w:tcW w:w="140" w:type="dxa"/>
            <w:vAlign w:val="bottom"/>
            <w:tcBorders>
              <w:bottom w:val="single" w:sz="8" w:color="FEFEFE"/>
              <w:right w:val="single" w:sz="8" w:color="FEFEFE"/>
            </w:tcBorders>
            <w:shd w:val="clear" w:color="auto" w:fill="FEFEFE"/>
          </w:tcPr>
          <w:p>
            <w:pPr>
              <w:spacing w:after="0"/>
              <w:rPr>
                <w:sz w:val="20"/>
                <w:szCs w:val="20"/>
                <w:color w:val="auto"/>
              </w:rPr>
            </w:pPr>
          </w:p>
        </w:tc>
        <w:tc>
          <w:tcPr>
            <w:tcW w:w="300" w:type="dxa"/>
            <w:vAlign w:val="bottom"/>
            <w:tcBorders>
              <w:bottom w:val="single" w:sz="8" w:color="FEFEFE"/>
            </w:tcBorders>
            <w:shd w:val="clear" w:color="auto" w:fill="FEFEFE"/>
          </w:tcPr>
          <w:p>
            <w:pPr>
              <w:spacing w:after="0"/>
              <w:rPr>
                <w:sz w:val="20"/>
                <w:szCs w:val="20"/>
                <w:color w:val="auto"/>
              </w:rPr>
            </w:pPr>
          </w:p>
        </w:tc>
        <w:tc>
          <w:tcPr>
            <w:tcW w:w="80" w:type="dxa"/>
            <w:vAlign w:val="bottom"/>
            <w:tcBorders>
              <w:bottom w:val="single" w:sz="8" w:color="FEFEFE"/>
            </w:tcBorders>
            <w:shd w:val="clear" w:color="auto" w:fill="FEFEFE"/>
          </w:tcPr>
          <w:p>
            <w:pPr>
              <w:spacing w:after="0"/>
              <w:rPr>
                <w:sz w:val="20"/>
                <w:szCs w:val="20"/>
                <w:color w:val="auto"/>
              </w:rPr>
            </w:pPr>
          </w:p>
        </w:tc>
        <w:tc>
          <w:tcPr>
            <w:tcW w:w="880" w:type="dxa"/>
            <w:vAlign w:val="bottom"/>
            <w:tcBorders>
              <w:bottom w:val="single" w:sz="8" w:color="FEFEFE"/>
            </w:tcBorders>
            <w:shd w:val="clear" w:color="auto" w:fill="FEFEFE"/>
          </w:tcPr>
          <w:p>
            <w:pPr>
              <w:spacing w:after="0"/>
              <w:rPr>
                <w:sz w:val="20"/>
                <w:szCs w:val="20"/>
                <w:color w:val="auto"/>
              </w:rPr>
            </w:pPr>
          </w:p>
        </w:tc>
        <w:tc>
          <w:tcPr>
            <w:tcW w:w="40" w:type="dxa"/>
            <w:vAlign w:val="bottom"/>
            <w:tcBorders>
              <w:bottom w:val="single" w:sz="8" w:color="FEFEFE"/>
            </w:tcBorders>
            <w:shd w:val="clear" w:color="auto" w:fill="FEFEFE"/>
          </w:tcPr>
          <w:p>
            <w:pPr>
              <w:spacing w:after="0"/>
              <w:rPr>
                <w:sz w:val="20"/>
                <w:szCs w:val="20"/>
                <w:color w:val="auto"/>
              </w:rPr>
            </w:pPr>
          </w:p>
        </w:tc>
        <w:tc>
          <w:tcPr>
            <w:tcW w:w="100" w:type="dxa"/>
            <w:vAlign w:val="bottom"/>
            <w:tcBorders>
              <w:bottom w:val="single" w:sz="8" w:color="FEFEFE"/>
            </w:tcBorders>
            <w:shd w:val="clear" w:color="auto" w:fill="FEFEFE"/>
          </w:tcPr>
          <w:p>
            <w:pPr>
              <w:spacing w:after="0"/>
              <w:rPr>
                <w:sz w:val="20"/>
                <w:szCs w:val="20"/>
                <w:color w:val="auto"/>
              </w:rPr>
            </w:pPr>
          </w:p>
        </w:tc>
        <w:tc>
          <w:tcPr>
            <w:tcW w:w="60" w:type="dxa"/>
            <w:vAlign w:val="bottom"/>
            <w:tcBorders>
              <w:bottom w:val="single" w:sz="8" w:color="FEFEFE"/>
            </w:tcBorders>
            <w:shd w:val="clear" w:color="auto" w:fill="FEFEFE"/>
          </w:tcPr>
          <w:p>
            <w:pPr>
              <w:spacing w:after="0"/>
              <w:rPr>
                <w:sz w:val="20"/>
                <w:szCs w:val="20"/>
                <w:color w:val="auto"/>
              </w:rPr>
            </w:pPr>
          </w:p>
        </w:tc>
        <w:tc>
          <w:tcPr>
            <w:tcW w:w="180" w:type="dxa"/>
            <w:vAlign w:val="bottom"/>
            <w:tcBorders>
              <w:bottom w:val="single" w:sz="8" w:color="FEFEFE"/>
            </w:tcBorders>
            <w:shd w:val="clear" w:color="auto" w:fill="FEFEFE"/>
          </w:tcPr>
          <w:p>
            <w:pPr>
              <w:spacing w:after="0"/>
              <w:rPr>
                <w:sz w:val="20"/>
                <w:szCs w:val="20"/>
                <w:color w:val="auto"/>
              </w:rPr>
            </w:pPr>
          </w:p>
        </w:tc>
        <w:tc>
          <w:tcPr>
            <w:tcW w:w="60" w:type="dxa"/>
            <w:vAlign w:val="bottom"/>
            <w:tcBorders>
              <w:bottom w:val="single" w:sz="8" w:color="FEFEFE"/>
            </w:tcBorders>
            <w:shd w:val="clear" w:color="auto" w:fill="FEFEFE"/>
          </w:tcPr>
          <w:p>
            <w:pPr>
              <w:spacing w:after="0"/>
              <w:rPr>
                <w:sz w:val="20"/>
                <w:szCs w:val="20"/>
                <w:color w:val="auto"/>
              </w:rPr>
            </w:pPr>
          </w:p>
        </w:tc>
        <w:tc>
          <w:tcPr>
            <w:tcW w:w="20" w:type="dxa"/>
            <w:vAlign w:val="bottom"/>
            <w:tcBorders>
              <w:bottom w:val="single" w:sz="8" w:color="FEFEFE"/>
            </w:tcBorders>
            <w:shd w:val="clear" w:color="auto" w:fill="FEFEFE"/>
          </w:tcPr>
          <w:p>
            <w:pPr>
              <w:spacing w:after="0"/>
              <w:rPr>
                <w:sz w:val="20"/>
                <w:szCs w:val="20"/>
                <w:color w:val="auto"/>
              </w:rPr>
            </w:pPr>
          </w:p>
        </w:tc>
        <w:tc>
          <w:tcPr>
            <w:tcW w:w="20" w:type="dxa"/>
            <w:vAlign w:val="bottom"/>
            <w:tcBorders>
              <w:bottom w:val="single" w:sz="8" w:color="FEFEFE"/>
            </w:tcBorders>
            <w:shd w:val="clear" w:color="auto" w:fill="FEFEFE"/>
          </w:tcPr>
          <w:p>
            <w:pPr>
              <w:spacing w:after="0"/>
              <w:rPr>
                <w:sz w:val="20"/>
                <w:szCs w:val="20"/>
                <w:color w:val="auto"/>
              </w:rPr>
            </w:pPr>
          </w:p>
        </w:tc>
        <w:tc>
          <w:tcPr>
            <w:tcW w:w="60" w:type="dxa"/>
            <w:vAlign w:val="bottom"/>
            <w:tcBorders>
              <w:bottom w:val="single" w:sz="8" w:color="FEFEFE"/>
            </w:tcBorders>
            <w:shd w:val="clear" w:color="auto" w:fill="FEFEFE"/>
          </w:tcPr>
          <w:p>
            <w:pPr>
              <w:spacing w:after="0"/>
              <w:rPr>
                <w:sz w:val="20"/>
                <w:szCs w:val="20"/>
                <w:color w:val="auto"/>
              </w:rPr>
            </w:pPr>
          </w:p>
        </w:tc>
        <w:tc>
          <w:tcPr>
            <w:tcW w:w="80" w:type="dxa"/>
            <w:vAlign w:val="bottom"/>
            <w:tcBorders>
              <w:bottom w:val="single" w:sz="8" w:color="FEFEFE"/>
            </w:tcBorders>
            <w:shd w:val="clear" w:color="auto" w:fill="FEFEFE"/>
          </w:tcPr>
          <w:p>
            <w:pPr>
              <w:spacing w:after="0"/>
              <w:rPr>
                <w:sz w:val="20"/>
                <w:szCs w:val="20"/>
                <w:color w:val="auto"/>
              </w:rPr>
            </w:pPr>
          </w:p>
        </w:tc>
        <w:tc>
          <w:tcPr>
            <w:tcW w:w="740" w:type="dxa"/>
            <w:vAlign w:val="bottom"/>
            <w:tcBorders>
              <w:bottom w:val="single" w:sz="8" w:color="FEFEFE"/>
            </w:tcBorders>
            <w:shd w:val="clear" w:color="auto" w:fill="FEFEFE"/>
          </w:tcPr>
          <w:p>
            <w:pPr>
              <w:spacing w:after="0"/>
              <w:rPr>
                <w:sz w:val="20"/>
                <w:szCs w:val="20"/>
                <w:color w:val="auto"/>
              </w:rPr>
            </w:pPr>
          </w:p>
        </w:tc>
        <w:tc>
          <w:tcPr>
            <w:tcW w:w="1320" w:type="dxa"/>
            <w:vAlign w:val="bottom"/>
            <w:tcBorders>
              <w:bottom w:val="single" w:sz="8" w:color="FEFEFE"/>
            </w:tcBorders>
            <w:shd w:val="clear" w:color="auto" w:fill="FEFEFE"/>
          </w:tcPr>
          <w:p>
            <w:pPr>
              <w:spacing w:after="0"/>
              <w:rPr>
                <w:sz w:val="20"/>
                <w:szCs w:val="20"/>
                <w:color w:val="auto"/>
              </w:rPr>
            </w:pPr>
          </w:p>
        </w:tc>
        <w:tc>
          <w:tcPr>
            <w:tcW w:w="1340" w:type="dxa"/>
            <w:vAlign w:val="bottom"/>
            <w:tcBorders>
              <w:bottom w:val="single" w:sz="8" w:color="FEFEFE"/>
            </w:tcBorders>
            <w:shd w:val="clear" w:color="auto" w:fill="FEFEFE"/>
          </w:tcPr>
          <w:p>
            <w:pPr>
              <w:spacing w:after="0"/>
              <w:rPr>
                <w:sz w:val="20"/>
                <w:szCs w:val="20"/>
                <w:color w:val="auto"/>
              </w:rPr>
            </w:pPr>
          </w:p>
        </w:tc>
        <w:tc>
          <w:tcPr>
            <w:tcW w:w="1140" w:type="dxa"/>
            <w:vAlign w:val="bottom"/>
            <w:tcBorders>
              <w:bottom w:val="single" w:sz="8" w:color="FEFEFE"/>
            </w:tcBorders>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3.1</w:t>
            </w:r>
          </w:p>
        </w:tc>
        <w:tc>
          <w:tcPr>
            <w:tcW w:w="160" w:type="dxa"/>
            <w:vAlign w:val="bottom"/>
          </w:tcPr>
          <w:p>
            <w:pPr>
              <w:spacing w:after="0"/>
              <w:rPr>
                <w:sz w:val="15"/>
                <w:szCs w:val="15"/>
                <w:color w:val="auto"/>
              </w:rPr>
            </w:pPr>
          </w:p>
        </w:tc>
        <w:tc>
          <w:tcPr>
            <w:tcW w:w="4480" w:type="dxa"/>
            <w:vAlign w:val="bottom"/>
            <w:gridSpan w:val="18"/>
          </w:tcPr>
          <w:p>
            <w:pPr>
              <w:spacing w:after="0" w:line="175" w:lineRule="exact"/>
              <w:rPr>
                <w:rFonts w:ascii="Arial" w:cs="Arial" w:eastAsia="Arial" w:hAnsi="Arial"/>
                <w:sz w:val="16"/>
                <w:szCs w:val="16"/>
                <w:color w:val="0000FF"/>
              </w:rPr>
            </w:pPr>
            <w:hyperlink r:id="rId145">
              <w:r>
                <w:rPr>
                  <w:rFonts w:ascii="Arial" w:cs="Arial" w:eastAsia="Arial" w:hAnsi="Arial"/>
                  <w:sz w:val="16"/>
                  <w:szCs w:val="16"/>
                  <w:color w:val="0000FF"/>
                </w:rPr>
                <w:t>Restated Certificate of Incorporation</w:t>
              </w:r>
            </w:hyperlink>
            <w:r>
              <w:rPr>
                <w:rFonts w:ascii="Arial" w:cs="Arial" w:eastAsia="Arial" w:hAnsi="Arial"/>
                <w:sz w:val="16"/>
                <w:szCs w:val="16"/>
                <w:color w:val="000000"/>
              </w:rPr>
              <w:t>.</w:t>
            </w:r>
          </w:p>
        </w:tc>
        <w:tc>
          <w:tcPr>
            <w:tcW w:w="740" w:type="dxa"/>
            <w:vAlign w:val="bottom"/>
          </w:tcPr>
          <w:p>
            <w:pPr>
              <w:ind w:left="20"/>
              <w:spacing w:after="0" w:line="175" w:lineRule="exact"/>
              <w:rPr>
                <w:sz w:val="20"/>
                <w:szCs w:val="20"/>
                <w:color w:val="auto"/>
              </w:rPr>
            </w:pPr>
            <w:r>
              <w:rPr>
                <w:rFonts w:ascii="Arial" w:cs="Arial" w:eastAsia="Arial" w:hAnsi="Arial"/>
                <w:sz w:val="16"/>
                <w:szCs w:val="16"/>
                <w:color w:val="auto"/>
              </w:rPr>
              <w:t>10-Q</w:t>
            </w:r>
          </w:p>
        </w:tc>
        <w:tc>
          <w:tcPr>
            <w:tcW w:w="1320" w:type="dxa"/>
            <w:vAlign w:val="bottom"/>
          </w:tcPr>
          <w:p>
            <w:pPr>
              <w:ind w:left="120"/>
              <w:spacing w:after="0" w:line="175" w:lineRule="exact"/>
              <w:rPr>
                <w:sz w:val="20"/>
                <w:szCs w:val="20"/>
                <w:color w:val="auto"/>
              </w:rPr>
            </w:pPr>
            <w:r>
              <w:rPr>
                <w:rFonts w:ascii="Arial" w:cs="Arial" w:eastAsia="Arial" w:hAnsi="Arial"/>
                <w:sz w:val="16"/>
                <w:szCs w:val="16"/>
                <w:color w:val="auto"/>
              </w:rPr>
              <w:t>001-39058</w:t>
            </w:r>
          </w:p>
        </w:tc>
        <w:tc>
          <w:tcPr>
            <w:tcW w:w="1340" w:type="dxa"/>
            <w:vAlign w:val="bottom"/>
          </w:tcPr>
          <w:p>
            <w:pPr>
              <w:jc w:val="right"/>
              <w:ind w:right="39"/>
              <w:spacing w:after="0" w:line="175" w:lineRule="exact"/>
              <w:rPr>
                <w:sz w:val="20"/>
                <w:szCs w:val="20"/>
                <w:color w:val="auto"/>
              </w:rPr>
            </w:pPr>
            <w:r>
              <w:rPr>
                <w:rFonts w:ascii="Arial" w:cs="Arial" w:eastAsia="Arial" w:hAnsi="Arial"/>
                <w:sz w:val="16"/>
                <w:szCs w:val="16"/>
                <w:color w:val="auto"/>
              </w:rPr>
              <w:t>3.1</w:t>
            </w: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11/06/2019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 w:type="dxa"/>
            <w:vAlign w:val="bottom"/>
          </w:tcPr>
          <w:p>
            <w:pPr>
              <w:jc w:val="right"/>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9"/>
                <w:szCs w:val="19"/>
                <w:color w:val="auto"/>
              </w:rPr>
            </w:pPr>
          </w:p>
        </w:tc>
        <w:tc>
          <w:tcPr>
            <w:tcW w:w="2900" w:type="dxa"/>
            <w:vAlign w:val="bottom"/>
            <w:tcBorders>
              <w:bottom w:val="single" w:sz="8" w:color="0000FF"/>
            </w:tcBorders>
            <w:gridSpan w:val="7"/>
          </w:tcPr>
          <w:p>
            <w:pPr>
              <w:spacing w:after="0"/>
              <w:rPr>
                <w:rFonts w:ascii="Arial" w:cs="Arial" w:eastAsia="Arial" w:hAnsi="Arial"/>
                <w:sz w:val="16"/>
                <w:szCs w:val="16"/>
                <w:color w:val="0000FF"/>
              </w:rPr>
            </w:pPr>
            <w:hyperlink r:id="rId146">
              <w:r>
                <w:rPr>
                  <w:rFonts w:ascii="Arial" w:cs="Arial" w:eastAsia="Arial" w:hAnsi="Arial"/>
                  <w:sz w:val="16"/>
                  <w:szCs w:val="16"/>
                  <w:color w:val="0000FF"/>
                </w:rPr>
                <w:t>Second Amended and Restated Bylaws.</w:t>
              </w:r>
            </w:hyperlink>
          </w:p>
        </w:tc>
        <w:tc>
          <w:tcPr>
            <w:tcW w:w="1580" w:type="dxa"/>
            <w:vAlign w:val="bottom"/>
            <w:gridSpan w:val="11"/>
          </w:tcPr>
          <w:p>
            <w:pPr>
              <w:spacing w:after="0"/>
              <w:rPr>
                <w:sz w:val="19"/>
                <w:szCs w:val="19"/>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8-K</w:t>
            </w:r>
          </w:p>
        </w:tc>
        <w:tc>
          <w:tcPr>
            <w:tcW w:w="1320" w:type="dxa"/>
            <w:vAlign w:val="bottom"/>
          </w:tcPr>
          <w:p>
            <w:pPr>
              <w:ind w:left="120"/>
              <w:spacing w:after="0"/>
              <w:rPr>
                <w:sz w:val="20"/>
                <w:szCs w:val="20"/>
                <w:color w:val="auto"/>
              </w:rPr>
            </w:pPr>
            <w:r>
              <w:rPr>
                <w:rFonts w:ascii="Arial" w:cs="Arial" w:eastAsia="Arial" w:hAnsi="Arial"/>
                <w:sz w:val="16"/>
                <w:szCs w:val="16"/>
                <w:color w:val="auto"/>
              </w:rPr>
              <w:t>001-39058</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140" w:type="dxa"/>
            <w:vAlign w:val="bottom"/>
          </w:tcPr>
          <w:p>
            <w:pPr>
              <w:jc w:val="right"/>
              <w:spacing w:after="0"/>
              <w:rPr>
                <w:sz w:val="20"/>
                <w:szCs w:val="20"/>
                <w:color w:val="auto"/>
              </w:rPr>
            </w:pPr>
            <w:r>
              <w:rPr>
                <w:rFonts w:ascii="Arial" w:cs="Arial" w:eastAsia="Arial" w:hAnsi="Arial"/>
                <w:sz w:val="16"/>
                <w:szCs w:val="16"/>
                <w:color w:val="auto"/>
              </w:rPr>
              <w:t>04/08/2024</w:t>
            </w:r>
          </w:p>
        </w:tc>
        <w:tc>
          <w:tcPr>
            <w:tcW w:w="0" w:type="dxa"/>
            <w:vAlign w:val="bottom"/>
          </w:tcPr>
          <w:p>
            <w:pPr>
              <w:spacing w:after="0"/>
              <w:rPr>
                <w:sz w:val="1"/>
                <w:szCs w:val="1"/>
                <w:color w:val="auto"/>
              </w:rPr>
            </w:pPr>
          </w:p>
        </w:tc>
      </w:tr>
      <w:tr>
        <w:trPr>
          <w:trHeight w:val="223"/>
        </w:trPr>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19"/>
                <w:szCs w:val="19"/>
                <w:color w:val="auto"/>
              </w:rPr>
            </w:pPr>
          </w:p>
        </w:tc>
        <w:tc>
          <w:tcPr>
            <w:tcW w:w="4480" w:type="dxa"/>
            <w:vAlign w:val="bottom"/>
            <w:gridSpan w:val="18"/>
          </w:tcPr>
          <w:p>
            <w:pPr>
              <w:spacing w:after="0"/>
              <w:rPr>
                <w:rFonts w:ascii="Arial" w:cs="Arial" w:eastAsia="Arial" w:hAnsi="Arial"/>
                <w:sz w:val="16"/>
                <w:szCs w:val="16"/>
                <w:color w:val="0000FF"/>
              </w:rPr>
            </w:pPr>
            <w:hyperlink r:id="rId147">
              <w:r>
                <w:rPr>
                  <w:rFonts w:ascii="Arial" w:cs="Arial" w:eastAsia="Arial" w:hAnsi="Arial"/>
                  <w:sz w:val="16"/>
                  <w:szCs w:val="16"/>
                  <w:color w:val="0000FF"/>
                </w:rPr>
                <w:t>Form of Class A common stock certificate</w:t>
              </w:r>
            </w:hyperlink>
            <w:r>
              <w:rPr>
                <w:rFonts w:ascii="Arial" w:cs="Arial" w:eastAsia="Arial" w:hAnsi="Arial"/>
                <w:sz w:val="16"/>
                <w:szCs w:val="16"/>
                <w:color w:val="000000"/>
              </w:rPr>
              <w:t>.</w:t>
            </w:r>
          </w:p>
        </w:tc>
        <w:tc>
          <w:tcPr>
            <w:tcW w:w="740" w:type="dxa"/>
            <w:vAlign w:val="bottom"/>
          </w:tcPr>
          <w:p>
            <w:pPr>
              <w:ind w:left="20"/>
              <w:spacing w:after="0"/>
              <w:rPr>
                <w:sz w:val="20"/>
                <w:szCs w:val="20"/>
                <w:color w:val="auto"/>
              </w:rPr>
            </w:pPr>
            <w:r>
              <w:rPr>
                <w:rFonts w:ascii="Arial" w:cs="Arial" w:eastAsia="Arial" w:hAnsi="Arial"/>
                <w:sz w:val="16"/>
                <w:szCs w:val="16"/>
                <w:color w:val="auto"/>
              </w:rPr>
              <w:t>S-1/A</w:t>
            </w:r>
          </w:p>
        </w:tc>
        <w:tc>
          <w:tcPr>
            <w:tcW w:w="1320" w:type="dxa"/>
            <w:vAlign w:val="bottom"/>
          </w:tcPr>
          <w:p>
            <w:pPr>
              <w:ind w:left="120"/>
              <w:spacing w:after="0"/>
              <w:rPr>
                <w:sz w:val="20"/>
                <w:szCs w:val="20"/>
                <w:color w:val="auto"/>
              </w:rPr>
            </w:pPr>
            <w:r>
              <w:rPr>
                <w:rFonts w:ascii="Arial" w:cs="Arial" w:eastAsia="Arial" w:hAnsi="Arial"/>
                <w:sz w:val="16"/>
                <w:szCs w:val="16"/>
                <w:color w:val="auto"/>
              </w:rPr>
              <w:t>333-233482</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140" w:type="dxa"/>
            <w:vAlign w:val="bottom"/>
          </w:tcPr>
          <w:p>
            <w:pPr>
              <w:jc w:val="right"/>
              <w:spacing w:after="0"/>
              <w:rPr>
                <w:sz w:val="20"/>
                <w:szCs w:val="20"/>
                <w:color w:val="auto"/>
              </w:rPr>
            </w:pPr>
            <w:r>
              <w:rPr>
                <w:rFonts w:ascii="Arial" w:cs="Arial" w:eastAsia="Arial" w:hAnsi="Arial"/>
                <w:sz w:val="16"/>
                <w:szCs w:val="16"/>
                <w:color w:val="auto"/>
              </w:rPr>
              <w:t>09/10/2019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 w:type="dxa"/>
            <w:vAlign w:val="bottom"/>
          </w:tcPr>
          <w:p>
            <w:pPr>
              <w:jc w:val="right"/>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19"/>
                <w:szCs w:val="19"/>
                <w:color w:val="auto"/>
              </w:rPr>
            </w:pPr>
          </w:p>
        </w:tc>
        <w:tc>
          <w:tcPr>
            <w:tcW w:w="4480" w:type="dxa"/>
            <w:vAlign w:val="bottom"/>
            <w:gridSpan w:val="18"/>
          </w:tcPr>
          <w:p>
            <w:pPr>
              <w:spacing w:after="0"/>
              <w:rPr>
                <w:rFonts w:ascii="Arial" w:cs="Arial" w:eastAsia="Arial" w:hAnsi="Arial"/>
                <w:sz w:val="16"/>
                <w:szCs w:val="16"/>
                <w:color w:val="0000FF"/>
              </w:rPr>
            </w:pPr>
            <w:hyperlink r:id="rId148">
              <w:r>
                <w:rPr>
                  <w:rFonts w:ascii="Arial" w:cs="Arial" w:eastAsia="Arial" w:hAnsi="Arial"/>
                  <w:sz w:val="16"/>
                  <w:szCs w:val="16"/>
                  <w:color w:val="0000FF"/>
                </w:rPr>
                <w:t>Fourth Amended and Restated Investors’ Rights Agreement</w:t>
              </w:r>
            </w:hyperlink>
          </w:p>
        </w:tc>
        <w:tc>
          <w:tcPr>
            <w:tcW w:w="740" w:type="dxa"/>
            <w:vAlign w:val="bottom"/>
          </w:tcPr>
          <w:p>
            <w:pPr>
              <w:ind w:left="20"/>
              <w:spacing w:after="0"/>
              <w:rPr>
                <w:sz w:val="20"/>
                <w:szCs w:val="20"/>
                <w:color w:val="auto"/>
              </w:rPr>
            </w:pPr>
            <w:r>
              <w:rPr>
                <w:rFonts w:ascii="Arial" w:cs="Arial" w:eastAsia="Arial" w:hAnsi="Arial"/>
                <w:sz w:val="16"/>
                <w:szCs w:val="16"/>
                <w:color w:val="auto"/>
              </w:rPr>
              <w:t>S-1</w:t>
            </w:r>
          </w:p>
        </w:tc>
        <w:tc>
          <w:tcPr>
            <w:tcW w:w="1320" w:type="dxa"/>
            <w:vAlign w:val="bottom"/>
          </w:tcPr>
          <w:p>
            <w:pPr>
              <w:ind w:left="120"/>
              <w:spacing w:after="0"/>
              <w:rPr>
                <w:sz w:val="20"/>
                <w:szCs w:val="20"/>
                <w:color w:val="auto"/>
              </w:rPr>
            </w:pPr>
            <w:r>
              <w:rPr>
                <w:rFonts w:ascii="Arial" w:cs="Arial" w:eastAsia="Arial" w:hAnsi="Arial"/>
                <w:sz w:val="16"/>
                <w:szCs w:val="16"/>
                <w:color w:val="auto"/>
              </w:rPr>
              <w:t>333-233482</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140" w:type="dxa"/>
            <w:vAlign w:val="bottom"/>
          </w:tcPr>
          <w:p>
            <w:pPr>
              <w:jc w:val="right"/>
              <w:spacing w:after="0"/>
              <w:rPr>
                <w:sz w:val="20"/>
                <w:szCs w:val="20"/>
                <w:color w:val="auto"/>
              </w:rPr>
            </w:pPr>
            <w:r>
              <w:rPr>
                <w:rFonts w:ascii="Arial" w:cs="Arial" w:eastAsia="Arial" w:hAnsi="Arial"/>
                <w:sz w:val="16"/>
                <w:szCs w:val="16"/>
                <w:color w:val="auto"/>
              </w:rPr>
              <w:t>08/27/2019</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00" w:type="dxa"/>
            <w:vAlign w:val="bottom"/>
            <w:tcBorders>
              <w:top w:val="single" w:sz="8" w:color="0000FF"/>
            </w:tcBorders>
            <w:gridSpan w:val="14"/>
          </w:tcPr>
          <w:p>
            <w:pPr>
              <w:spacing w:after="0" w:line="155" w:lineRule="exact"/>
              <w:rPr>
                <w:rFonts w:ascii="Arial" w:cs="Arial" w:eastAsia="Arial" w:hAnsi="Arial"/>
                <w:sz w:val="16"/>
                <w:szCs w:val="16"/>
                <w:color w:val="0000FF"/>
              </w:rPr>
            </w:pPr>
            <w:hyperlink r:id="rId148">
              <w:r>
                <w:rPr>
                  <w:rFonts w:ascii="Arial" w:cs="Arial" w:eastAsia="Arial" w:hAnsi="Arial"/>
                  <w:sz w:val="16"/>
                  <w:szCs w:val="16"/>
                  <w:color w:val="0000FF"/>
                </w:rPr>
                <w:t>by and between the Registrant and certain security holders</w:t>
              </w:r>
            </w:hyperlink>
          </w:p>
        </w:tc>
        <w:tc>
          <w:tcPr>
            <w:tcW w:w="180" w:type="dxa"/>
            <w:vAlign w:val="bottom"/>
            <w:gridSpan w:val="4"/>
          </w:tcPr>
          <w:p>
            <w:pPr>
              <w:spacing w:after="0" w:line="155" w:lineRule="exact"/>
              <w:rPr>
                <w:rFonts w:ascii="Arial" w:cs="Arial" w:eastAsia="Arial" w:hAnsi="Arial"/>
                <w:sz w:val="16"/>
                <w:szCs w:val="16"/>
                <w:color w:val="0000FF"/>
              </w:rPr>
            </w:pPr>
            <w:hyperlink r:id="rId148">
              <w:r>
                <w:rPr>
                  <w:rFonts w:ascii="Arial" w:cs="Arial" w:eastAsia="Arial" w:hAnsi="Arial"/>
                  <w:sz w:val="16"/>
                  <w:szCs w:val="16"/>
                  <w:color w:val="0000FF"/>
                </w:rPr>
                <w:t>of</w:t>
              </w:r>
            </w:hyperlink>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0" w:type="dxa"/>
            <w:vAlign w:val="bottom"/>
            <w:tcBorders>
              <w:top w:val="single" w:sz="8" w:color="0000FF"/>
            </w:tcBorders>
            <w:gridSpan w:val="17"/>
          </w:tcPr>
          <w:p>
            <w:pPr>
              <w:spacing w:after="0" w:line="155" w:lineRule="exact"/>
              <w:rPr>
                <w:rFonts w:ascii="Arial" w:cs="Arial" w:eastAsia="Arial" w:hAnsi="Arial"/>
                <w:sz w:val="16"/>
                <w:szCs w:val="16"/>
                <w:color w:val="0000FF"/>
              </w:rPr>
            </w:pPr>
            <w:hyperlink r:id="rId148">
              <w:r>
                <w:rPr>
                  <w:rFonts w:ascii="Arial" w:cs="Arial" w:eastAsia="Arial" w:hAnsi="Arial"/>
                  <w:sz w:val="16"/>
                  <w:szCs w:val="16"/>
                  <w:color w:val="0000FF"/>
                </w:rPr>
                <w:t>the Registrant, dated April 5, 2019</w:t>
              </w:r>
              <w:r>
                <w:rPr>
                  <w:rFonts w:ascii="Arial" w:cs="Arial" w:eastAsia="Arial" w:hAnsi="Arial"/>
                  <w:sz w:val="16"/>
                  <w:szCs w:val="16"/>
                  <w:color w:val="000000"/>
                </w:rPr>
                <w:t>.</w:t>
              </w:r>
            </w:hyperlink>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 w:type="dxa"/>
            <w:vAlign w:val="bottom"/>
          </w:tcPr>
          <w:p>
            <w:pPr>
              <w:jc w:val="right"/>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9"/>
                <w:szCs w:val="19"/>
                <w:color w:val="auto"/>
              </w:rPr>
            </w:pPr>
          </w:p>
        </w:tc>
        <w:tc>
          <w:tcPr>
            <w:tcW w:w="4480" w:type="dxa"/>
            <w:vAlign w:val="bottom"/>
            <w:gridSpan w:val="18"/>
          </w:tcPr>
          <w:p>
            <w:pPr>
              <w:spacing w:after="0"/>
              <w:rPr>
                <w:rFonts w:ascii="Arial" w:cs="Arial" w:eastAsia="Arial" w:hAnsi="Arial"/>
                <w:sz w:val="16"/>
                <w:szCs w:val="16"/>
                <w:color w:val="0000FF"/>
              </w:rPr>
            </w:pPr>
            <w:hyperlink r:id="rId149">
              <w:r>
                <w:rPr>
                  <w:rFonts w:ascii="Arial" w:cs="Arial" w:eastAsia="Arial" w:hAnsi="Arial"/>
                  <w:sz w:val="16"/>
                  <w:szCs w:val="16"/>
                  <w:color w:val="0000FF"/>
                </w:rPr>
                <w:t>Indenture, dated as of May 24, 2024, between Peloton</w:t>
              </w:r>
            </w:hyperlink>
          </w:p>
        </w:tc>
        <w:tc>
          <w:tcPr>
            <w:tcW w:w="740" w:type="dxa"/>
            <w:vAlign w:val="bottom"/>
          </w:tcPr>
          <w:p>
            <w:pPr>
              <w:ind w:left="20"/>
              <w:spacing w:after="0"/>
              <w:rPr>
                <w:sz w:val="20"/>
                <w:szCs w:val="20"/>
                <w:color w:val="auto"/>
              </w:rPr>
            </w:pPr>
            <w:r>
              <w:rPr>
                <w:rFonts w:ascii="Arial" w:cs="Arial" w:eastAsia="Arial" w:hAnsi="Arial"/>
                <w:sz w:val="16"/>
                <w:szCs w:val="16"/>
                <w:color w:val="auto"/>
              </w:rPr>
              <w:t>8-K</w:t>
            </w:r>
          </w:p>
        </w:tc>
        <w:tc>
          <w:tcPr>
            <w:tcW w:w="1320" w:type="dxa"/>
            <w:vAlign w:val="bottom"/>
          </w:tcPr>
          <w:p>
            <w:pPr>
              <w:ind w:left="120"/>
              <w:spacing w:after="0"/>
              <w:rPr>
                <w:sz w:val="20"/>
                <w:szCs w:val="20"/>
                <w:color w:val="auto"/>
              </w:rPr>
            </w:pPr>
            <w:r>
              <w:rPr>
                <w:rFonts w:ascii="Arial" w:cs="Arial" w:eastAsia="Arial" w:hAnsi="Arial"/>
                <w:sz w:val="16"/>
                <w:szCs w:val="16"/>
                <w:color w:val="auto"/>
              </w:rPr>
              <w:t>001-39058</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140" w:type="dxa"/>
            <w:vAlign w:val="bottom"/>
          </w:tcPr>
          <w:p>
            <w:pPr>
              <w:jc w:val="right"/>
              <w:spacing w:after="0"/>
              <w:rPr>
                <w:sz w:val="20"/>
                <w:szCs w:val="20"/>
                <w:color w:val="auto"/>
              </w:rPr>
            </w:pPr>
            <w:r>
              <w:rPr>
                <w:rFonts w:ascii="Arial" w:cs="Arial" w:eastAsia="Arial" w:hAnsi="Arial"/>
                <w:sz w:val="16"/>
                <w:szCs w:val="16"/>
                <w:color w:val="auto"/>
              </w:rPr>
              <w:t>05/24/2024</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00" w:type="dxa"/>
            <w:vAlign w:val="bottom"/>
            <w:tcBorders>
              <w:top w:val="single" w:sz="8" w:color="0000FF"/>
              <w:bottom w:val="single" w:sz="8" w:color="0000FF"/>
            </w:tcBorders>
            <w:gridSpan w:val="10"/>
          </w:tcPr>
          <w:p>
            <w:pPr>
              <w:spacing w:after="0" w:line="155" w:lineRule="exact"/>
              <w:rPr>
                <w:rFonts w:ascii="Arial" w:cs="Arial" w:eastAsia="Arial" w:hAnsi="Arial"/>
                <w:sz w:val="16"/>
                <w:szCs w:val="16"/>
                <w:color w:val="0000FF"/>
                <w:w w:val="97"/>
              </w:rPr>
            </w:pPr>
            <w:hyperlink r:id="rId149">
              <w:r>
                <w:rPr>
                  <w:rFonts w:ascii="Arial" w:cs="Arial" w:eastAsia="Arial" w:hAnsi="Arial"/>
                  <w:sz w:val="16"/>
                  <w:szCs w:val="16"/>
                  <w:color w:val="0000FF"/>
                  <w:w w:val="97"/>
                </w:rPr>
                <w:t>Interactive, Inc. and U.S. Bank Trust Company, National</w:t>
              </w:r>
            </w:hyperlink>
          </w:p>
        </w:tc>
        <w:tc>
          <w:tcPr>
            <w:tcW w:w="10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gridSpan w:val="11"/>
          </w:tcPr>
          <w:p>
            <w:pPr>
              <w:spacing w:after="0" w:line="169" w:lineRule="exact"/>
              <w:rPr>
                <w:rFonts w:ascii="Arial" w:cs="Arial" w:eastAsia="Arial" w:hAnsi="Arial"/>
                <w:sz w:val="16"/>
                <w:szCs w:val="16"/>
                <w:color w:val="0000FF"/>
              </w:rPr>
            </w:pPr>
            <w:hyperlink r:id="rId149">
              <w:r>
                <w:rPr>
                  <w:rFonts w:ascii="Arial" w:cs="Arial" w:eastAsia="Arial" w:hAnsi="Arial"/>
                  <w:sz w:val="16"/>
                  <w:szCs w:val="16"/>
                  <w:color w:val="0000FF"/>
                </w:rPr>
                <w:t>Association, as trustee</w:t>
              </w:r>
              <w:r>
                <w:rPr>
                  <w:rFonts w:ascii="Arial" w:cs="Arial" w:eastAsia="Arial" w:hAnsi="Arial"/>
                  <w:sz w:val="16"/>
                  <w:szCs w:val="16"/>
                  <w:color w:val="000000"/>
                </w:rPr>
                <w:t>.</w:t>
              </w:r>
            </w:hyperlink>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40" w:type="dxa"/>
            <w:vAlign w:val="bottom"/>
          </w:tcPr>
          <w:p>
            <w:pPr>
              <w:jc w:val="right"/>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24"/>
                <w:szCs w:val="24"/>
                <w:color w:val="auto"/>
              </w:rPr>
            </w:pPr>
          </w:p>
        </w:tc>
        <w:tc>
          <w:tcPr>
            <w:tcW w:w="4480" w:type="dxa"/>
            <w:vAlign w:val="bottom"/>
            <w:gridSpan w:val="18"/>
          </w:tcPr>
          <w:p>
            <w:pPr>
              <w:spacing w:after="0"/>
              <w:rPr>
                <w:rFonts w:ascii="Arial" w:cs="Arial" w:eastAsia="Arial" w:hAnsi="Arial"/>
                <w:sz w:val="16"/>
                <w:szCs w:val="16"/>
                <w:color w:val="0000FF"/>
              </w:rPr>
            </w:pPr>
            <w:hyperlink r:id="rId149">
              <w:r>
                <w:rPr>
                  <w:rFonts w:ascii="Arial" w:cs="Arial" w:eastAsia="Arial" w:hAnsi="Arial"/>
                  <w:sz w:val="16"/>
                  <w:szCs w:val="16"/>
                  <w:color w:val="0000FF"/>
                </w:rPr>
                <w:t>Form of 5.50% Convertible Senior Notes due 2029 (included</w:t>
              </w:r>
            </w:hyperlink>
          </w:p>
        </w:tc>
        <w:tc>
          <w:tcPr>
            <w:tcW w:w="740" w:type="dxa"/>
            <w:vAlign w:val="bottom"/>
          </w:tcPr>
          <w:p>
            <w:pPr>
              <w:ind w:left="20"/>
              <w:spacing w:after="0"/>
              <w:rPr>
                <w:sz w:val="20"/>
                <w:szCs w:val="20"/>
                <w:color w:val="auto"/>
              </w:rPr>
            </w:pPr>
            <w:r>
              <w:rPr>
                <w:rFonts w:ascii="Arial" w:cs="Arial" w:eastAsia="Arial" w:hAnsi="Arial"/>
                <w:sz w:val="16"/>
                <w:szCs w:val="16"/>
                <w:color w:val="auto"/>
              </w:rPr>
              <w:t>8-K</w:t>
            </w:r>
          </w:p>
        </w:tc>
        <w:tc>
          <w:tcPr>
            <w:tcW w:w="1320" w:type="dxa"/>
            <w:vAlign w:val="bottom"/>
          </w:tcPr>
          <w:p>
            <w:pPr>
              <w:ind w:left="120"/>
              <w:spacing w:after="0"/>
              <w:rPr>
                <w:sz w:val="20"/>
                <w:szCs w:val="20"/>
                <w:color w:val="auto"/>
              </w:rPr>
            </w:pPr>
            <w:r>
              <w:rPr>
                <w:rFonts w:ascii="Arial" w:cs="Arial" w:eastAsia="Arial" w:hAnsi="Arial"/>
                <w:sz w:val="16"/>
                <w:szCs w:val="16"/>
                <w:color w:val="auto"/>
              </w:rPr>
              <w:t>001-39058</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140" w:type="dxa"/>
            <w:vAlign w:val="bottom"/>
          </w:tcPr>
          <w:p>
            <w:pPr>
              <w:jc w:val="right"/>
              <w:spacing w:after="0"/>
              <w:rPr>
                <w:sz w:val="20"/>
                <w:szCs w:val="20"/>
                <w:color w:val="auto"/>
              </w:rPr>
            </w:pPr>
            <w:r>
              <w:rPr>
                <w:rFonts w:ascii="Arial" w:cs="Arial" w:eastAsia="Arial" w:hAnsi="Arial"/>
                <w:sz w:val="16"/>
                <w:szCs w:val="16"/>
                <w:color w:val="auto"/>
              </w:rPr>
              <w:t>05/24/2024</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20" w:type="dxa"/>
            <w:vAlign w:val="bottom"/>
            <w:tcBorders>
              <w:top w:val="single" w:sz="8" w:color="0000FF"/>
            </w:tcBorders>
            <w:gridSpan w:val="15"/>
          </w:tcPr>
          <w:p>
            <w:pPr>
              <w:spacing w:after="0" w:line="155" w:lineRule="exact"/>
              <w:rPr>
                <w:rFonts w:ascii="Arial" w:cs="Arial" w:eastAsia="Arial" w:hAnsi="Arial"/>
                <w:sz w:val="16"/>
                <w:szCs w:val="16"/>
                <w:color w:val="0000FF"/>
              </w:rPr>
            </w:pPr>
            <w:hyperlink r:id="rId149">
              <w:r>
                <w:rPr>
                  <w:rFonts w:ascii="Arial" w:cs="Arial" w:eastAsia="Arial" w:hAnsi="Arial"/>
                  <w:sz w:val="16"/>
                  <w:szCs w:val="16"/>
                  <w:color w:val="0000FF"/>
                </w:rPr>
                <w:t>in Exhibit 4.1).</w:t>
              </w:r>
            </w:hyperlink>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tcPr>
          <w:p>
            <w:pPr>
              <w:jc w:val="right"/>
              <w:spacing w:after="0"/>
              <w:rPr>
                <w:sz w:val="20"/>
                <w:szCs w:val="20"/>
                <w:color w:val="auto"/>
              </w:rPr>
            </w:pPr>
            <w:r>
              <w:rPr>
                <w:rFonts w:ascii="Arial" w:cs="Arial" w:eastAsia="Arial" w:hAnsi="Arial"/>
                <w:sz w:val="16"/>
                <w:szCs w:val="16"/>
                <w:color w:val="auto"/>
              </w:rPr>
              <w:t>4.5</w:t>
            </w:r>
          </w:p>
        </w:tc>
        <w:tc>
          <w:tcPr>
            <w:tcW w:w="160" w:type="dxa"/>
            <w:vAlign w:val="bottom"/>
          </w:tcPr>
          <w:p>
            <w:pPr>
              <w:spacing w:after="0"/>
              <w:rPr>
                <w:sz w:val="20"/>
                <w:szCs w:val="20"/>
                <w:color w:val="auto"/>
              </w:rPr>
            </w:pPr>
          </w:p>
        </w:tc>
        <w:tc>
          <w:tcPr>
            <w:tcW w:w="4480" w:type="dxa"/>
            <w:vAlign w:val="bottom"/>
            <w:gridSpan w:val="18"/>
          </w:tcPr>
          <w:p>
            <w:pPr>
              <w:spacing w:after="0"/>
              <w:rPr>
                <w:rFonts w:ascii="Arial" w:cs="Arial" w:eastAsia="Arial" w:hAnsi="Arial"/>
                <w:sz w:val="16"/>
                <w:szCs w:val="16"/>
                <w:color w:val="0000FF"/>
              </w:rPr>
            </w:pPr>
            <w:hyperlink r:id="rId150">
              <w:r>
                <w:rPr>
                  <w:rFonts w:ascii="Arial" w:cs="Arial" w:eastAsia="Arial" w:hAnsi="Arial"/>
                  <w:sz w:val="16"/>
                  <w:szCs w:val="16"/>
                  <w:color w:val="0000FF"/>
                </w:rPr>
                <w:t>Description of Class A Common Stock Registered Under</w:t>
              </w:r>
            </w:hyperlink>
          </w:p>
        </w:tc>
        <w:tc>
          <w:tcPr>
            <w:tcW w:w="740" w:type="dxa"/>
            <w:vAlign w:val="bottom"/>
          </w:tcPr>
          <w:p>
            <w:pPr>
              <w:ind w:left="20"/>
              <w:spacing w:after="0"/>
              <w:rPr>
                <w:sz w:val="20"/>
                <w:szCs w:val="20"/>
                <w:color w:val="auto"/>
              </w:rPr>
            </w:pPr>
            <w:r>
              <w:rPr>
                <w:rFonts w:ascii="Arial" w:cs="Arial" w:eastAsia="Arial" w:hAnsi="Arial"/>
                <w:sz w:val="16"/>
                <w:szCs w:val="16"/>
                <w:color w:val="auto"/>
              </w:rPr>
              <w:t>10-K</w:t>
            </w:r>
          </w:p>
        </w:tc>
        <w:tc>
          <w:tcPr>
            <w:tcW w:w="1320" w:type="dxa"/>
            <w:vAlign w:val="bottom"/>
          </w:tcPr>
          <w:p>
            <w:pPr>
              <w:ind w:left="120"/>
              <w:spacing w:after="0"/>
              <w:rPr>
                <w:sz w:val="20"/>
                <w:szCs w:val="20"/>
                <w:color w:val="auto"/>
              </w:rPr>
            </w:pPr>
            <w:r>
              <w:rPr>
                <w:rFonts w:ascii="Arial" w:cs="Arial" w:eastAsia="Arial" w:hAnsi="Arial"/>
                <w:sz w:val="16"/>
                <w:szCs w:val="16"/>
                <w:color w:val="auto"/>
              </w:rPr>
              <w:t>001-39058</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140" w:type="dxa"/>
            <w:vAlign w:val="bottom"/>
          </w:tcPr>
          <w:p>
            <w:pPr>
              <w:jc w:val="right"/>
              <w:spacing w:after="0"/>
              <w:rPr>
                <w:sz w:val="20"/>
                <w:szCs w:val="20"/>
                <w:color w:val="auto"/>
              </w:rPr>
            </w:pPr>
            <w:r>
              <w:rPr>
                <w:rFonts w:ascii="Arial" w:cs="Arial" w:eastAsia="Arial" w:hAnsi="Arial"/>
                <w:sz w:val="16"/>
                <w:szCs w:val="16"/>
                <w:color w:val="auto"/>
              </w:rPr>
              <w:t>09/11/2020</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60" w:type="dxa"/>
            <w:vAlign w:val="bottom"/>
            <w:tcBorders>
              <w:top w:val="single" w:sz="8" w:color="0000FF"/>
            </w:tcBorders>
            <w:gridSpan w:val="12"/>
          </w:tcPr>
          <w:p>
            <w:pPr>
              <w:spacing w:after="0" w:line="155" w:lineRule="exact"/>
              <w:rPr>
                <w:rFonts w:ascii="Arial" w:cs="Arial" w:eastAsia="Arial" w:hAnsi="Arial"/>
                <w:sz w:val="16"/>
                <w:szCs w:val="16"/>
                <w:color w:val="0000FF"/>
              </w:rPr>
            </w:pPr>
            <w:hyperlink r:id="rId150">
              <w:r>
                <w:rPr>
                  <w:rFonts w:ascii="Arial" w:cs="Arial" w:eastAsia="Arial" w:hAnsi="Arial"/>
                  <w:sz w:val="16"/>
                  <w:szCs w:val="16"/>
                  <w:color w:val="0000FF"/>
                </w:rPr>
                <w:t>Section 12 of the Securities Exchange Act of 1934, as</w:t>
              </w:r>
            </w:hyperlink>
          </w:p>
        </w:tc>
        <w:tc>
          <w:tcPr>
            <w:tcW w:w="18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60" w:type="dxa"/>
            <w:vAlign w:val="bottom"/>
            <w:tcBorders>
              <w:top w:val="single" w:sz="8" w:color="0000FF"/>
            </w:tcBorders>
            <w:gridSpan w:val="9"/>
          </w:tcPr>
          <w:p>
            <w:pPr>
              <w:spacing w:after="0" w:line="155" w:lineRule="exact"/>
              <w:rPr>
                <w:rFonts w:ascii="Arial" w:cs="Arial" w:eastAsia="Arial" w:hAnsi="Arial"/>
                <w:sz w:val="16"/>
                <w:szCs w:val="16"/>
                <w:color w:val="0000FF"/>
              </w:rPr>
            </w:pPr>
            <w:hyperlink r:id="rId150">
              <w:r>
                <w:rPr>
                  <w:rFonts w:ascii="Arial" w:cs="Arial" w:eastAsia="Arial" w:hAnsi="Arial"/>
                  <w:sz w:val="16"/>
                  <w:szCs w:val="16"/>
                  <w:color w:val="0000FF"/>
                </w:rPr>
                <w:t>amended</w:t>
              </w:r>
              <w:r>
                <w:rPr>
                  <w:rFonts w:ascii="Arial" w:cs="Arial" w:eastAsia="Arial" w:hAnsi="Arial"/>
                  <w:sz w:val="16"/>
                  <w:szCs w:val="16"/>
                  <w:color w:val="000000"/>
                </w:rPr>
                <w:t>.</w:t>
              </w:r>
            </w:hyperlink>
          </w:p>
        </w:tc>
        <w:tc>
          <w:tcPr>
            <w:tcW w:w="38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19"/>
                <w:szCs w:val="19"/>
                <w:color w:val="auto"/>
              </w:rPr>
            </w:pPr>
          </w:p>
        </w:tc>
        <w:tc>
          <w:tcPr>
            <w:tcW w:w="2600" w:type="dxa"/>
            <w:vAlign w:val="bottom"/>
            <w:tcBorders>
              <w:bottom w:val="single" w:sz="8" w:color="0000FF"/>
            </w:tcBorders>
            <w:gridSpan w:val="6"/>
          </w:tcPr>
          <w:p>
            <w:pPr>
              <w:spacing w:after="0"/>
              <w:rPr>
                <w:rFonts w:ascii="Arial" w:cs="Arial" w:eastAsia="Arial" w:hAnsi="Arial"/>
                <w:sz w:val="16"/>
                <w:szCs w:val="16"/>
                <w:color w:val="0000FF"/>
              </w:rPr>
            </w:pPr>
            <w:hyperlink r:id="rId151">
              <w:r>
                <w:rPr>
                  <w:rFonts w:ascii="Arial" w:cs="Arial" w:eastAsia="Arial" w:hAnsi="Arial"/>
                  <w:sz w:val="16"/>
                  <w:szCs w:val="16"/>
                  <w:color w:val="0000FF"/>
                </w:rPr>
                <w:t>Form of Indemnification Agreement.</w:t>
              </w:r>
            </w:hyperlink>
          </w:p>
        </w:tc>
        <w:tc>
          <w:tcPr>
            <w:tcW w:w="1880" w:type="dxa"/>
            <w:vAlign w:val="bottom"/>
            <w:gridSpan w:val="12"/>
          </w:tcPr>
          <w:p>
            <w:pPr>
              <w:spacing w:after="0"/>
              <w:rPr>
                <w:sz w:val="19"/>
                <w:szCs w:val="19"/>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S-1</w:t>
            </w:r>
          </w:p>
        </w:tc>
        <w:tc>
          <w:tcPr>
            <w:tcW w:w="1320" w:type="dxa"/>
            <w:vAlign w:val="bottom"/>
          </w:tcPr>
          <w:p>
            <w:pPr>
              <w:ind w:left="120"/>
              <w:spacing w:after="0"/>
              <w:rPr>
                <w:sz w:val="20"/>
                <w:szCs w:val="20"/>
                <w:color w:val="auto"/>
              </w:rPr>
            </w:pPr>
            <w:r>
              <w:rPr>
                <w:rFonts w:ascii="Arial" w:cs="Arial" w:eastAsia="Arial" w:hAnsi="Arial"/>
                <w:sz w:val="16"/>
                <w:szCs w:val="16"/>
                <w:color w:val="auto"/>
              </w:rPr>
              <w:t>333-233482</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140" w:type="dxa"/>
            <w:vAlign w:val="bottom"/>
          </w:tcPr>
          <w:p>
            <w:pPr>
              <w:jc w:val="right"/>
              <w:spacing w:after="0"/>
              <w:rPr>
                <w:sz w:val="20"/>
                <w:szCs w:val="20"/>
                <w:color w:val="auto"/>
              </w:rPr>
            </w:pPr>
            <w:r>
              <w:rPr>
                <w:rFonts w:ascii="Arial" w:cs="Arial" w:eastAsia="Arial" w:hAnsi="Arial"/>
                <w:sz w:val="16"/>
                <w:szCs w:val="16"/>
                <w:color w:val="auto"/>
              </w:rPr>
              <w:t>08/27/2019</w:t>
            </w:r>
          </w:p>
        </w:tc>
        <w:tc>
          <w:tcPr>
            <w:tcW w:w="0" w:type="dxa"/>
            <w:vAlign w:val="bottom"/>
          </w:tcPr>
          <w:p>
            <w:pPr>
              <w:spacing w:after="0"/>
              <w:rPr>
                <w:sz w:val="1"/>
                <w:szCs w:val="1"/>
                <w:color w:val="auto"/>
              </w:rPr>
            </w:pPr>
          </w:p>
        </w:tc>
      </w:tr>
      <w:tr>
        <w:trPr>
          <w:trHeight w:val="223"/>
        </w:trPr>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19"/>
                <w:szCs w:val="19"/>
                <w:color w:val="auto"/>
              </w:rPr>
            </w:pPr>
          </w:p>
        </w:tc>
        <w:tc>
          <w:tcPr>
            <w:tcW w:w="4480" w:type="dxa"/>
            <w:vAlign w:val="bottom"/>
            <w:gridSpan w:val="18"/>
          </w:tcPr>
          <w:p>
            <w:pPr>
              <w:spacing w:after="0"/>
              <w:rPr>
                <w:rFonts w:ascii="Arial" w:cs="Arial" w:eastAsia="Arial" w:hAnsi="Arial"/>
                <w:sz w:val="16"/>
                <w:szCs w:val="16"/>
                <w:color w:val="0000FF"/>
              </w:rPr>
            </w:pPr>
            <w:hyperlink r:id="rId152">
              <w:r>
                <w:rPr>
                  <w:rFonts w:ascii="Arial" w:cs="Arial" w:eastAsia="Arial" w:hAnsi="Arial"/>
                  <w:sz w:val="16"/>
                  <w:szCs w:val="16"/>
                  <w:color w:val="0000FF"/>
                </w:rPr>
                <w:t>2015 Stock Plan and forms of award agreements thereunder</w:t>
              </w:r>
            </w:hyperlink>
            <w:r>
              <w:rPr>
                <w:rFonts w:ascii="Arial" w:cs="Arial" w:eastAsia="Arial" w:hAnsi="Arial"/>
                <w:sz w:val="16"/>
                <w:szCs w:val="16"/>
                <w:color w:val="000000"/>
              </w:rPr>
              <w:t>.</w:t>
            </w:r>
          </w:p>
        </w:tc>
        <w:tc>
          <w:tcPr>
            <w:tcW w:w="740" w:type="dxa"/>
            <w:vAlign w:val="bottom"/>
          </w:tcPr>
          <w:p>
            <w:pPr>
              <w:ind w:left="20"/>
              <w:spacing w:after="0"/>
              <w:rPr>
                <w:sz w:val="20"/>
                <w:szCs w:val="20"/>
                <w:color w:val="auto"/>
              </w:rPr>
            </w:pPr>
            <w:r>
              <w:rPr>
                <w:rFonts w:ascii="Arial" w:cs="Arial" w:eastAsia="Arial" w:hAnsi="Arial"/>
                <w:sz w:val="16"/>
                <w:szCs w:val="16"/>
                <w:color w:val="auto"/>
              </w:rPr>
              <w:t>S-1</w:t>
            </w:r>
          </w:p>
        </w:tc>
        <w:tc>
          <w:tcPr>
            <w:tcW w:w="1320" w:type="dxa"/>
            <w:vAlign w:val="bottom"/>
          </w:tcPr>
          <w:p>
            <w:pPr>
              <w:ind w:left="120"/>
              <w:spacing w:after="0"/>
              <w:rPr>
                <w:sz w:val="20"/>
                <w:szCs w:val="20"/>
                <w:color w:val="auto"/>
              </w:rPr>
            </w:pPr>
            <w:r>
              <w:rPr>
                <w:rFonts w:ascii="Arial" w:cs="Arial" w:eastAsia="Arial" w:hAnsi="Arial"/>
                <w:sz w:val="16"/>
                <w:szCs w:val="16"/>
                <w:color w:val="auto"/>
              </w:rPr>
              <w:t>333-233482</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140" w:type="dxa"/>
            <w:vAlign w:val="bottom"/>
          </w:tcPr>
          <w:p>
            <w:pPr>
              <w:jc w:val="right"/>
              <w:spacing w:after="0"/>
              <w:rPr>
                <w:sz w:val="20"/>
                <w:szCs w:val="20"/>
                <w:color w:val="auto"/>
              </w:rPr>
            </w:pPr>
            <w:r>
              <w:rPr>
                <w:rFonts w:ascii="Arial" w:cs="Arial" w:eastAsia="Arial" w:hAnsi="Arial"/>
                <w:sz w:val="16"/>
                <w:szCs w:val="16"/>
                <w:color w:val="auto"/>
              </w:rPr>
              <w:t>08/27/2019</w:t>
            </w:r>
          </w:p>
        </w:tc>
        <w:tc>
          <w:tcPr>
            <w:tcW w:w="0" w:type="dxa"/>
            <w:vAlign w:val="bottom"/>
          </w:tcPr>
          <w:p>
            <w:pPr>
              <w:spacing w:after="0"/>
              <w:rPr>
                <w:sz w:val="1"/>
                <w:szCs w:val="1"/>
                <w:color w:val="auto"/>
              </w:rPr>
            </w:pPr>
          </w:p>
        </w:tc>
      </w:tr>
      <w:tr>
        <w:trPr>
          <w:trHeight w:val="223"/>
        </w:trPr>
        <w:tc>
          <w:tcPr>
            <w:tcW w:w="840" w:type="dxa"/>
            <w:vAlign w:val="bottom"/>
          </w:tcPr>
          <w:p>
            <w:pPr>
              <w:jc w:val="right"/>
              <w:spacing w:after="0"/>
              <w:rPr>
                <w:sz w:val="20"/>
                <w:szCs w:val="20"/>
                <w:color w:val="auto"/>
              </w:rPr>
            </w:pPr>
            <w:r>
              <w:rPr>
                <w:rFonts w:ascii="Arial" w:cs="Arial" w:eastAsia="Arial" w:hAnsi="Arial"/>
                <w:sz w:val="16"/>
                <w:szCs w:val="16"/>
                <w:color w:val="auto"/>
              </w:rPr>
              <w:t>10.3†</w:t>
            </w:r>
          </w:p>
        </w:tc>
        <w:tc>
          <w:tcPr>
            <w:tcW w:w="160" w:type="dxa"/>
            <w:vAlign w:val="bottom"/>
          </w:tcPr>
          <w:p>
            <w:pPr>
              <w:spacing w:after="0"/>
              <w:rPr>
                <w:sz w:val="19"/>
                <w:szCs w:val="19"/>
                <w:color w:val="auto"/>
              </w:rPr>
            </w:pPr>
          </w:p>
        </w:tc>
        <w:tc>
          <w:tcPr>
            <w:tcW w:w="4340" w:type="dxa"/>
            <w:vAlign w:val="bottom"/>
            <w:tcBorders>
              <w:top w:val="single" w:sz="8" w:color="0000FF"/>
            </w:tcBorders>
            <w:gridSpan w:val="16"/>
          </w:tcPr>
          <w:p>
            <w:pPr>
              <w:spacing w:after="0"/>
              <w:rPr>
                <w:rFonts w:ascii="Arial" w:cs="Arial" w:eastAsia="Arial" w:hAnsi="Arial"/>
                <w:sz w:val="16"/>
                <w:szCs w:val="16"/>
                <w:color w:val="0000FF"/>
              </w:rPr>
            </w:pPr>
            <w:hyperlink r:id="rId153">
              <w:r>
                <w:rPr>
                  <w:rFonts w:ascii="Arial" w:cs="Arial" w:eastAsia="Arial" w:hAnsi="Arial"/>
                  <w:sz w:val="16"/>
                  <w:szCs w:val="16"/>
                  <w:color w:val="0000FF"/>
                </w:rPr>
                <w:t>2019 Equity Incentive Plan and forms of award agreements</w:t>
              </w:r>
            </w:hyperlink>
          </w:p>
        </w:tc>
        <w:tc>
          <w:tcPr>
            <w:tcW w:w="140" w:type="dxa"/>
            <w:vAlign w:val="bottom"/>
            <w:gridSpan w:val="2"/>
          </w:tcPr>
          <w:p>
            <w:pPr>
              <w:spacing w:after="0"/>
              <w:rPr>
                <w:sz w:val="19"/>
                <w:szCs w:val="19"/>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10-K</w:t>
            </w:r>
          </w:p>
        </w:tc>
        <w:tc>
          <w:tcPr>
            <w:tcW w:w="1320" w:type="dxa"/>
            <w:vAlign w:val="bottom"/>
          </w:tcPr>
          <w:p>
            <w:pPr>
              <w:ind w:left="120"/>
              <w:spacing w:after="0"/>
              <w:rPr>
                <w:sz w:val="20"/>
                <w:szCs w:val="20"/>
                <w:color w:val="auto"/>
              </w:rPr>
            </w:pPr>
            <w:r>
              <w:rPr>
                <w:rFonts w:ascii="Arial" w:cs="Arial" w:eastAsia="Arial" w:hAnsi="Arial"/>
                <w:sz w:val="16"/>
                <w:szCs w:val="16"/>
                <w:color w:val="auto"/>
              </w:rPr>
              <w:t>001-39058</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140" w:type="dxa"/>
            <w:vAlign w:val="bottom"/>
          </w:tcPr>
          <w:p>
            <w:pPr>
              <w:jc w:val="right"/>
              <w:spacing w:after="0"/>
              <w:rPr>
                <w:sz w:val="20"/>
                <w:szCs w:val="20"/>
                <w:color w:val="auto"/>
              </w:rPr>
            </w:pPr>
            <w:r>
              <w:rPr>
                <w:rFonts w:ascii="Arial" w:cs="Arial" w:eastAsia="Arial" w:hAnsi="Arial"/>
                <w:sz w:val="16"/>
                <w:szCs w:val="16"/>
                <w:color w:val="auto"/>
              </w:rPr>
              <w:t>09/07/2022</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40" w:type="dxa"/>
            <w:vAlign w:val="bottom"/>
            <w:tcBorders>
              <w:top w:val="single" w:sz="8" w:color="0000FF"/>
            </w:tcBorders>
            <w:gridSpan w:val="13"/>
          </w:tcPr>
          <w:p>
            <w:pPr>
              <w:spacing w:after="0" w:line="155" w:lineRule="exact"/>
              <w:rPr>
                <w:rFonts w:ascii="Arial" w:cs="Arial" w:eastAsia="Arial" w:hAnsi="Arial"/>
                <w:sz w:val="16"/>
                <w:szCs w:val="16"/>
                <w:color w:val="0000FF"/>
              </w:rPr>
            </w:pPr>
            <w:hyperlink r:id="rId153">
              <w:r>
                <w:rPr>
                  <w:rFonts w:ascii="Arial" w:cs="Arial" w:eastAsia="Arial" w:hAnsi="Arial"/>
                  <w:sz w:val="16"/>
                  <w:szCs w:val="16"/>
                  <w:color w:val="0000FF"/>
                </w:rPr>
                <w:t>thereunder</w:t>
              </w:r>
              <w:r>
                <w:rPr>
                  <w:rFonts w:ascii="Arial" w:cs="Arial" w:eastAsia="Arial" w:hAnsi="Arial"/>
                  <w:sz w:val="16"/>
                  <w:szCs w:val="16"/>
                  <w:color w:val="000000"/>
                </w:rPr>
                <w:t>.</w:t>
              </w:r>
            </w:hyperlink>
          </w:p>
        </w:tc>
        <w:tc>
          <w:tcPr>
            <w:tcW w:w="240" w:type="dxa"/>
            <w:vAlign w:val="bottom"/>
            <w:gridSpan w:val="5"/>
          </w:tcPr>
          <w:p>
            <w:pPr>
              <w:spacing w:after="0"/>
              <w:rPr>
                <w:sz w:val="13"/>
                <w:szCs w:val="13"/>
                <w:color w:val="auto"/>
              </w:rPr>
            </w:pPr>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Filed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-115570</wp:posOffset>
            </wp:positionV>
            <wp:extent cx="779780" cy="31546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79780" cy="3154680"/>
                    </a:xfrm>
                    <a:prstGeom prst="rect">
                      <a:avLst/>
                    </a:prstGeom>
                    <a:noFill/>
                  </pic:spPr>
                </pic:pic>
              </a:graphicData>
            </a:graphic>
          </wp:anchor>
        </w:drawing>
      </w:r>
    </w:p>
    <w:p>
      <w:pPr>
        <w:jc w:val="center"/>
        <w:ind w:right="160"/>
        <w:spacing w:after="0"/>
        <w:rPr>
          <w:sz w:val="20"/>
          <w:szCs w:val="20"/>
          <w:color w:val="auto"/>
        </w:rPr>
      </w:pPr>
      <w:r>
        <w:rPr>
          <w:rFonts w:ascii="Arial" w:cs="Arial" w:eastAsia="Arial" w:hAnsi="Arial"/>
          <w:sz w:val="16"/>
          <w:szCs w:val="16"/>
          <w:color w:val="auto"/>
        </w:rPr>
        <w:t>Furnished</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Herewith</w:t>
      </w:r>
    </w:p>
    <w:p>
      <w:pPr>
        <w:spacing w:after="0" w:line="4536" w:lineRule="exact"/>
        <w:rPr>
          <w:sz w:val="20"/>
          <w:szCs w:val="20"/>
          <w:color w:val="auto"/>
        </w:rPr>
      </w:pPr>
    </w:p>
    <w:p>
      <w:pPr>
        <w:sectPr>
          <w:pgSz w:w="11900" w:h="16838" w:orient="portrait"/>
          <w:cols w:equalWidth="0" w:num="2">
            <w:col w:w="10020" w:space="240"/>
            <w:col w:w="880"/>
          </w:cols>
          <w:pgMar w:left="320" w:top="773" w:right="439" w:bottom="1440" w:gutter="0" w:footer="0" w:header="0"/>
          <w:type w:val="continuous"/>
        </w:sect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3" w:right="4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184"/>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10.4†</w:t>
            </w:r>
          </w:p>
        </w:tc>
        <w:tc>
          <w:tcPr>
            <w:tcW w:w="4460" w:type="dxa"/>
            <w:vAlign w:val="bottom"/>
            <w:gridSpan w:val="29"/>
          </w:tcPr>
          <w:p>
            <w:pPr>
              <w:spacing w:after="0"/>
              <w:rPr>
                <w:rFonts w:ascii="Arial" w:cs="Arial" w:eastAsia="Arial" w:hAnsi="Arial"/>
                <w:sz w:val="16"/>
                <w:szCs w:val="16"/>
                <w:color w:val="0000FF"/>
              </w:rPr>
            </w:pPr>
            <w:hyperlink r:id="rId156">
              <w:r>
                <w:rPr>
                  <w:rFonts w:ascii="Arial" w:cs="Arial" w:eastAsia="Arial" w:hAnsi="Arial"/>
                  <w:sz w:val="16"/>
                  <w:szCs w:val="16"/>
                  <w:color w:val="0000FF"/>
                </w:rPr>
                <w:t>Amendment to the Peloton Interactive, Inc. 2019 Equity</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8-K</w:t>
            </w:r>
          </w:p>
        </w:tc>
      </w:tr>
      <w:tr>
        <w:trPr>
          <w:trHeight w:val="169"/>
        </w:trPr>
        <w:tc>
          <w:tcPr>
            <w:tcW w:w="660" w:type="dxa"/>
            <w:vAlign w:val="bottom"/>
          </w:tcPr>
          <w:p>
            <w:pPr>
              <w:spacing w:after="0"/>
              <w:rPr>
                <w:sz w:val="14"/>
                <w:szCs w:val="14"/>
                <w:color w:val="auto"/>
              </w:rPr>
            </w:pPr>
          </w:p>
        </w:tc>
        <w:tc>
          <w:tcPr>
            <w:tcW w:w="396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156">
              <w:r>
                <w:rPr>
                  <w:rFonts w:ascii="Arial" w:cs="Arial" w:eastAsia="Arial" w:hAnsi="Arial"/>
                  <w:sz w:val="16"/>
                  <w:szCs w:val="16"/>
                  <w:color w:val="0000FF"/>
                </w:rPr>
                <w:t>Incentive Plan.</w:t>
              </w:r>
            </w:hyperlink>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10.5†</w:t>
            </w:r>
          </w:p>
        </w:tc>
        <w:tc>
          <w:tcPr>
            <w:tcW w:w="4920" w:type="dxa"/>
            <w:vAlign w:val="bottom"/>
            <w:gridSpan w:val="30"/>
          </w:tcPr>
          <w:p>
            <w:pPr>
              <w:spacing w:after="0"/>
              <w:rPr>
                <w:rFonts w:ascii="Arial" w:cs="Arial" w:eastAsia="Arial" w:hAnsi="Arial"/>
                <w:sz w:val="16"/>
                <w:szCs w:val="16"/>
                <w:color w:val="0000FF"/>
              </w:rPr>
            </w:pPr>
            <w:hyperlink r:id="rId157">
              <w:r>
                <w:rPr>
                  <w:rFonts w:ascii="Arial" w:cs="Arial" w:eastAsia="Arial" w:hAnsi="Arial"/>
                  <w:sz w:val="16"/>
                  <w:szCs w:val="16"/>
                  <w:color w:val="0000FF"/>
                </w:rPr>
                <w:t xml:space="preserve">2019 Employee Stock Purchase Plan and form of subscription </w:t>
              </w:r>
            </w:hyperlink>
            <w:r>
              <w:rPr>
                <w:rFonts w:ascii="Arial" w:cs="Arial" w:eastAsia="Arial" w:hAnsi="Arial"/>
                <w:sz w:val="16"/>
                <w:szCs w:val="16"/>
                <w:color w:val="000000"/>
              </w:rPr>
              <w:t>S-8</w:t>
            </w:r>
          </w:p>
        </w:tc>
      </w:tr>
      <w:tr>
        <w:trPr>
          <w:trHeight w:val="169"/>
        </w:trPr>
        <w:tc>
          <w:tcPr>
            <w:tcW w:w="660" w:type="dxa"/>
            <w:vAlign w:val="bottom"/>
          </w:tcPr>
          <w:p>
            <w:pPr>
              <w:spacing w:after="0"/>
              <w:rPr>
                <w:sz w:val="14"/>
                <w:szCs w:val="14"/>
                <w:color w:val="auto"/>
              </w:rPr>
            </w:pPr>
          </w:p>
        </w:tc>
        <w:tc>
          <w:tcPr>
            <w:tcW w:w="446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157">
              <w:r>
                <w:rPr>
                  <w:rFonts w:ascii="Arial" w:cs="Arial" w:eastAsia="Arial" w:hAnsi="Arial"/>
                  <w:sz w:val="16"/>
                  <w:szCs w:val="16"/>
                  <w:color w:val="0000FF"/>
                </w:rPr>
                <w:t>agreement thereunder</w:t>
              </w:r>
              <w:r>
                <w:rPr>
                  <w:rFonts w:ascii="Arial" w:cs="Arial" w:eastAsia="Arial" w:hAnsi="Arial"/>
                  <w:sz w:val="16"/>
                  <w:szCs w:val="16"/>
                  <w:color w:val="000000"/>
                </w:rPr>
                <w:t>.</w:t>
              </w:r>
            </w:hyperlink>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10.6†</w:t>
            </w:r>
          </w:p>
        </w:tc>
        <w:tc>
          <w:tcPr>
            <w:tcW w:w="4460" w:type="dxa"/>
            <w:vAlign w:val="bottom"/>
            <w:gridSpan w:val="29"/>
          </w:tcPr>
          <w:p>
            <w:pPr>
              <w:spacing w:after="0"/>
              <w:rPr>
                <w:rFonts w:ascii="Arial" w:cs="Arial" w:eastAsia="Arial" w:hAnsi="Arial"/>
                <w:sz w:val="16"/>
                <w:szCs w:val="16"/>
                <w:color w:val="0000FF"/>
              </w:rPr>
            </w:pPr>
            <w:hyperlink r:id="rId158">
              <w:r>
                <w:rPr>
                  <w:rFonts w:ascii="Arial" w:cs="Arial" w:eastAsia="Arial" w:hAnsi="Arial"/>
                  <w:sz w:val="16"/>
                  <w:szCs w:val="16"/>
                  <w:color w:val="0000FF"/>
                </w:rPr>
                <w:t>Offer Letter by and between Thomas Cortese and the</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10-K</w:t>
            </w:r>
          </w:p>
        </w:tc>
      </w:tr>
      <w:tr>
        <w:trPr>
          <w:trHeight w:val="169"/>
        </w:trPr>
        <w:tc>
          <w:tcPr>
            <w:tcW w:w="660" w:type="dxa"/>
            <w:vAlign w:val="bottom"/>
          </w:tcPr>
          <w:p>
            <w:pPr>
              <w:spacing w:after="0"/>
              <w:rPr>
                <w:sz w:val="14"/>
                <w:szCs w:val="14"/>
                <w:color w:val="auto"/>
              </w:rPr>
            </w:pPr>
          </w:p>
        </w:tc>
        <w:tc>
          <w:tcPr>
            <w:tcW w:w="2560" w:type="dxa"/>
            <w:vAlign w:val="bottom"/>
            <w:tcBorders>
              <w:top w:val="single" w:sz="8" w:color="0000FF"/>
              <w:bottom w:val="single" w:sz="8" w:color="0000FF"/>
            </w:tcBorders>
            <w:gridSpan w:val="10"/>
          </w:tcPr>
          <w:p>
            <w:pPr>
              <w:spacing w:after="0" w:line="169" w:lineRule="exact"/>
              <w:rPr>
                <w:rFonts w:ascii="Arial" w:cs="Arial" w:eastAsia="Arial" w:hAnsi="Arial"/>
                <w:sz w:val="16"/>
                <w:szCs w:val="16"/>
                <w:color w:val="0000FF"/>
              </w:rPr>
            </w:pPr>
            <w:hyperlink r:id="rId158">
              <w:r>
                <w:rPr>
                  <w:rFonts w:ascii="Arial" w:cs="Arial" w:eastAsia="Arial" w:hAnsi="Arial"/>
                  <w:sz w:val="16"/>
                  <w:szCs w:val="16"/>
                  <w:color w:val="0000FF"/>
                </w:rPr>
                <w:t>Registrant, dated February 6, 2017.</w:t>
              </w:r>
            </w:hyperlink>
          </w:p>
        </w:tc>
        <w:tc>
          <w:tcPr>
            <w:tcW w:w="1280" w:type="dxa"/>
            <w:vAlign w:val="bottom"/>
            <w:tcBorders>
              <w:top w:val="single" w:sz="8" w:color="0000FF"/>
            </w:tcBorders>
            <w:gridSpan w:val="10"/>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10.7†</w:t>
            </w:r>
          </w:p>
        </w:tc>
        <w:tc>
          <w:tcPr>
            <w:tcW w:w="4460" w:type="dxa"/>
            <w:vAlign w:val="bottom"/>
            <w:gridSpan w:val="29"/>
          </w:tcPr>
          <w:p>
            <w:pPr>
              <w:spacing w:after="0"/>
              <w:rPr>
                <w:rFonts w:ascii="Arial" w:cs="Arial" w:eastAsia="Arial" w:hAnsi="Arial"/>
                <w:sz w:val="16"/>
                <w:szCs w:val="16"/>
                <w:color w:val="0000FF"/>
              </w:rPr>
            </w:pPr>
            <w:hyperlink r:id="rId159">
              <w:r>
                <w:rPr>
                  <w:rFonts w:ascii="Arial" w:cs="Arial" w:eastAsia="Arial" w:hAnsi="Arial"/>
                  <w:sz w:val="16"/>
                  <w:szCs w:val="16"/>
                  <w:color w:val="0000FF"/>
                </w:rPr>
                <w:t>Offer Letter by and between Barry McCarthy and the</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8-K</w:t>
            </w:r>
          </w:p>
        </w:tc>
      </w:tr>
      <w:tr>
        <w:trPr>
          <w:trHeight w:val="169"/>
        </w:trPr>
        <w:tc>
          <w:tcPr>
            <w:tcW w:w="660" w:type="dxa"/>
            <w:vAlign w:val="bottom"/>
          </w:tcPr>
          <w:p>
            <w:pPr>
              <w:spacing w:after="0"/>
              <w:rPr>
                <w:sz w:val="14"/>
                <w:szCs w:val="14"/>
                <w:color w:val="auto"/>
              </w:rPr>
            </w:pPr>
          </w:p>
        </w:tc>
        <w:tc>
          <w:tcPr>
            <w:tcW w:w="2560" w:type="dxa"/>
            <w:vAlign w:val="bottom"/>
            <w:tcBorders>
              <w:top w:val="single" w:sz="8" w:color="0000FF"/>
              <w:bottom w:val="single" w:sz="8" w:color="0000FF"/>
            </w:tcBorders>
            <w:gridSpan w:val="10"/>
          </w:tcPr>
          <w:p>
            <w:pPr>
              <w:spacing w:after="0" w:line="169" w:lineRule="exact"/>
              <w:rPr>
                <w:rFonts w:ascii="Arial" w:cs="Arial" w:eastAsia="Arial" w:hAnsi="Arial"/>
                <w:sz w:val="16"/>
                <w:szCs w:val="16"/>
                <w:color w:val="0000FF"/>
              </w:rPr>
            </w:pPr>
            <w:hyperlink r:id="rId159">
              <w:r>
                <w:rPr>
                  <w:rFonts w:ascii="Arial" w:cs="Arial" w:eastAsia="Arial" w:hAnsi="Arial"/>
                  <w:sz w:val="16"/>
                  <w:szCs w:val="16"/>
                  <w:color w:val="0000FF"/>
                </w:rPr>
                <w:t>Registrant, dated February 7, 2022.</w:t>
              </w:r>
            </w:hyperlink>
          </w:p>
        </w:tc>
        <w:tc>
          <w:tcPr>
            <w:tcW w:w="120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10.8†</w:t>
            </w:r>
          </w:p>
        </w:tc>
        <w:tc>
          <w:tcPr>
            <w:tcW w:w="4460" w:type="dxa"/>
            <w:vAlign w:val="bottom"/>
            <w:gridSpan w:val="29"/>
          </w:tcPr>
          <w:p>
            <w:pPr>
              <w:spacing w:after="0"/>
              <w:rPr>
                <w:rFonts w:ascii="Arial" w:cs="Arial" w:eastAsia="Arial" w:hAnsi="Arial"/>
                <w:sz w:val="16"/>
                <w:szCs w:val="16"/>
                <w:color w:val="0000FF"/>
              </w:rPr>
            </w:pPr>
            <w:hyperlink r:id="rId160">
              <w:r>
                <w:rPr>
                  <w:rFonts w:ascii="Arial" w:cs="Arial" w:eastAsia="Arial" w:hAnsi="Arial"/>
                  <w:sz w:val="16"/>
                  <w:szCs w:val="16"/>
                  <w:color w:val="0000FF"/>
                </w:rPr>
                <w:t>Offer Letter by and between Ms. Coddington and the</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8-K</w:t>
            </w:r>
          </w:p>
        </w:tc>
      </w:tr>
      <w:tr>
        <w:trPr>
          <w:trHeight w:val="169"/>
        </w:trPr>
        <w:tc>
          <w:tcPr>
            <w:tcW w:w="660" w:type="dxa"/>
            <w:vAlign w:val="bottom"/>
          </w:tcPr>
          <w:p>
            <w:pPr>
              <w:spacing w:after="0"/>
              <w:rPr>
                <w:sz w:val="14"/>
                <w:szCs w:val="14"/>
                <w:color w:val="auto"/>
              </w:rPr>
            </w:pPr>
          </w:p>
        </w:tc>
        <w:tc>
          <w:tcPr>
            <w:tcW w:w="226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160">
              <w:r>
                <w:rPr>
                  <w:rFonts w:ascii="Arial" w:cs="Arial" w:eastAsia="Arial" w:hAnsi="Arial"/>
                  <w:sz w:val="16"/>
                  <w:szCs w:val="16"/>
                  <w:color w:val="0000FF"/>
                </w:rPr>
                <w:t>Registrant, dated June 6, 2022.</w:t>
              </w:r>
            </w:hyperlink>
          </w:p>
        </w:tc>
        <w:tc>
          <w:tcPr>
            <w:tcW w:w="1520" w:type="dxa"/>
            <w:vAlign w:val="bottom"/>
            <w:tcBorders>
              <w:top w:val="single" w:sz="8" w:color="0000FF"/>
            </w:tcBorders>
            <w:gridSpan w:val="1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10.9†</w:t>
            </w:r>
          </w:p>
        </w:tc>
        <w:tc>
          <w:tcPr>
            <w:tcW w:w="4460" w:type="dxa"/>
            <w:vAlign w:val="bottom"/>
            <w:gridSpan w:val="29"/>
          </w:tcPr>
          <w:p>
            <w:pPr>
              <w:spacing w:after="0"/>
              <w:rPr>
                <w:rFonts w:ascii="Arial" w:cs="Arial" w:eastAsia="Arial" w:hAnsi="Arial"/>
                <w:sz w:val="16"/>
                <w:szCs w:val="16"/>
                <w:color w:val="0000FF"/>
              </w:rPr>
            </w:pPr>
            <w:hyperlink r:id="rId161">
              <w:r>
                <w:rPr>
                  <w:rFonts w:ascii="Arial" w:cs="Arial" w:eastAsia="Arial" w:hAnsi="Arial"/>
                  <w:sz w:val="16"/>
                  <w:szCs w:val="16"/>
                  <w:color w:val="0000FF"/>
                </w:rPr>
                <w:t>Offer Letter by and between Leslie Berland and the</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10-K</w:t>
            </w:r>
          </w:p>
        </w:tc>
      </w:tr>
      <w:tr>
        <w:trPr>
          <w:trHeight w:val="169"/>
        </w:trPr>
        <w:tc>
          <w:tcPr>
            <w:tcW w:w="660" w:type="dxa"/>
            <w:vAlign w:val="bottom"/>
          </w:tcPr>
          <w:p>
            <w:pPr>
              <w:spacing w:after="0"/>
              <w:rPr>
                <w:sz w:val="14"/>
                <w:szCs w:val="14"/>
                <w:color w:val="auto"/>
              </w:rPr>
            </w:pPr>
          </w:p>
        </w:tc>
        <w:tc>
          <w:tcPr>
            <w:tcW w:w="2580" w:type="dxa"/>
            <w:vAlign w:val="bottom"/>
            <w:tcBorders>
              <w:top w:val="single" w:sz="8" w:color="0000FF"/>
              <w:bottom w:val="single" w:sz="8" w:color="0000FF"/>
            </w:tcBorders>
            <w:gridSpan w:val="11"/>
          </w:tcPr>
          <w:p>
            <w:pPr>
              <w:spacing w:after="0" w:line="169" w:lineRule="exact"/>
              <w:rPr>
                <w:rFonts w:ascii="Arial" w:cs="Arial" w:eastAsia="Arial" w:hAnsi="Arial"/>
                <w:sz w:val="16"/>
                <w:szCs w:val="16"/>
                <w:color w:val="0000FF"/>
              </w:rPr>
            </w:pPr>
            <w:hyperlink r:id="rId161">
              <w:r>
                <w:rPr>
                  <w:rFonts w:ascii="Arial" w:cs="Arial" w:eastAsia="Arial" w:hAnsi="Arial"/>
                  <w:sz w:val="16"/>
                  <w:szCs w:val="16"/>
                  <w:color w:val="0000FF"/>
                </w:rPr>
                <w:t>Registrant, dated January 13, 2023.</w:t>
              </w:r>
            </w:hyperlink>
          </w:p>
        </w:tc>
        <w:tc>
          <w:tcPr>
            <w:tcW w:w="108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10.10†</w:t>
            </w:r>
          </w:p>
        </w:tc>
        <w:tc>
          <w:tcPr>
            <w:tcW w:w="4460" w:type="dxa"/>
            <w:vAlign w:val="bottom"/>
            <w:gridSpan w:val="29"/>
          </w:tcPr>
          <w:p>
            <w:pPr>
              <w:spacing w:after="0"/>
              <w:rPr>
                <w:rFonts w:ascii="Arial" w:cs="Arial" w:eastAsia="Arial" w:hAnsi="Arial"/>
                <w:sz w:val="16"/>
                <w:szCs w:val="16"/>
                <w:color w:val="0000FF"/>
              </w:rPr>
            </w:pPr>
            <w:hyperlink r:id="rId162">
              <w:r>
                <w:rPr>
                  <w:rFonts w:ascii="Arial" w:cs="Arial" w:eastAsia="Arial" w:hAnsi="Arial"/>
                  <w:sz w:val="16"/>
                  <w:szCs w:val="16"/>
                  <w:color w:val="0000FF"/>
                </w:rPr>
                <w:t>Offer Letter by and between Jennifer Cotter and the</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10-K</w:t>
            </w:r>
          </w:p>
        </w:tc>
      </w:tr>
      <w:tr>
        <w:trPr>
          <w:trHeight w:val="169"/>
        </w:trPr>
        <w:tc>
          <w:tcPr>
            <w:tcW w:w="660" w:type="dxa"/>
            <w:vAlign w:val="bottom"/>
          </w:tcPr>
          <w:p>
            <w:pPr>
              <w:spacing w:after="0"/>
              <w:rPr>
                <w:sz w:val="14"/>
                <w:szCs w:val="14"/>
                <w:color w:val="auto"/>
              </w:rPr>
            </w:pPr>
          </w:p>
        </w:tc>
        <w:tc>
          <w:tcPr>
            <w:tcW w:w="3700" w:type="dxa"/>
            <w:vAlign w:val="bottom"/>
            <w:tcBorders>
              <w:top w:val="single" w:sz="8" w:color="0000FF"/>
            </w:tcBorders>
            <w:gridSpan w:val="16"/>
          </w:tcPr>
          <w:p>
            <w:pPr>
              <w:spacing w:after="0" w:line="169" w:lineRule="exact"/>
              <w:rPr>
                <w:rFonts w:ascii="Arial" w:cs="Arial" w:eastAsia="Arial" w:hAnsi="Arial"/>
                <w:sz w:val="16"/>
                <w:szCs w:val="16"/>
                <w:color w:val="0000FF"/>
              </w:rPr>
            </w:pPr>
            <w:hyperlink r:id="rId162">
              <w:r>
                <w:rPr>
                  <w:rFonts w:ascii="Arial" w:cs="Arial" w:eastAsia="Arial" w:hAnsi="Arial"/>
                  <w:sz w:val="16"/>
                  <w:szCs w:val="16"/>
                  <w:color w:val="0000FF"/>
                </w:rPr>
                <w:t>Registrant, dated April 26, 2019.</w:t>
              </w:r>
            </w:hyperlink>
          </w:p>
        </w:tc>
        <w:tc>
          <w:tcPr>
            <w:tcW w:w="12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10.11†</w:t>
            </w:r>
          </w:p>
        </w:tc>
        <w:tc>
          <w:tcPr>
            <w:tcW w:w="4460" w:type="dxa"/>
            <w:vAlign w:val="bottom"/>
            <w:gridSpan w:val="29"/>
          </w:tcPr>
          <w:p>
            <w:pPr>
              <w:spacing w:after="0"/>
              <w:rPr>
                <w:sz w:val="20"/>
                <w:szCs w:val="20"/>
                <w:color w:val="auto"/>
              </w:rPr>
            </w:pPr>
            <w:r>
              <w:rPr>
                <w:rFonts w:ascii="Arial" w:cs="Arial" w:eastAsia="Arial" w:hAnsi="Arial"/>
                <w:sz w:val="16"/>
                <w:szCs w:val="16"/>
                <w:color w:val="0000FF"/>
              </w:rPr>
              <w:t>Offer Letter by and between Andrew Rendich and the</w:t>
            </w:r>
          </w:p>
        </w:tc>
        <w:tc>
          <w:tcPr>
            <w:tcW w:w="460" w:type="dxa"/>
            <w:vAlign w:val="bottom"/>
          </w:tcPr>
          <w:p>
            <w:pPr>
              <w:spacing w:after="0"/>
              <w:rPr>
                <w:sz w:val="19"/>
                <w:szCs w:val="19"/>
                <w:color w:val="auto"/>
              </w:rPr>
            </w:pPr>
          </w:p>
        </w:tc>
      </w:tr>
      <w:tr>
        <w:trPr>
          <w:trHeight w:val="169"/>
        </w:trPr>
        <w:tc>
          <w:tcPr>
            <w:tcW w:w="660" w:type="dxa"/>
            <w:vAlign w:val="bottom"/>
          </w:tcPr>
          <w:p>
            <w:pPr>
              <w:spacing w:after="0"/>
              <w:rPr>
                <w:sz w:val="14"/>
                <w:szCs w:val="14"/>
                <w:color w:val="auto"/>
              </w:rPr>
            </w:pPr>
          </w:p>
        </w:tc>
        <w:tc>
          <w:tcPr>
            <w:tcW w:w="2360" w:type="dxa"/>
            <w:vAlign w:val="bottom"/>
            <w:tcBorders>
              <w:top w:val="single" w:sz="8" w:color="0000FF"/>
              <w:bottom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Registrant, dated March 7, 2022.</w:t>
            </w:r>
          </w:p>
        </w:tc>
        <w:tc>
          <w:tcPr>
            <w:tcW w:w="1460" w:type="dxa"/>
            <w:vAlign w:val="bottom"/>
            <w:tcBorders>
              <w:top w:val="single" w:sz="8" w:color="0000FF"/>
            </w:tcBorders>
            <w:gridSpan w:val="11"/>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10.12†</w:t>
            </w:r>
          </w:p>
        </w:tc>
        <w:tc>
          <w:tcPr>
            <w:tcW w:w="4460" w:type="dxa"/>
            <w:vAlign w:val="bottom"/>
            <w:gridSpan w:val="29"/>
          </w:tcPr>
          <w:p>
            <w:pPr>
              <w:spacing w:after="0"/>
              <w:rPr>
                <w:sz w:val="20"/>
                <w:szCs w:val="20"/>
                <w:color w:val="auto"/>
              </w:rPr>
            </w:pPr>
            <w:r>
              <w:rPr>
                <w:rFonts w:ascii="Arial" w:cs="Arial" w:eastAsia="Arial" w:hAnsi="Arial"/>
                <w:sz w:val="16"/>
                <w:szCs w:val="16"/>
                <w:color w:val="0000FF"/>
              </w:rPr>
              <w:t>Offer Letter by and between Nick Caldwell and the Registrant,</w:t>
            </w:r>
          </w:p>
        </w:tc>
        <w:tc>
          <w:tcPr>
            <w:tcW w:w="460" w:type="dxa"/>
            <w:vAlign w:val="bottom"/>
          </w:tcPr>
          <w:p>
            <w:pPr>
              <w:spacing w:after="0"/>
              <w:rPr>
                <w:sz w:val="19"/>
                <w:szCs w:val="19"/>
                <w:color w:val="auto"/>
              </w:rPr>
            </w:pPr>
          </w:p>
        </w:tc>
      </w:tr>
      <w:tr>
        <w:trPr>
          <w:trHeight w:val="169"/>
        </w:trPr>
        <w:tc>
          <w:tcPr>
            <w:tcW w:w="660" w:type="dxa"/>
            <w:vAlign w:val="bottom"/>
          </w:tcPr>
          <w:p>
            <w:pPr>
              <w:spacing w:after="0"/>
              <w:rPr>
                <w:sz w:val="14"/>
                <w:szCs w:val="14"/>
                <w:color w:val="auto"/>
              </w:rPr>
            </w:pPr>
          </w:p>
        </w:tc>
        <w:tc>
          <w:tcPr>
            <w:tcW w:w="4440" w:type="dxa"/>
            <w:vAlign w:val="bottom"/>
            <w:tcBorders>
              <w:top w:val="single" w:sz="8" w:color="0000FF"/>
            </w:tcBorders>
            <w:gridSpan w:val="28"/>
          </w:tcPr>
          <w:p>
            <w:pPr>
              <w:spacing w:after="0" w:line="169" w:lineRule="exact"/>
              <w:rPr>
                <w:sz w:val="20"/>
                <w:szCs w:val="20"/>
                <w:color w:val="auto"/>
              </w:rPr>
            </w:pPr>
            <w:r>
              <w:rPr>
                <w:rFonts w:ascii="Arial" w:cs="Arial" w:eastAsia="Arial" w:hAnsi="Arial"/>
                <w:sz w:val="16"/>
                <w:szCs w:val="16"/>
                <w:color w:val="0000FF"/>
              </w:rPr>
              <w:t>dated September 18, 2023.</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10.13†</w:t>
            </w:r>
          </w:p>
        </w:tc>
        <w:tc>
          <w:tcPr>
            <w:tcW w:w="4460" w:type="dxa"/>
            <w:vAlign w:val="bottom"/>
            <w:gridSpan w:val="29"/>
          </w:tcPr>
          <w:p>
            <w:pPr>
              <w:spacing w:after="0"/>
              <w:rPr>
                <w:rFonts w:ascii="Arial" w:cs="Arial" w:eastAsia="Arial" w:hAnsi="Arial"/>
                <w:sz w:val="16"/>
                <w:szCs w:val="16"/>
                <w:color w:val="0000FF"/>
              </w:rPr>
            </w:pPr>
            <w:hyperlink r:id="rId163">
              <w:r>
                <w:rPr>
                  <w:rFonts w:ascii="Arial" w:cs="Arial" w:eastAsia="Arial" w:hAnsi="Arial"/>
                  <w:sz w:val="16"/>
                  <w:szCs w:val="16"/>
                  <w:color w:val="0000FF"/>
                </w:rPr>
                <w:t>Transition Agreement, dated as of October 16, 2023, by and</w:t>
              </w:r>
            </w:hyperlink>
          </w:p>
        </w:tc>
        <w:tc>
          <w:tcPr>
            <w:tcW w:w="460" w:type="dxa"/>
            <w:vAlign w:val="bottom"/>
          </w:tcPr>
          <w:p>
            <w:pPr>
              <w:ind w:left="40"/>
              <w:spacing w:after="0"/>
              <w:rPr>
                <w:sz w:val="20"/>
                <w:szCs w:val="20"/>
                <w:color w:val="auto"/>
              </w:rPr>
            </w:pPr>
            <w:r>
              <w:rPr>
                <w:rFonts w:ascii="Arial" w:cs="Arial" w:eastAsia="Arial" w:hAnsi="Arial"/>
                <w:sz w:val="16"/>
                <w:szCs w:val="16"/>
                <w:color w:val="auto"/>
                <w:w w:val="99"/>
              </w:rPr>
              <w:t>8-K/A</w:t>
            </w:r>
          </w:p>
        </w:tc>
      </w:tr>
      <w:tr>
        <w:trPr>
          <w:trHeight w:val="169"/>
        </w:trPr>
        <w:tc>
          <w:tcPr>
            <w:tcW w:w="660" w:type="dxa"/>
            <w:vAlign w:val="bottom"/>
          </w:tcPr>
          <w:p>
            <w:pPr>
              <w:spacing w:after="0"/>
              <w:rPr>
                <w:sz w:val="14"/>
                <w:szCs w:val="14"/>
                <w:color w:val="auto"/>
              </w:rPr>
            </w:pPr>
          </w:p>
        </w:tc>
        <w:tc>
          <w:tcPr>
            <w:tcW w:w="4300" w:type="dxa"/>
            <w:vAlign w:val="bottom"/>
            <w:tcBorders>
              <w:top w:val="single" w:sz="8" w:color="0000FF"/>
            </w:tcBorders>
            <w:gridSpan w:val="24"/>
          </w:tcPr>
          <w:p>
            <w:pPr>
              <w:spacing w:after="0" w:line="169" w:lineRule="exact"/>
              <w:rPr>
                <w:rFonts w:ascii="Arial" w:cs="Arial" w:eastAsia="Arial" w:hAnsi="Arial"/>
                <w:sz w:val="16"/>
                <w:szCs w:val="16"/>
                <w:color w:val="0000FF"/>
              </w:rPr>
            </w:pPr>
            <w:hyperlink r:id="rId163">
              <w:r>
                <w:rPr>
                  <w:rFonts w:ascii="Arial" w:cs="Arial" w:eastAsia="Arial" w:hAnsi="Arial"/>
                  <w:sz w:val="16"/>
                  <w:szCs w:val="16"/>
                  <w:color w:val="0000FF"/>
                </w:rPr>
                <w:t>between the Company and Tom Cortese</w:t>
              </w:r>
              <w:r>
                <w:rPr>
                  <w:rFonts w:ascii="Arial" w:cs="Arial" w:eastAsia="Arial" w:hAnsi="Arial"/>
                  <w:sz w:val="16"/>
                  <w:szCs w:val="16"/>
                  <w:color w:val="000000"/>
                </w:rPr>
                <w:t>.</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10.14†</w:t>
            </w:r>
          </w:p>
        </w:tc>
        <w:tc>
          <w:tcPr>
            <w:tcW w:w="4460" w:type="dxa"/>
            <w:vAlign w:val="bottom"/>
            <w:gridSpan w:val="29"/>
          </w:tcPr>
          <w:p>
            <w:pPr>
              <w:spacing w:after="0"/>
              <w:rPr>
                <w:sz w:val="20"/>
                <w:szCs w:val="20"/>
                <w:color w:val="auto"/>
              </w:rPr>
            </w:pPr>
            <w:r>
              <w:rPr>
                <w:rFonts w:ascii="Arial" w:cs="Arial" w:eastAsia="Arial" w:hAnsi="Arial"/>
                <w:sz w:val="16"/>
                <w:szCs w:val="16"/>
                <w:color w:val="0000FF"/>
              </w:rPr>
              <w:t>Transition Agreement, dated as of May 2, 2024, by and</w:t>
            </w:r>
          </w:p>
        </w:tc>
        <w:tc>
          <w:tcPr>
            <w:tcW w:w="460" w:type="dxa"/>
            <w:vAlign w:val="bottom"/>
          </w:tcPr>
          <w:p>
            <w:pPr>
              <w:spacing w:after="0"/>
              <w:rPr>
                <w:sz w:val="19"/>
                <w:szCs w:val="19"/>
                <w:color w:val="auto"/>
              </w:rPr>
            </w:pPr>
          </w:p>
        </w:tc>
      </w:tr>
      <w:tr>
        <w:trPr>
          <w:trHeight w:val="169"/>
        </w:trPr>
        <w:tc>
          <w:tcPr>
            <w:tcW w:w="660" w:type="dxa"/>
            <w:vAlign w:val="bottom"/>
          </w:tcPr>
          <w:p>
            <w:pPr>
              <w:spacing w:after="0"/>
              <w:rPr>
                <w:sz w:val="14"/>
                <w:szCs w:val="14"/>
                <w:color w:val="auto"/>
              </w:rPr>
            </w:pPr>
          </w:p>
        </w:tc>
        <w:tc>
          <w:tcPr>
            <w:tcW w:w="3140" w:type="dxa"/>
            <w:vAlign w:val="bottom"/>
            <w:tcBorders>
              <w:top w:val="single" w:sz="8" w:color="0000FF"/>
              <w:bottom w:val="single" w:sz="8" w:color="0000FF"/>
            </w:tcBorders>
            <w:gridSpan w:val="13"/>
          </w:tcPr>
          <w:p>
            <w:pPr>
              <w:spacing w:after="0" w:line="169" w:lineRule="exact"/>
              <w:rPr>
                <w:sz w:val="20"/>
                <w:szCs w:val="20"/>
                <w:color w:val="auto"/>
              </w:rPr>
            </w:pPr>
            <w:r>
              <w:rPr>
                <w:rFonts w:ascii="Arial" w:cs="Arial" w:eastAsia="Arial" w:hAnsi="Arial"/>
                <w:sz w:val="16"/>
                <w:szCs w:val="16"/>
                <w:color w:val="0000FF"/>
              </w:rPr>
              <w:t>between the Company and Barry McCarthy.</w:t>
            </w:r>
          </w:p>
        </w:tc>
        <w:tc>
          <w:tcPr>
            <w:tcW w:w="800" w:type="dxa"/>
            <w:vAlign w:val="bottom"/>
            <w:tcBorders>
              <w:top w:val="single" w:sz="8" w:color="0000FF"/>
            </w:tcBorders>
            <w:gridSpan w:val="8"/>
          </w:tcPr>
          <w:p>
            <w:pPr>
              <w:spacing w:after="0"/>
              <w:rPr>
                <w:sz w:val="14"/>
                <w:szCs w:val="14"/>
                <w:color w:val="auto"/>
              </w:rPr>
            </w:pPr>
          </w:p>
        </w:tc>
        <w:tc>
          <w:tcPr>
            <w:tcW w:w="80" w:type="dxa"/>
            <w:vAlign w:val="bottom"/>
            <w:gridSpan w:val="2"/>
          </w:tcPr>
          <w:p>
            <w:pPr>
              <w:spacing w:after="0"/>
              <w:rPr>
                <w:sz w:val="14"/>
                <w:szCs w:val="14"/>
                <w:color w:val="auto"/>
              </w:rPr>
            </w:pPr>
          </w:p>
        </w:tc>
        <w:tc>
          <w:tcPr>
            <w:tcW w:w="3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10.15†</w:t>
            </w:r>
          </w:p>
        </w:tc>
        <w:tc>
          <w:tcPr>
            <w:tcW w:w="4460" w:type="dxa"/>
            <w:vAlign w:val="bottom"/>
            <w:gridSpan w:val="29"/>
          </w:tcPr>
          <w:p>
            <w:pPr>
              <w:spacing w:after="0"/>
              <w:rPr>
                <w:sz w:val="20"/>
                <w:szCs w:val="20"/>
                <w:color w:val="auto"/>
              </w:rPr>
            </w:pPr>
            <w:r>
              <w:rPr>
                <w:rFonts w:ascii="Arial" w:cs="Arial" w:eastAsia="Arial" w:hAnsi="Arial"/>
                <w:sz w:val="16"/>
                <w:szCs w:val="16"/>
                <w:color w:val="0000FF"/>
              </w:rPr>
              <w:t>Offer Letter by and between Karen Boone and the Registrant,</w:t>
            </w:r>
          </w:p>
        </w:tc>
        <w:tc>
          <w:tcPr>
            <w:tcW w:w="460" w:type="dxa"/>
            <w:vAlign w:val="bottom"/>
          </w:tcPr>
          <w:p>
            <w:pPr>
              <w:spacing w:after="0"/>
              <w:rPr>
                <w:sz w:val="19"/>
                <w:szCs w:val="19"/>
                <w:color w:val="auto"/>
              </w:rPr>
            </w:pPr>
          </w:p>
        </w:tc>
      </w:tr>
      <w:tr>
        <w:trPr>
          <w:trHeight w:val="169"/>
        </w:trPr>
        <w:tc>
          <w:tcPr>
            <w:tcW w:w="660" w:type="dxa"/>
            <w:vAlign w:val="bottom"/>
          </w:tcPr>
          <w:p>
            <w:pPr>
              <w:spacing w:after="0"/>
              <w:rPr>
                <w:sz w:val="14"/>
                <w:szCs w:val="14"/>
                <w:color w:val="auto"/>
              </w:rPr>
            </w:pPr>
          </w:p>
        </w:tc>
        <w:tc>
          <w:tcPr>
            <w:tcW w:w="4400" w:type="dxa"/>
            <w:vAlign w:val="bottom"/>
            <w:tcBorders>
              <w:top w:val="single" w:sz="8" w:color="0000FF"/>
            </w:tcBorders>
            <w:gridSpan w:val="27"/>
          </w:tcPr>
          <w:p>
            <w:pPr>
              <w:spacing w:after="0" w:line="169" w:lineRule="exact"/>
              <w:rPr>
                <w:sz w:val="20"/>
                <w:szCs w:val="20"/>
                <w:color w:val="auto"/>
              </w:rPr>
            </w:pPr>
            <w:r>
              <w:rPr>
                <w:rFonts w:ascii="Arial" w:cs="Arial" w:eastAsia="Arial" w:hAnsi="Arial"/>
                <w:sz w:val="16"/>
                <w:szCs w:val="16"/>
                <w:color w:val="0000FF"/>
              </w:rPr>
              <w:t>dated May 2, 2024.</w:t>
            </w:r>
          </w:p>
        </w:tc>
        <w:tc>
          <w:tcPr>
            <w:tcW w:w="6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10.16†</w:t>
            </w:r>
          </w:p>
        </w:tc>
        <w:tc>
          <w:tcPr>
            <w:tcW w:w="4460" w:type="dxa"/>
            <w:vAlign w:val="bottom"/>
            <w:gridSpan w:val="29"/>
          </w:tcPr>
          <w:p>
            <w:pPr>
              <w:spacing w:after="0"/>
              <w:rPr>
                <w:sz w:val="20"/>
                <w:szCs w:val="20"/>
                <w:color w:val="auto"/>
              </w:rPr>
            </w:pPr>
            <w:r>
              <w:rPr>
                <w:rFonts w:ascii="Arial" w:cs="Arial" w:eastAsia="Arial" w:hAnsi="Arial"/>
                <w:sz w:val="16"/>
                <w:szCs w:val="16"/>
                <w:color w:val="0000FF"/>
              </w:rPr>
              <w:t>Offer Letter by and between Chris Bruzzo and the Registrant,</w:t>
            </w:r>
          </w:p>
        </w:tc>
        <w:tc>
          <w:tcPr>
            <w:tcW w:w="460" w:type="dxa"/>
            <w:vAlign w:val="bottom"/>
          </w:tcPr>
          <w:p>
            <w:pPr>
              <w:spacing w:after="0"/>
              <w:rPr>
                <w:sz w:val="19"/>
                <w:szCs w:val="19"/>
                <w:color w:val="auto"/>
              </w:rPr>
            </w:pPr>
          </w:p>
        </w:tc>
      </w:tr>
      <w:tr>
        <w:trPr>
          <w:trHeight w:val="169"/>
        </w:trPr>
        <w:tc>
          <w:tcPr>
            <w:tcW w:w="660" w:type="dxa"/>
            <w:vAlign w:val="bottom"/>
          </w:tcPr>
          <w:p>
            <w:pPr>
              <w:spacing w:after="0"/>
              <w:rPr>
                <w:sz w:val="14"/>
                <w:szCs w:val="14"/>
                <w:color w:val="auto"/>
              </w:rPr>
            </w:pPr>
          </w:p>
        </w:tc>
        <w:tc>
          <w:tcPr>
            <w:tcW w:w="4380" w:type="dxa"/>
            <w:vAlign w:val="bottom"/>
            <w:tcBorders>
              <w:top w:val="single" w:sz="8" w:color="0000FF"/>
            </w:tcBorders>
            <w:gridSpan w:val="26"/>
          </w:tcPr>
          <w:p>
            <w:pPr>
              <w:spacing w:after="0" w:line="169" w:lineRule="exact"/>
              <w:rPr>
                <w:sz w:val="20"/>
                <w:szCs w:val="20"/>
                <w:color w:val="auto"/>
              </w:rPr>
            </w:pPr>
            <w:r>
              <w:rPr>
                <w:rFonts w:ascii="Arial" w:cs="Arial" w:eastAsia="Arial" w:hAnsi="Arial"/>
                <w:sz w:val="16"/>
                <w:szCs w:val="16"/>
                <w:color w:val="0000FF"/>
              </w:rPr>
              <w:t>dated May 2, 2024.</w:t>
            </w:r>
          </w:p>
        </w:tc>
        <w:tc>
          <w:tcPr>
            <w:tcW w:w="8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10.17†</w:t>
            </w:r>
          </w:p>
        </w:tc>
        <w:tc>
          <w:tcPr>
            <w:tcW w:w="4460" w:type="dxa"/>
            <w:vAlign w:val="bottom"/>
            <w:gridSpan w:val="29"/>
          </w:tcPr>
          <w:p>
            <w:pPr>
              <w:spacing w:after="0"/>
              <w:rPr>
                <w:rFonts w:ascii="Arial" w:cs="Arial" w:eastAsia="Arial" w:hAnsi="Arial"/>
                <w:sz w:val="16"/>
                <w:szCs w:val="16"/>
                <w:color w:val="0000FF"/>
              </w:rPr>
            </w:pPr>
            <w:hyperlink r:id="rId164">
              <w:r>
                <w:rPr>
                  <w:rFonts w:ascii="Arial" w:cs="Arial" w:eastAsia="Arial" w:hAnsi="Arial"/>
                  <w:sz w:val="16"/>
                  <w:szCs w:val="16"/>
                  <w:color w:val="0000FF"/>
                </w:rPr>
                <w:t>Severance and Change in Control Plan and form of</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10-K</w:t>
            </w:r>
          </w:p>
        </w:tc>
      </w:tr>
      <w:tr>
        <w:trPr>
          <w:trHeight w:val="169"/>
        </w:trPr>
        <w:tc>
          <w:tcPr>
            <w:tcW w:w="660" w:type="dxa"/>
            <w:vAlign w:val="bottom"/>
          </w:tcPr>
          <w:p>
            <w:pPr>
              <w:spacing w:after="0"/>
              <w:rPr>
                <w:sz w:val="14"/>
                <w:szCs w:val="14"/>
                <w:color w:val="auto"/>
              </w:rPr>
            </w:pPr>
          </w:p>
        </w:tc>
        <w:tc>
          <w:tcPr>
            <w:tcW w:w="368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164">
              <w:r>
                <w:rPr>
                  <w:rFonts w:ascii="Arial" w:cs="Arial" w:eastAsia="Arial" w:hAnsi="Arial"/>
                  <w:sz w:val="16"/>
                  <w:szCs w:val="16"/>
                  <w:color w:val="0000FF"/>
                </w:rPr>
                <w:t>participation agreement thereunder</w:t>
              </w:r>
              <w:r>
                <w:rPr>
                  <w:rFonts w:ascii="Arial" w:cs="Arial" w:eastAsia="Arial" w:hAnsi="Arial"/>
                  <w:sz w:val="16"/>
                  <w:szCs w:val="16"/>
                  <w:color w:val="000000"/>
                </w:rPr>
                <w:t>.</w:t>
              </w:r>
            </w:hyperlink>
          </w:p>
        </w:tc>
        <w:tc>
          <w:tcPr>
            <w:tcW w:w="340" w:type="dxa"/>
            <w:vAlign w:val="bottom"/>
            <w:gridSpan w:val="8"/>
          </w:tcPr>
          <w:p>
            <w:pPr>
              <w:spacing w:after="0"/>
              <w:rPr>
                <w:sz w:val="14"/>
                <w:szCs w:val="14"/>
                <w:color w:val="auto"/>
              </w:rPr>
            </w:pPr>
          </w:p>
        </w:tc>
        <w:tc>
          <w:tcPr>
            <w:tcW w:w="300" w:type="dxa"/>
            <w:vAlign w:val="bottom"/>
            <w:gridSpan w:val="2"/>
          </w:tcPr>
          <w:p>
            <w:pPr>
              <w:spacing w:after="0"/>
              <w:rPr>
                <w:sz w:val="14"/>
                <w:szCs w:val="14"/>
                <w:color w:val="auto"/>
              </w:rPr>
            </w:pPr>
          </w:p>
        </w:tc>
        <w:tc>
          <w:tcPr>
            <w:tcW w:w="140" w:type="dxa"/>
            <w:vAlign w:val="bottom"/>
            <w:gridSpan w:val="4"/>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0" w:type="dxa"/>
            <w:vAlign w:val="bottom"/>
            <w:gridSpan w:val="8"/>
            <w:shd w:val="clear" w:color="auto" w:fill="0000FF"/>
          </w:tcPr>
          <w:p>
            <w:pPr>
              <w:spacing w:after="0" w:line="20" w:lineRule="exact"/>
              <w:rPr>
                <w:sz w:val="1"/>
                <w:szCs w:val="1"/>
                <w:color w:val="auto"/>
              </w:rPr>
            </w:pPr>
          </w:p>
        </w:tc>
        <w:tc>
          <w:tcPr>
            <w:tcW w:w="1500" w:type="dxa"/>
            <w:vAlign w:val="bottom"/>
            <w:gridSpan w:val="1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10.18</w:t>
            </w:r>
          </w:p>
        </w:tc>
        <w:tc>
          <w:tcPr>
            <w:tcW w:w="4460" w:type="dxa"/>
            <w:vAlign w:val="bottom"/>
            <w:gridSpan w:val="29"/>
          </w:tcPr>
          <w:p>
            <w:pPr>
              <w:spacing w:after="0"/>
              <w:rPr>
                <w:rFonts w:ascii="Arial" w:cs="Arial" w:eastAsia="Arial" w:hAnsi="Arial"/>
                <w:sz w:val="16"/>
                <w:szCs w:val="16"/>
                <w:color w:val="0000FF"/>
              </w:rPr>
            </w:pPr>
            <w:hyperlink r:id="rId165">
              <w:r>
                <w:rPr>
                  <w:rFonts w:ascii="Arial" w:cs="Arial" w:eastAsia="Arial" w:hAnsi="Arial"/>
                  <w:sz w:val="16"/>
                  <w:szCs w:val="16"/>
                  <w:color w:val="0000FF"/>
                </w:rPr>
                <w:t>Agreement of Lease by and between the Registrant and</w:t>
              </w:r>
            </w:hyperlink>
          </w:p>
        </w:tc>
        <w:tc>
          <w:tcPr>
            <w:tcW w:w="460" w:type="dxa"/>
            <w:vAlign w:val="bottom"/>
          </w:tcPr>
          <w:p>
            <w:pPr>
              <w:ind w:left="40"/>
              <w:spacing w:after="0"/>
              <w:rPr>
                <w:sz w:val="20"/>
                <w:szCs w:val="20"/>
                <w:color w:val="auto"/>
              </w:rPr>
            </w:pPr>
            <w:r>
              <w:rPr>
                <w:rFonts w:ascii="Arial" w:cs="Arial" w:eastAsia="Arial" w:hAnsi="Arial"/>
                <w:sz w:val="16"/>
                <w:szCs w:val="16"/>
                <w:color w:val="auto"/>
                <w:w w:val="99"/>
              </w:rPr>
              <w:t>S-1/A</w:t>
            </w:r>
          </w:p>
        </w:tc>
      </w:tr>
      <w:tr>
        <w:trPr>
          <w:trHeight w:val="169"/>
        </w:trPr>
        <w:tc>
          <w:tcPr>
            <w:tcW w:w="660" w:type="dxa"/>
            <w:vAlign w:val="bottom"/>
          </w:tcPr>
          <w:p>
            <w:pPr>
              <w:spacing w:after="0"/>
              <w:rPr>
                <w:sz w:val="14"/>
                <w:szCs w:val="14"/>
                <w:color w:val="auto"/>
              </w:rPr>
            </w:pPr>
          </w:p>
        </w:tc>
        <w:tc>
          <w:tcPr>
            <w:tcW w:w="4020" w:type="dxa"/>
            <w:vAlign w:val="bottom"/>
            <w:tcBorders>
              <w:top w:val="single" w:sz="8" w:color="0000FF"/>
            </w:tcBorders>
            <w:gridSpan w:val="23"/>
          </w:tcPr>
          <w:p>
            <w:pPr>
              <w:spacing w:after="0" w:line="169" w:lineRule="exact"/>
              <w:rPr>
                <w:rFonts w:ascii="Arial" w:cs="Arial" w:eastAsia="Arial" w:hAnsi="Arial"/>
                <w:sz w:val="16"/>
                <w:szCs w:val="16"/>
                <w:color w:val="0000FF"/>
                <w:w w:val="97"/>
              </w:rPr>
            </w:pPr>
            <w:hyperlink r:id="rId165">
              <w:r>
                <w:rPr>
                  <w:rFonts w:ascii="Arial" w:cs="Arial" w:eastAsia="Arial" w:hAnsi="Arial"/>
                  <w:sz w:val="16"/>
                  <w:szCs w:val="16"/>
                  <w:color w:val="0000FF"/>
                  <w:w w:val="97"/>
                </w:rPr>
                <w:t>Maple West 25th Owner, LLC, dated November 11, 2015,</w:t>
              </w:r>
            </w:hyperlink>
          </w:p>
        </w:tc>
        <w:tc>
          <w:tcPr>
            <w:tcW w:w="440" w:type="dxa"/>
            <w:vAlign w:val="bottom"/>
            <w:gridSpan w:val="6"/>
          </w:tcPr>
          <w:p>
            <w:pPr>
              <w:ind w:left="140"/>
              <w:spacing w:after="0" w:line="169" w:lineRule="exact"/>
              <w:rPr>
                <w:rFonts w:ascii="Arial" w:cs="Arial" w:eastAsia="Arial" w:hAnsi="Arial"/>
                <w:sz w:val="16"/>
                <w:szCs w:val="16"/>
                <w:color w:val="0000FF"/>
              </w:rPr>
            </w:pPr>
            <w:hyperlink r:id="rId165">
              <w:r>
                <w:rPr>
                  <w:rFonts w:ascii="Arial" w:cs="Arial" w:eastAsia="Arial" w:hAnsi="Arial"/>
                  <w:sz w:val="16"/>
                  <w:szCs w:val="16"/>
                  <w:color w:val="0000FF"/>
                </w:rPr>
                <w:t>as</w:t>
              </w:r>
            </w:hyperlink>
          </w:p>
        </w:tc>
        <w:tc>
          <w:tcPr>
            <w:tcW w:w="460" w:type="dxa"/>
            <w:vAlign w:val="bottom"/>
          </w:tcPr>
          <w:p>
            <w:pPr>
              <w:spacing w:after="0"/>
              <w:rPr>
                <w:sz w:val="14"/>
                <w:szCs w:val="14"/>
                <w:color w:val="auto"/>
              </w:rPr>
            </w:pPr>
          </w:p>
        </w:tc>
      </w:tr>
      <w:tr>
        <w:trPr>
          <w:trHeight w:val="169"/>
        </w:trPr>
        <w:tc>
          <w:tcPr>
            <w:tcW w:w="660" w:type="dxa"/>
            <w:vAlign w:val="bottom"/>
          </w:tcPr>
          <w:p>
            <w:pPr>
              <w:spacing w:after="0"/>
              <w:rPr>
                <w:sz w:val="14"/>
                <w:szCs w:val="14"/>
                <w:color w:val="auto"/>
              </w:rPr>
            </w:pPr>
          </w:p>
        </w:tc>
        <w:tc>
          <w:tcPr>
            <w:tcW w:w="4320" w:type="dxa"/>
            <w:vAlign w:val="bottom"/>
            <w:tcBorders>
              <w:top w:val="single" w:sz="8" w:color="0000FF"/>
            </w:tcBorders>
            <w:gridSpan w:val="25"/>
          </w:tcPr>
          <w:p>
            <w:pPr>
              <w:spacing w:after="0" w:line="169" w:lineRule="exact"/>
              <w:rPr>
                <w:rFonts w:ascii="Arial" w:cs="Arial" w:eastAsia="Arial" w:hAnsi="Arial"/>
                <w:sz w:val="16"/>
                <w:szCs w:val="16"/>
                <w:color w:val="0000FF"/>
              </w:rPr>
            </w:pPr>
            <w:hyperlink r:id="rId165">
              <w:r>
                <w:rPr>
                  <w:rFonts w:ascii="Arial" w:cs="Arial" w:eastAsia="Arial" w:hAnsi="Arial"/>
                  <w:sz w:val="16"/>
                  <w:szCs w:val="16"/>
                  <w:color w:val="0000FF"/>
                </w:rPr>
                <w:t>amended.</w:t>
              </w:r>
            </w:hyperlink>
          </w:p>
        </w:tc>
        <w:tc>
          <w:tcPr>
            <w:tcW w:w="140" w:type="dxa"/>
            <w:vAlign w:val="bottom"/>
            <w:gridSpan w:val="4"/>
          </w:tcPr>
          <w:p>
            <w:pPr>
              <w:spacing w:after="0"/>
              <w:rPr>
                <w:sz w:val="14"/>
                <w:szCs w:val="14"/>
                <w:color w:val="auto"/>
              </w:rPr>
            </w:pPr>
          </w:p>
        </w:tc>
        <w:tc>
          <w:tcPr>
            <w:tcW w:w="460" w:type="dxa"/>
            <w:vAlign w:val="bottom"/>
          </w:tcPr>
          <w:p>
            <w:pPr>
              <w:spacing w:after="0"/>
              <w:rPr>
                <w:sz w:val="14"/>
                <w:szCs w:val="14"/>
                <w:color w:val="auto"/>
              </w:rPr>
            </w:pPr>
          </w:p>
        </w:tc>
      </w:tr>
      <w:tr>
        <w:trPr>
          <w:trHeight w:val="775"/>
        </w:trPr>
        <w:tc>
          <w:tcPr>
            <w:tcW w:w="66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Arial" w:cs="Arial" w:eastAsia="Arial" w:hAnsi="Arial"/>
                <w:sz w:val="16"/>
                <w:szCs w:val="16"/>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57150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80" w:type="dxa"/>
            <w:vAlign w:val="bottom"/>
          </w:tcPr>
          <w:p>
            <w:pPr>
              <w:spacing w:after="0"/>
              <w:rPr>
                <w:sz w:val="20"/>
                <w:szCs w:val="20"/>
                <w:color w:val="auto"/>
              </w:rPr>
            </w:pPr>
            <w:r>
              <w:rPr>
                <w:rFonts w:ascii="Arial" w:cs="Arial" w:eastAsia="Arial" w:hAnsi="Arial"/>
                <w:sz w:val="16"/>
                <w:szCs w:val="16"/>
                <w:color w:val="auto"/>
              </w:rPr>
              <w:t>001-39058</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1040" w:type="dxa"/>
            <w:vAlign w:val="bottom"/>
          </w:tcPr>
          <w:p>
            <w:pPr>
              <w:jc w:val="right"/>
              <w:spacing w:after="0"/>
              <w:rPr>
                <w:sz w:val="20"/>
                <w:szCs w:val="20"/>
                <w:color w:val="auto"/>
              </w:rPr>
            </w:pPr>
            <w:r>
              <w:rPr>
                <w:rFonts w:ascii="Arial" w:cs="Arial" w:eastAsia="Arial" w:hAnsi="Arial"/>
                <w:sz w:val="16"/>
                <w:szCs w:val="16"/>
                <w:color w:val="auto"/>
              </w:rPr>
              <w:t>12/12/2023</w:t>
            </w:r>
          </w:p>
        </w:tc>
      </w:tr>
      <w:tr>
        <w:trPr>
          <w:trHeight w:val="432"/>
        </w:trPr>
        <w:tc>
          <w:tcPr>
            <w:tcW w:w="1480" w:type="dxa"/>
            <w:vAlign w:val="bottom"/>
          </w:tcPr>
          <w:p>
            <w:pPr>
              <w:spacing w:after="0"/>
              <w:rPr>
                <w:sz w:val="20"/>
                <w:szCs w:val="20"/>
                <w:color w:val="auto"/>
              </w:rPr>
            </w:pPr>
            <w:r>
              <w:rPr>
                <w:rFonts w:ascii="Arial" w:cs="Arial" w:eastAsia="Arial" w:hAnsi="Arial"/>
                <w:sz w:val="16"/>
                <w:szCs w:val="16"/>
                <w:color w:val="auto"/>
              </w:rPr>
              <w:t>333-233941</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4.8</w:t>
            </w:r>
          </w:p>
        </w:tc>
        <w:tc>
          <w:tcPr>
            <w:tcW w:w="1040" w:type="dxa"/>
            <w:vAlign w:val="bottom"/>
          </w:tcPr>
          <w:p>
            <w:pPr>
              <w:jc w:val="right"/>
              <w:spacing w:after="0"/>
              <w:rPr>
                <w:sz w:val="20"/>
                <w:szCs w:val="20"/>
                <w:color w:val="auto"/>
              </w:rPr>
            </w:pPr>
            <w:r>
              <w:rPr>
                <w:rFonts w:ascii="Arial" w:cs="Arial" w:eastAsia="Arial" w:hAnsi="Arial"/>
                <w:sz w:val="16"/>
                <w:szCs w:val="16"/>
                <w:color w:val="auto"/>
              </w:rPr>
              <w:t>09/26/2019</w:t>
            </w:r>
          </w:p>
        </w:tc>
      </w:tr>
      <w:tr>
        <w:trPr>
          <w:trHeight w:val="432"/>
        </w:trPr>
        <w:tc>
          <w:tcPr>
            <w:tcW w:w="1480" w:type="dxa"/>
            <w:vAlign w:val="bottom"/>
          </w:tcPr>
          <w:p>
            <w:pPr>
              <w:spacing w:after="0"/>
              <w:rPr>
                <w:sz w:val="20"/>
                <w:szCs w:val="20"/>
                <w:color w:val="auto"/>
              </w:rPr>
            </w:pPr>
            <w:r>
              <w:rPr>
                <w:rFonts w:ascii="Arial" w:cs="Arial" w:eastAsia="Arial" w:hAnsi="Arial"/>
                <w:sz w:val="16"/>
                <w:szCs w:val="16"/>
                <w:color w:val="auto"/>
              </w:rPr>
              <w:t>001-39058</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10.8</w:t>
            </w:r>
          </w:p>
        </w:tc>
        <w:tc>
          <w:tcPr>
            <w:tcW w:w="1040" w:type="dxa"/>
            <w:vAlign w:val="bottom"/>
          </w:tcPr>
          <w:p>
            <w:pPr>
              <w:jc w:val="right"/>
              <w:spacing w:after="0"/>
              <w:rPr>
                <w:sz w:val="20"/>
                <w:szCs w:val="20"/>
                <w:color w:val="auto"/>
              </w:rPr>
            </w:pPr>
            <w:r>
              <w:rPr>
                <w:rFonts w:ascii="Arial" w:cs="Arial" w:eastAsia="Arial" w:hAnsi="Arial"/>
                <w:sz w:val="16"/>
                <w:szCs w:val="16"/>
                <w:color w:val="auto"/>
              </w:rPr>
              <w:t>09/11/2020</w:t>
            </w:r>
          </w:p>
        </w:tc>
      </w:tr>
      <w:tr>
        <w:trPr>
          <w:trHeight w:val="432"/>
        </w:trPr>
        <w:tc>
          <w:tcPr>
            <w:tcW w:w="1480" w:type="dxa"/>
            <w:vAlign w:val="bottom"/>
          </w:tcPr>
          <w:p>
            <w:pPr>
              <w:spacing w:after="0"/>
              <w:rPr>
                <w:sz w:val="20"/>
                <w:szCs w:val="20"/>
                <w:color w:val="auto"/>
              </w:rPr>
            </w:pPr>
            <w:r>
              <w:rPr>
                <w:rFonts w:ascii="Arial" w:cs="Arial" w:eastAsia="Arial" w:hAnsi="Arial"/>
                <w:sz w:val="16"/>
                <w:szCs w:val="16"/>
                <w:color w:val="auto"/>
              </w:rPr>
              <w:t>001-39058</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1040" w:type="dxa"/>
            <w:vAlign w:val="bottom"/>
          </w:tcPr>
          <w:p>
            <w:pPr>
              <w:jc w:val="right"/>
              <w:spacing w:after="0"/>
              <w:rPr>
                <w:sz w:val="20"/>
                <w:szCs w:val="20"/>
                <w:color w:val="auto"/>
              </w:rPr>
            </w:pPr>
            <w:r>
              <w:rPr>
                <w:rFonts w:ascii="Arial" w:cs="Arial" w:eastAsia="Arial" w:hAnsi="Arial"/>
                <w:sz w:val="16"/>
                <w:szCs w:val="16"/>
                <w:color w:val="auto"/>
              </w:rPr>
              <w:t>02/08/2022</w:t>
            </w:r>
          </w:p>
        </w:tc>
      </w:tr>
      <w:tr>
        <w:trPr>
          <w:trHeight w:val="432"/>
        </w:trPr>
        <w:tc>
          <w:tcPr>
            <w:tcW w:w="1480" w:type="dxa"/>
            <w:vAlign w:val="bottom"/>
          </w:tcPr>
          <w:p>
            <w:pPr>
              <w:spacing w:after="0"/>
              <w:rPr>
                <w:sz w:val="20"/>
                <w:szCs w:val="20"/>
                <w:color w:val="auto"/>
              </w:rPr>
            </w:pPr>
            <w:r>
              <w:rPr>
                <w:rFonts w:ascii="Arial" w:cs="Arial" w:eastAsia="Arial" w:hAnsi="Arial"/>
                <w:sz w:val="16"/>
                <w:szCs w:val="16"/>
                <w:color w:val="auto"/>
              </w:rPr>
              <w:t>001-39058</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1040" w:type="dxa"/>
            <w:vAlign w:val="bottom"/>
          </w:tcPr>
          <w:p>
            <w:pPr>
              <w:jc w:val="right"/>
              <w:spacing w:after="0"/>
              <w:rPr>
                <w:sz w:val="20"/>
                <w:szCs w:val="20"/>
                <w:color w:val="auto"/>
              </w:rPr>
            </w:pPr>
            <w:r>
              <w:rPr>
                <w:rFonts w:ascii="Arial" w:cs="Arial" w:eastAsia="Arial" w:hAnsi="Arial"/>
                <w:sz w:val="16"/>
                <w:szCs w:val="16"/>
                <w:color w:val="auto"/>
              </w:rPr>
              <w:t>06/06/2022</w:t>
            </w:r>
          </w:p>
        </w:tc>
      </w:tr>
      <w:tr>
        <w:trPr>
          <w:trHeight w:val="432"/>
        </w:trPr>
        <w:tc>
          <w:tcPr>
            <w:tcW w:w="1480" w:type="dxa"/>
            <w:vAlign w:val="bottom"/>
          </w:tcPr>
          <w:p>
            <w:pPr>
              <w:spacing w:after="0"/>
              <w:rPr>
                <w:sz w:val="20"/>
                <w:szCs w:val="20"/>
                <w:color w:val="auto"/>
              </w:rPr>
            </w:pPr>
            <w:r>
              <w:rPr>
                <w:rFonts w:ascii="Arial" w:cs="Arial" w:eastAsia="Arial" w:hAnsi="Arial"/>
                <w:sz w:val="16"/>
                <w:szCs w:val="16"/>
                <w:color w:val="auto"/>
              </w:rPr>
              <w:t>001-39058</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10.9</w:t>
            </w:r>
          </w:p>
        </w:tc>
        <w:tc>
          <w:tcPr>
            <w:tcW w:w="1040" w:type="dxa"/>
            <w:vAlign w:val="bottom"/>
          </w:tcPr>
          <w:p>
            <w:pPr>
              <w:jc w:val="right"/>
              <w:spacing w:after="0"/>
              <w:rPr>
                <w:sz w:val="20"/>
                <w:szCs w:val="20"/>
                <w:color w:val="auto"/>
              </w:rPr>
            </w:pPr>
            <w:r>
              <w:rPr>
                <w:rFonts w:ascii="Arial" w:cs="Arial" w:eastAsia="Arial" w:hAnsi="Arial"/>
                <w:sz w:val="16"/>
                <w:szCs w:val="16"/>
                <w:color w:val="auto"/>
              </w:rPr>
              <w:t>08/23/2023</w:t>
            </w:r>
          </w:p>
        </w:tc>
      </w:tr>
      <w:tr>
        <w:trPr>
          <w:trHeight w:val="432"/>
        </w:trPr>
        <w:tc>
          <w:tcPr>
            <w:tcW w:w="1480" w:type="dxa"/>
            <w:vAlign w:val="bottom"/>
          </w:tcPr>
          <w:p>
            <w:pPr>
              <w:spacing w:after="0"/>
              <w:rPr>
                <w:sz w:val="20"/>
                <w:szCs w:val="20"/>
                <w:color w:val="auto"/>
              </w:rPr>
            </w:pPr>
            <w:r>
              <w:rPr>
                <w:rFonts w:ascii="Arial" w:cs="Arial" w:eastAsia="Arial" w:hAnsi="Arial"/>
                <w:sz w:val="16"/>
                <w:szCs w:val="16"/>
                <w:color w:val="auto"/>
              </w:rPr>
              <w:t>001-39058</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1040" w:type="dxa"/>
            <w:vAlign w:val="bottom"/>
          </w:tcPr>
          <w:p>
            <w:pPr>
              <w:jc w:val="right"/>
              <w:spacing w:after="0"/>
              <w:rPr>
                <w:sz w:val="20"/>
                <w:szCs w:val="20"/>
                <w:color w:val="auto"/>
              </w:rPr>
            </w:pPr>
            <w:r>
              <w:rPr>
                <w:rFonts w:ascii="Arial" w:cs="Arial" w:eastAsia="Arial" w:hAnsi="Arial"/>
                <w:sz w:val="16"/>
                <w:szCs w:val="16"/>
                <w:color w:val="auto"/>
              </w:rPr>
              <w:t>08/23/2023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-1781175</wp:posOffset>
            </wp:positionV>
            <wp:extent cx="779780" cy="4225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779780" cy="4225925"/>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248" w:lineRule="exact"/>
        <w:rPr>
          <w:sz w:val="20"/>
          <w:szCs w:val="20"/>
          <w:color w:val="auto"/>
        </w:rPr>
      </w:pPr>
    </w:p>
    <w:p>
      <w:pPr>
        <w:spacing w:after="0"/>
        <w:tabs>
          <w:tab w:leader="none" w:pos="2080" w:val="left"/>
          <w:tab w:leader="none" w:pos="2820" w:val="left"/>
        </w:tabs>
        <w:rPr>
          <w:sz w:val="20"/>
          <w:szCs w:val="20"/>
          <w:color w:val="auto"/>
        </w:rPr>
      </w:pPr>
      <w:r>
        <w:rPr>
          <w:rFonts w:ascii="Arial" w:cs="Arial" w:eastAsia="Arial" w:hAnsi="Arial"/>
          <w:sz w:val="16"/>
          <w:szCs w:val="16"/>
          <w:color w:val="auto"/>
        </w:rPr>
        <w:t>001-39058</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10/19/2023</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80" w:type="dxa"/>
            <w:vAlign w:val="bottom"/>
          </w:tcPr>
          <w:p>
            <w:pPr>
              <w:spacing w:after="0"/>
              <w:rPr>
                <w:sz w:val="20"/>
                <w:szCs w:val="20"/>
                <w:color w:val="auto"/>
              </w:rPr>
            </w:pPr>
            <w:r>
              <w:rPr>
                <w:rFonts w:ascii="Arial" w:cs="Arial" w:eastAsia="Arial" w:hAnsi="Arial"/>
                <w:sz w:val="16"/>
                <w:szCs w:val="16"/>
                <w:color w:val="auto"/>
              </w:rPr>
              <w:t>001-39058</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10.9</w:t>
            </w:r>
          </w:p>
        </w:tc>
        <w:tc>
          <w:tcPr>
            <w:tcW w:w="1040" w:type="dxa"/>
            <w:vAlign w:val="bottom"/>
          </w:tcPr>
          <w:p>
            <w:pPr>
              <w:jc w:val="right"/>
              <w:spacing w:after="0"/>
              <w:rPr>
                <w:sz w:val="20"/>
                <w:szCs w:val="20"/>
                <w:color w:val="auto"/>
              </w:rPr>
            </w:pPr>
            <w:r>
              <w:rPr>
                <w:rFonts w:ascii="Arial" w:cs="Arial" w:eastAsia="Arial" w:hAnsi="Arial"/>
                <w:sz w:val="16"/>
                <w:szCs w:val="16"/>
                <w:color w:val="auto"/>
              </w:rPr>
              <w:t>09/11/2020</w:t>
            </w:r>
          </w:p>
        </w:tc>
      </w:tr>
      <w:tr>
        <w:trPr>
          <w:trHeight w:val="432"/>
        </w:trPr>
        <w:tc>
          <w:tcPr>
            <w:tcW w:w="1480" w:type="dxa"/>
            <w:vAlign w:val="bottom"/>
          </w:tcPr>
          <w:p>
            <w:pPr>
              <w:spacing w:after="0"/>
              <w:rPr>
                <w:sz w:val="20"/>
                <w:szCs w:val="20"/>
                <w:color w:val="auto"/>
              </w:rPr>
            </w:pPr>
            <w:r>
              <w:rPr>
                <w:rFonts w:ascii="Arial" w:cs="Arial" w:eastAsia="Arial" w:hAnsi="Arial"/>
                <w:sz w:val="16"/>
                <w:szCs w:val="16"/>
                <w:color w:val="auto"/>
              </w:rPr>
              <w:t>333-233482</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10.9</w:t>
            </w:r>
          </w:p>
        </w:tc>
        <w:tc>
          <w:tcPr>
            <w:tcW w:w="1040" w:type="dxa"/>
            <w:vAlign w:val="bottom"/>
          </w:tcPr>
          <w:p>
            <w:pPr>
              <w:jc w:val="right"/>
              <w:spacing w:after="0"/>
              <w:rPr>
                <w:sz w:val="20"/>
                <w:szCs w:val="20"/>
                <w:color w:val="auto"/>
              </w:rPr>
            </w:pPr>
            <w:r>
              <w:rPr>
                <w:rFonts w:ascii="Arial" w:cs="Arial" w:eastAsia="Arial" w:hAnsi="Arial"/>
                <w:sz w:val="16"/>
                <w:szCs w:val="16"/>
                <w:color w:val="auto"/>
              </w:rPr>
              <w:t>09/10/2019</w:t>
            </w:r>
          </w:p>
        </w:tc>
      </w:tr>
    </w:tbl>
    <w:p>
      <w:pPr>
        <w:sectPr>
          <w:pgSz w:w="11900" w:h="16838" w:orient="portrait"/>
          <w:cols w:equalWidth="0" w:num="2">
            <w:col w:w="5580" w:space="420"/>
            <w:col w:w="4340"/>
          </w:cols>
          <w:pgMar w:left="660" w:top="806" w:right="89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jc w:val="right"/>
              <w:ind w:right="99"/>
              <w:spacing w:after="0"/>
              <w:rPr>
                <w:sz w:val="20"/>
                <w:szCs w:val="20"/>
                <w:color w:val="auto"/>
              </w:rPr>
            </w:pPr>
            <w:r>
              <w:rPr>
                <w:rFonts w:ascii="Arial" w:cs="Arial" w:eastAsia="Arial" w:hAnsi="Arial"/>
                <w:sz w:val="16"/>
                <w:szCs w:val="16"/>
                <w:color w:val="auto"/>
              </w:rPr>
              <w:t>10.19</w:t>
            </w:r>
          </w:p>
        </w:tc>
        <w:tc>
          <w:tcPr>
            <w:tcW w:w="4480" w:type="dxa"/>
            <w:vAlign w:val="bottom"/>
            <w:gridSpan w:val="24"/>
          </w:tcPr>
          <w:p>
            <w:pPr>
              <w:spacing w:after="0"/>
              <w:rPr>
                <w:rFonts w:ascii="Arial" w:cs="Arial" w:eastAsia="Arial" w:hAnsi="Arial"/>
                <w:sz w:val="16"/>
                <w:szCs w:val="16"/>
                <w:color w:val="0000FF"/>
              </w:rPr>
            </w:pPr>
            <w:hyperlink r:id="rId168">
              <w:r>
                <w:rPr>
                  <w:rFonts w:ascii="Arial" w:cs="Arial" w:eastAsia="Arial" w:hAnsi="Arial"/>
                  <w:sz w:val="16"/>
                  <w:szCs w:val="16"/>
                  <w:color w:val="0000FF"/>
                </w:rPr>
                <w:t>Agreement of Lease by and between the Registrant and CBP</w:t>
              </w:r>
            </w:hyperlink>
          </w:p>
        </w:tc>
        <w:tc>
          <w:tcPr>
            <w:tcW w:w="840" w:type="dxa"/>
            <w:vAlign w:val="bottom"/>
          </w:tcPr>
          <w:p>
            <w:pPr>
              <w:ind w:left="20"/>
              <w:spacing w:after="0"/>
              <w:rPr>
                <w:sz w:val="20"/>
                <w:szCs w:val="20"/>
                <w:color w:val="auto"/>
              </w:rPr>
            </w:pPr>
            <w:r>
              <w:rPr>
                <w:rFonts w:ascii="Arial" w:cs="Arial" w:eastAsia="Arial" w:hAnsi="Arial"/>
                <w:sz w:val="16"/>
                <w:szCs w:val="16"/>
                <w:color w:val="auto"/>
              </w:rPr>
              <w:t>S-1/A</w:t>
            </w:r>
          </w:p>
        </w:tc>
        <w:tc>
          <w:tcPr>
            <w:tcW w:w="1140" w:type="dxa"/>
            <w:vAlign w:val="bottom"/>
          </w:tcPr>
          <w:p>
            <w:pPr>
              <w:ind w:left="20"/>
              <w:spacing w:after="0"/>
              <w:rPr>
                <w:sz w:val="20"/>
                <w:szCs w:val="20"/>
                <w:color w:val="auto"/>
              </w:rPr>
            </w:pPr>
            <w:r>
              <w:rPr>
                <w:rFonts w:ascii="Arial" w:cs="Arial" w:eastAsia="Arial" w:hAnsi="Arial"/>
                <w:sz w:val="16"/>
                <w:szCs w:val="16"/>
                <w:color w:val="auto"/>
              </w:rPr>
              <w:t>333-233482</w:t>
            </w:r>
          </w:p>
        </w:tc>
        <w:tc>
          <w:tcPr>
            <w:tcW w:w="1300" w:type="dxa"/>
            <w:vAlign w:val="bottom"/>
          </w:tcPr>
          <w:p>
            <w:pPr>
              <w:jc w:val="right"/>
              <w:spacing w:after="0"/>
              <w:rPr>
                <w:sz w:val="20"/>
                <w:szCs w:val="20"/>
                <w:color w:val="auto"/>
              </w:rPr>
            </w:pPr>
            <w:r>
              <w:rPr>
                <w:rFonts w:ascii="Arial" w:cs="Arial" w:eastAsia="Arial" w:hAnsi="Arial"/>
                <w:sz w:val="16"/>
                <w:szCs w:val="16"/>
                <w:color w:val="auto"/>
              </w:rPr>
              <w:t>10.10</w:t>
            </w:r>
          </w:p>
        </w:tc>
        <w:tc>
          <w:tcPr>
            <w:tcW w:w="1260" w:type="dxa"/>
            <w:vAlign w:val="bottom"/>
          </w:tcPr>
          <w:p>
            <w:pPr>
              <w:jc w:val="right"/>
              <w:spacing w:after="0"/>
              <w:rPr>
                <w:sz w:val="20"/>
                <w:szCs w:val="20"/>
                <w:color w:val="auto"/>
              </w:rPr>
            </w:pPr>
            <w:r>
              <w:rPr>
                <w:rFonts w:ascii="Arial" w:cs="Arial" w:eastAsia="Arial" w:hAnsi="Arial"/>
                <w:sz w:val="16"/>
                <w:szCs w:val="16"/>
                <w:color w:val="auto"/>
              </w:rPr>
              <w:t>09/10/2019</w:t>
            </w:r>
          </w:p>
        </w:tc>
        <w:tc>
          <w:tcPr>
            <w:tcW w:w="1220" w:type="dxa"/>
            <w:vAlign w:val="bottom"/>
            <w:shd w:val="clear" w:color="auto" w:fill="FEFEFE"/>
          </w:tcPr>
          <w:p>
            <w:pPr>
              <w:spacing w:after="0"/>
              <w:rPr>
                <w:sz w:val="16"/>
                <w:szCs w:val="16"/>
                <w:color w:val="auto"/>
              </w:rPr>
            </w:pPr>
          </w:p>
        </w:tc>
      </w:tr>
      <w:tr>
        <w:trPr>
          <w:trHeight w:val="169"/>
        </w:trPr>
        <w:tc>
          <w:tcPr>
            <w:tcW w:w="1000" w:type="dxa"/>
            <w:vAlign w:val="bottom"/>
          </w:tcPr>
          <w:p>
            <w:pPr>
              <w:spacing w:after="0"/>
              <w:rPr>
                <w:sz w:val="14"/>
                <w:szCs w:val="14"/>
                <w:color w:val="auto"/>
              </w:rPr>
            </w:pPr>
          </w:p>
        </w:tc>
        <w:tc>
          <w:tcPr>
            <w:tcW w:w="4160" w:type="dxa"/>
            <w:vAlign w:val="bottom"/>
            <w:tcBorders>
              <w:top w:val="single" w:sz="8" w:color="0000FF"/>
              <w:bottom w:val="single" w:sz="8" w:color="0000FF"/>
            </w:tcBorders>
            <w:gridSpan w:val="12"/>
          </w:tcPr>
          <w:p>
            <w:pPr>
              <w:spacing w:after="0" w:line="169" w:lineRule="exact"/>
              <w:rPr>
                <w:rFonts w:ascii="Arial" w:cs="Arial" w:eastAsia="Arial" w:hAnsi="Arial"/>
                <w:sz w:val="16"/>
                <w:szCs w:val="16"/>
                <w:color w:val="0000FF"/>
              </w:rPr>
            </w:pPr>
            <w:hyperlink r:id="rId168">
              <w:r>
                <w:rPr>
                  <w:rFonts w:ascii="Arial" w:cs="Arial" w:eastAsia="Arial" w:hAnsi="Arial"/>
                  <w:sz w:val="16"/>
                  <w:szCs w:val="16"/>
                  <w:color w:val="0000FF"/>
                </w:rPr>
                <w:t>441 Ninth Avenue Owner LLC, dated November 16, 2018.</w:t>
              </w:r>
            </w:hyperlink>
          </w:p>
        </w:tc>
        <w:tc>
          <w:tcPr>
            <w:tcW w:w="24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223"/>
        </w:trPr>
        <w:tc>
          <w:tcPr>
            <w:tcW w:w="1000" w:type="dxa"/>
            <w:vAlign w:val="bottom"/>
          </w:tcPr>
          <w:p>
            <w:pPr>
              <w:jc w:val="right"/>
              <w:ind w:right="99"/>
              <w:spacing w:after="0"/>
              <w:rPr>
                <w:sz w:val="20"/>
                <w:szCs w:val="20"/>
                <w:color w:val="auto"/>
              </w:rPr>
            </w:pPr>
            <w:r>
              <w:rPr>
                <w:rFonts w:ascii="Arial" w:cs="Arial" w:eastAsia="Arial" w:hAnsi="Arial"/>
                <w:sz w:val="16"/>
                <w:szCs w:val="16"/>
                <w:color w:val="auto"/>
              </w:rPr>
              <w:t>10.20</w:t>
            </w:r>
          </w:p>
        </w:tc>
        <w:tc>
          <w:tcPr>
            <w:tcW w:w="4480" w:type="dxa"/>
            <w:vAlign w:val="bottom"/>
            <w:gridSpan w:val="24"/>
          </w:tcPr>
          <w:p>
            <w:pPr>
              <w:spacing w:after="0"/>
              <w:rPr>
                <w:rFonts w:ascii="Arial" w:cs="Arial" w:eastAsia="Arial" w:hAnsi="Arial"/>
                <w:sz w:val="16"/>
                <w:szCs w:val="16"/>
                <w:color w:val="0000FF"/>
              </w:rPr>
            </w:pPr>
            <w:hyperlink r:id="rId169">
              <w:r>
                <w:rPr>
                  <w:rFonts w:ascii="Arial" w:cs="Arial" w:eastAsia="Arial" w:hAnsi="Arial"/>
                  <w:sz w:val="16"/>
                  <w:szCs w:val="16"/>
                  <w:color w:val="0000FF"/>
                </w:rPr>
                <w:t>Amendment and Restatement Agreement, dated as of May</w:t>
              </w:r>
            </w:hyperlink>
          </w:p>
        </w:tc>
        <w:tc>
          <w:tcPr>
            <w:tcW w:w="840" w:type="dxa"/>
            <w:vAlign w:val="bottom"/>
          </w:tcPr>
          <w:p>
            <w:pPr>
              <w:ind w:left="20"/>
              <w:spacing w:after="0"/>
              <w:rPr>
                <w:sz w:val="20"/>
                <w:szCs w:val="20"/>
                <w:color w:val="auto"/>
              </w:rPr>
            </w:pPr>
            <w:r>
              <w:rPr>
                <w:rFonts w:ascii="Arial" w:cs="Arial" w:eastAsia="Arial" w:hAnsi="Arial"/>
                <w:sz w:val="16"/>
                <w:szCs w:val="16"/>
                <w:color w:val="auto"/>
              </w:rPr>
              <w:t>8-K</w:t>
            </w:r>
          </w:p>
        </w:tc>
        <w:tc>
          <w:tcPr>
            <w:tcW w:w="1140" w:type="dxa"/>
            <w:vAlign w:val="bottom"/>
          </w:tcPr>
          <w:p>
            <w:pPr>
              <w:ind w:left="20"/>
              <w:spacing w:after="0"/>
              <w:rPr>
                <w:sz w:val="20"/>
                <w:szCs w:val="20"/>
                <w:color w:val="auto"/>
              </w:rPr>
            </w:pPr>
            <w:r>
              <w:rPr>
                <w:rFonts w:ascii="Arial" w:cs="Arial" w:eastAsia="Arial" w:hAnsi="Arial"/>
                <w:sz w:val="16"/>
                <w:szCs w:val="16"/>
                <w:color w:val="auto"/>
              </w:rPr>
              <w:t>001-39058</w:t>
            </w:r>
          </w:p>
        </w:tc>
        <w:tc>
          <w:tcPr>
            <w:tcW w:w="1300" w:type="dxa"/>
            <w:vAlign w:val="bottom"/>
          </w:tcPr>
          <w:p>
            <w:pPr>
              <w:jc w:val="right"/>
              <w:spacing w:after="0"/>
              <w:rPr>
                <w:sz w:val="20"/>
                <w:szCs w:val="20"/>
                <w:color w:val="auto"/>
              </w:rPr>
            </w:pPr>
            <w:r>
              <w:rPr>
                <w:rFonts w:ascii="Arial" w:cs="Arial" w:eastAsia="Arial" w:hAnsi="Arial"/>
                <w:sz w:val="16"/>
                <w:szCs w:val="16"/>
                <w:color w:val="auto"/>
              </w:rPr>
              <w:t>10.1</w:t>
            </w:r>
          </w:p>
        </w:tc>
        <w:tc>
          <w:tcPr>
            <w:tcW w:w="1260" w:type="dxa"/>
            <w:vAlign w:val="bottom"/>
          </w:tcPr>
          <w:p>
            <w:pPr>
              <w:jc w:val="right"/>
              <w:spacing w:after="0"/>
              <w:rPr>
                <w:sz w:val="20"/>
                <w:szCs w:val="20"/>
                <w:color w:val="auto"/>
              </w:rPr>
            </w:pPr>
            <w:r>
              <w:rPr>
                <w:rFonts w:ascii="Arial" w:cs="Arial" w:eastAsia="Arial" w:hAnsi="Arial"/>
                <w:sz w:val="16"/>
                <w:szCs w:val="16"/>
                <w:color w:val="auto"/>
              </w:rPr>
              <w:t>05/30/2024</w:t>
            </w:r>
          </w:p>
        </w:tc>
        <w:tc>
          <w:tcPr>
            <w:tcW w:w="1220" w:type="dxa"/>
            <w:vAlign w:val="bottom"/>
            <w:shd w:val="clear" w:color="auto" w:fill="FEFEFE"/>
          </w:tcPr>
          <w:p>
            <w:pPr>
              <w:spacing w:after="0"/>
              <w:rPr>
                <w:sz w:val="19"/>
                <w:szCs w:val="19"/>
                <w:color w:val="auto"/>
              </w:rPr>
            </w:pPr>
          </w:p>
        </w:tc>
      </w:tr>
      <w:tr>
        <w:trPr>
          <w:trHeight w:val="142"/>
        </w:trPr>
        <w:tc>
          <w:tcPr>
            <w:tcW w:w="1000" w:type="dxa"/>
            <w:vAlign w:val="bottom"/>
          </w:tcPr>
          <w:p>
            <w:pPr>
              <w:spacing w:after="0"/>
              <w:rPr>
                <w:sz w:val="12"/>
                <w:szCs w:val="12"/>
                <w:color w:val="auto"/>
              </w:rPr>
            </w:pPr>
          </w:p>
        </w:tc>
        <w:tc>
          <w:tcPr>
            <w:tcW w:w="424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30, 2024, among the Company, the lenders party 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Borders>
              <w:top w:val="single" w:sz="8" w:color="FEFEFE"/>
            </w:tcBorders>
            <w:shd w:val="clear" w:color="auto" w:fill="FEFEFE"/>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412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JPMorgan Chase Bank, N.A., as administrative agent and</w:t>
              </w:r>
            </w:hyperlink>
          </w:p>
        </w:tc>
        <w:tc>
          <w:tcPr>
            <w:tcW w:w="20" w:type="dxa"/>
            <w:vAlign w:val="bottom"/>
            <w:tcBorders>
              <w:bottom w:val="single" w:sz="8" w:color="0000FF"/>
            </w:tcBorders>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Borders>
              <w:top w:val="single" w:sz="8" w:color="FEFEFE"/>
              <w:bottom w:val="single" w:sz="8" w:color="FEFEFE"/>
            </w:tcBorders>
            <w:shd w:val="clear" w:color="auto" w:fill="FEFEFE"/>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4140" w:type="dxa"/>
            <w:vAlign w:val="bottom"/>
            <w:tcBorders>
              <w:bottom w:val="single" w:sz="8" w:color="0000FF"/>
            </w:tcBorders>
            <w:gridSpan w:val="11"/>
          </w:tcPr>
          <w:p>
            <w:pPr>
              <w:spacing w:after="0" w:line="142" w:lineRule="exact"/>
              <w:rPr>
                <w:rFonts w:ascii="Arial" w:cs="Arial" w:eastAsia="Arial" w:hAnsi="Arial"/>
                <w:sz w:val="16"/>
                <w:szCs w:val="16"/>
                <w:color w:val="0000FF"/>
                <w:w w:val="99"/>
              </w:rPr>
            </w:pPr>
            <w:hyperlink r:id="rId169">
              <w:r>
                <w:rPr>
                  <w:rFonts w:ascii="Arial" w:cs="Arial" w:eastAsia="Arial" w:hAnsi="Arial"/>
                  <w:sz w:val="16"/>
                  <w:szCs w:val="16"/>
                  <w:color w:val="0000FF"/>
                  <w:w w:val="99"/>
                </w:rPr>
                <w:t>JPMorgan Chase Bank, N.A. and Goldman Sachs Lending</w:t>
              </w:r>
            </w:hyperlink>
          </w:p>
        </w:tc>
        <w:tc>
          <w:tcPr>
            <w:tcW w:w="60" w:type="dxa"/>
            <w:vAlign w:val="bottom"/>
            <w:tcBorders>
              <w:bottom w:val="single" w:sz="8" w:color="0000FF"/>
            </w:tcBorders>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Borders>
              <w:bottom w:val="single" w:sz="8" w:color="FEFEFE"/>
            </w:tcBorders>
            <w:shd w:val="clear" w:color="auto" w:fill="FEFEFE"/>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4200" w:type="dxa"/>
            <w:vAlign w:val="bottom"/>
            <w:tcBorders>
              <w:bottom w:val="single" w:sz="8" w:color="0000FF"/>
            </w:tcBorders>
            <w:gridSpan w:val="13"/>
          </w:tcPr>
          <w:p>
            <w:pPr>
              <w:spacing w:after="0" w:line="142" w:lineRule="exact"/>
              <w:rPr>
                <w:rFonts w:ascii="Arial" w:cs="Arial" w:eastAsia="Arial" w:hAnsi="Arial"/>
                <w:sz w:val="16"/>
                <w:szCs w:val="16"/>
                <w:color w:val="0000FF"/>
                <w:w w:val="99"/>
              </w:rPr>
            </w:pPr>
            <w:hyperlink r:id="rId169">
              <w:r>
                <w:rPr>
                  <w:rFonts w:ascii="Arial" w:cs="Arial" w:eastAsia="Arial" w:hAnsi="Arial"/>
                  <w:sz w:val="16"/>
                  <w:szCs w:val="16"/>
                  <w:color w:val="0000FF"/>
                  <w:w w:val="99"/>
                </w:rPr>
                <w:t>Partners LLC as joint bookrunners and joint lead arrangers.</w:t>
              </w:r>
            </w:hyperlink>
          </w:p>
        </w:tc>
        <w:tc>
          <w:tcPr>
            <w:tcW w:w="6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Borders>
              <w:bottom w:val="single" w:sz="8" w:color="FEFEFE"/>
            </w:tcBorders>
            <w:shd w:val="clear" w:color="auto" w:fill="FEFEFE"/>
          </w:tcPr>
          <w:p>
            <w:pPr>
              <w:spacing w:after="0"/>
              <w:rPr>
                <w:sz w:val="12"/>
                <w:szCs w:val="12"/>
                <w:color w:val="auto"/>
              </w:rPr>
            </w:pPr>
          </w:p>
        </w:tc>
      </w:tr>
      <w:tr>
        <w:trPr>
          <w:trHeight w:val="21"/>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175"/>
        </w:trPr>
        <w:tc>
          <w:tcPr>
            <w:tcW w:w="1000" w:type="dxa"/>
            <w:vAlign w:val="bottom"/>
            <w:shd w:val="clear" w:color="auto" w:fill="FEFEFE"/>
          </w:tcPr>
          <w:p>
            <w:pPr>
              <w:jc w:val="right"/>
              <w:ind w:right="99"/>
              <w:spacing w:after="0" w:line="175" w:lineRule="exact"/>
              <w:rPr>
                <w:sz w:val="20"/>
                <w:szCs w:val="20"/>
                <w:color w:val="auto"/>
              </w:rPr>
            </w:pPr>
            <w:r>
              <w:rPr>
                <w:rFonts w:ascii="Arial" w:cs="Arial" w:eastAsia="Arial" w:hAnsi="Arial"/>
                <w:sz w:val="16"/>
                <w:szCs w:val="16"/>
                <w:color w:val="auto"/>
              </w:rPr>
              <w:t>19.1</w:t>
            </w:r>
          </w:p>
        </w:tc>
        <w:tc>
          <w:tcPr>
            <w:tcW w:w="4480" w:type="dxa"/>
            <w:vAlign w:val="bottom"/>
            <w:gridSpan w:val="24"/>
            <w:shd w:val="clear" w:color="auto" w:fill="FEFEFE"/>
          </w:tcPr>
          <w:p>
            <w:pPr>
              <w:spacing w:after="0" w:line="175" w:lineRule="exact"/>
              <w:rPr>
                <w:rFonts w:ascii="Arial" w:cs="Arial" w:eastAsia="Arial" w:hAnsi="Arial"/>
                <w:sz w:val="16"/>
                <w:szCs w:val="16"/>
                <w:color w:val="0000FF"/>
              </w:rPr>
            </w:pPr>
            <w:hyperlink r:id="rId170">
              <w:r>
                <w:rPr>
                  <w:rFonts w:ascii="Arial" w:cs="Arial" w:eastAsia="Arial" w:hAnsi="Arial"/>
                  <w:sz w:val="16"/>
                  <w:szCs w:val="16"/>
                  <w:color w:val="0000FF"/>
                </w:rPr>
                <w:t>Insider Trading Policy and Procedures.</w:t>
              </w:r>
            </w:hyperlink>
          </w:p>
        </w:tc>
        <w:tc>
          <w:tcPr>
            <w:tcW w:w="840" w:type="dxa"/>
            <w:vAlign w:val="bottom"/>
            <w:shd w:val="clear" w:color="auto" w:fill="FEFEFE"/>
          </w:tcPr>
          <w:p>
            <w:pPr>
              <w:ind w:left="20"/>
              <w:spacing w:after="0" w:line="175" w:lineRule="exact"/>
              <w:rPr>
                <w:sz w:val="20"/>
                <w:szCs w:val="20"/>
                <w:color w:val="auto"/>
              </w:rPr>
            </w:pPr>
            <w:r>
              <w:rPr>
                <w:rFonts w:ascii="Arial" w:cs="Arial" w:eastAsia="Arial" w:hAnsi="Arial"/>
                <w:sz w:val="16"/>
                <w:szCs w:val="16"/>
                <w:color w:val="auto"/>
              </w:rPr>
              <w:t>10-K</w:t>
            </w:r>
          </w:p>
        </w:tc>
        <w:tc>
          <w:tcPr>
            <w:tcW w:w="1140" w:type="dxa"/>
            <w:vAlign w:val="bottom"/>
            <w:shd w:val="clear" w:color="auto" w:fill="FEFEFE"/>
          </w:tcPr>
          <w:p>
            <w:pPr>
              <w:ind w:left="20"/>
              <w:spacing w:after="0" w:line="175" w:lineRule="exact"/>
              <w:rPr>
                <w:sz w:val="20"/>
                <w:szCs w:val="20"/>
                <w:color w:val="auto"/>
              </w:rPr>
            </w:pPr>
            <w:r>
              <w:rPr>
                <w:rFonts w:ascii="Arial" w:cs="Arial" w:eastAsia="Arial" w:hAnsi="Arial"/>
                <w:sz w:val="16"/>
                <w:szCs w:val="16"/>
                <w:color w:val="auto"/>
              </w:rPr>
              <w:t>001-39058</w:t>
            </w:r>
          </w:p>
        </w:tc>
        <w:tc>
          <w:tcPr>
            <w:tcW w:w="1300" w:type="dxa"/>
            <w:vAlign w:val="bottom"/>
            <w:shd w:val="clear" w:color="auto" w:fill="FEFEFE"/>
          </w:tcPr>
          <w:p>
            <w:pPr>
              <w:jc w:val="right"/>
              <w:spacing w:after="0" w:line="175" w:lineRule="exact"/>
              <w:rPr>
                <w:sz w:val="20"/>
                <w:szCs w:val="20"/>
                <w:color w:val="auto"/>
              </w:rPr>
            </w:pPr>
            <w:r>
              <w:rPr>
                <w:rFonts w:ascii="Arial" w:cs="Arial" w:eastAsia="Arial" w:hAnsi="Arial"/>
                <w:sz w:val="16"/>
                <w:szCs w:val="16"/>
                <w:color w:val="auto"/>
              </w:rPr>
              <w:t>19.1</w:t>
            </w:r>
          </w:p>
        </w:tc>
        <w:tc>
          <w:tcPr>
            <w:tcW w:w="1260" w:type="dxa"/>
            <w:vAlign w:val="bottom"/>
            <w:shd w:val="clear" w:color="auto" w:fill="FEFEFE"/>
          </w:tcPr>
          <w:p>
            <w:pPr>
              <w:jc w:val="right"/>
              <w:spacing w:after="0" w:line="175" w:lineRule="exact"/>
              <w:rPr>
                <w:sz w:val="20"/>
                <w:szCs w:val="20"/>
                <w:color w:val="auto"/>
              </w:rPr>
            </w:pPr>
            <w:r>
              <w:rPr>
                <w:rFonts w:ascii="Arial" w:cs="Arial" w:eastAsia="Arial" w:hAnsi="Arial"/>
                <w:sz w:val="16"/>
                <w:szCs w:val="16"/>
                <w:color w:val="auto"/>
              </w:rPr>
              <w:t>08/23/2023</w:t>
            </w:r>
          </w:p>
        </w:tc>
        <w:tc>
          <w:tcPr>
            <w:tcW w:w="1220" w:type="dxa"/>
            <w:vAlign w:val="bottom"/>
            <w:shd w:val="clear" w:color="auto" w:fill="FEFEFE"/>
          </w:tcPr>
          <w:p>
            <w:pPr>
              <w:spacing w:after="0"/>
              <w:rPr>
                <w:sz w:val="15"/>
                <w:szCs w:val="15"/>
                <w:color w:val="auto"/>
              </w:rPr>
            </w:pPr>
          </w:p>
        </w:tc>
      </w:tr>
      <w:tr>
        <w:trPr>
          <w:trHeight w:val="223"/>
        </w:trPr>
        <w:tc>
          <w:tcPr>
            <w:tcW w:w="1000" w:type="dxa"/>
            <w:vAlign w:val="bottom"/>
            <w:tcBorders>
              <w:top w:val="single" w:sz="8" w:color="FEFEFE"/>
            </w:tcBorders>
            <w:shd w:val="clear" w:color="auto" w:fill="FEFEFE"/>
          </w:tcPr>
          <w:p>
            <w:pPr>
              <w:jc w:val="right"/>
              <w:ind w:right="99"/>
              <w:spacing w:after="0"/>
              <w:rPr>
                <w:sz w:val="20"/>
                <w:szCs w:val="20"/>
                <w:color w:val="auto"/>
              </w:rPr>
            </w:pPr>
            <w:r>
              <w:rPr>
                <w:rFonts w:ascii="Arial" w:cs="Arial" w:eastAsia="Arial" w:hAnsi="Arial"/>
                <w:sz w:val="16"/>
                <w:szCs w:val="16"/>
                <w:color w:val="auto"/>
              </w:rPr>
              <w:t>21.1</w:t>
            </w:r>
          </w:p>
        </w:tc>
        <w:tc>
          <w:tcPr>
            <w:tcW w:w="2780" w:type="dxa"/>
            <w:vAlign w:val="bottom"/>
            <w:tcBorders>
              <w:top w:val="single" w:sz="8" w:color="0000FF"/>
            </w:tcBorders>
            <w:gridSpan w:val="5"/>
            <w:shd w:val="clear" w:color="auto" w:fill="FEFEFE"/>
          </w:tcPr>
          <w:p>
            <w:pPr>
              <w:spacing w:after="0"/>
              <w:rPr>
                <w:rFonts w:ascii="Arial" w:cs="Arial" w:eastAsia="Arial" w:hAnsi="Arial"/>
                <w:sz w:val="16"/>
                <w:szCs w:val="16"/>
                <w:color w:val="0000FF"/>
              </w:rPr>
            </w:pPr>
            <w:hyperlink r:id="rId171">
              <w:r>
                <w:rPr>
                  <w:rFonts w:ascii="Arial" w:cs="Arial" w:eastAsia="Arial" w:hAnsi="Arial"/>
                  <w:sz w:val="16"/>
                  <w:szCs w:val="16"/>
                  <w:color w:val="0000FF"/>
                </w:rPr>
                <w:t>List of Subsidiaries</w:t>
              </w:r>
            </w:hyperlink>
            <w:r>
              <w:rPr>
                <w:rFonts w:ascii="Arial" w:cs="Arial" w:eastAsia="Arial" w:hAnsi="Arial"/>
                <w:sz w:val="16"/>
                <w:szCs w:val="16"/>
                <w:color w:val="000000"/>
              </w:rPr>
              <w:t>.</w:t>
            </w:r>
          </w:p>
        </w:tc>
        <w:tc>
          <w:tcPr>
            <w:tcW w:w="1700" w:type="dxa"/>
            <w:vAlign w:val="bottom"/>
            <w:tcBorders>
              <w:top w:val="single" w:sz="8" w:color="FEFEFE"/>
            </w:tcBorders>
            <w:gridSpan w:val="19"/>
            <w:shd w:val="clear" w:color="auto" w:fill="FEFEFE"/>
          </w:tcPr>
          <w:p>
            <w:pPr>
              <w:spacing w:after="0"/>
              <w:rPr>
                <w:sz w:val="19"/>
                <w:szCs w:val="19"/>
                <w:color w:val="auto"/>
              </w:rPr>
            </w:pPr>
          </w:p>
        </w:tc>
        <w:tc>
          <w:tcPr>
            <w:tcW w:w="84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16"/>
                <w:szCs w:val="16"/>
                <w:color w:val="auto"/>
              </w:rPr>
              <w:t>S-1</w:t>
            </w:r>
          </w:p>
        </w:tc>
        <w:tc>
          <w:tcPr>
            <w:tcW w:w="114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16"/>
                <w:szCs w:val="16"/>
                <w:color w:val="auto"/>
              </w:rPr>
              <w:t>333-233482</w:t>
            </w:r>
          </w:p>
        </w:tc>
        <w:tc>
          <w:tcPr>
            <w:tcW w:w="1300" w:type="dxa"/>
            <w:vAlign w:val="bottom"/>
            <w:tcBorders>
              <w:top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21.1</w:t>
            </w:r>
          </w:p>
        </w:tc>
        <w:tc>
          <w:tcPr>
            <w:tcW w:w="1260" w:type="dxa"/>
            <w:vAlign w:val="bottom"/>
            <w:tcBorders>
              <w:top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08/27/2019</w:t>
            </w:r>
          </w:p>
        </w:tc>
        <w:tc>
          <w:tcPr>
            <w:tcW w:w="1220" w:type="dxa"/>
            <w:vAlign w:val="bottom"/>
            <w:tcBorders>
              <w:top w:val="single" w:sz="8" w:color="FEFEFE"/>
            </w:tcBorders>
            <w:shd w:val="clear" w:color="auto" w:fill="FEFEFE"/>
          </w:tcPr>
          <w:p>
            <w:pPr>
              <w:spacing w:after="0"/>
              <w:rPr>
                <w:sz w:val="19"/>
                <w:szCs w:val="19"/>
                <w:color w:val="auto"/>
              </w:rPr>
            </w:pPr>
          </w:p>
        </w:tc>
      </w:tr>
      <w:tr>
        <w:trPr>
          <w:trHeight w:val="20"/>
        </w:trPr>
        <w:tc>
          <w:tcPr>
            <w:tcW w:w="1000" w:type="dxa"/>
            <w:vAlign w:val="bottom"/>
            <w:shd w:val="clear" w:color="auto" w:fill="FEFEF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shd w:val="clear" w:color="auto" w:fill="FEFEFE"/>
          </w:tcPr>
          <w:p>
            <w:pPr>
              <w:spacing w:after="0" w:line="20" w:lineRule="exact"/>
              <w:rPr>
                <w:sz w:val="1"/>
                <w:szCs w:val="1"/>
                <w:color w:val="auto"/>
              </w:rPr>
            </w:pPr>
          </w:p>
        </w:tc>
        <w:tc>
          <w:tcPr>
            <w:tcW w:w="440" w:type="dxa"/>
            <w:vAlign w:val="bottom"/>
            <w:shd w:val="clear" w:color="auto" w:fill="FEFEFE"/>
          </w:tcPr>
          <w:p>
            <w:pPr>
              <w:spacing w:after="0" w:line="20" w:lineRule="exact"/>
              <w:rPr>
                <w:sz w:val="1"/>
                <w:szCs w:val="1"/>
                <w:color w:val="auto"/>
              </w:rPr>
            </w:pPr>
          </w:p>
        </w:tc>
        <w:tc>
          <w:tcPr>
            <w:tcW w:w="820" w:type="dxa"/>
            <w:vAlign w:val="bottom"/>
            <w:shd w:val="clear" w:color="auto" w:fill="FEFEFE"/>
          </w:tcPr>
          <w:p>
            <w:pPr>
              <w:spacing w:after="0" w:line="20" w:lineRule="exact"/>
              <w:rPr>
                <w:sz w:val="1"/>
                <w:szCs w:val="1"/>
                <w:color w:val="auto"/>
              </w:rPr>
            </w:pPr>
          </w:p>
        </w:tc>
        <w:tc>
          <w:tcPr>
            <w:tcW w:w="32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40" w:type="dxa"/>
            <w:vAlign w:val="bottom"/>
            <w:shd w:val="clear" w:color="auto" w:fill="FEFEFE"/>
          </w:tcPr>
          <w:p>
            <w:pPr>
              <w:spacing w:after="0" w:line="20" w:lineRule="exact"/>
              <w:rPr>
                <w:sz w:val="1"/>
                <w:szCs w:val="1"/>
                <w:color w:val="auto"/>
              </w:rPr>
            </w:pPr>
          </w:p>
        </w:tc>
        <w:tc>
          <w:tcPr>
            <w:tcW w:w="1140" w:type="dxa"/>
            <w:vAlign w:val="bottom"/>
            <w:shd w:val="clear" w:color="auto" w:fill="FEFEFE"/>
          </w:tcPr>
          <w:p>
            <w:pPr>
              <w:spacing w:after="0" w:line="20" w:lineRule="exact"/>
              <w:rPr>
                <w:sz w:val="1"/>
                <w:szCs w:val="1"/>
                <w:color w:val="auto"/>
              </w:rPr>
            </w:pPr>
          </w:p>
        </w:tc>
        <w:tc>
          <w:tcPr>
            <w:tcW w:w="1300" w:type="dxa"/>
            <w:vAlign w:val="bottom"/>
            <w:shd w:val="clear" w:color="auto" w:fill="FEFEFE"/>
          </w:tcPr>
          <w:p>
            <w:pPr>
              <w:spacing w:after="0" w:line="20" w:lineRule="exact"/>
              <w:rPr>
                <w:sz w:val="1"/>
                <w:szCs w:val="1"/>
                <w:color w:val="auto"/>
              </w:rPr>
            </w:pPr>
          </w:p>
        </w:tc>
        <w:tc>
          <w:tcPr>
            <w:tcW w:w="126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223"/>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23.1</w:t>
            </w:r>
          </w:p>
        </w:tc>
        <w:tc>
          <w:tcPr>
            <w:tcW w:w="4480" w:type="dxa"/>
            <w:vAlign w:val="bottom"/>
            <w:gridSpan w:val="24"/>
            <w:shd w:val="clear" w:color="auto" w:fill="FEFEFE"/>
          </w:tcPr>
          <w:p>
            <w:pPr>
              <w:spacing w:after="0"/>
              <w:rPr>
                <w:sz w:val="20"/>
                <w:szCs w:val="20"/>
                <w:color w:val="auto"/>
              </w:rPr>
            </w:pPr>
            <w:r>
              <w:rPr>
                <w:rFonts w:ascii="Arial" w:cs="Arial" w:eastAsia="Arial" w:hAnsi="Arial"/>
                <w:sz w:val="16"/>
                <w:szCs w:val="16"/>
                <w:color w:val="0000FF"/>
              </w:rPr>
              <w:t>Consent of Ernst &amp; Young LLP, Independent registered public</w:t>
            </w:r>
          </w:p>
        </w:tc>
        <w:tc>
          <w:tcPr>
            <w:tcW w:w="840" w:type="dxa"/>
            <w:vAlign w:val="bottom"/>
            <w:shd w:val="clear" w:color="auto" w:fill="FEFEFE"/>
          </w:tcPr>
          <w:p>
            <w:pPr>
              <w:spacing w:after="0"/>
              <w:rPr>
                <w:sz w:val="19"/>
                <w:szCs w:val="19"/>
                <w:color w:val="auto"/>
              </w:rPr>
            </w:pPr>
          </w:p>
        </w:tc>
        <w:tc>
          <w:tcPr>
            <w:tcW w:w="114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1260" w:type="dxa"/>
            <w:vAlign w:val="bottom"/>
            <w:shd w:val="clear" w:color="auto" w:fill="FEFEFE"/>
          </w:tcPr>
          <w:p>
            <w:pPr>
              <w:spacing w:after="0"/>
              <w:rPr>
                <w:sz w:val="19"/>
                <w:szCs w:val="19"/>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169"/>
        </w:trPr>
        <w:tc>
          <w:tcPr>
            <w:tcW w:w="1000" w:type="dxa"/>
            <w:vAlign w:val="bottom"/>
            <w:tcBorders>
              <w:top w:val="single" w:sz="8" w:color="FEFEFE"/>
            </w:tcBorders>
            <w:shd w:val="clear" w:color="auto" w:fill="FEFEFE"/>
          </w:tcPr>
          <w:p>
            <w:pPr>
              <w:spacing w:after="0"/>
              <w:rPr>
                <w:sz w:val="14"/>
                <w:szCs w:val="14"/>
                <w:color w:val="auto"/>
              </w:rPr>
            </w:pPr>
          </w:p>
        </w:tc>
        <w:tc>
          <w:tcPr>
            <w:tcW w:w="4420" w:type="dxa"/>
            <w:vAlign w:val="bottom"/>
            <w:tcBorders>
              <w:top w:val="single" w:sz="8" w:color="0000FF"/>
            </w:tcBorders>
            <w:gridSpan w:val="22"/>
            <w:shd w:val="clear" w:color="auto" w:fill="FEFEFE"/>
          </w:tcPr>
          <w:p>
            <w:pPr>
              <w:spacing w:after="0" w:line="169" w:lineRule="exact"/>
              <w:rPr>
                <w:sz w:val="20"/>
                <w:szCs w:val="20"/>
                <w:color w:val="auto"/>
              </w:rPr>
            </w:pPr>
            <w:r>
              <w:rPr>
                <w:rFonts w:ascii="Arial" w:cs="Arial" w:eastAsia="Arial" w:hAnsi="Arial"/>
                <w:sz w:val="16"/>
                <w:szCs w:val="16"/>
                <w:color w:val="0000FF"/>
              </w:rPr>
              <w:t>accounting firm</w:t>
            </w:r>
            <w:r>
              <w:rPr>
                <w:rFonts w:ascii="Arial" w:cs="Arial" w:eastAsia="Arial" w:hAnsi="Arial"/>
                <w:sz w:val="16"/>
                <w:szCs w:val="16"/>
                <w:color w:val="000000"/>
              </w:rPr>
              <w:t>.</w:t>
            </w:r>
          </w:p>
        </w:tc>
        <w:tc>
          <w:tcPr>
            <w:tcW w:w="20" w:type="dxa"/>
            <w:vAlign w:val="bottom"/>
            <w:tcBorders>
              <w:top w:val="single" w:sz="8" w:color="FEFEFE"/>
            </w:tcBorders>
            <w:shd w:val="clear" w:color="auto" w:fill="FEFEFE"/>
          </w:tcPr>
          <w:p>
            <w:pPr>
              <w:spacing w:after="0"/>
              <w:rPr>
                <w:sz w:val="14"/>
                <w:szCs w:val="14"/>
                <w:color w:val="auto"/>
              </w:rPr>
            </w:pPr>
          </w:p>
        </w:tc>
        <w:tc>
          <w:tcPr>
            <w:tcW w:w="40" w:type="dxa"/>
            <w:vAlign w:val="bottom"/>
            <w:tcBorders>
              <w:top w:val="single" w:sz="8" w:color="FEFEFE"/>
            </w:tcBorders>
            <w:shd w:val="clear" w:color="auto" w:fill="FEFEFE"/>
          </w:tcPr>
          <w:p>
            <w:pPr>
              <w:spacing w:after="0"/>
              <w:rPr>
                <w:sz w:val="14"/>
                <w:szCs w:val="14"/>
                <w:color w:val="auto"/>
              </w:rPr>
            </w:pPr>
          </w:p>
        </w:tc>
        <w:tc>
          <w:tcPr>
            <w:tcW w:w="840" w:type="dxa"/>
            <w:vAlign w:val="bottom"/>
            <w:tcBorders>
              <w:top w:val="single" w:sz="8" w:color="FEFEFE"/>
            </w:tcBorders>
            <w:shd w:val="clear" w:color="auto" w:fill="FEFEFE"/>
          </w:tcPr>
          <w:p>
            <w:pPr>
              <w:spacing w:after="0"/>
              <w:rPr>
                <w:sz w:val="14"/>
                <w:szCs w:val="14"/>
                <w:color w:val="auto"/>
              </w:rPr>
            </w:pPr>
          </w:p>
        </w:tc>
        <w:tc>
          <w:tcPr>
            <w:tcW w:w="1140" w:type="dxa"/>
            <w:vAlign w:val="bottom"/>
            <w:tcBorders>
              <w:top w:val="single" w:sz="8" w:color="FEFEFE"/>
            </w:tcBorders>
            <w:shd w:val="clear" w:color="auto" w:fill="FEFEFE"/>
          </w:tcPr>
          <w:p>
            <w:pPr>
              <w:spacing w:after="0"/>
              <w:rPr>
                <w:sz w:val="14"/>
                <w:szCs w:val="14"/>
                <w:color w:val="auto"/>
              </w:rPr>
            </w:pPr>
          </w:p>
        </w:tc>
        <w:tc>
          <w:tcPr>
            <w:tcW w:w="1300" w:type="dxa"/>
            <w:vAlign w:val="bottom"/>
            <w:tcBorders>
              <w:top w:val="single" w:sz="8" w:color="FEFEFE"/>
            </w:tcBorders>
            <w:shd w:val="clear" w:color="auto" w:fill="FEFEFE"/>
          </w:tcPr>
          <w:p>
            <w:pPr>
              <w:spacing w:after="0"/>
              <w:rPr>
                <w:sz w:val="14"/>
                <w:szCs w:val="14"/>
                <w:color w:val="auto"/>
              </w:rPr>
            </w:pPr>
          </w:p>
        </w:tc>
        <w:tc>
          <w:tcPr>
            <w:tcW w:w="1260" w:type="dxa"/>
            <w:vAlign w:val="bottom"/>
            <w:tcBorders>
              <w:top w:val="single" w:sz="8" w:color="FEFEFE"/>
            </w:tcBorders>
            <w:shd w:val="clear" w:color="auto" w:fill="FEFEFE"/>
          </w:tcPr>
          <w:p>
            <w:pPr>
              <w:spacing w:after="0"/>
              <w:rPr>
                <w:sz w:val="14"/>
                <w:szCs w:val="14"/>
                <w:color w:val="auto"/>
              </w:rPr>
            </w:pPr>
          </w:p>
        </w:tc>
        <w:tc>
          <w:tcPr>
            <w:tcW w:w="1220" w:type="dxa"/>
            <w:vAlign w:val="bottom"/>
            <w:tcBorders>
              <w:top w:val="single" w:sz="8" w:color="FEFEFE"/>
            </w:tcBorders>
            <w:shd w:val="clear" w:color="auto" w:fill="FEFEFE"/>
          </w:tcPr>
          <w:p>
            <w:pPr>
              <w:spacing w:after="0"/>
              <w:rPr>
                <w:sz w:val="14"/>
                <w:szCs w:val="14"/>
                <w:color w:val="auto"/>
              </w:rPr>
            </w:pPr>
          </w:p>
        </w:tc>
      </w:tr>
      <w:tr>
        <w:trPr>
          <w:trHeight w:val="20"/>
        </w:trPr>
        <w:tc>
          <w:tcPr>
            <w:tcW w:w="1000" w:type="dxa"/>
            <w:vAlign w:val="bottom"/>
            <w:shd w:val="clear" w:color="auto" w:fill="FEFEF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FEFEFE"/>
          </w:tcPr>
          <w:p>
            <w:pPr>
              <w:spacing w:after="0" w:line="20" w:lineRule="exact"/>
              <w:rPr>
                <w:sz w:val="1"/>
                <w:szCs w:val="1"/>
                <w:color w:val="auto"/>
              </w:rPr>
            </w:pPr>
          </w:p>
        </w:tc>
        <w:tc>
          <w:tcPr>
            <w:tcW w:w="980" w:type="dxa"/>
            <w:vAlign w:val="bottom"/>
            <w:shd w:val="clear" w:color="auto" w:fill="FEFEFE"/>
          </w:tcPr>
          <w:p>
            <w:pPr>
              <w:spacing w:after="0" w:line="20" w:lineRule="exact"/>
              <w:rPr>
                <w:sz w:val="1"/>
                <w:szCs w:val="1"/>
                <w:color w:val="auto"/>
              </w:rPr>
            </w:pPr>
          </w:p>
        </w:tc>
        <w:tc>
          <w:tcPr>
            <w:tcW w:w="440" w:type="dxa"/>
            <w:vAlign w:val="bottom"/>
            <w:shd w:val="clear" w:color="auto" w:fill="FEFEFE"/>
          </w:tcPr>
          <w:p>
            <w:pPr>
              <w:spacing w:after="0" w:line="20" w:lineRule="exact"/>
              <w:rPr>
                <w:sz w:val="1"/>
                <w:szCs w:val="1"/>
                <w:color w:val="auto"/>
              </w:rPr>
            </w:pPr>
          </w:p>
        </w:tc>
        <w:tc>
          <w:tcPr>
            <w:tcW w:w="820" w:type="dxa"/>
            <w:vAlign w:val="bottom"/>
            <w:shd w:val="clear" w:color="auto" w:fill="FEFEFE"/>
          </w:tcPr>
          <w:p>
            <w:pPr>
              <w:spacing w:after="0" w:line="20" w:lineRule="exact"/>
              <w:rPr>
                <w:sz w:val="1"/>
                <w:szCs w:val="1"/>
                <w:color w:val="auto"/>
              </w:rPr>
            </w:pPr>
          </w:p>
        </w:tc>
        <w:tc>
          <w:tcPr>
            <w:tcW w:w="32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40" w:type="dxa"/>
            <w:vAlign w:val="bottom"/>
            <w:shd w:val="clear" w:color="auto" w:fill="FEFEFE"/>
          </w:tcPr>
          <w:p>
            <w:pPr>
              <w:spacing w:after="0" w:line="20" w:lineRule="exact"/>
              <w:rPr>
                <w:sz w:val="1"/>
                <w:szCs w:val="1"/>
                <w:color w:val="auto"/>
              </w:rPr>
            </w:pPr>
          </w:p>
        </w:tc>
        <w:tc>
          <w:tcPr>
            <w:tcW w:w="1140" w:type="dxa"/>
            <w:vAlign w:val="bottom"/>
            <w:shd w:val="clear" w:color="auto" w:fill="FEFEFE"/>
          </w:tcPr>
          <w:p>
            <w:pPr>
              <w:spacing w:after="0" w:line="20" w:lineRule="exact"/>
              <w:rPr>
                <w:sz w:val="1"/>
                <w:szCs w:val="1"/>
                <w:color w:val="auto"/>
              </w:rPr>
            </w:pPr>
          </w:p>
        </w:tc>
        <w:tc>
          <w:tcPr>
            <w:tcW w:w="1300" w:type="dxa"/>
            <w:vAlign w:val="bottom"/>
            <w:shd w:val="clear" w:color="auto" w:fill="FEFEFE"/>
          </w:tcPr>
          <w:p>
            <w:pPr>
              <w:spacing w:after="0" w:line="20" w:lineRule="exact"/>
              <w:rPr>
                <w:sz w:val="1"/>
                <w:szCs w:val="1"/>
                <w:color w:val="auto"/>
              </w:rPr>
            </w:pPr>
          </w:p>
        </w:tc>
        <w:tc>
          <w:tcPr>
            <w:tcW w:w="126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223"/>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24.1</w:t>
            </w:r>
          </w:p>
        </w:tc>
        <w:tc>
          <w:tcPr>
            <w:tcW w:w="4480" w:type="dxa"/>
            <w:vAlign w:val="bottom"/>
            <w:gridSpan w:val="24"/>
            <w:shd w:val="clear" w:color="auto" w:fill="FEFEFE"/>
          </w:tcPr>
          <w:p>
            <w:pPr>
              <w:spacing w:after="0"/>
              <w:rPr>
                <w:sz w:val="20"/>
                <w:szCs w:val="20"/>
                <w:color w:val="auto"/>
              </w:rPr>
            </w:pPr>
            <w:r>
              <w:rPr>
                <w:rFonts w:ascii="Arial" w:cs="Arial" w:eastAsia="Arial" w:hAnsi="Arial"/>
                <w:sz w:val="16"/>
                <w:szCs w:val="16"/>
                <w:color w:val="0000FF"/>
              </w:rPr>
              <w:t>Power of Attorney (included in the signature page)</w:t>
            </w:r>
            <w:r>
              <w:rPr>
                <w:rFonts w:ascii="Arial" w:cs="Arial" w:eastAsia="Arial" w:hAnsi="Arial"/>
                <w:sz w:val="16"/>
                <w:szCs w:val="16"/>
                <w:color w:val="000000"/>
              </w:rPr>
              <w:t>.</w:t>
            </w:r>
          </w:p>
        </w:tc>
        <w:tc>
          <w:tcPr>
            <w:tcW w:w="840" w:type="dxa"/>
            <w:vAlign w:val="bottom"/>
            <w:shd w:val="clear" w:color="auto" w:fill="FEFEFE"/>
          </w:tcPr>
          <w:p>
            <w:pPr>
              <w:spacing w:after="0"/>
              <w:rPr>
                <w:sz w:val="19"/>
                <w:szCs w:val="19"/>
                <w:color w:val="auto"/>
              </w:rPr>
            </w:pPr>
          </w:p>
        </w:tc>
        <w:tc>
          <w:tcPr>
            <w:tcW w:w="114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1260" w:type="dxa"/>
            <w:vAlign w:val="bottom"/>
            <w:shd w:val="clear" w:color="auto" w:fill="FEFEFE"/>
          </w:tcPr>
          <w:p>
            <w:pPr>
              <w:spacing w:after="0"/>
              <w:rPr>
                <w:sz w:val="19"/>
                <w:szCs w:val="19"/>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20"/>
        </w:trPr>
        <w:tc>
          <w:tcPr>
            <w:tcW w:w="1000" w:type="dxa"/>
            <w:vAlign w:val="bottom"/>
            <w:shd w:val="clear" w:color="auto" w:fill="FEFEF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2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160" w:type="dxa"/>
            <w:vAlign w:val="bottom"/>
            <w:gridSpan w:val="6"/>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80" w:type="dxa"/>
            <w:vAlign w:val="bottom"/>
            <w:gridSpan w:val="3"/>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40" w:type="dxa"/>
            <w:vAlign w:val="bottom"/>
            <w:shd w:val="clear" w:color="auto" w:fill="FEFEFE"/>
          </w:tcPr>
          <w:p>
            <w:pPr>
              <w:spacing w:after="0" w:line="20" w:lineRule="exact"/>
              <w:rPr>
                <w:sz w:val="1"/>
                <w:szCs w:val="1"/>
                <w:color w:val="auto"/>
              </w:rPr>
            </w:pPr>
          </w:p>
        </w:tc>
        <w:tc>
          <w:tcPr>
            <w:tcW w:w="1140" w:type="dxa"/>
            <w:vAlign w:val="bottom"/>
            <w:shd w:val="clear" w:color="auto" w:fill="FEFEFE"/>
          </w:tcPr>
          <w:p>
            <w:pPr>
              <w:spacing w:after="0" w:line="20" w:lineRule="exact"/>
              <w:rPr>
                <w:sz w:val="1"/>
                <w:szCs w:val="1"/>
                <w:color w:val="auto"/>
              </w:rPr>
            </w:pPr>
          </w:p>
        </w:tc>
        <w:tc>
          <w:tcPr>
            <w:tcW w:w="1300" w:type="dxa"/>
            <w:vAlign w:val="bottom"/>
            <w:shd w:val="clear" w:color="auto" w:fill="FEFEFE"/>
          </w:tcPr>
          <w:p>
            <w:pPr>
              <w:spacing w:after="0" w:line="20" w:lineRule="exact"/>
              <w:rPr>
                <w:sz w:val="1"/>
                <w:szCs w:val="1"/>
                <w:color w:val="auto"/>
              </w:rPr>
            </w:pPr>
          </w:p>
        </w:tc>
        <w:tc>
          <w:tcPr>
            <w:tcW w:w="126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223"/>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31.1</w:t>
            </w:r>
          </w:p>
        </w:tc>
        <w:tc>
          <w:tcPr>
            <w:tcW w:w="4480" w:type="dxa"/>
            <w:vAlign w:val="bottom"/>
            <w:gridSpan w:val="24"/>
            <w:shd w:val="clear" w:color="auto" w:fill="FEFEFE"/>
          </w:tcPr>
          <w:p>
            <w:pPr>
              <w:spacing w:after="0"/>
              <w:rPr>
                <w:sz w:val="20"/>
                <w:szCs w:val="20"/>
                <w:color w:val="auto"/>
              </w:rPr>
            </w:pPr>
            <w:r>
              <w:rPr>
                <w:rFonts w:ascii="Arial" w:cs="Arial" w:eastAsia="Arial" w:hAnsi="Arial"/>
                <w:sz w:val="16"/>
                <w:szCs w:val="16"/>
                <w:color w:val="0000FF"/>
              </w:rPr>
              <w:t>Certification of Co-Principal Executive Officer Pursuant to</w:t>
            </w:r>
          </w:p>
        </w:tc>
        <w:tc>
          <w:tcPr>
            <w:tcW w:w="840" w:type="dxa"/>
            <w:vAlign w:val="bottom"/>
            <w:shd w:val="clear" w:color="auto" w:fill="FEFEFE"/>
          </w:tcPr>
          <w:p>
            <w:pPr>
              <w:spacing w:after="0"/>
              <w:rPr>
                <w:sz w:val="19"/>
                <w:szCs w:val="19"/>
                <w:color w:val="auto"/>
              </w:rPr>
            </w:pPr>
          </w:p>
        </w:tc>
        <w:tc>
          <w:tcPr>
            <w:tcW w:w="114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1260" w:type="dxa"/>
            <w:vAlign w:val="bottom"/>
            <w:shd w:val="clear" w:color="auto" w:fill="FEFEFE"/>
          </w:tcPr>
          <w:p>
            <w:pPr>
              <w:spacing w:after="0"/>
              <w:rPr>
                <w:sz w:val="19"/>
                <w:szCs w:val="19"/>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169"/>
        </w:trPr>
        <w:tc>
          <w:tcPr>
            <w:tcW w:w="1000" w:type="dxa"/>
            <w:vAlign w:val="bottom"/>
            <w:tcBorders>
              <w:top w:val="single" w:sz="8" w:color="FEFEFE"/>
            </w:tcBorders>
            <w:shd w:val="clear" w:color="auto" w:fill="FEFEFE"/>
          </w:tcPr>
          <w:p>
            <w:pPr>
              <w:spacing w:after="0"/>
              <w:rPr>
                <w:sz w:val="14"/>
                <w:szCs w:val="14"/>
                <w:color w:val="auto"/>
              </w:rPr>
            </w:pPr>
          </w:p>
        </w:tc>
        <w:tc>
          <w:tcPr>
            <w:tcW w:w="4100" w:type="dxa"/>
            <w:vAlign w:val="bottom"/>
            <w:tcBorders>
              <w:top w:val="single" w:sz="8" w:color="0000FF"/>
            </w:tcBorders>
            <w:gridSpan w:val="9"/>
            <w:shd w:val="clear" w:color="auto" w:fill="FEFEFE"/>
          </w:tcPr>
          <w:p>
            <w:pPr>
              <w:spacing w:after="0" w:line="169" w:lineRule="exact"/>
              <w:rPr>
                <w:sz w:val="20"/>
                <w:szCs w:val="20"/>
                <w:color w:val="auto"/>
              </w:rPr>
            </w:pPr>
            <w:r>
              <w:rPr>
                <w:rFonts w:ascii="Arial" w:cs="Arial" w:eastAsia="Arial" w:hAnsi="Arial"/>
                <w:sz w:val="16"/>
                <w:szCs w:val="16"/>
                <w:color w:val="0000FF"/>
              </w:rPr>
              <w:t>Rules 13a-14(a) and 15d-14(a) under the Exchange Act,</w:t>
            </w:r>
          </w:p>
        </w:tc>
        <w:tc>
          <w:tcPr>
            <w:tcW w:w="380" w:type="dxa"/>
            <w:vAlign w:val="bottom"/>
            <w:tcBorders>
              <w:top w:val="single" w:sz="8" w:color="FEFEFE"/>
            </w:tcBorders>
            <w:gridSpan w:val="15"/>
            <w:shd w:val="clear" w:color="auto" w:fill="FEFEFE"/>
          </w:tcPr>
          <w:p>
            <w:pPr>
              <w:spacing w:after="0" w:line="169" w:lineRule="exact"/>
              <w:rPr>
                <w:sz w:val="20"/>
                <w:szCs w:val="20"/>
                <w:color w:val="auto"/>
              </w:rPr>
            </w:pPr>
            <w:r>
              <w:rPr>
                <w:rFonts w:ascii="Arial" w:cs="Arial" w:eastAsia="Arial" w:hAnsi="Arial"/>
                <w:sz w:val="16"/>
                <w:szCs w:val="16"/>
                <w:color w:val="0000FF"/>
              </w:rPr>
              <w:t>as</w:t>
            </w:r>
          </w:p>
        </w:tc>
        <w:tc>
          <w:tcPr>
            <w:tcW w:w="840" w:type="dxa"/>
            <w:vAlign w:val="bottom"/>
            <w:tcBorders>
              <w:top w:val="single" w:sz="8" w:color="FEFEFE"/>
            </w:tcBorders>
            <w:shd w:val="clear" w:color="auto" w:fill="FEFEFE"/>
          </w:tcPr>
          <w:p>
            <w:pPr>
              <w:spacing w:after="0"/>
              <w:rPr>
                <w:sz w:val="14"/>
                <w:szCs w:val="14"/>
                <w:color w:val="auto"/>
              </w:rPr>
            </w:pPr>
          </w:p>
        </w:tc>
        <w:tc>
          <w:tcPr>
            <w:tcW w:w="1140" w:type="dxa"/>
            <w:vAlign w:val="bottom"/>
            <w:tcBorders>
              <w:top w:val="single" w:sz="8" w:color="FEFEFE"/>
            </w:tcBorders>
            <w:shd w:val="clear" w:color="auto" w:fill="FEFEFE"/>
          </w:tcPr>
          <w:p>
            <w:pPr>
              <w:spacing w:after="0"/>
              <w:rPr>
                <w:sz w:val="14"/>
                <w:szCs w:val="14"/>
                <w:color w:val="auto"/>
              </w:rPr>
            </w:pPr>
          </w:p>
        </w:tc>
        <w:tc>
          <w:tcPr>
            <w:tcW w:w="1300" w:type="dxa"/>
            <w:vAlign w:val="bottom"/>
            <w:tcBorders>
              <w:top w:val="single" w:sz="8" w:color="FEFEFE"/>
            </w:tcBorders>
            <w:shd w:val="clear" w:color="auto" w:fill="FEFEFE"/>
          </w:tcPr>
          <w:p>
            <w:pPr>
              <w:spacing w:after="0"/>
              <w:rPr>
                <w:sz w:val="14"/>
                <w:szCs w:val="14"/>
                <w:color w:val="auto"/>
              </w:rPr>
            </w:pPr>
          </w:p>
        </w:tc>
        <w:tc>
          <w:tcPr>
            <w:tcW w:w="1260" w:type="dxa"/>
            <w:vAlign w:val="bottom"/>
            <w:tcBorders>
              <w:top w:val="single" w:sz="8" w:color="FEFEFE"/>
            </w:tcBorders>
            <w:shd w:val="clear" w:color="auto" w:fill="FEFEFE"/>
          </w:tcPr>
          <w:p>
            <w:pPr>
              <w:spacing w:after="0"/>
              <w:rPr>
                <w:sz w:val="14"/>
                <w:szCs w:val="14"/>
                <w:color w:val="auto"/>
              </w:rPr>
            </w:pPr>
          </w:p>
        </w:tc>
        <w:tc>
          <w:tcPr>
            <w:tcW w:w="1220" w:type="dxa"/>
            <w:vAlign w:val="bottom"/>
            <w:tcBorders>
              <w:top w:val="single" w:sz="8" w:color="FEFEFE"/>
            </w:tcBorders>
            <w:shd w:val="clear" w:color="auto" w:fill="FEFEFE"/>
          </w:tcPr>
          <w:p>
            <w:pPr>
              <w:spacing w:after="0"/>
              <w:rPr>
                <w:sz w:val="14"/>
                <w:szCs w:val="14"/>
                <w:color w:val="auto"/>
              </w:rPr>
            </w:pPr>
          </w:p>
        </w:tc>
      </w:tr>
      <w:tr>
        <w:trPr>
          <w:trHeight w:val="169"/>
        </w:trPr>
        <w:tc>
          <w:tcPr>
            <w:tcW w:w="1000" w:type="dxa"/>
            <w:vAlign w:val="bottom"/>
            <w:tcBorders>
              <w:top w:val="single" w:sz="8" w:color="FEFEFE"/>
              <w:bottom w:val="single" w:sz="8" w:color="FEFEFE"/>
            </w:tcBorders>
            <w:shd w:val="clear" w:color="auto" w:fill="FEFEFE"/>
          </w:tcPr>
          <w:p>
            <w:pPr>
              <w:spacing w:after="0"/>
              <w:rPr>
                <w:sz w:val="14"/>
                <w:szCs w:val="14"/>
                <w:color w:val="auto"/>
              </w:rPr>
            </w:pPr>
          </w:p>
        </w:tc>
        <w:tc>
          <w:tcPr>
            <w:tcW w:w="4280" w:type="dxa"/>
            <w:vAlign w:val="bottom"/>
            <w:tcBorders>
              <w:top w:val="single" w:sz="8" w:color="0000FF"/>
              <w:bottom w:val="single" w:sz="8" w:color="0000FF"/>
            </w:tcBorders>
            <w:gridSpan w:val="16"/>
            <w:shd w:val="clear" w:color="auto" w:fill="FEFEFE"/>
          </w:tcPr>
          <w:p>
            <w:pPr>
              <w:spacing w:after="0" w:line="169" w:lineRule="exact"/>
              <w:rPr>
                <w:sz w:val="20"/>
                <w:szCs w:val="20"/>
                <w:color w:val="auto"/>
              </w:rPr>
            </w:pPr>
            <w:r>
              <w:rPr>
                <w:rFonts w:ascii="Arial" w:cs="Arial" w:eastAsia="Arial" w:hAnsi="Arial"/>
                <w:sz w:val="16"/>
                <w:szCs w:val="16"/>
                <w:color w:val="0000FF"/>
                <w:w w:val="99"/>
              </w:rPr>
              <w:t>Adopted Pursuant to Section 302 of the Sarbanes-Oxley Act</w:t>
            </w:r>
          </w:p>
        </w:tc>
        <w:tc>
          <w:tcPr>
            <w:tcW w:w="20" w:type="dxa"/>
            <w:vAlign w:val="bottom"/>
            <w:tcBorders>
              <w:top w:val="single" w:sz="8" w:color="FEFEFE"/>
              <w:bottom w:val="single" w:sz="8" w:color="0000FF"/>
            </w:tcBorders>
            <w:shd w:val="clear" w:color="auto" w:fill="FEFEFE"/>
          </w:tcPr>
          <w:p>
            <w:pPr>
              <w:spacing w:after="0"/>
              <w:rPr>
                <w:sz w:val="14"/>
                <w:szCs w:val="14"/>
                <w:color w:val="auto"/>
              </w:rPr>
            </w:pPr>
          </w:p>
        </w:tc>
        <w:tc>
          <w:tcPr>
            <w:tcW w:w="20" w:type="dxa"/>
            <w:vAlign w:val="bottom"/>
            <w:tcBorders>
              <w:top w:val="single" w:sz="8" w:color="FEFEFE"/>
              <w:bottom w:val="single" w:sz="8" w:color="0000FF"/>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20" w:type="dxa"/>
            <w:vAlign w:val="bottom"/>
            <w:tcBorders>
              <w:top w:val="single" w:sz="8" w:color="FEFEFE"/>
              <w:bottom w:val="single" w:sz="8" w:color="FEFEFE"/>
            </w:tcBorders>
            <w:shd w:val="clear" w:color="auto" w:fill="FEFEFE"/>
          </w:tcPr>
          <w:p>
            <w:pPr>
              <w:spacing w:after="0"/>
              <w:rPr>
                <w:sz w:val="14"/>
                <w:szCs w:val="14"/>
                <w:color w:val="auto"/>
              </w:rPr>
            </w:pPr>
          </w:p>
        </w:tc>
        <w:tc>
          <w:tcPr>
            <w:tcW w:w="80" w:type="dxa"/>
            <w:vAlign w:val="bottom"/>
            <w:tcBorders>
              <w:top w:val="single" w:sz="8" w:color="FEFEFE"/>
              <w:bottom w:val="single" w:sz="8" w:color="FEFEFE"/>
            </w:tcBorders>
            <w:gridSpan w:val="3"/>
            <w:shd w:val="clear" w:color="auto" w:fill="FEFEFE"/>
          </w:tcPr>
          <w:p>
            <w:pPr>
              <w:spacing w:after="0"/>
              <w:rPr>
                <w:sz w:val="14"/>
                <w:szCs w:val="14"/>
                <w:color w:val="auto"/>
              </w:rPr>
            </w:pPr>
          </w:p>
        </w:tc>
        <w:tc>
          <w:tcPr>
            <w:tcW w:w="40" w:type="dxa"/>
            <w:vAlign w:val="bottom"/>
            <w:tcBorders>
              <w:top w:val="single" w:sz="8" w:color="FEFEFE"/>
              <w:bottom w:val="single" w:sz="8" w:color="FEFEFE"/>
            </w:tcBorders>
            <w:shd w:val="clear" w:color="auto" w:fill="FEFEFE"/>
          </w:tcPr>
          <w:p>
            <w:pPr>
              <w:spacing w:after="0"/>
              <w:rPr>
                <w:sz w:val="14"/>
                <w:szCs w:val="14"/>
                <w:color w:val="auto"/>
              </w:rPr>
            </w:pPr>
          </w:p>
        </w:tc>
        <w:tc>
          <w:tcPr>
            <w:tcW w:w="840" w:type="dxa"/>
            <w:vAlign w:val="bottom"/>
            <w:tcBorders>
              <w:top w:val="single" w:sz="8" w:color="FEFEFE"/>
              <w:bottom w:val="single" w:sz="8" w:color="FEFEFE"/>
            </w:tcBorders>
            <w:shd w:val="clear" w:color="auto" w:fill="FEFEFE"/>
          </w:tcPr>
          <w:p>
            <w:pPr>
              <w:spacing w:after="0"/>
              <w:rPr>
                <w:sz w:val="14"/>
                <w:szCs w:val="14"/>
                <w:color w:val="auto"/>
              </w:rPr>
            </w:pPr>
          </w:p>
        </w:tc>
        <w:tc>
          <w:tcPr>
            <w:tcW w:w="1140" w:type="dxa"/>
            <w:vAlign w:val="bottom"/>
            <w:tcBorders>
              <w:top w:val="single" w:sz="8" w:color="FEFEFE"/>
              <w:bottom w:val="single" w:sz="8" w:color="FEFEFE"/>
            </w:tcBorders>
            <w:shd w:val="clear" w:color="auto" w:fill="FEFEFE"/>
          </w:tcPr>
          <w:p>
            <w:pPr>
              <w:spacing w:after="0"/>
              <w:rPr>
                <w:sz w:val="14"/>
                <w:szCs w:val="14"/>
                <w:color w:val="auto"/>
              </w:rPr>
            </w:pPr>
          </w:p>
        </w:tc>
        <w:tc>
          <w:tcPr>
            <w:tcW w:w="1300" w:type="dxa"/>
            <w:vAlign w:val="bottom"/>
            <w:tcBorders>
              <w:top w:val="single" w:sz="8" w:color="FEFEFE"/>
              <w:bottom w:val="single" w:sz="8" w:color="FEFEFE"/>
            </w:tcBorders>
            <w:shd w:val="clear" w:color="auto" w:fill="FEFEFE"/>
          </w:tcPr>
          <w:p>
            <w:pPr>
              <w:spacing w:after="0"/>
              <w:rPr>
                <w:sz w:val="14"/>
                <w:szCs w:val="14"/>
                <w:color w:val="auto"/>
              </w:rPr>
            </w:pPr>
          </w:p>
        </w:tc>
        <w:tc>
          <w:tcPr>
            <w:tcW w:w="1260" w:type="dxa"/>
            <w:vAlign w:val="bottom"/>
            <w:tcBorders>
              <w:top w:val="single" w:sz="8" w:color="FEFEFE"/>
              <w:bottom w:val="single" w:sz="8" w:color="FEFEFE"/>
            </w:tcBorders>
            <w:shd w:val="clear" w:color="auto" w:fill="FEFEFE"/>
          </w:tcPr>
          <w:p>
            <w:pPr>
              <w:spacing w:after="0"/>
              <w:rPr>
                <w:sz w:val="14"/>
                <w:szCs w:val="14"/>
                <w:color w:val="auto"/>
              </w:rPr>
            </w:pPr>
          </w:p>
        </w:tc>
        <w:tc>
          <w:tcPr>
            <w:tcW w:w="122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156"/>
        </w:trPr>
        <w:tc>
          <w:tcPr>
            <w:tcW w:w="1000" w:type="dxa"/>
            <w:vAlign w:val="bottom"/>
            <w:shd w:val="clear" w:color="auto" w:fill="FEFEFE"/>
          </w:tcPr>
          <w:p>
            <w:pPr>
              <w:spacing w:after="0"/>
              <w:rPr>
                <w:sz w:val="13"/>
                <w:szCs w:val="13"/>
                <w:color w:val="auto"/>
              </w:rPr>
            </w:pPr>
          </w:p>
        </w:tc>
        <w:tc>
          <w:tcPr>
            <w:tcW w:w="4320" w:type="dxa"/>
            <w:vAlign w:val="bottom"/>
            <w:gridSpan w:val="18"/>
            <w:shd w:val="clear" w:color="auto" w:fill="FEFEFE"/>
          </w:tcPr>
          <w:p>
            <w:pPr>
              <w:spacing w:after="0" w:line="155" w:lineRule="exact"/>
              <w:rPr>
                <w:sz w:val="20"/>
                <w:szCs w:val="20"/>
                <w:color w:val="auto"/>
              </w:rPr>
            </w:pPr>
            <w:r>
              <w:rPr>
                <w:rFonts w:ascii="Arial" w:cs="Arial" w:eastAsia="Arial" w:hAnsi="Arial"/>
                <w:sz w:val="16"/>
                <w:szCs w:val="16"/>
                <w:color w:val="0000FF"/>
              </w:rPr>
              <w:t>of 2002.</w:t>
            </w: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80" w:type="dxa"/>
            <w:vAlign w:val="bottom"/>
            <w:gridSpan w:val="3"/>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840" w:type="dxa"/>
            <w:vAlign w:val="bottom"/>
            <w:shd w:val="clear" w:color="auto" w:fill="FEFEFE"/>
          </w:tcPr>
          <w:p>
            <w:pPr>
              <w:spacing w:after="0"/>
              <w:rPr>
                <w:sz w:val="13"/>
                <w:szCs w:val="13"/>
                <w:color w:val="auto"/>
              </w:rPr>
            </w:pPr>
          </w:p>
        </w:tc>
        <w:tc>
          <w:tcPr>
            <w:tcW w:w="1140" w:type="dxa"/>
            <w:vAlign w:val="bottom"/>
            <w:shd w:val="clear" w:color="auto" w:fill="FEFEFE"/>
          </w:tcPr>
          <w:p>
            <w:pPr>
              <w:spacing w:after="0"/>
              <w:rPr>
                <w:sz w:val="13"/>
                <w:szCs w:val="13"/>
                <w:color w:val="auto"/>
              </w:rPr>
            </w:pPr>
          </w:p>
        </w:tc>
        <w:tc>
          <w:tcPr>
            <w:tcW w:w="1300" w:type="dxa"/>
            <w:vAlign w:val="bottom"/>
            <w:shd w:val="clear" w:color="auto" w:fill="FEFEFE"/>
          </w:tcPr>
          <w:p>
            <w:pPr>
              <w:spacing w:after="0"/>
              <w:rPr>
                <w:sz w:val="13"/>
                <w:szCs w:val="13"/>
                <w:color w:val="auto"/>
              </w:rPr>
            </w:pPr>
          </w:p>
        </w:tc>
        <w:tc>
          <w:tcPr>
            <w:tcW w:w="1260" w:type="dxa"/>
            <w:vAlign w:val="bottom"/>
            <w:shd w:val="clear" w:color="auto" w:fill="FEFEFE"/>
          </w:tcPr>
          <w:p>
            <w:pPr>
              <w:spacing w:after="0"/>
              <w:rPr>
                <w:sz w:val="13"/>
                <w:szCs w:val="13"/>
                <w:color w:val="auto"/>
              </w:rPr>
            </w:pPr>
          </w:p>
        </w:tc>
        <w:tc>
          <w:tcPr>
            <w:tcW w:w="1220" w:type="dxa"/>
            <w:vAlign w:val="bottom"/>
            <w:shd w:val="clear" w:color="auto" w:fill="FEFEFE"/>
          </w:tcPr>
          <w:p>
            <w:pPr>
              <w:spacing w:after="0"/>
              <w:rPr>
                <w:sz w:val="13"/>
                <w:szCs w:val="13"/>
                <w:color w:val="auto"/>
              </w:rPr>
            </w:pPr>
          </w:p>
        </w:tc>
      </w:tr>
      <w:tr>
        <w:trPr>
          <w:trHeight w:val="20"/>
        </w:trPr>
        <w:tc>
          <w:tcPr>
            <w:tcW w:w="1000" w:type="dxa"/>
            <w:vAlign w:val="bottom"/>
            <w:shd w:val="clear" w:color="auto" w:fill="FEFEF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60" w:type="dxa"/>
            <w:vAlign w:val="bottom"/>
            <w:gridSpan w:val="3"/>
            <w:shd w:val="clear" w:color="auto" w:fill="FEFEFE"/>
          </w:tcPr>
          <w:p>
            <w:pPr>
              <w:spacing w:after="0" w:line="20" w:lineRule="exact"/>
              <w:rPr>
                <w:sz w:val="1"/>
                <w:szCs w:val="1"/>
                <w:color w:val="auto"/>
              </w:rPr>
            </w:pPr>
          </w:p>
        </w:tc>
        <w:tc>
          <w:tcPr>
            <w:tcW w:w="1580" w:type="dxa"/>
            <w:vAlign w:val="bottom"/>
            <w:gridSpan w:val="3"/>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240" w:type="dxa"/>
            <w:vAlign w:val="bottom"/>
            <w:gridSpan w:val="7"/>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80" w:type="dxa"/>
            <w:vAlign w:val="bottom"/>
            <w:gridSpan w:val="3"/>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40" w:type="dxa"/>
            <w:vAlign w:val="bottom"/>
            <w:shd w:val="clear" w:color="auto" w:fill="FEFEFE"/>
          </w:tcPr>
          <w:p>
            <w:pPr>
              <w:spacing w:after="0" w:line="20" w:lineRule="exact"/>
              <w:rPr>
                <w:sz w:val="1"/>
                <w:szCs w:val="1"/>
                <w:color w:val="auto"/>
              </w:rPr>
            </w:pPr>
          </w:p>
        </w:tc>
        <w:tc>
          <w:tcPr>
            <w:tcW w:w="1140" w:type="dxa"/>
            <w:vAlign w:val="bottom"/>
            <w:shd w:val="clear" w:color="auto" w:fill="FEFEFE"/>
          </w:tcPr>
          <w:p>
            <w:pPr>
              <w:spacing w:after="0" w:line="20" w:lineRule="exact"/>
              <w:rPr>
                <w:sz w:val="1"/>
                <w:szCs w:val="1"/>
                <w:color w:val="auto"/>
              </w:rPr>
            </w:pPr>
          </w:p>
        </w:tc>
        <w:tc>
          <w:tcPr>
            <w:tcW w:w="1300" w:type="dxa"/>
            <w:vAlign w:val="bottom"/>
            <w:shd w:val="clear" w:color="auto" w:fill="FEFEFE"/>
          </w:tcPr>
          <w:p>
            <w:pPr>
              <w:spacing w:after="0" w:line="20" w:lineRule="exact"/>
              <w:rPr>
                <w:sz w:val="1"/>
                <w:szCs w:val="1"/>
                <w:color w:val="auto"/>
              </w:rPr>
            </w:pPr>
          </w:p>
        </w:tc>
        <w:tc>
          <w:tcPr>
            <w:tcW w:w="126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223"/>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31.2</w:t>
            </w:r>
          </w:p>
        </w:tc>
        <w:tc>
          <w:tcPr>
            <w:tcW w:w="4480" w:type="dxa"/>
            <w:vAlign w:val="bottom"/>
            <w:gridSpan w:val="24"/>
            <w:shd w:val="clear" w:color="auto" w:fill="FEFEFE"/>
          </w:tcPr>
          <w:p>
            <w:pPr>
              <w:spacing w:after="0"/>
              <w:rPr>
                <w:sz w:val="20"/>
                <w:szCs w:val="20"/>
                <w:color w:val="auto"/>
              </w:rPr>
            </w:pPr>
            <w:r>
              <w:rPr>
                <w:rFonts w:ascii="Arial" w:cs="Arial" w:eastAsia="Arial" w:hAnsi="Arial"/>
                <w:sz w:val="16"/>
                <w:szCs w:val="16"/>
                <w:color w:val="0000FF"/>
              </w:rPr>
              <w:t>Certification of Co-Principal Executive Officer Pursuant to</w:t>
            </w:r>
          </w:p>
        </w:tc>
        <w:tc>
          <w:tcPr>
            <w:tcW w:w="840" w:type="dxa"/>
            <w:vAlign w:val="bottom"/>
            <w:shd w:val="clear" w:color="auto" w:fill="FEFEFE"/>
          </w:tcPr>
          <w:p>
            <w:pPr>
              <w:spacing w:after="0"/>
              <w:rPr>
                <w:sz w:val="19"/>
                <w:szCs w:val="19"/>
                <w:color w:val="auto"/>
              </w:rPr>
            </w:pPr>
          </w:p>
        </w:tc>
        <w:tc>
          <w:tcPr>
            <w:tcW w:w="114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1260" w:type="dxa"/>
            <w:vAlign w:val="bottom"/>
            <w:shd w:val="clear" w:color="auto" w:fill="FEFEFE"/>
          </w:tcPr>
          <w:p>
            <w:pPr>
              <w:spacing w:after="0"/>
              <w:rPr>
                <w:sz w:val="19"/>
                <w:szCs w:val="19"/>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169"/>
        </w:trPr>
        <w:tc>
          <w:tcPr>
            <w:tcW w:w="1000" w:type="dxa"/>
            <w:vAlign w:val="bottom"/>
            <w:tcBorders>
              <w:top w:val="single" w:sz="8" w:color="FEFEFE"/>
            </w:tcBorders>
            <w:shd w:val="clear" w:color="auto" w:fill="FEFEFE"/>
          </w:tcPr>
          <w:p>
            <w:pPr>
              <w:spacing w:after="0"/>
              <w:rPr>
                <w:sz w:val="14"/>
                <w:szCs w:val="14"/>
                <w:color w:val="auto"/>
              </w:rPr>
            </w:pPr>
          </w:p>
        </w:tc>
        <w:tc>
          <w:tcPr>
            <w:tcW w:w="4100" w:type="dxa"/>
            <w:vAlign w:val="bottom"/>
            <w:tcBorders>
              <w:top w:val="single" w:sz="8" w:color="0000FF"/>
            </w:tcBorders>
            <w:gridSpan w:val="9"/>
            <w:shd w:val="clear" w:color="auto" w:fill="FEFEFE"/>
          </w:tcPr>
          <w:p>
            <w:pPr>
              <w:spacing w:after="0" w:line="169" w:lineRule="exact"/>
              <w:rPr>
                <w:sz w:val="20"/>
                <w:szCs w:val="20"/>
                <w:color w:val="auto"/>
              </w:rPr>
            </w:pPr>
            <w:r>
              <w:rPr>
                <w:rFonts w:ascii="Arial" w:cs="Arial" w:eastAsia="Arial" w:hAnsi="Arial"/>
                <w:sz w:val="16"/>
                <w:szCs w:val="16"/>
                <w:color w:val="0000FF"/>
              </w:rPr>
              <w:t>Rules 13a-14(a) and 15d-14(a) under the Exchange Act,</w:t>
            </w:r>
          </w:p>
        </w:tc>
        <w:tc>
          <w:tcPr>
            <w:tcW w:w="380" w:type="dxa"/>
            <w:vAlign w:val="bottom"/>
            <w:tcBorders>
              <w:top w:val="single" w:sz="8" w:color="FEFEFE"/>
            </w:tcBorders>
            <w:gridSpan w:val="15"/>
            <w:shd w:val="clear" w:color="auto" w:fill="FEFEFE"/>
          </w:tcPr>
          <w:p>
            <w:pPr>
              <w:spacing w:after="0" w:line="169" w:lineRule="exact"/>
              <w:rPr>
                <w:sz w:val="20"/>
                <w:szCs w:val="20"/>
                <w:color w:val="auto"/>
              </w:rPr>
            </w:pPr>
            <w:r>
              <w:rPr>
                <w:rFonts w:ascii="Arial" w:cs="Arial" w:eastAsia="Arial" w:hAnsi="Arial"/>
                <w:sz w:val="16"/>
                <w:szCs w:val="16"/>
                <w:color w:val="0000FF"/>
              </w:rPr>
              <w:t>as</w:t>
            </w:r>
          </w:p>
        </w:tc>
        <w:tc>
          <w:tcPr>
            <w:tcW w:w="840" w:type="dxa"/>
            <w:vAlign w:val="bottom"/>
            <w:tcBorders>
              <w:top w:val="single" w:sz="8" w:color="FEFEFE"/>
            </w:tcBorders>
            <w:shd w:val="clear" w:color="auto" w:fill="FEFEFE"/>
          </w:tcPr>
          <w:p>
            <w:pPr>
              <w:spacing w:after="0"/>
              <w:rPr>
                <w:sz w:val="14"/>
                <w:szCs w:val="14"/>
                <w:color w:val="auto"/>
              </w:rPr>
            </w:pPr>
          </w:p>
        </w:tc>
        <w:tc>
          <w:tcPr>
            <w:tcW w:w="1140" w:type="dxa"/>
            <w:vAlign w:val="bottom"/>
            <w:tcBorders>
              <w:top w:val="single" w:sz="8" w:color="FEFEFE"/>
            </w:tcBorders>
            <w:shd w:val="clear" w:color="auto" w:fill="FEFEFE"/>
          </w:tcPr>
          <w:p>
            <w:pPr>
              <w:spacing w:after="0"/>
              <w:rPr>
                <w:sz w:val="14"/>
                <w:szCs w:val="14"/>
                <w:color w:val="auto"/>
              </w:rPr>
            </w:pPr>
          </w:p>
        </w:tc>
        <w:tc>
          <w:tcPr>
            <w:tcW w:w="1300" w:type="dxa"/>
            <w:vAlign w:val="bottom"/>
            <w:tcBorders>
              <w:top w:val="single" w:sz="8" w:color="FEFEFE"/>
            </w:tcBorders>
            <w:shd w:val="clear" w:color="auto" w:fill="FEFEFE"/>
          </w:tcPr>
          <w:p>
            <w:pPr>
              <w:spacing w:after="0"/>
              <w:rPr>
                <w:sz w:val="14"/>
                <w:szCs w:val="14"/>
                <w:color w:val="auto"/>
              </w:rPr>
            </w:pPr>
          </w:p>
        </w:tc>
        <w:tc>
          <w:tcPr>
            <w:tcW w:w="1260" w:type="dxa"/>
            <w:vAlign w:val="bottom"/>
            <w:tcBorders>
              <w:top w:val="single" w:sz="8" w:color="FEFEFE"/>
            </w:tcBorders>
            <w:shd w:val="clear" w:color="auto" w:fill="FEFEFE"/>
          </w:tcPr>
          <w:p>
            <w:pPr>
              <w:spacing w:after="0"/>
              <w:rPr>
                <w:sz w:val="14"/>
                <w:szCs w:val="14"/>
                <w:color w:val="auto"/>
              </w:rPr>
            </w:pPr>
          </w:p>
        </w:tc>
        <w:tc>
          <w:tcPr>
            <w:tcW w:w="1220" w:type="dxa"/>
            <w:vAlign w:val="bottom"/>
            <w:tcBorders>
              <w:top w:val="single" w:sz="8" w:color="FEFEFE"/>
            </w:tcBorders>
            <w:shd w:val="clear" w:color="auto" w:fill="FEFEFE"/>
          </w:tcPr>
          <w:p>
            <w:pPr>
              <w:spacing w:after="0"/>
              <w:rPr>
                <w:sz w:val="14"/>
                <w:szCs w:val="14"/>
                <w:color w:val="auto"/>
              </w:rPr>
            </w:pPr>
          </w:p>
        </w:tc>
      </w:tr>
      <w:tr>
        <w:trPr>
          <w:trHeight w:val="169"/>
        </w:trPr>
        <w:tc>
          <w:tcPr>
            <w:tcW w:w="1000" w:type="dxa"/>
            <w:vAlign w:val="bottom"/>
            <w:tcBorders>
              <w:top w:val="single" w:sz="8" w:color="FEFEFE"/>
            </w:tcBorders>
            <w:shd w:val="clear" w:color="auto" w:fill="FEFEFE"/>
          </w:tcPr>
          <w:p>
            <w:pPr>
              <w:spacing w:after="0"/>
              <w:rPr>
                <w:sz w:val="14"/>
                <w:szCs w:val="14"/>
                <w:color w:val="auto"/>
              </w:rPr>
            </w:pPr>
          </w:p>
        </w:tc>
        <w:tc>
          <w:tcPr>
            <w:tcW w:w="4280" w:type="dxa"/>
            <w:vAlign w:val="bottom"/>
            <w:tcBorders>
              <w:top w:val="single" w:sz="8" w:color="0000FF"/>
            </w:tcBorders>
            <w:gridSpan w:val="16"/>
            <w:shd w:val="clear" w:color="auto" w:fill="FEFEFE"/>
          </w:tcPr>
          <w:p>
            <w:pPr>
              <w:spacing w:after="0" w:line="169" w:lineRule="exact"/>
              <w:rPr>
                <w:sz w:val="20"/>
                <w:szCs w:val="20"/>
                <w:color w:val="auto"/>
              </w:rPr>
            </w:pPr>
            <w:r>
              <w:rPr>
                <w:rFonts w:ascii="Arial" w:cs="Arial" w:eastAsia="Arial" w:hAnsi="Arial"/>
                <w:sz w:val="16"/>
                <w:szCs w:val="16"/>
                <w:color w:val="0000FF"/>
                <w:w w:val="99"/>
              </w:rPr>
              <w:t>Adopted Pursuant to Section 302 of the Sarbanes-Oxley Act</w:t>
            </w:r>
          </w:p>
        </w:tc>
        <w:tc>
          <w:tcPr>
            <w:tcW w:w="20" w:type="dxa"/>
            <w:vAlign w:val="bottom"/>
            <w:tcBorders>
              <w:top w:val="single" w:sz="8" w:color="FEFEFE"/>
            </w:tcBorders>
            <w:shd w:val="clear" w:color="auto" w:fill="FEFEFE"/>
          </w:tcPr>
          <w:p>
            <w:pPr>
              <w:spacing w:after="0"/>
              <w:rPr>
                <w:sz w:val="14"/>
                <w:szCs w:val="14"/>
                <w:color w:val="auto"/>
              </w:rPr>
            </w:pPr>
          </w:p>
        </w:tc>
        <w:tc>
          <w:tcPr>
            <w:tcW w:w="40" w:type="dxa"/>
            <w:vAlign w:val="bottom"/>
            <w:tcBorders>
              <w:top w:val="single" w:sz="8" w:color="FEFEFE"/>
            </w:tcBorders>
            <w:gridSpan w:val="2"/>
            <w:shd w:val="clear" w:color="auto" w:fill="FEFEFE"/>
          </w:tcPr>
          <w:p>
            <w:pPr>
              <w:spacing w:after="0"/>
              <w:rPr>
                <w:sz w:val="14"/>
                <w:szCs w:val="14"/>
                <w:color w:val="auto"/>
              </w:rPr>
            </w:pPr>
          </w:p>
        </w:tc>
        <w:tc>
          <w:tcPr>
            <w:tcW w:w="20" w:type="dxa"/>
            <w:vAlign w:val="bottom"/>
            <w:tcBorders>
              <w:top w:val="single" w:sz="8" w:color="FEFEFE"/>
            </w:tcBorders>
            <w:shd w:val="clear" w:color="auto" w:fill="FEFEFE"/>
          </w:tcPr>
          <w:p>
            <w:pPr>
              <w:spacing w:after="0"/>
              <w:rPr>
                <w:sz w:val="14"/>
                <w:szCs w:val="14"/>
                <w:color w:val="auto"/>
              </w:rPr>
            </w:pPr>
          </w:p>
        </w:tc>
        <w:tc>
          <w:tcPr>
            <w:tcW w:w="80" w:type="dxa"/>
            <w:vAlign w:val="bottom"/>
            <w:tcBorders>
              <w:top w:val="single" w:sz="8" w:color="FEFEFE"/>
            </w:tcBorders>
            <w:gridSpan w:val="3"/>
            <w:shd w:val="clear" w:color="auto" w:fill="FEFEFE"/>
          </w:tcPr>
          <w:p>
            <w:pPr>
              <w:spacing w:after="0"/>
              <w:rPr>
                <w:sz w:val="14"/>
                <w:szCs w:val="14"/>
                <w:color w:val="auto"/>
              </w:rPr>
            </w:pPr>
          </w:p>
        </w:tc>
        <w:tc>
          <w:tcPr>
            <w:tcW w:w="40" w:type="dxa"/>
            <w:vAlign w:val="bottom"/>
            <w:tcBorders>
              <w:top w:val="single" w:sz="8" w:color="FEFEFE"/>
            </w:tcBorders>
            <w:shd w:val="clear" w:color="auto" w:fill="FEFEFE"/>
          </w:tcPr>
          <w:p>
            <w:pPr>
              <w:spacing w:after="0"/>
              <w:rPr>
                <w:sz w:val="14"/>
                <w:szCs w:val="14"/>
                <w:color w:val="auto"/>
              </w:rPr>
            </w:pPr>
          </w:p>
        </w:tc>
        <w:tc>
          <w:tcPr>
            <w:tcW w:w="840" w:type="dxa"/>
            <w:vAlign w:val="bottom"/>
            <w:tcBorders>
              <w:top w:val="single" w:sz="8" w:color="FEFEFE"/>
            </w:tcBorders>
            <w:shd w:val="clear" w:color="auto" w:fill="FEFEFE"/>
          </w:tcPr>
          <w:p>
            <w:pPr>
              <w:spacing w:after="0"/>
              <w:rPr>
                <w:sz w:val="14"/>
                <w:szCs w:val="14"/>
                <w:color w:val="auto"/>
              </w:rPr>
            </w:pPr>
          </w:p>
        </w:tc>
        <w:tc>
          <w:tcPr>
            <w:tcW w:w="1140" w:type="dxa"/>
            <w:vAlign w:val="bottom"/>
            <w:tcBorders>
              <w:top w:val="single" w:sz="8" w:color="FEFEFE"/>
            </w:tcBorders>
            <w:shd w:val="clear" w:color="auto" w:fill="FEFEFE"/>
          </w:tcPr>
          <w:p>
            <w:pPr>
              <w:spacing w:after="0"/>
              <w:rPr>
                <w:sz w:val="14"/>
                <w:szCs w:val="14"/>
                <w:color w:val="auto"/>
              </w:rPr>
            </w:pPr>
          </w:p>
        </w:tc>
        <w:tc>
          <w:tcPr>
            <w:tcW w:w="1300" w:type="dxa"/>
            <w:vAlign w:val="bottom"/>
            <w:tcBorders>
              <w:top w:val="single" w:sz="8" w:color="FEFEFE"/>
            </w:tcBorders>
            <w:shd w:val="clear" w:color="auto" w:fill="FEFEFE"/>
          </w:tcPr>
          <w:p>
            <w:pPr>
              <w:spacing w:after="0"/>
              <w:rPr>
                <w:sz w:val="14"/>
                <w:szCs w:val="14"/>
                <w:color w:val="auto"/>
              </w:rPr>
            </w:pPr>
          </w:p>
        </w:tc>
        <w:tc>
          <w:tcPr>
            <w:tcW w:w="1260" w:type="dxa"/>
            <w:vAlign w:val="bottom"/>
            <w:tcBorders>
              <w:top w:val="single" w:sz="8" w:color="FEFEFE"/>
            </w:tcBorders>
            <w:shd w:val="clear" w:color="auto" w:fill="FEFEFE"/>
          </w:tcPr>
          <w:p>
            <w:pPr>
              <w:spacing w:after="0"/>
              <w:rPr>
                <w:sz w:val="14"/>
                <w:szCs w:val="14"/>
                <w:color w:val="auto"/>
              </w:rPr>
            </w:pPr>
          </w:p>
        </w:tc>
        <w:tc>
          <w:tcPr>
            <w:tcW w:w="1220" w:type="dxa"/>
            <w:vAlign w:val="bottom"/>
            <w:tcBorders>
              <w:top w:val="single" w:sz="8" w:color="FEFEFE"/>
            </w:tcBorders>
            <w:shd w:val="clear" w:color="auto" w:fill="FEFEFE"/>
          </w:tcPr>
          <w:p>
            <w:pPr>
              <w:spacing w:after="0"/>
              <w:rPr>
                <w:sz w:val="14"/>
                <w:szCs w:val="14"/>
                <w:color w:val="auto"/>
              </w:rPr>
            </w:pPr>
          </w:p>
        </w:tc>
      </w:tr>
      <w:tr>
        <w:trPr>
          <w:trHeight w:val="156"/>
        </w:trPr>
        <w:tc>
          <w:tcPr>
            <w:tcW w:w="1000" w:type="dxa"/>
            <w:vAlign w:val="bottom"/>
            <w:tcBorders>
              <w:top w:val="single" w:sz="8" w:color="FEFEFE"/>
            </w:tcBorders>
            <w:shd w:val="clear" w:color="auto" w:fill="FEFEFE"/>
          </w:tcPr>
          <w:p>
            <w:pPr>
              <w:spacing w:after="0"/>
              <w:rPr>
                <w:sz w:val="13"/>
                <w:szCs w:val="13"/>
                <w:color w:val="auto"/>
              </w:rPr>
            </w:pPr>
          </w:p>
        </w:tc>
        <w:tc>
          <w:tcPr>
            <w:tcW w:w="4320" w:type="dxa"/>
            <w:vAlign w:val="bottom"/>
            <w:tcBorders>
              <w:top w:val="single" w:sz="8" w:color="0000FF"/>
            </w:tcBorders>
            <w:gridSpan w:val="18"/>
            <w:shd w:val="clear" w:color="auto" w:fill="FEFEFE"/>
          </w:tcPr>
          <w:p>
            <w:pPr>
              <w:spacing w:after="0" w:line="155" w:lineRule="exact"/>
              <w:rPr>
                <w:sz w:val="20"/>
                <w:szCs w:val="20"/>
                <w:color w:val="auto"/>
              </w:rPr>
            </w:pPr>
            <w:r>
              <w:rPr>
                <w:rFonts w:ascii="Arial" w:cs="Arial" w:eastAsia="Arial" w:hAnsi="Arial"/>
                <w:sz w:val="16"/>
                <w:szCs w:val="16"/>
                <w:color w:val="0000FF"/>
              </w:rPr>
              <w:t>of 2002.</w:t>
            </w: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80" w:type="dxa"/>
            <w:vAlign w:val="bottom"/>
            <w:tcBorders>
              <w:top w:val="single" w:sz="8" w:color="FEFEFE"/>
            </w:tcBorders>
            <w:gridSpan w:val="3"/>
            <w:shd w:val="clear" w:color="auto" w:fill="FEFEFE"/>
          </w:tcPr>
          <w:p>
            <w:pPr>
              <w:spacing w:after="0"/>
              <w:rPr>
                <w:sz w:val="13"/>
                <w:szCs w:val="13"/>
                <w:color w:val="auto"/>
              </w:rPr>
            </w:pPr>
          </w:p>
        </w:tc>
        <w:tc>
          <w:tcPr>
            <w:tcW w:w="40" w:type="dxa"/>
            <w:vAlign w:val="bottom"/>
            <w:tcBorders>
              <w:top w:val="single" w:sz="8" w:color="FEFEFE"/>
            </w:tcBorders>
            <w:shd w:val="clear" w:color="auto" w:fill="FEFEFE"/>
          </w:tcPr>
          <w:p>
            <w:pPr>
              <w:spacing w:after="0"/>
              <w:rPr>
                <w:sz w:val="13"/>
                <w:szCs w:val="13"/>
                <w:color w:val="auto"/>
              </w:rPr>
            </w:pPr>
          </w:p>
        </w:tc>
        <w:tc>
          <w:tcPr>
            <w:tcW w:w="840" w:type="dxa"/>
            <w:vAlign w:val="bottom"/>
            <w:tcBorders>
              <w:top w:val="single" w:sz="8" w:color="FEFEFE"/>
            </w:tcBorders>
            <w:shd w:val="clear" w:color="auto" w:fill="FEFEFE"/>
          </w:tcPr>
          <w:p>
            <w:pPr>
              <w:spacing w:after="0"/>
              <w:rPr>
                <w:sz w:val="13"/>
                <w:szCs w:val="13"/>
                <w:color w:val="auto"/>
              </w:rPr>
            </w:pPr>
          </w:p>
        </w:tc>
        <w:tc>
          <w:tcPr>
            <w:tcW w:w="1140" w:type="dxa"/>
            <w:vAlign w:val="bottom"/>
            <w:tcBorders>
              <w:top w:val="single" w:sz="8" w:color="FEFEFE"/>
            </w:tcBorders>
            <w:shd w:val="clear" w:color="auto" w:fill="FEFEFE"/>
          </w:tcPr>
          <w:p>
            <w:pPr>
              <w:spacing w:after="0"/>
              <w:rPr>
                <w:sz w:val="13"/>
                <w:szCs w:val="13"/>
                <w:color w:val="auto"/>
              </w:rPr>
            </w:pPr>
          </w:p>
        </w:tc>
        <w:tc>
          <w:tcPr>
            <w:tcW w:w="1300" w:type="dxa"/>
            <w:vAlign w:val="bottom"/>
            <w:tcBorders>
              <w:top w:val="single" w:sz="8" w:color="FEFEFE"/>
            </w:tcBorders>
            <w:shd w:val="clear" w:color="auto" w:fill="FEFEFE"/>
          </w:tcPr>
          <w:p>
            <w:pPr>
              <w:spacing w:after="0"/>
              <w:rPr>
                <w:sz w:val="13"/>
                <w:szCs w:val="13"/>
                <w:color w:val="auto"/>
              </w:rPr>
            </w:pPr>
          </w:p>
        </w:tc>
        <w:tc>
          <w:tcPr>
            <w:tcW w:w="1260" w:type="dxa"/>
            <w:vAlign w:val="bottom"/>
            <w:tcBorders>
              <w:top w:val="single" w:sz="8" w:color="FEFEFE"/>
            </w:tcBorders>
            <w:shd w:val="clear" w:color="auto" w:fill="FEFEFE"/>
          </w:tcPr>
          <w:p>
            <w:pPr>
              <w:spacing w:after="0"/>
              <w:rPr>
                <w:sz w:val="13"/>
                <w:szCs w:val="13"/>
                <w:color w:val="auto"/>
              </w:rPr>
            </w:pPr>
          </w:p>
        </w:tc>
        <w:tc>
          <w:tcPr>
            <w:tcW w:w="1220" w:type="dxa"/>
            <w:vAlign w:val="bottom"/>
            <w:tcBorders>
              <w:top w:val="single" w:sz="8" w:color="FEFEFE"/>
            </w:tcBorders>
            <w:shd w:val="clear" w:color="auto" w:fill="FEFEFE"/>
          </w:tcPr>
          <w:p>
            <w:pPr>
              <w:spacing w:after="0"/>
              <w:rPr>
                <w:sz w:val="13"/>
                <w:szCs w:val="13"/>
                <w:color w:val="auto"/>
              </w:rPr>
            </w:pPr>
          </w:p>
        </w:tc>
      </w:tr>
      <w:tr>
        <w:trPr>
          <w:trHeight w:val="20"/>
        </w:trPr>
        <w:tc>
          <w:tcPr>
            <w:tcW w:w="1000" w:type="dxa"/>
            <w:vAlign w:val="bottom"/>
            <w:shd w:val="clear" w:color="auto" w:fill="FEFEF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60" w:type="dxa"/>
            <w:vAlign w:val="bottom"/>
            <w:gridSpan w:val="3"/>
            <w:shd w:val="clear" w:color="auto" w:fill="FEFEFE"/>
          </w:tcPr>
          <w:p>
            <w:pPr>
              <w:spacing w:after="0" w:line="20" w:lineRule="exact"/>
              <w:rPr>
                <w:sz w:val="1"/>
                <w:szCs w:val="1"/>
                <w:color w:val="auto"/>
              </w:rPr>
            </w:pPr>
          </w:p>
        </w:tc>
        <w:tc>
          <w:tcPr>
            <w:tcW w:w="1580" w:type="dxa"/>
            <w:vAlign w:val="bottom"/>
            <w:gridSpan w:val="3"/>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240" w:type="dxa"/>
            <w:vAlign w:val="bottom"/>
            <w:gridSpan w:val="7"/>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80" w:type="dxa"/>
            <w:vAlign w:val="bottom"/>
            <w:gridSpan w:val="3"/>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40" w:type="dxa"/>
            <w:vAlign w:val="bottom"/>
            <w:shd w:val="clear" w:color="auto" w:fill="FEFEFE"/>
          </w:tcPr>
          <w:p>
            <w:pPr>
              <w:spacing w:after="0" w:line="20" w:lineRule="exact"/>
              <w:rPr>
                <w:sz w:val="1"/>
                <w:szCs w:val="1"/>
                <w:color w:val="auto"/>
              </w:rPr>
            </w:pPr>
          </w:p>
        </w:tc>
        <w:tc>
          <w:tcPr>
            <w:tcW w:w="1140" w:type="dxa"/>
            <w:vAlign w:val="bottom"/>
            <w:shd w:val="clear" w:color="auto" w:fill="FEFEFE"/>
          </w:tcPr>
          <w:p>
            <w:pPr>
              <w:spacing w:after="0" w:line="20" w:lineRule="exact"/>
              <w:rPr>
                <w:sz w:val="1"/>
                <w:szCs w:val="1"/>
                <w:color w:val="auto"/>
              </w:rPr>
            </w:pPr>
          </w:p>
        </w:tc>
        <w:tc>
          <w:tcPr>
            <w:tcW w:w="1300" w:type="dxa"/>
            <w:vAlign w:val="bottom"/>
            <w:shd w:val="clear" w:color="auto" w:fill="FEFEFE"/>
          </w:tcPr>
          <w:p>
            <w:pPr>
              <w:spacing w:after="0" w:line="20" w:lineRule="exact"/>
              <w:rPr>
                <w:sz w:val="1"/>
                <w:szCs w:val="1"/>
                <w:color w:val="auto"/>
              </w:rPr>
            </w:pPr>
          </w:p>
        </w:tc>
        <w:tc>
          <w:tcPr>
            <w:tcW w:w="126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223"/>
        </w:trPr>
        <w:tc>
          <w:tcPr>
            <w:tcW w:w="1000" w:type="dxa"/>
            <w:vAlign w:val="bottom"/>
            <w:tcBorders>
              <w:bottom w:val="single" w:sz="8" w:color="FEFEFE"/>
            </w:tcBorders>
            <w:shd w:val="clear" w:color="auto" w:fill="FEFEFE"/>
          </w:tcPr>
          <w:p>
            <w:pPr>
              <w:jc w:val="right"/>
              <w:ind w:right="99"/>
              <w:spacing w:after="0"/>
              <w:rPr>
                <w:sz w:val="20"/>
                <w:szCs w:val="20"/>
                <w:color w:val="auto"/>
              </w:rPr>
            </w:pPr>
            <w:r>
              <w:rPr>
                <w:rFonts w:ascii="Arial" w:cs="Arial" w:eastAsia="Arial" w:hAnsi="Arial"/>
                <w:sz w:val="16"/>
                <w:szCs w:val="16"/>
                <w:color w:val="auto"/>
              </w:rPr>
              <w:t>31.3</w:t>
            </w:r>
          </w:p>
        </w:tc>
        <w:tc>
          <w:tcPr>
            <w:tcW w:w="4260" w:type="dxa"/>
            <w:vAlign w:val="bottom"/>
            <w:tcBorders>
              <w:bottom w:val="single" w:sz="8" w:color="0000FF"/>
            </w:tcBorders>
            <w:gridSpan w:val="15"/>
            <w:shd w:val="clear" w:color="auto" w:fill="FEFEFE"/>
          </w:tcPr>
          <w:p>
            <w:pPr>
              <w:spacing w:after="0"/>
              <w:rPr>
                <w:sz w:val="20"/>
                <w:szCs w:val="20"/>
                <w:color w:val="auto"/>
              </w:rPr>
            </w:pPr>
            <w:r>
              <w:rPr>
                <w:rFonts w:ascii="Arial" w:cs="Arial" w:eastAsia="Arial" w:hAnsi="Arial"/>
                <w:sz w:val="16"/>
                <w:szCs w:val="16"/>
                <w:color w:val="0000FF"/>
              </w:rPr>
              <w:t>Certification of Principal Financial Officer Pursuant to Rules</w:t>
            </w:r>
          </w:p>
        </w:tc>
        <w:tc>
          <w:tcPr>
            <w:tcW w:w="220" w:type="dxa"/>
            <w:vAlign w:val="bottom"/>
            <w:tcBorders>
              <w:bottom w:val="single" w:sz="8" w:color="FEFEFE"/>
            </w:tcBorders>
            <w:gridSpan w:val="9"/>
            <w:shd w:val="clear" w:color="auto" w:fill="FEFEFE"/>
          </w:tcPr>
          <w:p>
            <w:pPr>
              <w:spacing w:after="0"/>
              <w:rPr>
                <w:sz w:val="19"/>
                <w:szCs w:val="19"/>
                <w:color w:val="auto"/>
              </w:rPr>
            </w:pPr>
          </w:p>
        </w:tc>
        <w:tc>
          <w:tcPr>
            <w:tcW w:w="840" w:type="dxa"/>
            <w:vAlign w:val="bottom"/>
            <w:tcBorders>
              <w:bottom w:val="single" w:sz="8" w:color="FEFEFE"/>
            </w:tcBorders>
            <w:shd w:val="clear" w:color="auto" w:fill="FEFEFE"/>
          </w:tcPr>
          <w:p>
            <w:pPr>
              <w:spacing w:after="0"/>
              <w:rPr>
                <w:sz w:val="19"/>
                <w:szCs w:val="19"/>
                <w:color w:val="auto"/>
              </w:rPr>
            </w:pPr>
          </w:p>
        </w:tc>
        <w:tc>
          <w:tcPr>
            <w:tcW w:w="1140" w:type="dxa"/>
            <w:vAlign w:val="bottom"/>
            <w:tcBorders>
              <w:bottom w:val="single" w:sz="8" w:color="FEFEFE"/>
            </w:tcBorders>
            <w:shd w:val="clear" w:color="auto" w:fill="FEFEFE"/>
          </w:tcPr>
          <w:p>
            <w:pPr>
              <w:spacing w:after="0"/>
              <w:rPr>
                <w:sz w:val="19"/>
                <w:szCs w:val="19"/>
                <w:color w:val="auto"/>
              </w:rPr>
            </w:pPr>
          </w:p>
        </w:tc>
        <w:tc>
          <w:tcPr>
            <w:tcW w:w="1300" w:type="dxa"/>
            <w:vAlign w:val="bottom"/>
            <w:tcBorders>
              <w:bottom w:val="single" w:sz="8" w:color="FEFEFE"/>
            </w:tcBorders>
            <w:shd w:val="clear" w:color="auto" w:fill="FEFEFE"/>
          </w:tcPr>
          <w:p>
            <w:pPr>
              <w:spacing w:after="0"/>
              <w:rPr>
                <w:sz w:val="19"/>
                <w:szCs w:val="19"/>
                <w:color w:val="auto"/>
              </w:rPr>
            </w:pPr>
          </w:p>
        </w:tc>
        <w:tc>
          <w:tcPr>
            <w:tcW w:w="1260" w:type="dxa"/>
            <w:vAlign w:val="bottom"/>
            <w:tcBorders>
              <w:bottom w:val="single" w:sz="8" w:color="FEFEFE"/>
            </w:tcBorders>
            <w:shd w:val="clear" w:color="auto" w:fill="FEFEFE"/>
          </w:tcPr>
          <w:p>
            <w:pPr>
              <w:spacing w:after="0"/>
              <w:rPr>
                <w:sz w:val="19"/>
                <w:szCs w:val="19"/>
                <w:color w:val="auto"/>
              </w:rPr>
            </w:pPr>
          </w:p>
        </w:tc>
        <w:tc>
          <w:tcPr>
            <w:tcW w:w="12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169"/>
        </w:trPr>
        <w:tc>
          <w:tcPr>
            <w:tcW w:w="1000" w:type="dxa"/>
            <w:vAlign w:val="bottom"/>
            <w:shd w:val="clear" w:color="auto" w:fill="FEFEFE"/>
          </w:tcPr>
          <w:p>
            <w:pPr>
              <w:spacing w:after="0"/>
              <w:rPr>
                <w:sz w:val="14"/>
                <w:szCs w:val="14"/>
                <w:color w:val="auto"/>
              </w:rPr>
            </w:pPr>
          </w:p>
        </w:tc>
        <w:tc>
          <w:tcPr>
            <w:tcW w:w="4480" w:type="dxa"/>
            <w:vAlign w:val="bottom"/>
            <w:gridSpan w:val="24"/>
            <w:shd w:val="clear" w:color="auto" w:fill="FEFEFE"/>
          </w:tcPr>
          <w:p>
            <w:pPr>
              <w:spacing w:after="0" w:line="169" w:lineRule="exact"/>
              <w:rPr>
                <w:sz w:val="20"/>
                <w:szCs w:val="20"/>
                <w:color w:val="auto"/>
              </w:rPr>
            </w:pPr>
            <w:r>
              <w:rPr>
                <w:rFonts w:ascii="Arial" w:cs="Arial" w:eastAsia="Arial" w:hAnsi="Arial"/>
                <w:sz w:val="16"/>
                <w:szCs w:val="16"/>
                <w:color w:val="0000FF"/>
              </w:rPr>
              <w:t>13a-14(a) and 15d-14(a) under the Exchange Act, as Adopted</w:t>
            </w:r>
          </w:p>
        </w:tc>
        <w:tc>
          <w:tcPr>
            <w:tcW w:w="840" w:type="dxa"/>
            <w:vAlign w:val="bottom"/>
            <w:shd w:val="clear" w:color="auto" w:fill="FEFEFE"/>
          </w:tcPr>
          <w:p>
            <w:pPr>
              <w:spacing w:after="0"/>
              <w:rPr>
                <w:sz w:val="14"/>
                <w:szCs w:val="14"/>
                <w:color w:val="auto"/>
              </w:rPr>
            </w:pPr>
          </w:p>
        </w:tc>
        <w:tc>
          <w:tcPr>
            <w:tcW w:w="1140" w:type="dxa"/>
            <w:vAlign w:val="bottom"/>
            <w:shd w:val="clear" w:color="auto" w:fill="FEFEFE"/>
          </w:tcPr>
          <w:p>
            <w:pPr>
              <w:spacing w:after="0"/>
              <w:rPr>
                <w:sz w:val="14"/>
                <w:szCs w:val="14"/>
                <w:color w:val="auto"/>
              </w:rPr>
            </w:pPr>
          </w:p>
        </w:tc>
        <w:tc>
          <w:tcPr>
            <w:tcW w:w="1300" w:type="dxa"/>
            <w:vAlign w:val="bottom"/>
            <w:shd w:val="clear" w:color="auto" w:fill="FEFEFE"/>
          </w:tcPr>
          <w:p>
            <w:pPr>
              <w:spacing w:after="0"/>
              <w:rPr>
                <w:sz w:val="14"/>
                <w:szCs w:val="14"/>
                <w:color w:val="auto"/>
              </w:rPr>
            </w:pPr>
          </w:p>
        </w:tc>
        <w:tc>
          <w:tcPr>
            <w:tcW w:w="1260" w:type="dxa"/>
            <w:vAlign w:val="bottom"/>
            <w:shd w:val="clear" w:color="auto" w:fill="FEFEFE"/>
          </w:tcPr>
          <w:p>
            <w:pPr>
              <w:spacing w:after="0"/>
              <w:rPr>
                <w:sz w:val="14"/>
                <w:szCs w:val="14"/>
                <w:color w:val="auto"/>
              </w:rPr>
            </w:pPr>
          </w:p>
        </w:tc>
        <w:tc>
          <w:tcPr>
            <w:tcW w:w="1220" w:type="dxa"/>
            <w:vAlign w:val="bottom"/>
            <w:shd w:val="clear" w:color="auto" w:fill="FEFEFE"/>
          </w:tcPr>
          <w:p>
            <w:pPr>
              <w:spacing w:after="0"/>
              <w:rPr>
                <w:sz w:val="14"/>
                <w:szCs w:val="14"/>
                <w:color w:val="auto"/>
              </w:rPr>
            </w:pPr>
          </w:p>
        </w:tc>
      </w:tr>
      <w:tr>
        <w:trPr>
          <w:trHeight w:val="169"/>
        </w:trPr>
        <w:tc>
          <w:tcPr>
            <w:tcW w:w="1000" w:type="dxa"/>
            <w:vAlign w:val="bottom"/>
            <w:tcBorders>
              <w:top w:val="single" w:sz="8" w:color="FEFEFE"/>
              <w:bottom w:val="single" w:sz="8" w:color="FEFEFE"/>
            </w:tcBorders>
            <w:shd w:val="clear" w:color="auto" w:fill="FEFEFE"/>
          </w:tcPr>
          <w:p>
            <w:pPr>
              <w:spacing w:after="0"/>
              <w:rPr>
                <w:sz w:val="14"/>
                <w:szCs w:val="14"/>
                <w:color w:val="auto"/>
              </w:rPr>
            </w:pPr>
          </w:p>
        </w:tc>
        <w:tc>
          <w:tcPr>
            <w:tcW w:w="4300" w:type="dxa"/>
            <w:vAlign w:val="bottom"/>
            <w:tcBorders>
              <w:top w:val="single" w:sz="8" w:color="0000FF"/>
              <w:bottom w:val="single" w:sz="8" w:color="0000FF"/>
            </w:tcBorders>
            <w:gridSpan w:val="17"/>
            <w:shd w:val="clear" w:color="auto" w:fill="FEFEFE"/>
          </w:tcPr>
          <w:p>
            <w:pPr>
              <w:spacing w:after="0" w:line="169" w:lineRule="exact"/>
              <w:rPr>
                <w:sz w:val="20"/>
                <w:szCs w:val="20"/>
                <w:color w:val="auto"/>
              </w:rPr>
            </w:pPr>
            <w:r>
              <w:rPr>
                <w:rFonts w:ascii="Arial" w:cs="Arial" w:eastAsia="Arial" w:hAnsi="Arial"/>
                <w:sz w:val="16"/>
                <w:szCs w:val="16"/>
                <w:color w:val="0000FF"/>
              </w:rPr>
              <w:t>Pursuant to Section 302 of the Sarbanes-Oxley Act of 2002.</w:t>
            </w:r>
          </w:p>
        </w:tc>
        <w:tc>
          <w:tcPr>
            <w:tcW w:w="140" w:type="dxa"/>
            <w:vAlign w:val="bottom"/>
            <w:tcBorders>
              <w:top w:val="single" w:sz="8" w:color="0000FF"/>
              <w:bottom w:val="single" w:sz="8" w:color="FEFEFE"/>
            </w:tcBorders>
            <w:gridSpan w:val="6"/>
            <w:shd w:val="clear" w:color="auto" w:fill="FEFEFE"/>
          </w:tcPr>
          <w:p>
            <w:pPr>
              <w:spacing w:after="0"/>
              <w:rPr>
                <w:sz w:val="14"/>
                <w:szCs w:val="14"/>
                <w:color w:val="auto"/>
              </w:rPr>
            </w:pPr>
          </w:p>
        </w:tc>
        <w:tc>
          <w:tcPr>
            <w:tcW w:w="40" w:type="dxa"/>
            <w:vAlign w:val="bottom"/>
            <w:tcBorders>
              <w:top w:val="single" w:sz="8" w:color="FEFEFE"/>
              <w:bottom w:val="single" w:sz="8" w:color="FEFEFE"/>
            </w:tcBorders>
            <w:shd w:val="clear" w:color="auto" w:fill="FEFEFE"/>
          </w:tcPr>
          <w:p>
            <w:pPr>
              <w:spacing w:after="0"/>
              <w:rPr>
                <w:sz w:val="14"/>
                <w:szCs w:val="14"/>
                <w:color w:val="auto"/>
              </w:rPr>
            </w:pPr>
          </w:p>
        </w:tc>
        <w:tc>
          <w:tcPr>
            <w:tcW w:w="840" w:type="dxa"/>
            <w:vAlign w:val="bottom"/>
            <w:tcBorders>
              <w:top w:val="single" w:sz="8" w:color="FEFEFE"/>
              <w:bottom w:val="single" w:sz="8" w:color="FEFEFE"/>
            </w:tcBorders>
            <w:shd w:val="clear" w:color="auto" w:fill="FEFEFE"/>
          </w:tcPr>
          <w:p>
            <w:pPr>
              <w:spacing w:after="0"/>
              <w:rPr>
                <w:sz w:val="14"/>
                <w:szCs w:val="14"/>
                <w:color w:val="auto"/>
              </w:rPr>
            </w:pPr>
          </w:p>
        </w:tc>
        <w:tc>
          <w:tcPr>
            <w:tcW w:w="1140" w:type="dxa"/>
            <w:vAlign w:val="bottom"/>
            <w:tcBorders>
              <w:top w:val="single" w:sz="8" w:color="FEFEFE"/>
              <w:bottom w:val="single" w:sz="8" w:color="FEFEFE"/>
            </w:tcBorders>
            <w:shd w:val="clear" w:color="auto" w:fill="FEFEFE"/>
          </w:tcPr>
          <w:p>
            <w:pPr>
              <w:spacing w:after="0"/>
              <w:rPr>
                <w:sz w:val="14"/>
                <w:szCs w:val="14"/>
                <w:color w:val="auto"/>
              </w:rPr>
            </w:pPr>
          </w:p>
        </w:tc>
        <w:tc>
          <w:tcPr>
            <w:tcW w:w="1300" w:type="dxa"/>
            <w:vAlign w:val="bottom"/>
            <w:tcBorders>
              <w:top w:val="single" w:sz="8" w:color="FEFEFE"/>
              <w:bottom w:val="single" w:sz="8" w:color="FEFEFE"/>
            </w:tcBorders>
            <w:shd w:val="clear" w:color="auto" w:fill="FEFEFE"/>
          </w:tcPr>
          <w:p>
            <w:pPr>
              <w:spacing w:after="0"/>
              <w:rPr>
                <w:sz w:val="14"/>
                <w:szCs w:val="14"/>
                <w:color w:val="auto"/>
              </w:rPr>
            </w:pPr>
          </w:p>
        </w:tc>
        <w:tc>
          <w:tcPr>
            <w:tcW w:w="1260" w:type="dxa"/>
            <w:vAlign w:val="bottom"/>
            <w:tcBorders>
              <w:top w:val="single" w:sz="8" w:color="FEFEFE"/>
              <w:bottom w:val="single" w:sz="8" w:color="FEFEFE"/>
            </w:tcBorders>
            <w:shd w:val="clear" w:color="auto" w:fill="FEFEFE"/>
          </w:tcPr>
          <w:p>
            <w:pPr>
              <w:spacing w:after="0"/>
              <w:rPr>
                <w:sz w:val="14"/>
                <w:szCs w:val="14"/>
                <w:color w:val="auto"/>
              </w:rPr>
            </w:pPr>
          </w:p>
        </w:tc>
        <w:tc>
          <w:tcPr>
            <w:tcW w:w="122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210"/>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32.1</w:t>
            </w:r>
          </w:p>
        </w:tc>
        <w:tc>
          <w:tcPr>
            <w:tcW w:w="4480" w:type="dxa"/>
            <w:vAlign w:val="bottom"/>
            <w:gridSpan w:val="24"/>
            <w:shd w:val="clear" w:color="auto" w:fill="FEFEFE"/>
          </w:tcPr>
          <w:p>
            <w:pPr>
              <w:spacing w:after="0"/>
              <w:rPr>
                <w:sz w:val="20"/>
                <w:szCs w:val="20"/>
                <w:color w:val="auto"/>
              </w:rPr>
            </w:pPr>
            <w:r>
              <w:rPr>
                <w:rFonts w:ascii="Arial" w:cs="Arial" w:eastAsia="Arial" w:hAnsi="Arial"/>
                <w:sz w:val="16"/>
                <w:szCs w:val="16"/>
                <w:color w:val="0000FF"/>
              </w:rPr>
              <w:t>Certification of Co-Principal Executive Officer Pursuant to 18</w:t>
            </w:r>
          </w:p>
        </w:tc>
        <w:tc>
          <w:tcPr>
            <w:tcW w:w="840" w:type="dxa"/>
            <w:vAlign w:val="bottom"/>
            <w:shd w:val="clear" w:color="auto" w:fill="FEFEFE"/>
          </w:tcPr>
          <w:p>
            <w:pPr>
              <w:spacing w:after="0"/>
              <w:rPr>
                <w:sz w:val="18"/>
                <w:szCs w:val="18"/>
                <w:color w:val="auto"/>
              </w:rPr>
            </w:pPr>
          </w:p>
        </w:tc>
        <w:tc>
          <w:tcPr>
            <w:tcW w:w="114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1260" w:type="dxa"/>
            <w:vAlign w:val="bottom"/>
            <w:shd w:val="clear" w:color="auto" w:fill="FEFEFE"/>
          </w:tcPr>
          <w:p>
            <w:pPr>
              <w:spacing w:after="0"/>
              <w:rPr>
                <w:sz w:val="18"/>
                <w:szCs w:val="18"/>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rPr>
              <w:t>XX</w:t>
            </w:r>
          </w:p>
        </w:tc>
      </w:tr>
      <w:tr>
        <w:trPr>
          <w:trHeight w:val="169"/>
        </w:trPr>
        <w:tc>
          <w:tcPr>
            <w:tcW w:w="1000" w:type="dxa"/>
            <w:vAlign w:val="bottom"/>
            <w:tcBorders>
              <w:top w:val="single" w:sz="8" w:color="FEFEFE"/>
              <w:bottom w:val="single" w:sz="8" w:color="FEFEFE"/>
            </w:tcBorders>
            <w:shd w:val="clear" w:color="auto" w:fill="FEFEFE"/>
          </w:tcPr>
          <w:p>
            <w:pPr>
              <w:spacing w:after="0"/>
              <w:rPr>
                <w:sz w:val="14"/>
                <w:szCs w:val="14"/>
                <w:color w:val="auto"/>
              </w:rPr>
            </w:pPr>
          </w:p>
        </w:tc>
        <w:tc>
          <w:tcPr>
            <w:tcW w:w="4340" w:type="dxa"/>
            <w:vAlign w:val="bottom"/>
            <w:tcBorders>
              <w:top w:val="single" w:sz="8" w:color="0000FF"/>
              <w:bottom w:val="single" w:sz="8" w:color="0000FF"/>
            </w:tcBorders>
            <w:gridSpan w:val="19"/>
            <w:shd w:val="clear" w:color="auto" w:fill="FEFEFE"/>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20" w:type="dxa"/>
            <w:vAlign w:val="bottom"/>
            <w:tcBorders>
              <w:top w:val="single" w:sz="8" w:color="FEFEFE"/>
              <w:bottom w:val="single" w:sz="8" w:color="0000FF"/>
            </w:tcBorders>
            <w:shd w:val="clear" w:color="auto" w:fill="FEFEFE"/>
          </w:tcPr>
          <w:p>
            <w:pPr>
              <w:spacing w:after="0"/>
              <w:rPr>
                <w:sz w:val="14"/>
                <w:szCs w:val="14"/>
                <w:color w:val="auto"/>
              </w:rPr>
            </w:pPr>
          </w:p>
        </w:tc>
        <w:tc>
          <w:tcPr>
            <w:tcW w:w="120" w:type="dxa"/>
            <w:vAlign w:val="bottom"/>
            <w:tcBorders>
              <w:top w:val="single" w:sz="8" w:color="FEFEFE"/>
              <w:bottom w:val="single" w:sz="8" w:color="FEFEFE"/>
            </w:tcBorders>
            <w:gridSpan w:val="4"/>
            <w:shd w:val="clear" w:color="auto" w:fill="FEFEFE"/>
          </w:tcPr>
          <w:p>
            <w:pPr>
              <w:spacing w:after="0"/>
              <w:rPr>
                <w:sz w:val="14"/>
                <w:szCs w:val="14"/>
                <w:color w:val="auto"/>
              </w:rPr>
            </w:pPr>
          </w:p>
        </w:tc>
        <w:tc>
          <w:tcPr>
            <w:tcW w:w="840" w:type="dxa"/>
            <w:vAlign w:val="bottom"/>
            <w:tcBorders>
              <w:top w:val="single" w:sz="8" w:color="FEFEFE"/>
              <w:bottom w:val="single" w:sz="8" w:color="FEFEFE"/>
            </w:tcBorders>
            <w:shd w:val="clear" w:color="auto" w:fill="FEFEFE"/>
          </w:tcPr>
          <w:p>
            <w:pPr>
              <w:spacing w:after="0"/>
              <w:rPr>
                <w:sz w:val="14"/>
                <w:szCs w:val="14"/>
                <w:color w:val="auto"/>
              </w:rPr>
            </w:pPr>
          </w:p>
        </w:tc>
        <w:tc>
          <w:tcPr>
            <w:tcW w:w="1140" w:type="dxa"/>
            <w:vAlign w:val="bottom"/>
            <w:tcBorders>
              <w:top w:val="single" w:sz="8" w:color="FEFEFE"/>
              <w:bottom w:val="single" w:sz="8" w:color="FEFEFE"/>
            </w:tcBorders>
            <w:shd w:val="clear" w:color="auto" w:fill="FEFEFE"/>
          </w:tcPr>
          <w:p>
            <w:pPr>
              <w:spacing w:after="0"/>
              <w:rPr>
                <w:sz w:val="14"/>
                <w:szCs w:val="14"/>
                <w:color w:val="auto"/>
              </w:rPr>
            </w:pPr>
          </w:p>
        </w:tc>
        <w:tc>
          <w:tcPr>
            <w:tcW w:w="1300" w:type="dxa"/>
            <w:vAlign w:val="bottom"/>
            <w:tcBorders>
              <w:top w:val="single" w:sz="8" w:color="FEFEFE"/>
              <w:bottom w:val="single" w:sz="8" w:color="FEFEFE"/>
            </w:tcBorders>
            <w:shd w:val="clear" w:color="auto" w:fill="FEFEFE"/>
          </w:tcPr>
          <w:p>
            <w:pPr>
              <w:spacing w:after="0"/>
              <w:rPr>
                <w:sz w:val="14"/>
                <w:szCs w:val="14"/>
                <w:color w:val="auto"/>
              </w:rPr>
            </w:pPr>
          </w:p>
        </w:tc>
        <w:tc>
          <w:tcPr>
            <w:tcW w:w="1260" w:type="dxa"/>
            <w:vAlign w:val="bottom"/>
            <w:tcBorders>
              <w:top w:val="single" w:sz="8" w:color="FEFEFE"/>
              <w:bottom w:val="single" w:sz="8" w:color="FEFEFE"/>
            </w:tcBorders>
            <w:shd w:val="clear" w:color="auto" w:fill="FEFEFE"/>
          </w:tcPr>
          <w:p>
            <w:pPr>
              <w:spacing w:after="0"/>
              <w:rPr>
                <w:sz w:val="14"/>
                <w:szCs w:val="14"/>
                <w:color w:val="auto"/>
              </w:rPr>
            </w:pPr>
          </w:p>
        </w:tc>
        <w:tc>
          <w:tcPr>
            <w:tcW w:w="122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169"/>
        </w:trPr>
        <w:tc>
          <w:tcPr>
            <w:tcW w:w="1000" w:type="dxa"/>
            <w:vAlign w:val="bottom"/>
            <w:tcBorders>
              <w:bottom w:val="single" w:sz="8" w:color="FEFEFE"/>
            </w:tcBorders>
            <w:shd w:val="clear" w:color="auto" w:fill="FEFEFE"/>
          </w:tcPr>
          <w:p>
            <w:pPr>
              <w:spacing w:after="0"/>
              <w:rPr>
                <w:sz w:val="14"/>
                <w:szCs w:val="14"/>
                <w:color w:val="auto"/>
              </w:rPr>
            </w:pPr>
          </w:p>
        </w:tc>
        <w:tc>
          <w:tcPr>
            <w:tcW w:w="2340" w:type="dxa"/>
            <w:vAlign w:val="bottom"/>
            <w:tcBorders>
              <w:bottom w:val="single" w:sz="8" w:color="0000FF"/>
            </w:tcBorders>
            <w:gridSpan w:val="4"/>
            <w:shd w:val="clear" w:color="auto" w:fill="FEFEFE"/>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2020" w:type="dxa"/>
            <w:vAlign w:val="bottom"/>
            <w:tcBorders>
              <w:bottom w:val="single" w:sz="8" w:color="FEFEFE"/>
            </w:tcBorders>
            <w:gridSpan w:val="16"/>
            <w:shd w:val="clear" w:color="auto" w:fill="FEFEFE"/>
          </w:tcPr>
          <w:p>
            <w:pPr>
              <w:spacing w:after="0"/>
              <w:rPr>
                <w:sz w:val="14"/>
                <w:szCs w:val="14"/>
                <w:color w:val="auto"/>
              </w:rPr>
            </w:pPr>
          </w:p>
        </w:tc>
        <w:tc>
          <w:tcPr>
            <w:tcW w:w="120" w:type="dxa"/>
            <w:vAlign w:val="bottom"/>
            <w:tcBorders>
              <w:bottom w:val="single" w:sz="8" w:color="FEFEFE"/>
            </w:tcBorders>
            <w:gridSpan w:val="4"/>
            <w:shd w:val="clear" w:color="auto" w:fill="FEFEFE"/>
          </w:tcPr>
          <w:p>
            <w:pPr>
              <w:spacing w:after="0"/>
              <w:rPr>
                <w:sz w:val="14"/>
                <w:szCs w:val="14"/>
                <w:color w:val="auto"/>
              </w:rPr>
            </w:pPr>
          </w:p>
        </w:tc>
        <w:tc>
          <w:tcPr>
            <w:tcW w:w="840" w:type="dxa"/>
            <w:vAlign w:val="bottom"/>
            <w:tcBorders>
              <w:bottom w:val="single" w:sz="8" w:color="FEFEFE"/>
            </w:tcBorders>
            <w:shd w:val="clear" w:color="auto" w:fill="FEFEFE"/>
          </w:tcPr>
          <w:p>
            <w:pPr>
              <w:spacing w:after="0"/>
              <w:rPr>
                <w:sz w:val="14"/>
                <w:szCs w:val="14"/>
                <w:color w:val="auto"/>
              </w:rPr>
            </w:pPr>
          </w:p>
        </w:tc>
        <w:tc>
          <w:tcPr>
            <w:tcW w:w="1140" w:type="dxa"/>
            <w:vAlign w:val="bottom"/>
            <w:tcBorders>
              <w:bottom w:val="single" w:sz="8" w:color="FEFEFE"/>
            </w:tcBorders>
            <w:shd w:val="clear" w:color="auto" w:fill="FEFEFE"/>
          </w:tcPr>
          <w:p>
            <w:pPr>
              <w:spacing w:after="0"/>
              <w:rPr>
                <w:sz w:val="14"/>
                <w:szCs w:val="14"/>
                <w:color w:val="auto"/>
              </w:rPr>
            </w:pPr>
          </w:p>
        </w:tc>
        <w:tc>
          <w:tcPr>
            <w:tcW w:w="1300" w:type="dxa"/>
            <w:vAlign w:val="bottom"/>
            <w:tcBorders>
              <w:bottom w:val="single" w:sz="8" w:color="FEFEFE"/>
            </w:tcBorders>
            <w:shd w:val="clear" w:color="auto" w:fill="FEFEFE"/>
          </w:tcPr>
          <w:p>
            <w:pPr>
              <w:spacing w:after="0"/>
              <w:rPr>
                <w:sz w:val="14"/>
                <w:szCs w:val="14"/>
                <w:color w:val="auto"/>
              </w:rPr>
            </w:pPr>
          </w:p>
        </w:tc>
        <w:tc>
          <w:tcPr>
            <w:tcW w:w="1260" w:type="dxa"/>
            <w:vAlign w:val="bottom"/>
            <w:tcBorders>
              <w:bottom w:val="single" w:sz="8" w:color="FEFEFE"/>
            </w:tcBorders>
            <w:shd w:val="clear" w:color="auto" w:fill="FEFEFE"/>
          </w:tcPr>
          <w:p>
            <w:pPr>
              <w:spacing w:after="0"/>
              <w:rPr>
                <w:sz w:val="14"/>
                <w:szCs w:val="14"/>
                <w:color w:val="auto"/>
              </w:rPr>
            </w:pPr>
          </w:p>
        </w:tc>
        <w:tc>
          <w:tcPr>
            <w:tcW w:w="1220" w:type="dxa"/>
            <w:vAlign w:val="bottom"/>
            <w:tcBorders>
              <w:bottom w:val="single" w:sz="8" w:color="FEFEFE"/>
            </w:tcBorders>
            <w:shd w:val="clear" w:color="auto" w:fill="FEFEFE"/>
          </w:tcPr>
          <w:p>
            <w:pPr>
              <w:spacing w:after="0"/>
              <w:rPr>
                <w:sz w:val="14"/>
                <w:szCs w:val="14"/>
                <w:color w:val="auto"/>
              </w:rPr>
            </w:pPr>
          </w:p>
        </w:tc>
      </w:tr>
      <w:tr>
        <w:trPr>
          <w:trHeight w:val="210"/>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32.2</w:t>
            </w:r>
          </w:p>
        </w:tc>
        <w:tc>
          <w:tcPr>
            <w:tcW w:w="4480" w:type="dxa"/>
            <w:vAlign w:val="bottom"/>
            <w:gridSpan w:val="24"/>
            <w:shd w:val="clear" w:color="auto" w:fill="FEFEFE"/>
          </w:tcPr>
          <w:p>
            <w:pPr>
              <w:spacing w:after="0"/>
              <w:rPr>
                <w:sz w:val="20"/>
                <w:szCs w:val="20"/>
                <w:color w:val="auto"/>
              </w:rPr>
            </w:pPr>
            <w:r>
              <w:rPr>
                <w:rFonts w:ascii="Arial" w:cs="Arial" w:eastAsia="Arial" w:hAnsi="Arial"/>
                <w:sz w:val="16"/>
                <w:szCs w:val="16"/>
                <w:color w:val="0000FF"/>
              </w:rPr>
              <w:t>Certification of Co-Principal Executive Officer Pursuant to 18</w:t>
            </w:r>
          </w:p>
        </w:tc>
        <w:tc>
          <w:tcPr>
            <w:tcW w:w="840" w:type="dxa"/>
            <w:vAlign w:val="bottom"/>
            <w:shd w:val="clear" w:color="auto" w:fill="FEFEFE"/>
          </w:tcPr>
          <w:p>
            <w:pPr>
              <w:spacing w:after="0"/>
              <w:rPr>
                <w:sz w:val="18"/>
                <w:szCs w:val="18"/>
                <w:color w:val="auto"/>
              </w:rPr>
            </w:pPr>
          </w:p>
        </w:tc>
        <w:tc>
          <w:tcPr>
            <w:tcW w:w="114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1260" w:type="dxa"/>
            <w:vAlign w:val="bottom"/>
            <w:shd w:val="clear" w:color="auto" w:fill="FEFEFE"/>
          </w:tcPr>
          <w:p>
            <w:pPr>
              <w:spacing w:after="0"/>
              <w:rPr>
                <w:sz w:val="18"/>
                <w:szCs w:val="18"/>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rPr>
              <w:t>XX</w:t>
            </w:r>
          </w:p>
        </w:tc>
      </w:tr>
      <w:tr>
        <w:trPr>
          <w:trHeight w:val="169"/>
        </w:trPr>
        <w:tc>
          <w:tcPr>
            <w:tcW w:w="1000" w:type="dxa"/>
            <w:vAlign w:val="bottom"/>
            <w:tcBorders>
              <w:top w:val="single" w:sz="8" w:color="FEFEFE"/>
            </w:tcBorders>
            <w:shd w:val="clear" w:color="auto" w:fill="FEFEFE"/>
          </w:tcPr>
          <w:p>
            <w:pPr>
              <w:spacing w:after="0"/>
              <w:rPr>
                <w:sz w:val="14"/>
                <w:szCs w:val="14"/>
                <w:color w:val="auto"/>
              </w:rPr>
            </w:pPr>
          </w:p>
        </w:tc>
        <w:tc>
          <w:tcPr>
            <w:tcW w:w="4340" w:type="dxa"/>
            <w:vAlign w:val="bottom"/>
            <w:tcBorders>
              <w:top w:val="single" w:sz="8" w:color="0000FF"/>
            </w:tcBorders>
            <w:gridSpan w:val="19"/>
            <w:shd w:val="clear" w:color="auto" w:fill="FEFEFE"/>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140" w:type="dxa"/>
            <w:vAlign w:val="bottom"/>
            <w:tcBorders>
              <w:top w:val="single" w:sz="8" w:color="FEFEFE"/>
            </w:tcBorders>
            <w:gridSpan w:val="5"/>
            <w:shd w:val="clear" w:color="auto" w:fill="FEFEFE"/>
          </w:tcPr>
          <w:p>
            <w:pPr>
              <w:spacing w:after="0"/>
              <w:rPr>
                <w:sz w:val="14"/>
                <w:szCs w:val="14"/>
                <w:color w:val="auto"/>
              </w:rPr>
            </w:pPr>
          </w:p>
        </w:tc>
        <w:tc>
          <w:tcPr>
            <w:tcW w:w="840" w:type="dxa"/>
            <w:vAlign w:val="bottom"/>
            <w:tcBorders>
              <w:top w:val="single" w:sz="8" w:color="FEFEFE"/>
            </w:tcBorders>
            <w:shd w:val="clear" w:color="auto" w:fill="FEFEFE"/>
          </w:tcPr>
          <w:p>
            <w:pPr>
              <w:spacing w:after="0"/>
              <w:rPr>
                <w:sz w:val="14"/>
                <w:szCs w:val="14"/>
                <w:color w:val="auto"/>
              </w:rPr>
            </w:pPr>
          </w:p>
        </w:tc>
        <w:tc>
          <w:tcPr>
            <w:tcW w:w="1140" w:type="dxa"/>
            <w:vAlign w:val="bottom"/>
            <w:tcBorders>
              <w:top w:val="single" w:sz="8" w:color="FEFEFE"/>
            </w:tcBorders>
            <w:shd w:val="clear" w:color="auto" w:fill="FEFEFE"/>
          </w:tcPr>
          <w:p>
            <w:pPr>
              <w:spacing w:after="0"/>
              <w:rPr>
                <w:sz w:val="14"/>
                <w:szCs w:val="14"/>
                <w:color w:val="auto"/>
              </w:rPr>
            </w:pPr>
          </w:p>
        </w:tc>
        <w:tc>
          <w:tcPr>
            <w:tcW w:w="1300" w:type="dxa"/>
            <w:vAlign w:val="bottom"/>
            <w:tcBorders>
              <w:top w:val="single" w:sz="8" w:color="FEFEFE"/>
            </w:tcBorders>
            <w:shd w:val="clear" w:color="auto" w:fill="FEFEFE"/>
          </w:tcPr>
          <w:p>
            <w:pPr>
              <w:spacing w:after="0"/>
              <w:rPr>
                <w:sz w:val="14"/>
                <w:szCs w:val="14"/>
                <w:color w:val="auto"/>
              </w:rPr>
            </w:pPr>
          </w:p>
        </w:tc>
        <w:tc>
          <w:tcPr>
            <w:tcW w:w="1260" w:type="dxa"/>
            <w:vAlign w:val="bottom"/>
            <w:tcBorders>
              <w:top w:val="single" w:sz="8" w:color="FEFEFE"/>
            </w:tcBorders>
            <w:shd w:val="clear" w:color="auto" w:fill="FEFEFE"/>
          </w:tcPr>
          <w:p>
            <w:pPr>
              <w:spacing w:after="0"/>
              <w:rPr>
                <w:sz w:val="14"/>
                <w:szCs w:val="14"/>
                <w:color w:val="auto"/>
              </w:rPr>
            </w:pPr>
          </w:p>
        </w:tc>
        <w:tc>
          <w:tcPr>
            <w:tcW w:w="1220" w:type="dxa"/>
            <w:vAlign w:val="bottom"/>
            <w:tcBorders>
              <w:top w:val="single" w:sz="8" w:color="FEFEFE"/>
            </w:tcBorders>
            <w:shd w:val="clear" w:color="auto" w:fill="FEFEFE"/>
          </w:tcPr>
          <w:p>
            <w:pPr>
              <w:spacing w:after="0"/>
              <w:rPr>
                <w:sz w:val="14"/>
                <w:szCs w:val="14"/>
                <w:color w:val="auto"/>
              </w:rPr>
            </w:pPr>
          </w:p>
        </w:tc>
      </w:tr>
      <w:tr>
        <w:trPr>
          <w:trHeight w:val="169"/>
        </w:trPr>
        <w:tc>
          <w:tcPr>
            <w:tcW w:w="1000" w:type="dxa"/>
            <w:vAlign w:val="bottom"/>
            <w:tcBorders>
              <w:top w:val="single" w:sz="8" w:color="FEFEFE"/>
              <w:bottom w:val="single" w:sz="8" w:color="FEFEFE"/>
            </w:tcBorders>
            <w:shd w:val="clear" w:color="auto" w:fill="FEFEFE"/>
          </w:tcPr>
          <w:p>
            <w:pPr>
              <w:spacing w:after="0"/>
              <w:rPr>
                <w:sz w:val="14"/>
                <w:szCs w:val="14"/>
                <w:color w:val="auto"/>
              </w:rPr>
            </w:pPr>
          </w:p>
        </w:tc>
        <w:tc>
          <w:tcPr>
            <w:tcW w:w="2340" w:type="dxa"/>
            <w:vAlign w:val="bottom"/>
            <w:tcBorders>
              <w:top w:val="single" w:sz="8" w:color="0000FF"/>
              <w:bottom w:val="single" w:sz="8" w:color="0000FF"/>
            </w:tcBorders>
            <w:gridSpan w:val="4"/>
            <w:shd w:val="clear" w:color="auto" w:fill="FEFEFE"/>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2020" w:type="dxa"/>
            <w:vAlign w:val="bottom"/>
            <w:tcBorders>
              <w:top w:val="single" w:sz="8" w:color="0000FF"/>
              <w:bottom w:val="single" w:sz="8" w:color="FEFEFE"/>
            </w:tcBorders>
            <w:gridSpan w:val="16"/>
            <w:shd w:val="clear" w:color="auto" w:fill="FEFEFE"/>
          </w:tcPr>
          <w:p>
            <w:pPr>
              <w:spacing w:after="0"/>
              <w:rPr>
                <w:sz w:val="14"/>
                <w:szCs w:val="14"/>
                <w:color w:val="auto"/>
              </w:rPr>
            </w:pPr>
          </w:p>
        </w:tc>
        <w:tc>
          <w:tcPr>
            <w:tcW w:w="120" w:type="dxa"/>
            <w:vAlign w:val="bottom"/>
            <w:tcBorders>
              <w:top w:val="single" w:sz="8" w:color="FEFEFE"/>
              <w:bottom w:val="single" w:sz="8" w:color="FEFEFE"/>
            </w:tcBorders>
            <w:gridSpan w:val="4"/>
            <w:shd w:val="clear" w:color="auto" w:fill="FEFEFE"/>
          </w:tcPr>
          <w:p>
            <w:pPr>
              <w:spacing w:after="0"/>
              <w:rPr>
                <w:sz w:val="14"/>
                <w:szCs w:val="14"/>
                <w:color w:val="auto"/>
              </w:rPr>
            </w:pPr>
          </w:p>
        </w:tc>
        <w:tc>
          <w:tcPr>
            <w:tcW w:w="840" w:type="dxa"/>
            <w:vAlign w:val="bottom"/>
            <w:tcBorders>
              <w:top w:val="single" w:sz="8" w:color="FEFEFE"/>
              <w:bottom w:val="single" w:sz="8" w:color="FEFEFE"/>
            </w:tcBorders>
            <w:shd w:val="clear" w:color="auto" w:fill="FEFEFE"/>
          </w:tcPr>
          <w:p>
            <w:pPr>
              <w:spacing w:after="0"/>
              <w:rPr>
                <w:sz w:val="14"/>
                <w:szCs w:val="14"/>
                <w:color w:val="auto"/>
              </w:rPr>
            </w:pPr>
          </w:p>
        </w:tc>
        <w:tc>
          <w:tcPr>
            <w:tcW w:w="1140" w:type="dxa"/>
            <w:vAlign w:val="bottom"/>
            <w:tcBorders>
              <w:top w:val="single" w:sz="8" w:color="FEFEFE"/>
              <w:bottom w:val="single" w:sz="8" w:color="FEFEFE"/>
            </w:tcBorders>
            <w:shd w:val="clear" w:color="auto" w:fill="FEFEFE"/>
          </w:tcPr>
          <w:p>
            <w:pPr>
              <w:spacing w:after="0"/>
              <w:rPr>
                <w:sz w:val="14"/>
                <w:szCs w:val="14"/>
                <w:color w:val="auto"/>
              </w:rPr>
            </w:pPr>
          </w:p>
        </w:tc>
        <w:tc>
          <w:tcPr>
            <w:tcW w:w="1300" w:type="dxa"/>
            <w:vAlign w:val="bottom"/>
            <w:tcBorders>
              <w:top w:val="single" w:sz="8" w:color="FEFEFE"/>
              <w:bottom w:val="single" w:sz="8" w:color="FEFEFE"/>
            </w:tcBorders>
            <w:shd w:val="clear" w:color="auto" w:fill="FEFEFE"/>
          </w:tcPr>
          <w:p>
            <w:pPr>
              <w:spacing w:after="0"/>
              <w:rPr>
                <w:sz w:val="14"/>
                <w:szCs w:val="14"/>
                <w:color w:val="auto"/>
              </w:rPr>
            </w:pPr>
          </w:p>
        </w:tc>
        <w:tc>
          <w:tcPr>
            <w:tcW w:w="1260" w:type="dxa"/>
            <w:vAlign w:val="bottom"/>
            <w:tcBorders>
              <w:top w:val="single" w:sz="8" w:color="FEFEFE"/>
              <w:bottom w:val="single" w:sz="8" w:color="FEFEFE"/>
            </w:tcBorders>
            <w:shd w:val="clear" w:color="auto" w:fill="FEFEFE"/>
          </w:tcPr>
          <w:p>
            <w:pPr>
              <w:spacing w:after="0"/>
              <w:rPr>
                <w:sz w:val="14"/>
                <w:szCs w:val="14"/>
                <w:color w:val="auto"/>
              </w:rPr>
            </w:pPr>
          </w:p>
        </w:tc>
        <w:tc>
          <w:tcPr>
            <w:tcW w:w="122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209"/>
        </w:trPr>
        <w:tc>
          <w:tcPr>
            <w:tcW w:w="1000" w:type="dxa"/>
            <w:vAlign w:val="bottom"/>
            <w:tcBorders>
              <w:bottom w:val="single" w:sz="8" w:color="FEFEFE"/>
            </w:tcBorders>
            <w:shd w:val="clear" w:color="auto" w:fill="FEFEFE"/>
          </w:tcPr>
          <w:p>
            <w:pPr>
              <w:jc w:val="right"/>
              <w:ind w:right="99"/>
              <w:spacing w:after="0"/>
              <w:rPr>
                <w:sz w:val="20"/>
                <w:szCs w:val="20"/>
                <w:color w:val="auto"/>
              </w:rPr>
            </w:pPr>
            <w:r>
              <w:rPr>
                <w:rFonts w:ascii="Arial" w:cs="Arial" w:eastAsia="Arial" w:hAnsi="Arial"/>
                <w:sz w:val="16"/>
                <w:szCs w:val="16"/>
                <w:color w:val="auto"/>
              </w:rPr>
              <w:t>32.3</w:t>
            </w:r>
          </w:p>
        </w:tc>
        <w:tc>
          <w:tcPr>
            <w:tcW w:w="4020" w:type="dxa"/>
            <w:vAlign w:val="bottom"/>
            <w:tcBorders>
              <w:bottom w:val="single" w:sz="8" w:color="0000FF"/>
            </w:tcBorders>
            <w:gridSpan w:val="8"/>
            <w:shd w:val="clear" w:color="auto" w:fill="FEFEFE"/>
          </w:tcPr>
          <w:p>
            <w:pPr>
              <w:spacing w:after="0"/>
              <w:rPr>
                <w:sz w:val="20"/>
                <w:szCs w:val="20"/>
                <w:color w:val="auto"/>
              </w:rPr>
            </w:pPr>
            <w:r>
              <w:rPr>
                <w:rFonts w:ascii="Arial" w:cs="Arial" w:eastAsia="Arial" w:hAnsi="Arial"/>
                <w:sz w:val="16"/>
                <w:szCs w:val="16"/>
                <w:color w:val="0000FF"/>
              </w:rPr>
              <w:t>Certification of Principal Financial Officer Pursuant to 18</w:t>
            </w:r>
          </w:p>
        </w:tc>
        <w:tc>
          <w:tcPr>
            <w:tcW w:w="460" w:type="dxa"/>
            <w:vAlign w:val="bottom"/>
            <w:tcBorders>
              <w:bottom w:val="single" w:sz="8" w:color="FEFEFE"/>
            </w:tcBorders>
            <w:gridSpan w:val="16"/>
            <w:shd w:val="clear" w:color="auto" w:fill="FEFEFE"/>
          </w:tcPr>
          <w:p>
            <w:pPr>
              <w:spacing w:after="0"/>
              <w:rPr>
                <w:sz w:val="18"/>
                <w:szCs w:val="18"/>
                <w:color w:val="auto"/>
              </w:rPr>
            </w:pPr>
          </w:p>
        </w:tc>
        <w:tc>
          <w:tcPr>
            <w:tcW w:w="840" w:type="dxa"/>
            <w:vAlign w:val="bottom"/>
            <w:tcBorders>
              <w:bottom w:val="single" w:sz="8" w:color="FEFEFE"/>
            </w:tcBorders>
            <w:shd w:val="clear" w:color="auto" w:fill="FEFEFE"/>
          </w:tcPr>
          <w:p>
            <w:pPr>
              <w:spacing w:after="0"/>
              <w:rPr>
                <w:sz w:val="18"/>
                <w:szCs w:val="18"/>
                <w:color w:val="auto"/>
              </w:rPr>
            </w:pPr>
          </w:p>
        </w:tc>
        <w:tc>
          <w:tcPr>
            <w:tcW w:w="1140" w:type="dxa"/>
            <w:vAlign w:val="bottom"/>
            <w:tcBorders>
              <w:bottom w:val="single" w:sz="8" w:color="FEFEFE"/>
            </w:tcBorders>
            <w:shd w:val="clear" w:color="auto" w:fill="FEFEFE"/>
          </w:tcPr>
          <w:p>
            <w:pPr>
              <w:spacing w:after="0"/>
              <w:rPr>
                <w:sz w:val="18"/>
                <w:szCs w:val="18"/>
                <w:color w:val="auto"/>
              </w:rPr>
            </w:pPr>
          </w:p>
        </w:tc>
        <w:tc>
          <w:tcPr>
            <w:tcW w:w="1300" w:type="dxa"/>
            <w:vAlign w:val="bottom"/>
            <w:tcBorders>
              <w:bottom w:val="single" w:sz="8" w:color="FEFEFE"/>
            </w:tcBorders>
            <w:shd w:val="clear" w:color="auto" w:fill="FEFEFE"/>
          </w:tcPr>
          <w:p>
            <w:pPr>
              <w:spacing w:after="0"/>
              <w:rPr>
                <w:sz w:val="18"/>
                <w:szCs w:val="18"/>
                <w:color w:val="auto"/>
              </w:rPr>
            </w:pPr>
          </w:p>
        </w:tc>
        <w:tc>
          <w:tcPr>
            <w:tcW w:w="1260" w:type="dxa"/>
            <w:vAlign w:val="bottom"/>
            <w:tcBorders>
              <w:bottom w:val="single" w:sz="8" w:color="FEFEFE"/>
            </w:tcBorders>
            <w:shd w:val="clear" w:color="auto" w:fill="FEFEFE"/>
          </w:tcPr>
          <w:p>
            <w:pPr>
              <w:spacing w:after="0"/>
              <w:rPr>
                <w:sz w:val="18"/>
                <w:szCs w:val="18"/>
                <w:color w:val="auto"/>
              </w:rPr>
            </w:pPr>
          </w:p>
        </w:tc>
        <w:tc>
          <w:tcPr>
            <w:tcW w:w="12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6"/>
                <w:szCs w:val="16"/>
                <w:color w:val="auto"/>
              </w:rPr>
              <w:t>XX</w:t>
            </w:r>
          </w:p>
        </w:tc>
      </w:tr>
      <w:tr>
        <w:trPr>
          <w:trHeight w:val="169"/>
        </w:trPr>
        <w:tc>
          <w:tcPr>
            <w:tcW w:w="1000" w:type="dxa"/>
            <w:vAlign w:val="bottom"/>
            <w:shd w:val="clear" w:color="auto" w:fill="FEFEFE"/>
          </w:tcPr>
          <w:p>
            <w:pPr>
              <w:spacing w:after="0"/>
              <w:rPr>
                <w:sz w:val="14"/>
                <w:szCs w:val="14"/>
                <w:color w:val="auto"/>
              </w:rPr>
            </w:pPr>
          </w:p>
        </w:tc>
        <w:tc>
          <w:tcPr>
            <w:tcW w:w="4480" w:type="dxa"/>
            <w:vAlign w:val="bottom"/>
            <w:gridSpan w:val="24"/>
            <w:shd w:val="clear" w:color="auto" w:fill="FEFEFE"/>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840" w:type="dxa"/>
            <w:vAlign w:val="bottom"/>
            <w:shd w:val="clear" w:color="auto" w:fill="FEFEFE"/>
          </w:tcPr>
          <w:p>
            <w:pPr>
              <w:spacing w:after="0"/>
              <w:rPr>
                <w:sz w:val="14"/>
                <w:szCs w:val="14"/>
                <w:color w:val="auto"/>
              </w:rPr>
            </w:pPr>
          </w:p>
        </w:tc>
        <w:tc>
          <w:tcPr>
            <w:tcW w:w="1140" w:type="dxa"/>
            <w:vAlign w:val="bottom"/>
            <w:shd w:val="clear" w:color="auto" w:fill="FEFEFE"/>
          </w:tcPr>
          <w:p>
            <w:pPr>
              <w:spacing w:after="0"/>
              <w:rPr>
                <w:sz w:val="14"/>
                <w:szCs w:val="14"/>
                <w:color w:val="auto"/>
              </w:rPr>
            </w:pPr>
          </w:p>
        </w:tc>
        <w:tc>
          <w:tcPr>
            <w:tcW w:w="1300" w:type="dxa"/>
            <w:vAlign w:val="bottom"/>
            <w:shd w:val="clear" w:color="auto" w:fill="FEFEFE"/>
          </w:tcPr>
          <w:p>
            <w:pPr>
              <w:spacing w:after="0"/>
              <w:rPr>
                <w:sz w:val="14"/>
                <w:szCs w:val="14"/>
                <w:color w:val="auto"/>
              </w:rPr>
            </w:pPr>
          </w:p>
        </w:tc>
        <w:tc>
          <w:tcPr>
            <w:tcW w:w="1260" w:type="dxa"/>
            <w:vAlign w:val="bottom"/>
            <w:shd w:val="clear" w:color="auto" w:fill="FEFEFE"/>
          </w:tcPr>
          <w:p>
            <w:pPr>
              <w:spacing w:after="0"/>
              <w:rPr>
                <w:sz w:val="14"/>
                <w:szCs w:val="14"/>
                <w:color w:val="auto"/>
              </w:rPr>
            </w:pPr>
          </w:p>
        </w:tc>
        <w:tc>
          <w:tcPr>
            <w:tcW w:w="1220" w:type="dxa"/>
            <w:vAlign w:val="bottom"/>
            <w:shd w:val="clear" w:color="auto" w:fill="FEFEFE"/>
          </w:tcPr>
          <w:p>
            <w:pPr>
              <w:spacing w:after="0"/>
              <w:rPr>
                <w:sz w:val="14"/>
                <w:szCs w:val="14"/>
                <w:color w:val="auto"/>
              </w:rPr>
            </w:pPr>
          </w:p>
        </w:tc>
      </w:tr>
      <w:tr>
        <w:trPr>
          <w:trHeight w:val="169"/>
        </w:trPr>
        <w:tc>
          <w:tcPr>
            <w:tcW w:w="1000" w:type="dxa"/>
            <w:vAlign w:val="bottom"/>
            <w:tcBorders>
              <w:top w:val="single" w:sz="8" w:color="FEFEFE"/>
              <w:bottom w:val="single" w:sz="8" w:color="FEFEFE"/>
            </w:tcBorders>
            <w:shd w:val="clear" w:color="auto" w:fill="FEFEFE"/>
          </w:tcPr>
          <w:p>
            <w:pPr>
              <w:spacing w:after="0"/>
              <w:rPr>
                <w:sz w:val="14"/>
                <w:szCs w:val="14"/>
                <w:color w:val="auto"/>
              </w:rPr>
            </w:pPr>
          </w:p>
        </w:tc>
        <w:tc>
          <w:tcPr>
            <w:tcW w:w="2340" w:type="dxa"/>
            <w:vAlign w:val="bottom"/>
            <w:tcBorders>
              <w:top w:val="single" w:sz="8" w:color="0000FF"/>
              <w:bottom w:val="single" w:sz="8" w:color="0000FF"/>
            </w:tcBorders>
            <w:gridSpan w:val="4"/>
            <w:shd w:val="clear" w:color="auto" w:fill="FEFEFE"/>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2020" w:type="dxa"/>
            <w:vAlign w:val="bottom"/>
            <w:tcBorders>
              <w:top w:val="single" w:sz="8" w:color="0000FF"/>
              <w:bottom w:val="single" w:sz="8" w:color="FEFEFE"/>
            </w:tcBorders>
            <w:gridSpan w:val="16"/>
            <w:shd w:val="clear" w:color="auto" w:fill="FEFEFE"/>
          </w:tcPr>
          <w:p>
            <w:pPr>
              <w:spacing w:after="0"/>
              <w:rPr>
                <w:sz w:val="14"/>
                <w:szCs w:val="14"/>
                <w:color w:val="auto"/>
              </w:rPr>
            </w:pPr>
          </w:p>
        </w:tc>
        <w:tc>
          <w:tcPr>
            <w:tcW w:w="120" w:type="dxa"/>
            <w:vAlign w:val="bottom"/>
            <w:tcBorders>
              <w:top w:val="single" w:sz="8" w:color="FEFEFE"/>
              <w:bottom w:val="single" w:sz="8" w:color="FEFEFE"/>
            </w:tcBorders>
            <w:gridSpan w:val="4"/>
            <w:shd w:val="clear" w:color="auto" w:fill="FEFEFE"/>
          </w:tcPr>
          <w:p>
            <w:pPr>
              <w:spacing w:after="0"/>
              <w:rPr>
                <w:sz w:val="14"/>
                <w:szCs w:val="14"/>
                <w:color w:val="auto"/>
              </w:rPr>
            </w:pPr>
          </w:p>
        </w:tc>
        <w:tc>
          <w:tcPr>
            <w:tcW w:w="840" w:type="dxa"/>
            <w:vAlign w:val="bottom"/>
            <w:tcBorders>
              <w:top w:val="single" w:sz="8" w:color="FEFEFE"/>
              <w:bottom w:val="single" w:sz="8" w:color="FEFEFE"/>
            </w:tcBorders>
            <w:shd w:val="clear" w:color="auto" w:fill="FEFEFE"/>
          </w:tcPr>
          <w:p>
            <w:pPr>
              <w:spacing w:after="0"/>
              <w:rPr>
                <w:sz w:val="14"/>
                <w:szCs w:val="14"/>
                <w:color w:val="auto"/>
              </w:rPr>
            </w:pPr>
          </w:p>
        </w:tc>
        <w:tc>
          <w:tcPr>
            <w:tcW w:w="1140" w:type="dxa"/>
            <w:vAlign w:val="bottom"/>
            <w:tcBorders>
              <w:top w:val="single" w:sz="8" w:color="FEFEFE"/>
              <w:bottom w:val="single" w:sz="8" w:color="FEFEFE"/>
            </w:tcBorders>
            <w:shd w:val="clear" w:color="auto" w:fill="FEFEFE"/>
          </w:tcPr>
          <w:p>
            <w:pPr>
              <w:spacing w:after="0"/>
              <w:rPr>
                <w:sz w:val="14"/>
                <w:szCs w:val="14"/>
                <w:color w:val="auto"/>
              </w:rPr>
            </w:pPr>
          </w:p>
        </w:tc>
        <w:tc>
          <w:tcPr>
            <w:tcW w:w="1300" w:type="dxa"/>
            <w:vAlign w:val="bottom"/>
            <w:tcBorders>
              <w:top w:val="single" w:sz="8" w:color="FEFEFE"/>
              <w:bottom w:val="single" w:sz="8" w:color="FEFEFE"/>
            </w:tcBorders>
            <w:shd w:val="clear" w:color="auto" w:fill="FEFEFE"/>
          </w:tcPr>
          <w:p>
            <w:pPr>
              <w:spacing w:after="0"/>
              <w:rPr>
                <w:sz w:val="14"/>
                <w:szCs w:val="14"/>
                <w:color w:val="auto"/>
              </w:rPr>
            </w:pPr>
          </w:p>
        </w:tc>
        <w:tc>
          <w:tcPr>
            <w:tcW w:w="1260" w:type="dxa"/>
            <w:vAlign w:val="bottom"/>
            <w:tcBorders>
              <w:top w:val="single" w:sz="8" w:color="FEFEFE"/>
              <w:bottom w:val="single" w:sz="8" w:color="FEFEFE"/>
            </w:tcBorders>
            <w:shd w:val="clear" w:color="auto" w:fill="FEFEFE"/>
          </w:tcPr>
          <w:p>
            <w:pPr>
              <w:spacing w:after="0"/>
              <w:rPr>
                <w:sz w:val="14"/>
                <w:szCs w:val="14"/>
                <w:color w:val="auto"/>
              </w:rPr>
            </w:pPr>
          </w:p>
        </w:tc>
        <w:tc>
          <w:tcPr>
            <w:tcW w:w="122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209"/>
        </w:trPr>
        <w:tc>
          <w:tcPr>
            <w:tcW w:w="1000" w:type="dxa"/>
            <w:vAlign w:val="bottom"/>
            <w:tcBorders>
              <w:bottom w:val="single" w:sz="8" w:color="FEFEFE"/>
            </w:tcBorders>
            <w:shd w:val="clear" w:color="auto" w:fill="FEFEFE"/>
          </w:tcPr>
          <w:p>
            <w:pPr>
              <w:jc w:val="right"/>
              <w:ind w:right="99"/>
              <w:spacing w:after="0"/>
              <w:rPr>
                <w:sz w:val="20"/>
                <w:szCs w:val="20"/>
                <w:color w:val="auto"/>
              </w:rPr>
            </w:pPr>
            <w:r>
              <w:rPr>
                <w:rFonts w:ascii="Arial" w:cs="Arial" w:eastAsia="Arial" w:hAnsi="Arial"/>
                <w:sz w:val="16"/>
                <w:szCs w:val="16"/>
                <w:color w:val="auto"/>
              </w:rPr>
              <w:t>97.1†</w:t>
            </w:r>
          </w:p>
        </w:tc>
        <w:tc>
          <w:tcPr>
            <w:tcW w:w="3920" w:type="dxa"/>
            <w:vAlign w:val="bottom"/>
            <w:tcBorders>
              <w:bottom w:val="single" w:sz="8" w:color="0000FF"/>
            </w:tcBorders>
            <w:gridSpan w:val="7"/>
            <w:shd w:val="clear" w:color="auto" w:fill="FEFEFE"/>
          </w:tcPr>
          <w:p>
            <w:pPr>
              <w:spacing w:after="0"/>
              <w:rPr>
                <w:sz w:val="20"/>
                <w:szCs w:val="20"/>
                <w:color w:val="auto"/>
              </w:rPr>
            </w:pPr>
            <w:r>
              <w:rPr>
                <w:rFonts w:ascii="Arial" w:cs="Arial" w:eastAsia="Arial" w:hAnsi="Arial"/>
                <w:sz w:val="16"/>
                <w:szCs w:val="16"/>
                <w:color w:val="0000FF"/>
              </w:rPr>
              <w:t>Policy for Recovery of Incentive-Based Compensation.</w:t>
            </w:r>
          </w:p>
        </w:tc>
        <w:tc>
          <w:tcPr>
            <w:tcW w:w="560" w:type="dxa"/>
            <w:vAlign w:val="bottom"/>
            <w:tcBorders>
              <w:bottom w:val="single" w:sz="8" w:color="FEFEFE"/>
            </w:tcBorders>
            <w:gridSpan w:val="17"/>
            <w:shd w:val="clear" w:color="auto" w:fill="FEFEFE"/>
          </w:tcPr>
          <w:p>
            <w:pPr>
              <w:spacing w:after="0"/>
              <w:rPr>
                <w:sz w:val="18"/>
                <w:szCs w:val="18"/>
                <w:color w:val="auto"/>
              </w:rPr>
            </w:pPr>
          </w:p>
        </w:tc>
        <w:tc>
          <w:tcPr>
            <w:tcW w:w="840" w:type="dxa"/>
            <w:vAlign w:val="bottom"/>
            <w:tcBorders>
              <w:bottom w:val="single" w:sz="8" w:color="FEFEFE"/>
            </w:tcBorders>
            <w:shd w:val="clear" w:color="auto" w:fill="FEFEFE"/>
          </w:tcPr>
          <w:p>
            <w:pPr>
              <w:spacing w:after="0"/>
              <w:rPr>
                <w:sz w:val="18"/>
                <w:szCs w:val="18"/>
                <w:color w:val="auto"/>
              </w:rPr>
            </w:pPr>
          </w:p>
        </w:tc>
        <w:tc>
          <w:tcPr>
            <w:tcW w:w="1140" w:type="dxa"/>
            <w:vAlign w:val="bottom"/>
            <w:tcBorders>
              <w:bottom w:val="single" w:sz="8" w:color="FEFEFE"/>
            </w:tcBorders>
            <w:shd w:val="clear" w:color="auto" w:fill="FEFEFE"/>
          </w:tcPr>
          <w:p>
            <w:pPr>
              <w:spacing w:after="0"/>
              <w:rPr>
                <w:sz w:val="18"/>
                <w:szCs w:val="18"/>
                <w:color w:val="auto"/>
              </w:rPr>
            </w:pPr>
          </w:p>
        </w:tc>
        <w:tc>
          <w:tcPr>
            <w:tcW w:w="1300" w:type="dxa"/>
            <w:vAlign w:val="bottom"/>
            <w:tcBorders>
              <w:bottom w:val="single" w:sz="8" w:color="FEFEFE"/>
            </w:tcBorders>
            <w:shd w:val="clear" w:color="auto" w:fill="FEFEFE"/>
          </w:tcPr>
          <w:p>
            <w:pPr>
              <w:spacing w:after="0"/>
              <w:rPr>
                <w:sz w:val="18"/>
                <w:szCs w:val="18"/>
                <w:color w:val="auto"/>
              </w:rPr>
            </w:pPr>
          </w:p>
        </w:tc>
        <w:tc>
          <w:tcPr>
            <w:tcW w:w="1260" w:type="dxa"/>
            <w:vAlign w:val="bottom"/>
            <w:tcBorders>
              <w:bottom w:val="single" w:sz="8" w:color="FEFEFE"/>
            </w:tcBorders>
            <w:shd w:val="clear" w:color="auto" w:fill="FEFEFE"/>
          </w:tcPr>
          <w:p>
            <w:pPr>
              <w:spacing w:after="0"/>
              <w:rPr>
                <w:sz w:val="18"/>
                <w:szCs w:val="18"/>
                <w:color w:val="auto"/>
              </w:rPr>
            </w:pPr>
          </w:p>
        </w:tc>
        <w:tc>
          <w:tcPr>
            <w:tcW w:w="12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262"/>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101.SCH</w:t>
            </w:r>
          </w:p>
        </w:tc>
        <w:tc>
          <w:tcPr>
            <w:tcW w:w="4480" w:type="dxa"/>
            <w:vAlign w:val="bottom"/>
            <w:gridSpan w:val="24"/>
            <w:shd w:val="clear" w:color="auto" w:fill="FEFEFE"/>
          </w:tcPr>
          <w:p>
            <w:pPr>
              <w:spacing w:after="0"/>
              <w:rPr>
                <w:sz w:val="20"/>
                <w:szCs w:val="20"/>
                <w:color w:val="auto"/>
              </w:rPr>
            </w:pPr>
            <w:r>
              <w:rPr>
                <w:rFonts w:ascii="Arial" w:cs="Arial" w:eastAsia="Arial" w:hAnsi="Arial"/>
                <w:sz w:val="16"/>
                <w:szCs w:val="16"/>
                <w:color w:val="auto"/>
              </w:rPr>
              <w:t>Inline XBRL Taxonomy Extension Schema Document.</w:t>
            </w:r>
          </w:p>
        </w:tc>
        <w:tc>
          <w:tcPr>
            <w:tcW w:w="840" w:type="dxa"/>
            <w:vAlign w:val="bottom"/>
            <w:shd w:val="clear" w:color="auto" w:fill="FEFEFE"/>
          </w:tcPr>
          <w:p>
            <w:pPr>
              <w:spacing w:after="0"/>
              <w:rPr>
                <w:sz w:val="22"/>
                <w:szCs w:val="22"/>
                <w:color w:val="auto"/>
              </w:rPr>
            </w:pPr>
          </w:p>
        </w:tc>
        <w:tc>
          <w:tcPr>
            <w:tcW w:w="1140" w:type="dxa"/>
            <w:vAlign w:val="bottom"/>
            <w:shd w:val="clear" w:color="auto" w:fill="FEFEFE"/>
          </w:tcPr>
          <w:p>
            <w:pPr>
              <w:spacing w:after="0"/>
              <w:rPr>
                <w:sz w:val="22"/>
                <w:szCs w:val="22"/>
                <w:color w:val="auto"/>
              </w:rPr>
            </w:pPr>
          </w:p>
        </w:tc>
        <w:tc>
          <w:tcPr>
            <w:tcW w:w="1300" w:type="dxa"/>
            <w:vAlign w:val="bottom"/>
            <w:shd w:val="clear" w:color="auto" w:fill="FEFEFE"/>
          </w:tcPr>
          <w:p>
            <w:pPr>
              <w:spacing w:after="0"/>
              <w:rPr>
                <w:sz w:val="22"/>
                <w:szCs w:val="22"/>
                <w:color w:val="auto"/>
              </w:rPr>
            </w:pPr>
          </w:p>
        </w:tc>
        <w:tc>
          <w:tcPr>
            <w:tcW w:w="1260" w:type="dxa"/>
            <w:vAlign w:val="bottom"/>
            <w:shd w:val="clear" w:color="auto" w:fill="FEFEFE"/>
          </w:tcPr>
          <w:p>
            <w:pPr>
              <w:spacing w:after="0"/>
              <w:rPr>
                <w:sz w:val="22"/>
                <w:szCs w:val="22"/>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217"/>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101.CAL</w:t>
            </w:r>
          </w:p>
        </w:tc>
        <w:tc>
          <w:tcPr>
            <w:tcW w:w="4480" w:type="dxa"/>
            <w:vAlign w:val="bottom"/>
            <w:gridSpan w:val="24"/>
            <w:shd w:val="clear" w:color="auto" w:fill="FEFEFE"/>
          </w:tcPr>
          <w:p>
            <w:pPr>
              <w:spacing w:after="0"/>
              <w:rPr>
                <w:sz w:val="20"/>
                <w:szCs w:val="20"/>
                <w:color w:val="auto"/>
              </w:rPr>
            </w:pPr>
            <w:r>
              <w:rPr>
                <w:rFonts w:ascii="Arial" w:cs="Arial" w:eastAsia="Arial" w:hAnsi="Arial"/>
                <w:sz w:val="16"/>
                <w:szCs w:val="16"/>
                <w:color w:val="auto"/>
              </w:rPr>
              <w:t>Inline XBRL Taxonomy Extension Calculation Linkbase</w:t>
            </w:r>
          </w:p>
        </w:tc>
        <w:tc>
          <w:tcPr>
            <w:tcW w:w="840" w:type="dxa"/>
            <w:vAlign w:val="bottom"/>
            <w:shd w:val="clear" w:color="auto" w:fill="FEFEFE"/>
          </w:tcPr>
          <w:p>
            <w:pPr>
              <w:spacing w:after="0"/>
              <w:rPr>
                <w:sz w:val="18"/>
                <w:szCs w:val="18"/>
                <w:color w:val="auto"/>
              </w:rPr>
            </w:pPr>
          </w:p>
        </w:tc>
        <w:tc>
          <w:tcPr>
            <w:tcW w:w="114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1260" w:type="dxa"/>
            <w:vAlign w:val="bottom"/>
            <w:shd w:val="clear" w:color="auto" w:fill="FEFEFE"/>
          </w:tcPr>
          <w:p>
            <w:pPr>
              <w:spacing w:after="0"/>
              <w:rPr>
                <w:sz w:val="18"/>
                <w:szCs w:val="18"/>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215"/>
        </w:trPr>
        <w:tc>
          <w:tcPr>
            <w:tcW w:w="1000" w:type="dxa"/>
            <w:vAlign w:val="bottom"/>
            <w:shd w:val="clear" w:color="auto" w:fill="FEFEFE"/>
          </w:tcPr>
          <w:p>
            <w:pPr>
              <w:spacing w:after="0"/>
              <w:rPr>
                <w:sz w:val="18"/>
                <w:szCs w:val="18"/>
                <w:color w:val="auto"/>
              </w:rPr>
            </w:pPr>
          </w:p>
        </w:tc>
        <w:tc>
          <w:tcPr>
            <w:tcW w:w="4480" w:type="dxa"/>
            <w:vAlign w:val="bottom"/>
            <w:gridSpan w:val="24"/>
            <w:shd w:val="clear" w:color="auto" w:fill="FEFEFE"/>
          </w:tcPr>
          <w:p>
            <w:pPr>
              <w:spacing w:after="0"/>
              <w:rPr>
                <w:sz w:val="20"/>
                <w:szCs w:val="20"/>
                <w:color w:val="auto"/>
              </w:rPr>
            </w:pPr>
            <w:r>
              <w:rPr>
                <w:rFonts w:ascii="Arial" w:cs="Arial" w:eastAsia="Arial" w:hAnsi="Arial"/>
                <w:sz w:val="16"/>
                <w:szCs w:val="16"/>
                <w:color w:val="auto"/>
              </w:rPr>
              <w:t>Document.</w:t>
            </w:r>
          </w:p>
        </w:tc>
        <w:tc>
          <w:tcPr>
            <w:tcW w:w="840" w:type="dxa"/>
            <w:vAlign w:val="bottom"/>
            <w:shd w:val="clear" w:color="auto" w:fill="FEFEFE"/>
          </w:tcPr>
          <w:p>
            <w:pPr>
              <w:spacing w:after="0"/>
              <w:rPr>
                <w:sz w:val="18"/>
                <w:szCs w:val="18"/>
                <w:color w:val="auto"/>
              </w:rPr>
            </w:pPr>
          </w:p>
        </w:tc>
        <w:tc>
          <w:tcPr>
            <w:tcW w:w="114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1260" w:type="dxa"/>
            <w:vAlign w:val="bottom"/>
            <w:shd w:val="clear" w:color="auto" w:fill="FEFEFE"/>
          </w:tcPr>
          <w:p>
            <w:pPr>
              <w:spacing w:after="0"/>
              <w:rPr>
                <w:sz w:val="18"/>
                <w:szCs w:val="18"/>
                <w:color w:val="auto"/>
              </w:rPr>
            </w:pPr>
          </w:p>
        </w:tc>
        <w:tc>
          <w:tcPr>
            <w:tcW w:w="1220" w:type="dxa"/>
            <w:vAlign w:val="bottom"/>
            <w:shd w:val="clear" w:color="auto" w:fill="FEFEFE"/>
          </w:tcPr>
          <w:p>
            <w:pPr>
              <w:spacing w:after="0"/>
              <w:rPr>
                <w:sz w:val="18"/>
                <w:szCs w:val="18"/>
                <w:color w:val="auto"/>
              </w:rPr>
            </w:pPr>
          </w:p>
        </w:tc>
      </w:tr>
      <w:tr>
        <w:trPr>
          <w:trHeight w:val="217"/>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101.DEF</w:t>
            </w:r>
          </w:p>
        </w:tc>
        <w:tc>
          <w:tcPr>
            <w:tcW w:w="4480" w:type="dxa"/>
            <w:vAlign w:val="bottom"/>
            <w:gridSpan w:val="24"/>
            <w:shd w:val="clear" w:color="auto" w:fill="FEFEFE"/>
          </w:tcPr>
          <w:p>
            <w:pPr>
              <w:spacing w:after="0"/>
              <w:rPr>
                <w:sz w:val="20"/>
                <w:szCs w:val="20"/>
                <w:color w:val="auto"/>
              </w:rPr>
            </w:pPr>
            <w:r>
              <w:rPr>
                <w:rFonts w:ascii="Arial" w:cs="Arial" w:eastAsia="Arial" w:hAnsi="Arial"/>
                <w:sz w:val="16"/>
                <w:szCs w:val="16"/>
                <w:color w:val="auto"/>
              </w:rPr>
              <w:t>Inline XBRL Taxonomy Extension Definition Linkbase</w:t>
            </w:r>
          </w:p>
        </w:tc>
        <w:tc>
          <w:tcPr>
            <w:tcW w:w="840" w:type="dxa"/>
            <w:vAlign w:val="bottom"/>
            <w:shd w:val="clear" w:color="auto" w:fill="FEFEFE"/>
          </w:tcPr>
          <w:p>
            <w:pPr>
              <w:spacing w:after="0"/>
              <w:rPr>
                <w:sz w:val="18"/>
                <w:szCs w:val="18"/>
                <w:color w:val="auto"/>
              </w:rPr>
            </w:pPr>
          </w:p>
        </w:tc>
        <w:tc>
          <w:tcPr>
            <w:tcW w:w="114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1260" w:type="dxa"/>
            <w:vAlign w:val="bottom"/>
            <w:shd w:val="clear" w:color="auto" w:fill="FEFEFE"/>
          </w:tcPr>
          <w:p>
            <w:pPr>
              <w:spacing w:after="0"/>
              <w:rPr>
                <w:sz w:val="18"/>
                <w:szCs w:val="18"/>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215"/>
        </w:trPr>
        <w:tc>
          <w:tcPr>
            <w:tcW w:w="1000" w:type="dxa"/>
            <w:vAlign w:val="bottom"/>
            <w:shd w:val="clear" w:color="auto" w:fill="FEFEFE"/>
          </w:tcPr>
          <w:p>
            <w:pPr>
              <w:spacing w:after="0"/>
              <w:rPr>
                <w:sz w:val="18"/>
                <w:szCs w:val="18"/>
                <w:color w:val="auto"/>
              </w:rPr>
            </w:pPr>
          </w:p>
        </w:tc>
        <w:tc>
          <w:tcPr>
            <w:tcW w:w="4480" w:type="dxa"/>
            <w:vAlign w:val="bottom"/>
            <w:gridSpan w:val="24"/>
            <w:shd w:val="clear" w:color="auto" w:fill="FEFEFE"/>
          </w:tcPr>
          <w:p>
            <w:pPr>
              <w:spacing w:after="0"/>
              <w:rPr>
                <w:sz w:val="20"/>
                <w:szCs w:val="20"/>
                <w:color w:val="auto"/>
              </w:rPr>
            </w:pPr>
            <w:r>
              <w:rPr>
                <w:rFonts w:ascii="Arial" w:cs="Arial" w:eastAsia="Arial" w:hAnsi="Arial"/>
                <w:sz w:val="16"/>
                <w:szCs w:val="16"/>
                <w:color w:val="auto"/>
              </w:rPr>
              <w:t>Document.</w:t>
            </w:r>
          </w:p>
        </w:tc>
        <w:tc>
          <w:tcPr>
            <w:tcW w:w="840" w:type="dxa"/>
            <w:vAlign w:val="bottom"/>
            <w:shd w:val="clear" w:color="auto" w:fill="FEFEFE"/>
          </w:tcPr>
          <w:p>
            <w:pPr>
              <w:spacing w:after="0"/>
              <w:rPr>
                <w:sz w:val="18"/>
                <w:szCs w:val="18"/>
                <w:color w:val="auto"/>
              </w:rPr>
            </w:pPr>
          </w:p>
        </w:tc>
        <w:tc>
          <w:tcPr>
            <w:tcW w:w="114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1260" w:type="dxa"/>
            <w:vAlign w:val="bottom"/>
            <w:shd w:val="clear" w:color="auto" w:fill="FEFEFE"/>
          </w:tcPr>
          <w:p>
            <w:pPr>
              <w:spacing w:after="0"/>
              <w:rPr>
                <w:sz w:val="18"/>
                <w:szCs w:val="18"/>
                <w:color w:val="auto"/>
              </w:rPr>
            </w:pPr>
          </w:p>
        </w:tc>
        <w:tc>
          <w:tcPr>
            <w:tcW w:w="1220" w:type="dxa"/>
            <w:vAlign w:val="bottom"/>
            <w:shd w:val="clear" w:color="auto" w:fill="FEFEFE"/>
          </w:tcPr>
          <w:p>
            <w:pPr>
              <w:spacing w:after="0"/>
              <w:rPr>
                <w:sz w:val="18"/>
                <w:szCs w:val="18"/>
                <w:color w:val="auto"/>
              </w:rPr>
            </w:pPr>
          </w:p>
        </w:tc>
      </w:tr>
      <w:tr>
        <w:trPr>
          <w:trHeight w:val="243"/>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101.LAB</w:t>
            </w:r>
          </w:p>
        </w:tc>
        <w:tc>
          <w:tcPr>
            <w:tcW w:w="4480" w:type="dxa"/>
            <w:vAlign w:val="bottom"/>
            <w:gridSpan w:val="24"/>
            <w:shd w:val="clear" w:color="auto" w:fill="FEFEFE"/>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40" w:type="dxa"/>
            <w:vAlign w:val="bottom"/>
            <w:shd w:val="clear" w:color="auto" w:fill="FEFEFE"/>
          </w:tcPr>
          <w:p>
            <w:pPr>
              <w:spacing w:after="0"/>
              <w:rPr>
                <w:sz w:val="21"/>
                <w:szCs w:val="21"/>
                <w:color w:val="auto"/>
              </w:rPr>
            </w:pPr>
          </w:p>
        </w:tc>
        <w:tc>
          <w:tcPr>
            <w:tcW w:w="1140" w:type="dxa"/>
            <w:vAlign w:val="bottom"/>
            <w:shd w:val="clear" w:color="auto" w:fill="FEFEFE"/>
          </w:tcPr>
          <w:p>
            <w:pPr>
              <w:spacing w:after="0"/>
              <w:rPr>
                <w:sz w:val="21"/>
                <w:szCs w:val="21"/>
                <w:color w:val="auto"/>
              </w:rPr>
            </w:pPr>
          </w:p>
        </w:tc>
        <w:tc>
          <w:tcPr>
            <w:tcW w:w="1300" w:type="dxa"/>
            <w:vAlign w:val="bottom"/>
            <w:shd w:val="clear" w:color="auto" w:fill="FEFEFE"/>
          </w:tcPr>
          <w:p>
            <w:pPr>
              <w:spacing w:after="0"/>
              <w:rPr>
                <w:sz w:val="21"/>
                <w:szCs w:val="21"/>
                <w:color w:val="auto"/>
              </w:rPr>
            </w:pPr>
          </w:p>
        </w:tc>
        <w:tc>
          <w:tcPr>
            <w:tcW w:w="1260" w:type="dxa"/>
            <w:vAlign w:val="bottom"/>
            <w:shd w:val="clear" w:color="auto" w:fill="FEFEFE"/>
          </w:tcPr>
          <w:p>
            <w:pPr>
              <w:spacing w:after="0"/>
              <w:rPr>
                <w:sz w:val="21"/>
                <w:szCs w:val="21"/>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217"/>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101.PRE</w:t>
            </w:r>
          </w:p>
        </w:tc>
        <w:tc>
          <w:tcPr>
            <w:tcW w:w="4480" w:type="dxa"/>
            <w:vAlign w:val="bottom"/>
            <w:gridSpan w:val="24"/>
            <w:shd w:val="clear" w:color="auto" w:fill="FEFEFE"/>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840" w:type="dxa"/>
            <w:vAlign w:val="bottom"/>
            <w:shd w:val="clear" w:color="auto" w:fill="FEFEFE"/>
          </w:tcPr>
          <w:p>
            <w:pPr>
              <w:spacing w:after="0"/>
              <w:rPr>
                <w:sz w:val="18"/>
                <w:szCs w:val="18"/>
                <w:color w:val="auto"/>
              </w:rPr>
            </w:pPr>
          </w:p>
        </w:tc>
        <w:tc>
          <w:tcPr>
            <w:tcW w:w="114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1260" w:type="dxa"/>
            <w:vAlign w:val="bottom"/>
            <w:shd w:val="clear" w:color="auto" w:fill="FEFEFE"/>
          </w:tcPr>
          <w:p>
            <w:pPr>
              <w:spacing w:after="0"/>
              <w:rPr>
                <w:sz w:val="18"/>
                <w:szCs w:val="18"/>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224"/>
        </w:trPr>
        <w:tc>
          <w:tcPr>
            <w:tcW w:w="1000" w:type="dxa"/>
            <w:vAlign w:val="bottom"/>
            <w:tcBorders>
              <w:bottom w:val="single" w:sz="8" w:color="FEFEFE"/>
            </w:tcBorders>
            <w:shd w:val="clear" w:color="auto" w:fill="FEFEFE"/>
          </w:tcPr>
          <w:p>
            <w:pPr>
              <w:spacing w:after="0"/>
              <w:rPr>
                <w:sz w:val="19"/>
                <w:szCs w:val="19"/>
                <w:color w:val="auto"/>
              </w:rPr>
            </w:pPr>
          </w:p>
        </w:tc>
        <w:tc>
          <w:tcPr>
            <w:tcW w:w="4480" w:type="dxa"/>
            <w:vAlign w:val="bottom"/>
            <w:tcBorders>
              <w:bottom w:val="single" w:sz="8" w:color="FEFEFE"/>
            </w:tcBorders>
            <w:gridSpan w:val="24"/>
            <w:shd w:val="clear" w:color="auto" w:fill="FEFEFE"/>
          </w:tcPr>
          <w:p>
            <w:pPr>
              <w:spacing w:after="0"/>
              <w:rPr>
                <w:sz w:val="20"/>
                <w:szCs w:val="20"/>
                <w:color w:val="auto"/>
              </w:rPr>
            </w:pPr>
            <w:r>
              <w:rPr>
                <w:rFonts w:ascii="Arial" w:cs="Arial" w:eastAsia="Arial" w:hAnsi="Arial"/>
                <w:sz w:val="16"/>
                <w:szCs w:val="16"/>
                <w:color w:val="auto"/>
              </w:rPr>
              <w:t>Document.</w:t>
            </w:r>
          </w:p>
        </w:tc>
        <w:tc>
          <w:tcPr>
            <w:tcW w:w="840" w:type="dxa"/>
            <w:vAlign w:val="bottom"/>
            <w:tcBorders>
              <w:bottom w:val="single" w:sz="8" w:color="FEFEFE"/>
            </w:tcBorders>
            <w:shd w:val="clear" w:color="auto" w:fill="FEFEFE"/>
          </w:tcPr>
          <w:p>
            <w:pPr>
              <w:spacing w:after="0"/>
              <w:rPr>
                <w:sz w:val="19"/>
                <w:szCs w:val="19"/>
                <w:color w:val="auto"/>
              </w:rPr>
            </w:pPr>
          </w:p>
        </w:tc>
        <w:tc>
          <w:tcPr>
            <w:tcW w:w="1140" w:type="dxa"/>
            <w:vAlign w:val="bottom"/>
            <w:tcBorders>
              <w:bottom w:val="single" w:sz="8" w:color="FEFEFE"/>
            </w:tcBorders>
            <w:shd w:val="clear" w:color="auto" w:fill="FEFEFE"/>
          </w:tcPr>
          <w:p>
            <w:pPr>
              <w:spacing w:after="0"/>
              <w:rPr>
                <w:sz w:val="19"/>
                <w:szCs w:val="19"/>
                <w:color w:val="auto"/>
              </w:rPr>
            </w:pPr>
          </w:p>
        </w:tc>
        <w:tc>
          <w:tcPr>
            <w:tcW w:w="1300" w:type="dxa"/>
            <w:vAlign w:val="bottom"/>
            <w:tcBorders>
              <w:bottom w:val="single" w:sz="8" w:color="FEFEFE"/>
            </w:tcBorders>
            <w:shd w:val="clear" w:color="auto" w:fill="FEFEFE"/>
          </w:tcPr>
          <w:p>
            <w:pPr>
              <w:spacing w:after="0"/>
              <w:rPr>
                <w:sz w:val="19"/>
                <w:szCs w:val="19"/>
                <w:color w:val="auto"/>
              </w:rPr>
            </w:pPr>
          </w:p>
        </w:tc>
        <w:tc>
          <w:tcPr>
            <w:tcW w:w="1260" w:type="dxa"/>
            <w:vAlign w:val="bottom"/>
            <w:tcBorders>
              <w:bottom w:val="single" w:sz="8" w:color="FEFEFE"/>
            </w:tcBorders>
            <w:shd w:val="clear" w:color="auto" w:fill="FEFEFE"/>
          </w:tcPr>
          <w:p>
            <w:pPr>
              <w:spacing w:after="0"/>
              <w:rPr>
                <w:sz w:val="19"/>
                <w:szCs w:val="19"/>
                <w:color w:val="auto"/>
              </w:rPr>
            </w:pPr>
          </w:p>
        </w:tc>
        <w:tc>
          <w:tcPr>
            <w:tcW w:w="1220" w:type="dxa"/>
            <w:vAlign w:val="bottom"/>
            <w:tcBorders>
              <w:bottom w:val="single" w:sz="8" w:color="FEFEFE"/>
            </w:tcBorders>
            <w:shd w:val="clear" w:color="auto" w:fill="FEFEFE"/>
          </w:tcPr>
          <w:p>
            <w:pPr>
              <w:spacing w:after="0"/>
              <w:rPr>
                <w:sz w:val="19"/>
                <w:szCs w:val="19"/>
                <w:color w:val="auto"/>
              </w:rPr>
            </w:pPr>
          </w:p>
        </w:tc>
      </w:tr>
      <w:tr>
        <w:trPr>
          <w:trHeight w:val="740"/>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6"/>
                <w:szCs w:val="16"/>
                <w:color w:val="auto"/>
              </w:rPr>
              <w:t>115</w:t>
            </w: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7"/>
        </w:trPr>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88"/>
        </w:trPr>
        <w:tc>
          <w:tcPr>
            <w:tcW w:w="7880" w:type="dxa"/>
            <w:vAlign w:val="bottom"/>
            <w:shd w:val="clear" w:color="auto" w:fill="FEFEFE"/>
          </w:tcPr>
          <w:p>
            <w:pPr>
              <w:ind w:left="560"/>
              <w:spacing w:after="0"/>
              <w:rPr>
                <w:sz w:val="20"/>
                <w:szCs w:val="20"/>
                <w:color w:val="auto"/>
              </w:rPr>
            </w:pPr>
            <w:r>
              <w:rPr>
                <w:rFonts w:ascii="Arial" w:cs="Arial" w:eastAsia="Arial" w:hAnsi="Arial"/>
                <w:sz w:val="16"/>
                <w:szCs w:val="16"/>
                <w:color w:val="auto"/>
              </w:rPr>
              <w:t>104  Cover Page Interactive Data File (formatted in Inline XBRL</w:t>
            </w:r>
          </w:p>
        </w:tc>
        <w:tc>
          <w:tcPr>
            <w:tcW w:w="3360" w:type="dxa"/>
            <w:vAlign w:val="bottom"/>
            <w:shd w:val="clear" w:color="auto" w:fill="FEFEFE"/>
          </w:tcPr>
          <w:p>
            <w:pPr>
              <w:ind w:left="2700"/>
              <w:spacing w:after="0"/>
              <w:rPr>
                <w:sz w:val="20"/>
                <w:szCs w:val="20"/>
                <w:color w:val="auto"/>
              </w:rPr>
            </w:pPr>
            <w:r>
              <w:rPr>
                <w:rFonts w:ascii="Arial" w:cs="Arial" w:eastAsia="Arial" w:hAnsi="Arial"/>
                <w:sz w:val="16"/>
                <w:szCs w:val="16"/>
                <w:color w:val="auto"/>
              </w:rPr>
              <w:t>X</w:t>
            </w:r>
          </w:p>
        </w:tc>
      </w:tr>
      <w:tr>
        <w:trPr>
          <w:trHeight w:val="215"/>
        </w:trPr>
        <w:tc>
          <w:tcPr>
            <w:tcW w:w="7880" w:type="dxa"/>
            <w:vAlign w:val="bottom"/>
            <w:shd w:val="clear" w:color="auto" w:fill="FEFEFE"/>
          </w:tcPr>
          <w:p>
            <w:pPr>
              <w:ind w:left="1000"/>
              <w:spacing w:after="0"/>
              <w:rPr>
                <w:sz w:val="20"/>
                <w:szCs w:val="20"/>
                <w:color w:val="auto"/>
              </w:rPr>
            </w:pPr>
            <w:r>
              <w:rPr>
                <w:rFonts w:ascii="Arial" w:cs="Arial" w:eastAsia="Arial" w:hAnsi="Arial"/>
                <w:sz w:val="16"/>
                <w:szCs w:val="16"/>
                <w:color w:val="auto"/>
              </w:rPr>
              <w:t>and contained in Exhibit 101)</w:t>
            </w:r>
          </w:p>
        </w:tc>
        <w:tc>
          <w:tcPr>
            <w:tcW w:w="3360" w:type="dxa"/>
            <w:vAlign w:val="bottom"/>
            <w:shd w:val="clear" w:color="auto" w:fill="FEFEFE"/>
          </w:tcPr>
          <w:p>
            <w:pPr>
              <w:spacing w:after="0"/>
              <w:rPr>
                <w:sz w:val="18"/>
                <w:szCs w:val="18"/>
                <w:color w:val="auto"/>
              </w:rPr>
            </w:pPr>
          </w:p>
        </w:tc>
      </w:tr>
      <w:tr>
        <w:trPr>
          <w:trHeight w:val="29"/>
        </w:trPr>
        <w:tc>
          <w:tcPr>
            <w:tcW w:w="7880" w:type="dxa"/>
            <w:vAlign w:val="bottom"/>
            <w:shd w:val="clear" w:color="auto" w:fill="FEFEFE"/>
          </w:tcPr>
          <w:p>
            <w:pPr>
              <w:spacing w:after="0"/>
              <w:rPr>
                <w:sz w:val="2"/>
                <w:szCs w:val="2"/>
                <w:color w:val="auto"/>
              </w:rPr>
            </w:pPr>
          </w:p>
        </w:tc>
        <w:tc>
          <w:tcPr>
            <w:tcW w:w="3360" w:type="dxa"/>
            <w:vAlign w:val="bottom"/>
            <w:shd w:val="clear" w:color="auto" w:fill="FEFEFE"/>
          </w:tcPr>
          <w:p>
            <w:pPr>
              <w:spacing w:after="0"/>
              <w:rPr>
                <w:sz w:val="2"/>
                <w:szCs w:val="2"/>
                <w:color w:val="auto"/>
              </w:rPr>
            </w:pPr>
          </w:p>
        </w:tc>
      </w:tr>
    </w:tbl>
    <w:p>
      <w:pPr>
        <w:spacing w:after="0" w:line="200" w:lineRule="exact"/>
        <w:rPr>
          <w:sz w:val="20"/>
          <w:szCs w:val="20"/>
          <w:color w:val="auto"/>
        </w:rPr>
      </w:pPr>
    </w:p>
    <w:p>
      <w:pPr>
        <w:spacing w:after="0" w:line="382" w:lineRule="exact"/>
        <w:rPr>
          <w:sz w:val="20"/>
          <w:szCs w:val="20"/>
          <w:color w:val="auto"/>
        </w:rPr>
      </w:pPr>
    </w:p>
    <w:p>
      <w:pPr>
        <w:ind w:left="140" w:hanging="132"/>
        <w:spacing w:after="0"/>
        <w:tabs>
          <w:tab w:leader="none" w:pos="14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Indicates a management contract or compensatory plan or arrangement in which directors or executive officers are eligible to participate.</w:t>
      </w:r>
    </w:p>
    <w:p>
      <w:pPr>
        <w:spacing w:after="0" w:line="6" w:lineRule="exact"/>
        <w:rPr>
          <w:sz w:val="20"/>
          <w:szCs w:val="20"/>
          <w:color w:val="auto"/>
        </w:rPr>
      </w:pPr>
    </w:p>
    <w:p>
      <w:pPr>
        <w:ind w:right="20" w:firstLine="8"/>
        <w:spacing w:after="0" w:line="256" w:lineRule="auto"/>
        <w:tabs>
          <w:tab w:leader="none" w:pos="108"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Certain portions of this document that constitute private or confidential information have been redacted in accordance with Regulation S-K, Item 601(b)(10). </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schedules and exhibits have been omitted pursuant to Item 601(a)(5) of Regulation S-K. The Company will supplementally furnish copies of</w:t>
      </w:r>
      <w:r>
        <w:rPr>
          <w:rFonts w:ascii="Arial" w:cs="Arial" w:eastAsia="Arial" w:hAnsi="Arial"/>
          <w:sz w:val="16"/>
          <w:szCs w:val="16"/>
          <w:color w:val="auto"/>
        </w:rPr>
        <w:t xml:space="preserve"> </w:t>
      </w:r>
      <w:r>
        <w:rPr>
          <w:rFonts w:ascii="Arial" w:cs="Arial" w:eastAsia="Arial" w:hAnsi="Arial"/>
          <w:sz w:val="16"/>
          <w:szCs w:val="16"/>
          <w:i w:val="1"/>
          <w:iCs w:val="1"/>
          <w:color w:val="auto"/>
        </w:rPr>
        <w:t>omitted schedules and exhibits to the SEC or its staff upon its request.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X Filed herewith.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XX Furnished herewith.</w:t>
      </w:r>
    </w:p>
    <w:p>
      <w:pPr>
        <w:spacing w:after="0" w:line="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i w:val="1"/>
          <w:iCs w:val="1"/>
          <w:color w:val="auto"/>
        </w:rPr>
        <w:t>The certifications furnished in Exhibits 32.1 and 32.2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6"/>
          <w:szCs w:val="16"/>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6"/>
          <w:szCs w:val="16"/>
          <w:color w:val="auto"/>
        </w:rPr>
        <w:t>Date: August 22, 2024</w:t>
      </w:r>
      <w:r>
        <w:rPr>
          <w:sz w:val="20"/>
          <w:szCs w:val="20"/>
          <w:color w:val="auto"/>
        </w:rPr>
        <w:tab/>
      </w:r>
      <w:r>
        <w:rPr>
          <w:rFonts w:ascii="Arial" w:cs="Arial" w:eastAsia="Arial" w:hAnsi="Arial"/>
          <w:sz w:val="16"/>
          <w:szCs w:val="16"/>
          <w:color w:val="auto"/>
        </w:rPr>
        <w:t>By:</w:t>
        <w:tab/>
        <w:t>/s/ Karen Boone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38100</wp:posOffset>
            </wp:positionV>
            <wp:extent cx="25374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3"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Karen Boone</w:t>
      </w:r>
    </w:p>
    <w:p>
      <w:pPr>
        <w:spacing w:after="0" w:line="21"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Co-Chief Executive Officer</w:t>
      </w:r>
    </w:p>
    <w:p>
      <w:pPr>
        <w:spacing w:after="0" w:line="5"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(Co-Principal Executive Officer)</w:t>
      </w:r>
    </w:p>
    <w:p>
      <w:pPr>
        <w:spacing w:after="0" w:line="273"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6"/>
          <w:szCs w:val="16"/>
          <w:color w:val="auto"/>
        </w:rPr>
        <w:t>Date: August 22, 2024</w:t>
      </w:r>
      <w:r>
        <w:rPr>
          <w:sz w:val="20"/>
          <w:szCs w:val="20"/>
          <w:color w:val="auto"/>
        </w:rPr>
        <w:tab/>
      </w:r>
      <w:r>
        <w:rPr>
          <w:rFonts w:ascii="Arial" w:cs="Arial" w:eastAsia="Arial" w:hAnsi="Arial"/>
          <w:sz w:val="16"/>
          <w:szCs w:val="16"/>
          <w:color w:val="auto"/>
        </w:rPr>
        <w:t>By:</w:t>
        <w:tab/>
        <w:t>/s/ Chris Bruzzo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38100</wp:posOffset>
            </wp:positionV>
            <wp:extent cx="25374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3"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Chris Bruzzo</w:t>
      </w:r>
    </w:p>
    <w:p>
      <w:pPr>
        <w:spacing w:after="0" w:line="21"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Co-Chief Executive Officer</w:t>
      </w:r>
    </w:p>
    <w:p>
      <w:pPr>
        <w:spacing w:after="0" w:line="5"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(Co-Principal Executive Officer)</w:t>
      </w:r>
    </w:p>
    <w:p>
      <w:pPr>
        <w:spacing w:after="0" w:line="200" w:lineRule="exact"/>
        <w:rPr>
          <w:sz w:val="20"/>
          <w:szCs w:val="20"/>
          <w:color w:val="auto"/>
        </w:rPr>
      </w:pPr>
    </w:p>
    <w:p>
      <w:pPr>
        <w:spacing w:after="0" w:line="38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capacities and on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0" w:type="dxa"/>
            <w:vAlign w:val="bottom"/>
          </w:tcPr>
          <w:p>
            <w:pPr>
              <w:spacing w:after="0"/>
              <w:rPr>
                <w:sz w:val="19"/>
                <w:szCs w:val="19"/>
                <w:color w:val="auto"/>
              </w:rPr>
            </w:pPr>
          </w:p>
        </w:tc>
        <w:tc>
          <w:tcPr>
            <w:tcW w:w="3120" w:type="dxa"/>
            <w:vAlign w:val="bottom"/>
          </w:tcPr>
          <w:p>
            <w:pPr>
              <w:ind w:left="780"/>
              <w:spacing w:after="0"/>
              <w:rPr>
                <w:sz w:val="20"/>
                <w:szCs w:val="20"/>
                <w:color w:val="auto"/>
              </w:rPr>
            </w:pPr>
            <w:r>
              <w:rPr>
                <w:rFonts w:ascii="Arial" w:cs="Arial" w:eastAsia="Arial" w:hAnsi="Arial"/>
                <w:sz w:val="16"/>
                <w:szCs w:val="16"/>
                <w:b w:val="1"/>
                <w:bCs w:val="1"/>
                <w:color w:val="auto"/>
              </w:rPr>
              <w:t>Signature</w:t>
            </w:r>
          </w:p>
        </w:tc>
        <w:tc>
          <w:tcPr>
            <w:tcW w:w="4740" w:type="dxa"/>
            <w:vAlign w:val="bottom"/>
          </w:tcPr>
          <w:p>
            <w:pPr>
              <w:ind w:left="2100"/>
              <w:spacing w:after="0"/>
              <w:rPr>
                <w:sz w:val="20"/>
                <w:szCs w:val="20"/>
                <w:color w:val="auto"/>
              </w:rPr>
            </w:pPr>
            <w:r>
              <w:rPr>
                <w:rFonts w:ascii="Arial" w:cs="Arial" w:eastAsia="Arial" w:hAnsi="Arial"/>
                <w:sz w:val="16"/>
                <w:szCs w:val="16"/>
                <w:b w:val="1"/>
                <w:bCs w:val="1"/>
                <w:color w:val="auto"/>
              </w:rPr>
              <w:t>Title</w:t>
            </w:r>
          </w:p>
        </w:tc>
        <w:tc>
          <w:tcPr>
            <w:tcW w:w="1760" w:type="dxa"/>
            <w:vAlign w:val="bottom"/>
          </w:tcPr>
          <w:p>
            <w:pPr>
              <w:jc w:val="center"/>
              <w:ind w:left="479"/>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426"/>
        </w:trPr>
        <w:tc>
          <w:tcPr>
            <w:tcW w:w="8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Interim Co-President and Co-Chief Executive Officer and</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0" w:type="dxa"/>
            <w:vAlign w:val="bottom"/>
            <w:vMerge w:val="restart"/>
          </w:tcPr>
          <w:p>
            <w:pPr>
              <w:ind w:left="20"/>
              <w:spacing w:after="0"/>
              <w:rPr>
                <w:sz w:val="20"/>
                <w:szCs w:val="20"/>
                <w:color w:val="auto"/>
              </w:rPr>
            </w:pPr>
            <w:r>
              <w:rPr>
                <w:rFonts w:ascii="Arial" w:cs="Arial" w:eastAsia="Arial" w:hAnsi="Arial"/>
                <w:sz w:val="16"/>
                <w:szCs w:val="16"/>
                <w:color w:val="auto"/>
              </w:rPr>
              <w:t>By:</w:t>
            </w:r>
          </w:p>
        </w:tc>
        <w:tc>
          <w:tcPr>
            <w:tcW w:w="3120" w:type="dxa"/>
            <w:vAlign w:val="bottom"/>
            <w:vMerge w:val="restart"/>
          </w:tcPr>
          <w:p>
            <w:pPr>
              <w:ind w:left="20"/>
              <w:spacing w:after="0"/>
              <w:rPr>
                <w:sz w:val="20"/>
                <w:szCs w:val="20"/>
                <w:color w:val="auto"/>
              </w:rPr>
            </w:pPr>
            <w:r>
              <w:rPr>
                <w:rFonts w:ascii="Arial" w:cs="Arial" w:eastAsia="Arial" w:hAnsi="Arial"/>
                <w:sz w:val="16"/>
                <w:szCs w:val="16"/>
                <w:color w:val="auto"/>
              </w:rPr>
              <w:t>/s/ Karen Boone</w:t>
            </w:r>
          </w:p>
        </w:tc>
        <w:tc>
          <w:tcPr>
            <w:tcW w:w="4740" w:type="dxa"/>
            <w:vAlign w:val="bottom"/>
          </w:tcPr>
          <w:p>
            <w:pPr>
              <w:ind w:left="100"/>
              <w:spacing w:after="0" w:line="162" w:lineRule="exact"/>
              <w:rPr>
                <w:sz w:val="20"/>
                <w:szCs w:val="20"/>
                <w:color w:val="auto"/>
              </w:rPr>
            </w:pPr>
            <w:r>
              <w:rPr>
                <w:rFonts w:ascii="Arial" w:cs="Arial" w:eastAsia="Arial" w:hAnsi="Arial"/>
                <w:sz w:val="16"/>
                <w:szCs w:val="16"/>
                <w:color w:val="auto"/>
              </w:rPr>
              <w:t>Director</w:t>
            </w:r>
          </w:p>
        </w:tc>
        <w:tc>
          <w:tcPr>
            <w:tcW w:w="1760" w:type="dxa"/>
            <w:vAlign w:val="bottom"/>
            <w:vMerge w:val="restart"/>
          </w:tcPr>
          <w:p>
            <w:pPr>
              <w:jc w:val="center"/>
              <w:ind w:left="499"/>
              <w:spacing w:after="0"/>
              <w:rPr>
                <w:sz w:val="20"/>
                <w:szCs w:val="20"/>
                <w:color w:val="auto"/>
              </w:rPr>
            </w:pPr>
            <w:r>
              <w:rPr>
                <w:rFonts w:ascii="Arial" w:cs="Arial" w:eastAsia="Arial" w:hAnsi="Arial"/>
                <w:sz w:val="16"/>
                <w:szCs w:val="16"/>
                <w:color w:val="auto"/>
              </w:rPr>
              <w:t>August 22, 2024</w:t>
            </w:r>
          </w:p>
        </w:tc>
        <w:tc>
          <w:tcPr>
            <w:tcW w:w="0" w:type="dxa"/>
            <w:vAlign w:val="bottom"/>
          </w:tcPr>
          <w:p>
            <w:pPr>
              <w:spacing w:after="0"/>
              <w:rPr>
                <w:sz w:val="1"/>
                <w:szCs w:val="1"/>
                <w:color w:val="auto"/>
              </w:rPr>
            </w:pPr>
          </w:p>
        </w:tc>
      </w:tr>
      <w:tr>
        <w:trPr>
          <w:trHeight w:val="220"/>
        </w:trPr>
        <w:tc>
          <w:tcPr>
            <w:tcW w:w="820" w:type="dxa"/>
            <w:vAlign w:val="bottom"/>
            <w:tcBorders>
              <w:bottom w:val="single" w:sz="8" w:color="auto"/>
            </w:tcBorders>
            <w:vMerge w:val="continue"/>
          </w:tcPr>
          <w:p>
            <w:pPr>
              <w:spacing w:after="0"/>
              <w:rPr>
                <w:sz w:val="18"/>
                <w:szCs w:val="18"/>
                <w:color w:val="auto"/>
              </w:rPr>
            </w:pPr>
          </w:p>
        </w:tc>
        <w:tc>
          <w:tcPr>
            <w:tcW w:w="3120" w:type="dxa"/>
            <w:vAlign w:val="bottom"/>
            <w:tcBorders>
              <w:bottom w:val="single" w:sz="8" w:color="auto"/>
            </w:tcBorders>
            <w:vMerge w:val="continue"/>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(Co-Principal Executive Officer)</w:t>
            </w: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Karen Boone</w:t>
            </w:r>
          </w:p>
        </w:tc>
        <w:tc>
          <w:tcPr>
            <w:tcW w:w="4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8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Interim Co-President and Co-Chief Executive Officer and</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0" w:type="dxa"/>
            <w:vAlign w:val="bottom"/>
            <w:vMerge w:val="restart"/>
          </w:tcPr>
          <w:p>
            <w:pPr>
              <w:ind w:left="20"/>
              <w:spacing w:after="0"/>
              <w:rPr>
                <w:sz w:val="20"/>
                <w:szCs w:val="20"/>
                <w:color w:val="auto"/>
              </w:rPr>
            </w:pPr>
            <w:r>
              <w:rPr>
                <w:rFonts w:ascii="Arial" w:cs="Arial" w:eastAsia="Arial" w:hAnsi="Arial"/>
                <w:sz w:val="16"/>
                <w:szCs w:val="16"/>
                <w:color w:val="auto"/>
              </w:rPr>
              <w:t>By:</w:t>
            </w:r>
          </w:p>
        </w:tc>
        <w:tc>
          <w:tcPr>
            <w:tcW w:w="3120" w:type="dxa"/>
            <w:vAlign w:val="bottom"/>
            <w:vMerge w:val="restart"/>
          </w:tcPr>
          <w:p>
            <w:pPr>
              <w:ind w:left="20"/>
              <w:spacing w:after="0"/>
              <w:rPr>
                <w:sz w:val="20"/>
                <w:szCs w:val="20"/>
                <w:color w:val="auto"/>
              </w:rPr>
            </w:pPr>
            <w:r>
              <w:rPr>
                <w:rFonts w:ascii="Arial" w:cs="Arial" w:eastAsia="Arial" w:hAnsi="Arial"/>
                <w:sz w:val="16"/>
                <w:szCs w:val="16"/>
                <w:color w:val="auto"/>
              </w:rPr>
              <w:t>/s/ Chris Bruzzo</w:t>
            </w:r>
          </w:p>
        </w:tc>
        <w:tc>
          <w:tcPr>
            <w:tcW w:w="4740" w:type="dxa"/>
            <w:vAlign w:val="bottom"/>
          </w:tcPr>
          <w:p>
            <w:pPr>
              <w:ind w:left="100"/>
              <w:spacing w:after="0" w:line="162" w:lineRule="exact"/>
              <w:rPr>
                <w:sz w:val="20"/>
                <w:szCs w:val="20"/>
                <w:color w:val="auto"/>
              </w:rPr>
            </w:pPr>
            <w:r>
              <w:rPr>
                <w:rFonts w:ascii="Arial" w:cs="Arial" w:eastAsia="Arial" w:hAnsi="Arial"/>
                <w:sz w:val="16"/>
                <w:szCs w:val="16"/>
                <w:color w:val="auto"/>
              </w:rPr>
              <w:t>Director</w:t>
            </w:r>
          </w:p>
        </w:tc>
        <w:tc>
          <w:tcPr>
            <w:tcW w:w="1760" w:type="dxa"/>
            <w:vAlign w:val="bottom"/>
            <w:vMerge w:val="restart"/>
          </w:tcPr>
          <w:p>
            <w:pPr>
              <w:jc w:val="center"/>
              <w:ind w:left="499"/>
              <w:spacing w:after="0"/>
              <w:rPr>
                <w:sz w:val="20"/>
                <w:szCs w:val="20"/>
                <w:color w:val="auto"/>
              </w:rPr>
            </w:pPr>
            <w:r>
              <w:rPr>
                <w:rFonts w:ascii="Arial" w:cs="Arial" w:eastAsia="Arial" w:hAnsi="Arial"/>
                <w:sz w:val="16"/>
                <w:szCs w:val="16"/>
                <w:color w:val="auto"/>
              </w:rPr>
              <w:t>August 22, 2024</w:t>
            </w:r>
          </w:p>
        </w:tc>
        <w:tc>
          <w:tcPr>
            <w:tcW w:w="0" w:type="dxa"/>
            <w:vAlign w:val="bottom"/>
          </w:tcPr>
          <w:p>
            <w:pPr>
              <w:spacing w:after="0"/>
              <w:rPr>
                <w:sz w:val="1"/>
                <w:szCs w:val="1"/>
                <w:color w:val="auto"/>
              </w:rPr>
            </w:pPr>
          </w:p>
        </w:tc>
      </w:tr>
      <w:tr>
        <w:trPr>
          <w:trHeight w:val="220"/>
        </w:trPr>
        <w:tc>
          <w:tcPr>
            <w:tcW w:w="820" w:type="dxa"/>
            <w:vAlign w:val="bottom"/>
            <w:tcBorders>
              <w:bottom w:val="single" w:sz="8" w:color="auto"/>
            </w:tcBorders>
            <w:vMerge w:val="continue"/>
          </w:tcPr>
          <w:p>
            <w:pPr>
              <w:spacing w:after="0"/>
              <w:rPr>
                <w:sz w:val="18"/>
                <w:szCs w:val="18"/>
                <w:color w:val="auto"/>
              </w:rPr>
            </w:pPr>
          </w:p>
        </w:tc>
        <w:tc>
          <w:tcPr>
            <w:tcW w:w="3120" w:type="dxa"/>
            <w:vAlign w:val="bottom"/>
            <w:tcBorders>
              <w:bottom w:val="single" w:sz="8" w:color="auto"/>
            </w:tcBorders>
            <w:vMerge w:val="continue"/>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(Co-Principal Executive Officer)</w:t>
            </w: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Chris Bruzzo</w:t>
            </w:r>
          </w:p>
        </w:tc>
        <w:tc>
          <w:tcPr>
            <w:tcW w:w="4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820" w:type="dxa"/>
            <w:vAlign w:val="bottom"/>
            <w:vMerge w:val="restart"/>
          </w:tcPr>
          <w:p>
            <w:pPr>
              <w:ind w:left="20"/>
              <w:spacing w:after="0"/>
              <w:rPr>
                <w:sz w:val="20"/>
                <w:szCs w:val="20"/>
                <w:color w:val="auto"/>
              </w:rPr>
            </w:pPr>
            <w:r>
              <w:rPr>
                <w:rFonts w:ascii="Arial" w:cs="Arial" w:eastAsia="Arial" w:hAnsi="Arial"/>
                <w:sz w:val="16"/>
                <w:szCs w:val="16"/>
                <w:color w:val="auto"/>
              </w:rPr>
              <w:t>By:</w:t>
            </w:r>
          </w:p>
        </w:tc>
        <w:tc>
          <w:tcPr>
            <w:tcW w:w="3120" w:type="dxa"/>
            <w:vAlign w:val="bottom"/>
            <w:vMerge w:val="restart"/>
          </w:tcPr>
          <w:p>
            <w:pPr>
              <w:ind w:left="20"/>
              <w:spacing w:after="0"/>
              <w:rPr>
                <w:sz w:val="20"/>
                <w:szCs w:val="20"/>
                <w:color w:val="auto"/>
              </w:rPr>
            </w:pPr>
            <w:r>
              <w:rPr>
                <w:rFonts w:ascii="Arial" w:cs="Arial" w:eastAsia="Arial" w:hAnsi="Arial"/>
                <w:sz w:val="16"/>
                <w:szCs w:val="16"/>
                <w:color w:val="auto"/>
              </w:rPr>
              <w:t>/s/ Elizabeth F Coddington</w:t>
            </w:r>
          </w:p>
        </w:tc>
        <w:tc>
          <w:tcPr>
            <w:tcW w:w="4740" w:type="dxa"/>
            <w:vAlign w:val="bottom"/>
          </w:tcPr>
          <w:p>
            <w:pPr>
              <w:ind w:left="100"/>
              <w:spacing w:after="0"/>
              <w:rPr>
                <w:sz w:val="20"/>
                <w:szCs w:val="20"/>
                <w:color w:val="auto"/>
              </w:rPr>
            </w:pPr>
            <w:r>
              <w:rPr>
                <w:rFonts w:ascii="Arial" w:cs="Arial" w:eastAsia="Arial" w:hAnsi="Arial"/>
                <w:sz w:val="16"/>
                <w:szCs w:val="16"/>
                <w:color w:val="auto"/>
              </w:rPr>
              <w:t>Chief Financial Officer</w:t>
            </w:r>
          </w:p>
        </w:tc>
        <w:tc>
          <w:tcPr>
            <w:tcW w:w="1760" w:type="dxa"/>
            <w:vAlign w:val="bottom"/>
            <w:vMerge w:val="restart"/>
          </w:tcPr>
          <w:p>
            <w:pPr>
              <w:jc w:val="center"/>
              <w:ind w:left="499"/>
              <w:spacing w:after="0"/>
              <w:rPr>
                <w:sz w:val="20"/>
                <w:szCs w:val="20"/>
                <w:color w:val="auto"/>
              </w:rPr>
            </w:pPr>
            <w:r>
              <w:rPr>
                <w:rFonts w:ascii="Arial" w:cs="Arial" w:eastAsia="Arial" w:hAnsi="Arial"/>
                <w:sz w:val="16"/>
                <w:szCs w:val="16"/>
                <w:color w:val="auto"/>
              </w:rPr>
              <w:t>August 22, 2024</w:t>
            </w:r>
          </w:p>
        </w:tc>
        <w:tc>
          <w:tcPr>
            <w:tcW w:w="0" w:type="dxa"/>
            <w:vAlign w:val="bottom"/>
          </w:tcPr>
          <w:p>
            <w:pPr>
              <w:spacing w:after="0"/>
              <w:rPr>
                <w:sz w:val="1"/>
                <w:szCs w:val="1"/>
                <w:color w:val="auto"/>
              </w:rPr>
            </w:pPr>
          </w:p>
        </w:tc>
      </w:tr>
      <w:tr>
        <w:trPr>
          <w:trHeight w:val="220"/>
        </w:trPr>
        <w:tc>
          <w:tcPr>
            <w:tcW w:w="820" w:type="dxa"/>
            <w:vAlign w:val="bottom"/>
            <w:tcBorders>
              <w:bottom w:val="single" w:sz="8" w:color="auto"/>
            </w:tcBorders>
            <w:vMerge w:val="continue"/>
          </w:tcPr>
          <w:p>
            <w:pPr>
              <w:spacing w:after="0"/>
              <w:rPr>
                <w:sz w:val="18"/>
                <w:szCs w:val="18"/>
                <w:color w:val="auto"/>
              </w:rPr>
            </w:pPr>
          </w:p>
        </w:tc>
        <w:tc>
          <w:tcPr>
            <w:tcW w:w="3120" w:type="dxa"/>
            <w:vAlign w:val="bottom"/>
            <w:tcBorders>
              <w:bottom w:val="single" w:sz="8" w:color="auto"/>
            </w:tcBorders>
            <w:vMerge w:val="continue"/>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(Principal Financial Officer)</w:t>
            </w: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Elizabeth F Coddington</w:t>
            </w:r>
          </w:p>
        </w:tc>
        <w:tc>
          <w:tcPr>
            <w:tcW w:w="4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820" w:type="dxa"/>
            <w:vAlign w:val="bottom"/>
            <w:vMerge w:val="restart"/>
          </w:tcPr>
          <w:p>
            <w:pPr>
              <w:ind w:left="20"/>
              <w:spacing w:after="0"/>
              <w:rPr>
                <w:sz w:val="20"/>
                <w:szCs w:val="20"/>
                <w:color w:val="auto"/>
              </w:rPr>
            </w:pPr>
            <w:r>
              <w:rPr>
                <w:rFonts w:ascii="Arial" w:cs="Arial" w:eastAsia="Arial" w:hAnsi="Arial"/>
                <w:sz w:val="16"/>
                <w:szCs w:val="16"/>
                <w:color w:val="auto"/>
              </w:rPr>
              <w:t>By:</w:t>
            </w:r>
          </w:p>
        </w:tc>
        <w:tc>
          <w:tcPr>
            <w:tcW w:w="3120" w:type="dxa"/>
            <w:vAlign w:val="bottom"/>
            <w:vMerge w:val="restart"/>
          </w:tcPr>
          <w:p>
            <w:pPr>
              <w:ind w:left="20"/>
              <w:spacing w:after="0"/>
              <w:rPr>
                <w:sz w:val="20"/>
                <w:szCs w:val="20"/>
                <w:color w:val="auto"/>
              </w:rPr>
            </w:pPr>
            <w:r>
              <w:rPr>
                <w:rFonts w:ascii="Arial" w:cs="Arial" w:eastAsia="Arial" w:hAnsi="Arial"/>
                <w:sz w:val="16"/>
                <w:szCs w:val="16"/>
                <w:color w:val="auto"/>
              </w:rPr>
              <w:t>/s/ Saqib Baig</w:t>
            </w:r>
          </w:p>
        </w:tc>
        <w:tc>
          <w:tcPr>
            <w:tcW w:w="4740" w:type="dxa"/>
            <w:vAlign w:val="bottom"/>
          </w:tcPr>
          <w:p>
            <w:pPr>
              <w:ind w:left="100"/>
              <w:spacing w:after="0"/>
              <w:rPr>
                <w:sz w:val="20"/>
                <w:szCs w:val="20"/>
                <w:color w:val="auto"/>
              </w:rPr>
            </w:pPr>
            <w:r>
              <w:rPr>
                <w:rFonts w:ascii="Arial" w:cs="Arial" w:eastAsia="Arial" w:hAnsi="Arial"/>
                <w:sz w:val="16"/>
                <w:szCs w:val="16"/>
                <w:color w:val="auto"/>
              </w:rPr>
              <w:t>Chief Accounting Officer</w:t>
            </w:r>
          </w:p>
        </w:tc>
        <w:tc>
          <w:tcPr>
            <w:tcW w:w="1760" w:type="dxa"/>
            <w:vAlign w:val="bottom"/>
            <w:vMerge w:val="restart"/>
          </w:tcPr>
          <w:p>
            <w:pPr>
              <w:jc w:val="center"/>
              <w:ind w:left="499"/>
              <w:spacing w:after="0"/>
              <w:rPr>
                <w:sz w:val="20"/>
                <w:szCs w:val="20"/>
                <w:color w:val="auto"/>
              </w:rPr>
            </w:pPr>
            <w:r>
              <w:rPr>
                <w:rFonts w:ascii="Arial" w:cs="Arial" w:eastAsia="Arial" w:hAnsi="Arial"/>
                <w:sz w:val="16"/>
                <w:szCs w:val="16"/>
                <w:color w:val="auto"/>
              </w:rPr>
              <w:t>August 22, 2024</w:t>
            </w:r>
          </w:p>
        </w:tc>
        <w:tc>
          <w:tcPr>
            <w:tcW w:w="0" w:type="dxa"/>
            <w:vAlign w:val="bottom"/>
          </w:tcPr>
          <w:p>
            <w:pPr>
              <w:spacing w:after="0"/>
              <w:rPr>
                <w:sz w:val="1"/>
                <w:szCs w:val="1"/>
                <w:color w:val="auto"/>
              </w:rPr>
            </w:pPr>
          </w:p>
        </w:tc>
      </w:tr>
      <w:tr>
        <w:trPr>
          <w:trHeight w:val="220"/>
        </w:trPr>
        <w:tc>
          <w:tcPr>
            <w:tcW w:w="820" w:type="dxa"/>
            <w:vAlign w:val="bottom"/>
            <w:tcBorders>
              <w:bottom w:val="single" w:sz="8" w:color="auto"/>
            </w:tcBorders>
            <w:vMerge w:val="continue"/>
          </w:tcPr>
          <w:p>
            <w:pPr>
              <w:spacing w:after="0"/>
              <w:rPr>
                <w:sz w:val="18"/>
                <w:szCs w:val="18"/>
                <w:color w:val="auto"/>
              </w:rPr>
            </w:pPr>
          </w:p>
        </w:tc>
        <w:tc>
          <w:tcPr>
            <w:tcW w:w="3120" w:type="dxa"/>
            <w:vAlign w:val="bottom"/>
            <w:tcBorders>
              <w:bottom w:val="single" w:sz="8" w:color="auto"/>
            </w:tcBorders>
            <w:vMerge w:val="continue"/>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(Principal Accounting Officer)</w:t>
            </w: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Pr>
          <w:p>
            <w:pPr>
              <w:ind w:left="20"/>
              <w:spacing w:after="0"/>
              <w:rPr>
                <w:sz w:val="20"/>
                <w:szCs w:val="20"/>
                <w:color w:val="auto"/>
              </w:rPr>
            </w:pPr>
            <w:r>
              <w:rPr>
                <w:rFonts w:ascii="Arial" w:cs="Arial" w:eastAsia="Arial" w:hAnsi="Arial"/>
                <w:sz w:val="16"/>
                <w:szCs w:val="16"/>
                <w:color w:val="auto"/>
              </w:rPr>
              <w:t>Saqib Baig</w:t>
            </w:r>
          </w:p>
        </w:tc>
        <w:tc>
          <w:tcPr>
            <w:tcW w:w="3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Jon Callaghan</w:t>
            </w:r>
          </w:p>
        </w:tc>
        <w:tc>
          <w:tcPr>
            <w:tcW w:w="474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760" w:type="dxa"/>
            <w:vAlign w:val="bottom"/>
          </w:tcPr>
          <w:p>
            <w:pPr>
              <w:jc w:val="center"/>
              <w:ind w:left="499"/>
              <w:spacing w:after="0"/>
              <w:rPr>
                <w:sz w:val="20"/>
                <w:szCs w:val="20"/>
                <w:color w:val="auto"/>
              </w:rPr>
            </w:pPr>
            <w:r>
              <w:rPr>
                <w:rFonts w:ascii="Arial" w:cs="Arial" w:eastAsia="Arial" w:hAnsi="Arial"/>
                <w:sz w:val="16"/>
                <w:szCs w:val="16"/>
                <w:color w:val="auto"/>
              </w:rPr>
              <w:t>August 22, 2024</w:t>
            </w:r>
          </w:p>
        </w:tc>
        <w:tc>
          <w:tcPr>
            <w:tcW w:w="0" w:type="dxa"/>
            <w:vAlign w:val="bottom"/>
          </w:tcPr>
          <w:p>
            <w:pPr>
              <w:spacing w:after="0"/>
              <w:rPr>
                <w:sz w:val="1"/>
                <w:szCs w:val="1"/>
                <w:color w:val="auto"/>
              </w:rPr>
            </w:pPr>
          </w:p>
        </w:tc>
      </w:tr>
      <w:tr>
        <w:trPr>
          <w:trHeight w:val="20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Jon Callaghan</w:t>
            </w:r>
          </w:p>
        </w:tc>
        <w:tc>
          <w:tcPr>
            <w:tcW w:w="4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Jay Hoag</w:t>
            </w:r>
          </w:p>
        </w:tc>
        <w:tc>
          <w:tcPr>
            <w:tcW w:w="474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760" w:type="dxa"/>
            <w:vAlign w:val="bottom"/>
          </w:tcPr>
          <w:p>
            <w:pPr>
              <w:jc w:val="center"/>
              <w:ind w:left="499"/>
              <w:spacing w:after="0"/>
              <w:rPr>
                <w:sz w:val="20"/>
                <w:szCs w:val="20"/>
                <w:color w:val="auto"/>
              </w:rPr>
            </w:pPr>
            <w:r>
              <w:rPr>
                <w:rFonts w:ascii="Arial" w:cs="Arial" w:eastAsia="Arial" w:hAnsi="Arial"/>
                <w:sz w:val="16"/>
                <w:szCs w:val="16"/>
                <w:color w:val="auto"/>
              </w:rPr>
              <w:t>August 22, 2024</w:t>
            </w:r>
          </w:p>
        </w:tc>
        <w:tc>
          <w:tcPr>
            <w:tcW w:w="0" w:type="dxa"/>
            <w:vAlign w:val="bottom"/>
          </w:tcPr>
          <w:p>
            <w:pPr>
              <w:spacing w:after="0"/>
              <w:rPr>
                <w:sz w:val="1"/>
                <w:szCs w:val="1"/>
                <w:color w:val="auto"/>
              </w:rPr>
            </w:pPr>
          </w:p>
        </w:tc>
      </w:tr>
      <w:tr>
        <w:trPr>
          <w:trHeight w:val="209"/>
        </w:trPr>
        <w:tc>
          <w:tcPr>
            <w:tcW w:w="820" w:type="dxa"/>
            <w:vAlign w:val="bottom"/>
          </w:tcPr>
          <w:p>
            <w:pPr>
              <w:ind w:left="20"/>
              <w:spacing w:after="0"/>
              <w:rPr>
                <w:sz w:val="20"/>
                <w:szCs w:val="20"/>
                <w:color w:val="auto"/>
              </w:rPr>
            </w:pPr>
            <w:r>
              <w:rPr>
                <w:rFonts w:ascii="Arial" w:cs="Arial" w:eastAsia="Arial" w:hAnsi="Arial"/>
                <w:sz w:val="16"/>
                <w:szCs w:val="16"/>
                <w:color w:val="auto"/>
              </w:rPr>
              <w:t>Jay Hoag</w:t>
            </w:r>
          </w:p>
        </w:tc>
        <w:tc>
          <w:tcPr>
            <w:tcW w:w="3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Angel Mendez</w:t>
            </w:r>
          </w:p>
        </w:tc>
        <w:tc>
          <w:tcPr>
            <w:tcW w:w="474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760" w:type="dxa"/>
            <w:vAlign w:val="bottom"/>
          </w:tcPr>
          <w:p>
            <w:pPr>
              <w:jc w:val="center"/>
              <w:ind w:left="499"/>
              <w:spacing w:after="0"/>
              <w:rPr>
                <w:sz w:val="20"/>
                <w:szCs w:val="20"/>
                <w:color w:val="auto"/>
              </w:rPr>
            </w:pPr>
            <w:r>
              <w:rPr>
                <w:rFonts w:ascii="Arial" w:cs="Arial" w:eastAsia="Arial" w:hAnsi="Arial"/>
                <w:sz w:val="16"/>
                <w:szCs w:val="16"/>
                <w:color w:val="auto"/>
              </w:rPr>
              <w:t>August 22, 2024</w:t>
            </w:r>
          </w:p>
        </w:tc>
        <w:tc>
          <w:tcPr>
            <w:tcW w:w="0" w:type="dxa"/>
            <w:vAlign w:val="bottom"/>
          </w:tcPr>
          <w:p>
            <w:pPr>
              <w:spacing w:after="0"/>
              <w:rPr>
                <w:sz w:val="1"/>
                <w:szCs w:val="1"/>
                <w:color w:val="auto"/>
              </w:rPr>
            </w:pPr>
          </w:p>
        </w:tc>
      </w:tr>
      <w:tr>
        <w:trPr>
          <w:trHeight w:val="20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Angel Mendez</w:t>
            </w:r>
          </w:p>
        </w:tc>
        <w:tc>
          <w:tcPr>
            <w:tcW w:w="4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Pamela Thomas-Graham</w:t>
            </w:r>
          </w:p>
        </w:tc>
        <w:tc>
          <w:tcPr>
            <w:tcW w:w="474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760" w:type="dxa"/>
            <w:vAlign w:val="bottom"/>
          </w:tcPr>
          <w:p>
            <w:pPr>
              <w:jc w:val="center"/>
              <w:ind w:left="499"/>
              <w:spacing w:after="0"/>
              <w:rPr>
                <w:sz w:val="20"/>
                <w:szCs w:val="20"/>
                <w:color w:val="auto"/>
              </w:rPr>
            </w:pPr>
            <w:r>
              <w:rPr>
                <w:rFonts w:ascii="Arial" w:cs="Arial" w:eastAsia="Arial" w:hAnsi="Arial"/>
                <w:sz w:val="16"/>
                <w:szCs w:val="16"/>
                <w:color w:val="auto"/>
              </w:rPr>
              <w:t>August 22, 2024</w:t>
            </w:r>
          </w:p>
        </w:tc>
        <w:tc>
          <w:tcPr>
            <w:tcW w:w="0" w:type="dxa"/>
            <w:vAlign w:val="bottom"/>
          </w:tcPr>
          <w:p>
            <w:pPr>
              <w:spacing w:after="0"/>
              <w:rPr>
                <w:sz w:val="1"/>
                <w:szCs w:val="1"/>
                <w:color w:val="auto"/>
              </w:rPr>
            </w:pPr>
          </w:p>
        </w:tc>
      </w:tr>
      <w:tr>
        <w:trPr>
          <w:trHeight w:val="20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Pamela Thomas-Graham</w:t>
            </w:r>
          </w:p>
        </w:tc>
        <w:tc>
          <w:tcPr>
            <w:tcW w:w="4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611" w:right="35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220"/>
          </w:cols>
          <w:pgMar w:left="320" w:top="611" w:right="359" w:bottom="1440" w:gutter="0" w:footer="0" w:header="0"/>
          <w:type w:val="continuous"/>
        </w:sectPr>
      </w:pPr>
    </w:p>
    <w:bookmarkStart w:id="119" w:name="page120"/>
    <w:bookmarkEnd w:id="119"/>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color w:val="auto"/>
        </w:rPr>
        <w:t>PELOTON INTERACTIVE, INC.</w:t>
      </w:r>
    </w:p>
    <w:p>
      <w:pPr>
        <w:spacing w:after="0" w:line="58"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color w:val="auto"/>
        </w:rPr>
        <w:t>125 W. 25TH ST., 11TH FLOOR NEW YORK, NY</w:t>
      </w:r>
    </w:p>
    <w:p>
      <w:pPr>
        <w:spacing w:after="0" w:line="44"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color w:val="auto"/>
        </w:rPr>
        <w:t>10001</w:t>
      </w:r>
    </w:p>
    <w:p>
      <w:pPr>
        <w:spacing w:after="0" w:line="200" w:lineRule="exact"/>
        <w:rPr>
          <w:sz w:val="20"/>
          <w:szCs w:val="20"/>
          <w:color w:val="auto"/>
        </w:rPr>
      </w:pPr>
    </w:p>
    <w:p>
      <w:pPr>
        <w:spacing w:after="0" w:line="38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March 7, 2022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Andrew Rendich</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Andrew:</w:t>
      </w:r>
    </w:p>
    <w:p>
      <w:pPr>
        <w:spacing w:after="0" w:line="44" w:lineRule="exact"/>
        <w:rPr>
          <w:sz w:val="20"/>
          <w:szCs w:val="20"/>
          <w:color w:val="auto"/>
        </w:rPr>
      </w:pPr>
    </w:p>
    <w:p>
      <w:pPr>
        <w:ind w:right="2200" w:firstLine="1296"/>
        <w:spacing w:after="0" w:line="309" w:lineRule="auto"/>
        <w:rPr>
          <w:sz w:val="20"/>
          <w:szCs w:val="20"/>
          <w:color w:val="auto"/>
        </w:rPr>
      </w:pPr>
      <w:r>
        <w:rPr>
          <w:rFonts w:ascii="Times New Roman" w:cs="Times New Roman" w:eastAsia="Times New Roman" w:hAnsi="Times New Roman"/>
          <w:sz w:val="22"/>
          <w:szCs w:val="22"/>
          <w:color w:val="auto"/>
        </w:rPr>
        <w:t>Peloton Interactive, Inc. (the “Company”) is pleased to offer you employment on the following terms:</w:t>
      </w:r>
    </w:p>
    <w:p>
      <w:pPr>
        <w:spacing w:after="0" w:line="155" w:lineRule="exact"/>
        <w:rPr>
          <w:sz w:val="20"/>
          <w:szCs w:val="20"/>
          <w:color w:val="auto"/>
        </w:rPr>
      </w:pPr>
    </w:p>
    <w:p>
      <w:pPr>
        <w:jc w:val="both"/>
        <w:ind w:right="100" w:firstLine="1301"/>
        <w:spacing w:after="0" w:line="280" w:lineRule="auto"/>
        <w:tabs>
          <w:tab w:leader="none" w:pos="1849"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w:t>
      </w:r>
      <w:r>
        <w:rPr>
          <w:rFonts w:ascii="Times New Roman" w:cs="Times New Roman" w:eastAsia="Times New Roman" w:hAnsi="Times New Roman"/>
          <w:sz w:val="22"/>
          <w:szCs w:val="22"/>
          <w:color w:val="auto"/>
        </w:rPr>
        <w:t>. Your initial title will be Chief Supply Chain Officer and you will initially report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Chief Executive Officer, Barry McCarthy. This is a full-time 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73" w:lineRule="exact"/>
        <w:rPr>
          <w:rFonts w:ascii="Times New Roman" w:cs="Times New Roman" w:eastAsia="Times New Roman" w:hAnsi="Times New Roman"/>
          <w:sz w:val="22"/>
          <w:szCs w:val="22"/>
          <w:b w:val="1"/>
          <w:bCs w:val="1"/>
          <w:color w:val="auto"/>
        </w:rPr>
      </w:pPr>
    </w:p>
    <w:p>
      <w:pPr>
        <w:jc w:val="both"/>
        <w:ind w:right="100" w:firstLine="1301"/>
        <w:spacing w:after="0" w:line="291" w:lineRule="auto"/>
        <w:tabs>
          <w:tab w:leader="none" w:pos="1849"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Cash Compensation</w:t>
      </w:r>
      <w:r>
        <w:rPr>
          <w:rFonts w:ascii="Times New Roman" w:cs="Times New Roman" w:eastAsia="Times New Roman" w:hAnsi="Times New Roman"/>
          <w:sz w:val="22"/>
          <w:szCs w:val="22"/>
          <w:color w:val="auto"/>
        </w:rPr>
        <w:t>. The Company will pay you a starting salary at the rate of $1,000,000.00 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 payable in accordance with the Company’s standard payroll schedule. This salary will be subject to adjustment pursuant to the Company’s employee compensation policies in effect from time to time.</w:t>
      </w:r>
    </w:p>
    <w:p>
      <w:pPr>
        <w:spacing w:after="0" w:line="159" w:lineRule="exact"/>
        <w:rPr>
          <w:rFonts w:ascii="Times New Roman" w:cs="Times New Roman" w:eastAsia="Times New Roman" w:hAnsi="Times New Roman"/>
          <w:sz w:val="22"/>
          <w:szCs w:val="22"/>
          <w:b w:val="1"/>
          <w:bCs w:val="1"/>
          <w:color w:val="auto"/>
        </w:rPr>
      </w:pPr>
    </w:p>
    <w:p>
      <w:pPr>
        <w:jc w:val="both"/>
        <w:ind w:right="100" w:firstLine="1301"/>
        <w:spacing w:after="0" w:line="290" w:lineRule="auto"/>
        <w:tabs>
          <w:tab w:leader="none" w:pos="1849"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Relocation Support. </w:t>
      </w:r>
      <w:r>
        <w:rPr>
          <w:rFonts w:ascii="Times New Roman" w:cs="Times New Roman" w:eastAsia="Times New Roman" w:hAnsi="Times New Roman"/>
          <w:sz w:val="21"/>
          <w:szCs w:val="21"/>
          <w:color w:val="auto"/>
        </w:rPr>
        <w:t>The Company will provide you with comprehensive relocation services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through our relocation provider, UrbanBound, up to a maximum of $100,000.00. All relocation services must be completed within 12 months of your start date. Should your employment with the Company terminate prior to your one-year anniversary, for any reason other than termination by the Company without Cause, you will be required to reimburse the Company a prorated share of the relocation package (which share will be based on the number of months remaining between the date of termination and the date of your one-year anniversary with the Company). The Company shall have a right to offset any such reimbursement obligation against any sums it might otherwise owe to you in the event of such termination. You acknowledge and agree the Company has full discretion to determine whether and to what extent these arrangements result in compensation to you and whether any tax withholding is appropriate.</w:t>
      </w:r>
    </w:p>
    <w:p>
      <w:pPr>
        <w:sectPr>
          <w:pgSz w:w="11900" w:h="16838" w:orient="portrait"/>
          <w:cols w:equalWidth="0" w:num="1">
            <w:col w:w="10500"/>
          </w:cols>
          <w:pgMar w:left="1060" w:top="122" w:right="339" w:bottom="1440" w:gutter="0" w:footer="0" w:header="0"/>
        </w:sectPr>
      </w:pPr>
    </w:p>
    <w:bookmarkStart w:id="120" w:name="page121"/>
    <w:bookmarkEnd w:id="120"/>
    <w:p>
      <w:pPr>
        <w:jc w:val="both"/>
        <w:ind w:left="-6" w:right="100" w:firstLine="1301"/>
        <w:spacing w:after="0" w:line="256" w:lineRule="auto"/>
        <w:tabs>
          <w:tab w:leader="none" w:pos="1843" w:val="left"/>
        </w:tabs>
        <w:numPr>
          <w:ilvl w:val="1"/>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Benefits</w:t>
      </w:r>
      <w:r>
        <w:rPr>
          <w:rFonts w:ascii="Times New Roman" w:cs="Times New Roman" w:eastAsia="Times New Roman" w:hAnsi="Times New Roman"/>
          <w:sz w:val="22"/>
          <w:szCs w:val="22"/>
          <w:color w:val="auto"/>
        </w:rPr>
        <w:t>. As a regular employee of the Company, you will be eligible to participate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Company-sponsored benefits. In addition, you will be entitled to paid vacation in accordance with the Company’s vacation policy, as in effect from time to time.</w:t>
      </w:r>
    </w:p>
    <w:p>
      <w:pPr>
        <w:spacing w:after="0" w:line="1" w:lineRule="exact"/>
        <w:rPr>
          <w:rFonts w:ascii="Times New Roman" w:cs="Times New Roman" w:eastAsia="Times New Roman" w:hAnsi="Times New Roman"/>
          <w:sz w:val="22"/>
          <w:szCs w:val="22"/>
          <w:b w:val="1"/>
          <w:bCs w:val="1"/>
          <w:color w:val="auto"/>
        </w:rPr>
      </w:pPr>
    </w:p>
    <w:p>
      <w:pPr>
        <w:ind w:left="-6" w:firstLine="1301"/>
        <w:spacing w:after="0" w:line="257" w:lineRule="auto"/>
        <w:tabs>
          <w:tab w:leader="none" w:pos="1843" w:val="left"/>
        </w:tabs>
        <w:numPr>
          <w:ilvl w:val="1"/>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Stock Options</w:t>
      </w:r>
      <w:r>
        <w:rPr>
          <w:rFonts w:ascii="Times New Roman" w:cs="Times New Roman" w:eastAsia="Times New Roman" w:hAnsi="Times New Roman"/>
          <w:sz w:val="21"/>
          <w:szCs w:val="21"/>
          <w:color w:val="auto"/>
        </w:rPr>
        <w:t>. Subject to the approval of the Company’s Board of Directors or its Compensation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you will be eligible to receive an equity award of the Company’s Common Stock valued at $5,500,000.00 in the aggregate on the date of grant. Within several weeks of your hire date, you’ll be able to elect to receive this award in the form of stock options, restricted stock units or a 50/50 combination of the two (collectively, “Equity Award”). The Equity Award will be subject to the terms and conditions applicable under the Company’s 2019 Equity Incentive Plan (the “Plan”), as described in the Plan and the applicable Stock Option or Restricted Stock Unit Agreement. You shall vest as to 25% of the Equity Award on the 1-year anniversary of the first Quarterly Vesting Date (as defined below) following your start date and as to 1/16th of the Equity Award on each Quarterly Vesting Date thereafter, subject to your continuous service through each such date (as set forth in Stock Option Agreement or Restricted Stock Unit Agreement). A “Quarterly Vesting Date” is the first trading day on or after each of February 15, May 15, August 15, and November</w:t>
      </w:r>
    </w:p>
    <w:p>
      <w:pPr>
        <w:spacing w:after="0" w:line="6" w:lineRule="exact"/>
        <w:rPr>
          <w:rFonts w:ascii="Times New Roman" w:cs="Times New Roman" w:eastAsia="Times New Roman" w:hAnsi="Times New Roman"/>
          <w:sz w:val="21"/>
          <w:szCs w:val="21"/>
          <w:b w:val="1"/>
          <w:bCs w:val="1"/>
          <w:color w:val="auto"/>
        </w:rPr>
      </w:pPr>
    </w:p>
    <w:p>
      <w:pPr>
        <w:ind w:left="-6" w:right="760" w:firstLine="6"/>
        <w:spacing w:after="0" w:line="243" w:lineRule="auto"/>
        <w:tabs>
          <w:tab w:leader="none" w:pos="31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information on the timing to make your election and the differences between the equity choices will be provided to you prior to your election deadline.</w:t>
      </w:r>
    </w:p>
    <w:p>
      <w:pPr>
        <w:ind w:left="-6" w:right="60" w:firstLine="1301"/>
        <w:spacing w:after="0" w:line="247" w:lineRule="auto"/>
        <w:tabs>
          <w:tab w:leader="none" w:pos="1843"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Proprietary Information and Inventions Agreement</w:t>
      </w:r>
      <w:r>
        <w:rPr>
          <w:rFonts w:ascii="Times New Roman" w:cs="Times New Roman" w:eastAsia="Times New Roman" w:hAnsi="Times New Roman"/>
          <w:sz w:val="22"/>
          <w:szCs w:val="22"/>
          <w:color w:val="auto"/>
        </w:rPr>
        <w:t>. Like all Company employees, you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required, as a condition of your employment with the Company, to sign the Company’s standard Proprietary Information and Inventions Agreement, a copy of which is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b w:val="1"/>
          <w:bCs w:val="1"/>
          <w:color w:val="auto"/>
        </w:rPr>
      </w:pPr>
    </w:p>
    <w:p>
      <w:pPr>
        <w:ind w:left="-6" w:right="40" w:firstLine="1301"/>
        <w:spacing w:after="0" w:line="245" w:lineRule="auto"/>
        <w:tabs>
          <w:tab w:leader="none" w:pos="1843"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Relationship</w:t>
      </w:r>
      <w:r>
        <w:rPr>
          <w:rFonts w:ascii="Times New Roman" w:cs="Times New Roman" w:eastAsia="Times New Roman" w:hAnsi="Times New Roman"/>
          <w:sz w:val="22"/>
          <w:szCs w:val="22"/>
          <w:color w:val="auto"/>
        </w:rPr>
        <w:t>. Employment with the Company is for no specific period of time.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 w:lineRule="exact"/>
        <w:rPr>
          <w:rFonts w:ascii="Times New Roman" w:cs="Times New Roman" w:eastAsia="Times New Roman" w:hAnsi="Times New Roman"/>
          <w:sz w:val="22"/>
          <w:szCs w:val="22"/>
          <w:b w:val="1"/>
          <w:bCs w:val="1"/>
          <w:color w:val="auto"/>
        </w:rPr>
      </w:pPr>
    </w:p>
    <w:p>
      <w:pPr>
        <w:ind w:left="-6" w:right="60" w:firstLine="1301"/>
        <w:spacing w:after="0" w:line="245" w:lineRule="auto"/>
        <w:tabs>
          <w:tab w:leader="none" w:pos="1843"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Introductory Period</w:t>
      </w:r>
      <w:r>
        <w:rPr>
          <w:rFonts w:ascii="Times New Roman" w:cs="Times New Roman" w:eastAsia="Times New Roman" w:hAnsi="Times New Roman"/>
          <w:sz w:val="22"/>
          <w:szCs w:val="22"/>
          <w:color w:val="auto"/>
        </w:rPr>
        <w:t>. It is understood and agreed that the first ninety (90) days of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shall be an Introductory Period, during which period your manager will be responsible for periodically evaluating your performance and behaviors, clarifying expectations, coaching on areas for improvement. Successful completion of the Introductory Period is required for your continued employment at Peloton; however, nothing about the Introductory Period has any effect on the at-will nature of your employment, and both you and Peloton remain free to end your employment at any time, with or without cause or notice.</w:t>
      </w:r>
    </w:p>
    <w:p>
      <w:pPr>
        <w:spacing w:after="0" w:line="3" w:lineRule="exact"/>
        <w:rPr>
          <w:rFonts w:ascii="Times New Roman" w:cs="Times New Roman" w:eastAsia="Times New Roman" w:hAnsi="Times New Roman"/>
          <w:sz w:val="22"/>
          <w:szCs w:val="22"/>
          <w:b w:val="1"/>
          <w:bCs w:val="1"/>
          <w:color w:val="auto"/>
        </w:rPr>
      </w:pPr>
    </w:p>
    <w:p>
      <w:pPr>
        <w:ind w:left="1854" w:hanging="559"/>
        <w:spacing w:after="0"/>
        <w:tabs>
          <w:tab w:leader="none" w:pos="1854"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Tax Matters.</w:t>
      </w:r>
    </w:p>
    <w:p>
      <w:pPr>
        <w:spacing w:after="0" w:line="232" w:lineRule="exact"/>
        <w:rPr>
          <w:sz w:val="20"/>
          <w:szCs w:val="20"/>
          <w:color w:val="auto"/>
        </w:rPr>
      </w:pPr>
    </w:p>
    <w:p>
      <w:pPr>
        <w:ind w:left="-6" w:right="860" w:firstLine="1301"/>
        <w:spacing w:after="0" w:line="275" w:lineRule="auto"/>
        <w:tabs>
          <w:tab w:leader="none" w:pos="1838"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All forms of compensation referred to in this letter agreement are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reduction to reflect applicable withholding and payroll taxes and other deductions required by law.</w:t>
      </w:r>
    </w:p>
    <w:p>
      <w:pPr>
        <w:sectPr>
          <w:pgSz w:w="11900" w:h="16838" w:orient="portrait"/>
          <w:cols w:equalWidth="0" w:num="1">
            <w:col w:w="10494"/>
          </w:cols>
          <w:pgMar w:left="1066" w:top="1269" w:right="339" w:bottom="1440" w:gutter="0" w:footer="0" w:header="0"/>
        </w:sectPr>
      </w:pPr>
    </w:p>
    <w:bookmarkStart w:id="121" w:name="page122"/>
    <w:bookmarkEnd w:id="121"/>
    <w:p>
      <w:pPr>
        <w:ind w:left="-380" w:right="100" w:firstLine="1301"/>
        <w:spacing w:after="0" w:line="253" w:lineRule="auto"/>
        <w:tabs>
          <w:tab w:leader="none" w:pos="1462"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Advice</w:t>
      </w:r>
      <w:r>
        <w:rPr>
          <w:rFonts w:ascii="Times New Roman" w:cs="Times New Roman" w:eastAsia="Times New Roman" w:hAnsi="Times New Roman"/>
          <w:sz w:val="22"/>
          <w:szCs w:val="22"/>
          <w:color w:val="auto"/>
        </w:rPr>
        <w:t>. You are encouraged to obtain your own tax advice regarding your compensation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 w:lineRule="exact"/>
        <w:rPr>
          <w:sz w:val="20"/>
          <w:szCs w:val="20"/>
          <w:color w:val="auto"/>
        </w:rPr>
      </w:pPr>
    </w:p>
    <w:p>
      <w:pPr>
        <w:ind w:left="-380" w:firstLine="1301"/>
        <w:spacing w:after="0" w:line="246" w:lineRule="auto"/>
        <w:tabs>
          <w:tab w:leader="none" w:pos="1469"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Interpretation, Amendment and Enforcement</w:t>
      </w:r>
      <w:r>
        <w:rPr>
          <w:rFonts w:ascii="Times New Roman" w:cs="Times New Roman" w:eastAsia="Times New Roman" w:hAnsi="Times New Roman"/>
          <w:sz w:val="22"/>
          <w:szCs w:val="22"/>
          <w:color w:val="auto"/>
        </w:rPr>
        <w:t>. This letter agreement and Exhibit A constitute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complete agreement 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New York law, excluding laws relating to conflicts or choice of law. You and the Company submit to the exclusive personal jurisdiction of the federal and state courts located in New York in connection with any Dispute or any claim related to any Dispute.</w:t>
      </w:r>
    </w:p>
    <w:p>
      <w:pPr>
        <w:spacing w:after="0" w:line="190" w:lineRule="exact"/>
        <w:rPr>
          <w:rFonts w:ascii="Times New Roman" w:cs="Times New Roman" w:eastAsia="Times New Roman" w:hAnsi="Times New Roman"/>
          <w:sz w:val="22"/>
          <w:szCs w:val="22"/>
          <w:b w:val="1"/>
          <w:bCs w:val="1"/>
          <w:color w:val="auto"/>
        </w:rPr>
      </w:pPr>
    </w:p>
    <w:p>
      <w:pPr>
        <w:ind w:left="41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 * * *</w:t>
      </w:r>
    </w:p>
    <w:p>
      <w:pPr>
        <w:sectPr>
          <w:pgSz w:w="11900" w:h="16838" w:orient="portrait"/>
          <w:cols w:equalWidth="0" w:num="1">
            <w:col w:w="10120"/>
          </w:cols>
          <w:pgMar w:left="1440" w:top="1269" w:right="339" w:bottom="1440" w:gutter="0" w:footer="0" w:header="0"/>
        </w:sectPr>
      </w:pPr>
    </w:p>
    <w:bookmarkStart w:id="122" w:name="page123"/>
    <w:bookmarkEnd w:id="122"/>
    <w:p>
      <w:pPr>
        <w:jc w:val="both"/>
        <w:ind w:firstLine="1295"/>
        <w:spacing w:after="0" w:line="277" w:lineRule="auto"/>
        <w:rPr>
          <w:sz w:val="20"/>
          <w:szCs w:val="20"/>
          <w:color w:val="auto"/>
        </w:rPr>
      </w:pPr>
      <w:r>
        <w:rPr>
          <w:rFonts w:ascii="Times New Roman" w:cs="Times New Roman" w:eastAsia="Times New Roman" w:hAnsi="Times New Roman"/>
          <w:sz w:val="22"/>
          <w:szCs w:val="22"/>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March 11, 2022. As required by law, your employment with the Company is contingent upon your providing legal proof of your identity and authorization to work in the United States. In addition, your employment is contingent on satisfactory review of a background check and upon your starting work with the Company on a future date which is to be decided upon by both parties.</w:t>
      </w:r>
    </w:p>
    <w:p>
      <w:pPr>
        <w:spacing w:after="0" w:line="17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If you have any questions, please feel free to reach out.</w:t>
      </w:r>
    </w:p>
    <w:p>
      <w:pPr>
        <w:spacing w:after="0" w:line="200" w:lineRule="exact"/>
        <w:rPr>
          <w:sz w:val="20"/>
          <w:szCs w:val="20"/>
          <w:color w:val="auto"/>
        </w:rPr>
      </w:pPr>
    </w:p>
    <w:p>
      <w:pPr>
        <w:spacing w:after="0" w:line="3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PELOTON INTERACTIVE, INC.</w:t>
      </w:r>
    </w:p>
    <w:p>
      <w:pPr>
        <w:spacing w:after="0" w:line="200" w:lineRule="exact"/>
        <w:rPr>
          <w:sz w:val="20"/>
          <w:szCs w:val="20"/>
          <w:color w:val="auto"/>
        </w:rPr>
      </w:pPr>
    </w:p>
    <w:p>
      <w:pPr>
        <w:spacing w:after="0" w:line="23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u w:val="single" w:color="auto"/>
          <w:color w:val="auto"/>
        </w:rPr>
        <w:t>Barry McCarthy</w:t>
      </w:r>
    </w:p>
    <w:p>
      <w:pPr>
        <w:spacing w:after="0" w:line="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By</w:t>
      </w:r>
      <w:r>
        <w:rPr>
          <w:rFonts w:ascii="Times New Roman" w:cs="Times New Roman" w:eastAsia="Times New Roman" w:hAnsi="Times New Roman"/>
          <w:sz w:val="22"/>
          <w:szCs w:val="22"/>
          <w:color w:val="auto"/>
        </w:rPr>
        <w:t>: Barry McCarthy</w:t>
      </w:r>
    </w:p>
    <w:p>
      <w:pPr>
        <w:spacing w:after="0" w:line="12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Title</w:t>
      </w:r>
      <w:r>
        <w:rPr>
          <w:rFonts w:ascii="Times New Roman" w:cs="Times New Roman" w:eastAsia="Times New Roman" w:hAnsi="Times New Roman"/>
          <w:sz w:val="22"/>
          <w:szCs w:val="22"/>
          <w:color w:val="auto"/>
        </w:rPr>
        <w:t>: Chief Executive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I have read and accept this employment offer:</w:t>
      </w:r>
    </w:p>
    <w:p>
      <w:pPr>
        <w:spacing w:after="0" w:line="2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u w:val="single" w:color="auto"/>
          <w:color w:val="auto"/>
        </w:rPr>
        <w:t>Andrew Rendich</w:t>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Signature of Employee</w:t>
      </w:r>
    </w:p>
    <w:p>
      <w:pPr>
        <w:spacing w:after="0" w:line="200" w:lineRule="exact"/>
        <w:rPr>
          <w:sz w:val="20"/>
          <w:szCs w:val="20"/>
          <w:color w:val="auto"/>
        </w:rPr>
      </w:pP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Dated: 03/07/2022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Exhibit A: Proprietary Information and Inventions Agreement</w:t>
      </w:r>
    </w:p>
    <w:p>
      <w:pPr>
        <w:sectPr>
          <w:pgSz w:w="11900" w:h="16838" w:orient="portrait"/>
          <w:cols w:equalWidth="0" w:num="1">
            <w:col w:w="10400"/>
          </w:cols>
          <w:pgMar w:left="1060" w:top="1395" w:right="4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22"/>
          <w:szCs w:val="22"/>
          <w:color w:val="auto"/>
        </w:rPr>
        <w:t>PELOTON INTERACTIVE, INC.</w:t>
      </w:r>
    </w:p>
    <w:p>
      <w:pPr>
        <w:spacing w:after="0" w:line="28"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22"/>
          <w:szCs w:val="22"/>
          <w:color w:val="202024"/>
        </w:rPr>
        <w:t>441 9th Ave</w:t>
      </w:r>
    </w:p>
    <w:p>
      <w:pPr>
        <w:spacing w:after="0" w:line="4"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22"/>
          <w:szCs w:val="22"/>
          <w:color w:val="auto"/>
        </w:rPr>
        <w:t>New York, NY 10001</w:t>
      </w:r>
    </w:p>
    <w:p>
      <w:pPr>
        <w:spacing w:after="0" w:line="200" w:lineRule="exact"/>
        <w:rPr>
          <w:sz w:val="20"/>
          <w:szCs w:val="20"/>
          <w:color w:val="auto"/>
        </w:rPr>
      </w:pPr>
    </w:p>
    <w:p>
      <w:pPr>
        <w:spacing w:after="0" w:line="212"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22"/>
          <w:szCs w:val="22"/>
          <w:color w:val="auto"/>
        </w:rPr>
        <w:t>September 18, 2023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Nick Caldwell</w:t>
      </w:r>
    </w:p>
    <w:p>
      <w:pPr>
        <w:spacing w:after="0" w:line="5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280 Spear Street, Unit 3703 San Francisco, CA</w:t>
      </w:r>
    </w:p>
    <w:p>
      <w:pPr>
        <w:spacing w:after="0" w:line="31"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94105</w:t>
      </w:r>
    </w:p>
    <w:p>
      <w:pPr>
        <w:spacing w:after="0" w:line="200" w:lineRule="exact"/>
        <w:rPr>
          <w:sz w:val="20"/>
          <w:szCs w:val="20"/>
          <w:color w:val="auto"/>
        </w:rPr>
      </w:pPr>
    </w:p>
    <w:p>
      <w:pPr>
        <w:spacing w:after="0" w:line="38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Dear Nick:</w:t>
      </w:r>
    </w:p>
    <w:p>
      <w:pPr>
        <w:spacing w:after="0" w:line="3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Peloton Interactive, Inc. (the “Company”) is pleased to offer you employment on the following terms:</w:t>
      </w:r>
    </w:p>
    <w:p>
      <w:pPr>
        <w:spacing w:after="0" w:line="200" w:lineRule="exact"/>
        <w:rPr>
          <w:sz w:val="20"/>
          <w:szCs w:val="20"/>
          <w:color w:val="auto"/>
        </w:rPr>
      </w:pPr>
    </w:p>
    <w:p>
      <w:pPr>
        <w:spacing w:after="0" w:line="272" w:lineRule="exact"/>
        <w:rPr>
          <w:sz w:val="20"/>
          <w:szCs w:val="20"/>
          <w:color w:val="auto"/>
        </w:rPr>
      </w:pPr>
    </w:p>
    <w:p>
      <w:pPr>
        <w:jc w:val="both"/>
        <w:ind w:left="2" w:right="100" w:hanging="2"/>
        <w:spacing w:after="0" w:line="280" w:lineRule="auto"/>
        <w:tabs>
          <w:tab w:leader="none" w:pos="556"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w:t>
      </w:r>
      <w:r>
        <w:rPr>
          <w:rFonts w:ascii="Times New Roman" w:cs="Times New Roman" w:eastAsia="Times New Roman" w:hAnsi="Times New Roman"/>
          <w:sz w:val="22"/>
          <w:szCs w:val="22"/>
          <w:color w:val="auto"/>
        </w:rPr>
        <w:t>. Your initial title will be Chief Product Officer and you will report to the Company’s Chief Executive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Barry McCarthy. This is a full-time 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387" w:lineRule="exact"/>
        <w:rPr>
          <w:rFonts w:ascii="Times New Roman" w:cs="Times New Roman" w:eastAsia="Times New Roman" w:hAnsi="Times New Roman"/>
          <w:sz w:val="22"/>
          <w:szCs w:val="22"/>
          <w:b w:val="1"/>
          <w:bCs w:val="1"/>
          <w:color w:val="auto"/>
        </w:rPr>
      </w:pPr>
    </w:p>
    <w:p>
      <w:pPr>
        <w:jc w:val="both"/>
        <w:ind w:left="2" w:right="120" w:hanging="2"/>
        <w:spacing w:after="0" w:line="291" w:lineRule="auto"/>
        <w:tabs>
          <w:tab w:leader="none" w:pos="556"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Cash Compensation</w:t>
      </w:r>
      <w:r>
        <w:rPr>
          <w:rFonts w:ascii="Times New Roman" w:cs="Times New Roman" w:eastAsia="Times New Roman" w:hAnsi="Times New Roman"/>
          <w:sz w:val="22"/>
          <w:szCs w:val="22"/>
          <w:color w:val="auto"/>
        </w:rPr>
        <w:t>. The Company will pay you a starting salary at the rate of $1,000,000.00 per year, payable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Company’s standard payroll schedule. This salary will be subject to adjustment pursuant to the Company’s employee compensation policies in effect from time to time.</w:t>
      </w:r>
    </w:p>
    <w:p>
      <w:pPr>
        <w:spacing w:after="0" w:line="159" w:lineRule="exact"/>
        <w:rPr>
          <w:rFonts w:ascii="Times New Roman" w:cs="Times New Roman" w:eastAsia="Times New Roman" w:hAnsi="Times New Roman"/>
          <w:sz w:val="22"/>
          <w:szCs w:val="22"/>
          <w:b w:val="1"/>
          <w:bCs w:val="1"/>
          <w:color w:val="auto"/>
        </w:rPr>
      </w:pPr>
    </w:p>
    <w:p>
      <w:pPr>
        <w:jc w:val="both"/>
        <w:ind w:left="2" w:right="100" w:hanging="2"/>
        <w:spacing w:after="0" w:line="275" w:lineRule="auto"/>
        <w:tabs>
          <w:tab w:leader="none" w:pos="556"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Relocation Support. </w:t>
      </w:r>
      <w:r>
        <w:rPr>
          <w:rFonts w:ascii="Times New Roman" w:cs="Times New Roman" w:eastAsia="Times New Roman" w:hAnsi="Times New Roman"/>
          <w:sz w:val="22"/>
          <w:szCs w:val="22"/>
          <w:color w:val="auto"/>
        </w:rPr>
        <w:t>You understand and agree that relocation to New York is required for your role. The Company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comprehensive relocation services through our relocation provider, Aires, up to a maximum of $150,000.00 for you to relocate to the New York City area to perform your job from Peloton’s New York Headquarters. All relocation services must be completed within 12 months of your start date. You will not receive any of this relocation support benefit until on or after your first day of employment. You agree to reimburse the Company 100% of the relocation support benefit if prior to your six-month anniversary you voluntarily terminate your employment or your employment is terminated for cause. The Company shall have a right to offset any such reimbursement obligation against any sums it might otherwise owe to you in the event of such termination. You acknowledge and agree the Company has full discretion to determine whether and to what extent these arrangements result in compensation to you and whether any tax withholding is appropriate. Your role is not a remote role, so you will be required to work from the New York office pursuant to the Peloton Return to Office Policy ("RTO Policy") Tuesday, Wednesday, and Thursday of each week, subject to terms and conditions of the RTO Policy, as may be amended from time to time.</w:t>
      </w:r>
    </w:p>
    <w:p>
      <w:pPr>
        <w:sectPr>
          <w:pgSz w:w="11900" w:h="16838" w:orient="portrait"/>
          <w:cols w:equalWidth="0" w:num="1">
            <w:col w:w="11142"/>
          </w:cols>
          <w:pgMar w:left="418" w:top="114" w:right="339" w:bottom="1440" w:gutter="0" w:footer="0" w:header="0"/>
        </w:sectPr>
      </w:pPr>
    </w:p>
    <w:bookmarkStart w:id="124" w:name="page125"/>
    <w:bookmarkEnd w:id="124"/>
    <w:p>
      <w:pPr>
        <w:jc w:val="both"/>
        <w:ind w:left="2" w:right="20" w:hanging="2"/>
        <w:spacing w:after="0" w:line="284" w:lineRule="auto"/>
        <w:tabs>
          <w:tab w:leader="none" w:pos="556"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Benefits</w:t>
      </w:r>
      <w:r>
        <w:rPr>
          <w:rFonts w:ascii="Times New Roman" w:cs="Times New Roman" w:eastAsia="Times New Roman" w:hAnsi="Times New Roman"/>
          <w:sz w:val="22"/>
          <w:szCs w:val="22"/>
          <w:color w:val="auto"/>
        </w:rPr>
        <w:t>. As a regular employee of the Company, you will be eligible to participate in a number of Company-sponsored benefits. In addition, you will be entitled to paid vacation in accordance with the Company’s vacation policy, as in effect from time to time.</w:t>
      </w:r>
    </w:p>
    <w:p>
      <w:pPr>
        <w:spacing w:after="0" w:line="384" w:lineRule="exact"/>
        <w:rPr>
          <w:rFonts w:ascii="Times New Roman" w:cs="Times New Roman" w:eastAsia="Times New Roman" w:hAnsi="Times New Roman"/>
          <w:sz w:val="22"/>
          <w:szCs w:val="22"/>
          <w:b w:val="1"/>
          <w:bCs w:val="1"/>
          <w:color w:val="auto"/>
        </w:rPr>
      </w:pPr>
    </w:p>
    <w:p>
      <w:pPr>
        <w:ind w:left="2" w:right="20" w:hanging="2"/>
        <w:spacing w:after="0" w:line="270" w:lineRule="auto"/>
        <w:tabs>
          <w:tab w:leader="none" w:pos="556"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Equity. </w:t>
      </w:r>
      <w:r>
        <w:rPr>
          <w:rFonts w:ascii="Times New Roman" w:cs="Times New Roman" w:eastAsia="Times New Roman" w:hAnsi="Times New Roman"/>
          <w:sz w:val="22"/>
          <w:szCs w:val="22"/>
          <w:color w:val="auto"/>
        </w:rPr>
        <w:t>Subject to the approval of the Company’s Board of Directors or its Compensation Committee, you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eligible to receive an equity award of the Company’s Common Stock valued at</w:t>
      </w:r>
    </w:p>
    <w:p>
      <w:pPr>
        <w:spacing w:after="0" w:line="1" w:lineRule="exact"/>
        <w:rPr>
          <w:rFonts w:ascii="Times New Roman" w:cs="Times New Roman" w:eastAsia="Times New Roman" w:hAnsi="Times New Roman"/>
          <w:sz w:val="22"/>
          <w:szCs w:val="22"/>
          <w:b w:val="1"/>
          <w:bCs w:val="1"/>
          <w:color w:val="auto"/>
        </w:rPr>
      </w:pPr>
    </w:p>
    <w:p>
      <w:pPr>
        <w:jc w:val="both"/>
        <w:ind w:left="2"/>
        <w:spacing w:after="0" w:line="27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$9,000,000.00 in the aggregate on the date of grant. You will be able to elect to receive this award in the form of stock options, restricted stock units or a 50/50 combination of the two (collectively, “Equity Award”). The Equity Award will be subject to the terms and conditions applicable under the Company’s 2019 Equity Incentive Plan (the “Plan”), as described in the Plan and the applicable Stock Option or Restricted Stock Unit Agreement. You shall vest as to 25% of the Equity Award on the 1-year anniversary of the grant date and as to 1/16th of the Equity Award on each Quarterly Vesting Date thereafter, subject to your continuous service through each such date (as set forth in Stock Option Agreement or Restricted Stock Unit Agreement). A “Quarterly Vesting Date” is the first trading day on or after each of September 15, December 15, March 15, and June 15. More information on the timing to make your election and the differences between the equity choices will be provided to you prior to your election deadline.</w:t>
      </w:r>
    </w:p>
    <w:p>
      <w:pPr>
        <w:spacing w:after="0" w:line="378" w:lineRule="exact"/>
        <w:rPr>
          <w:rFonts w:ascii="Times New Roman" w:cs="Times New Roman" w:eastAsia="Times New Roman" w:hAnsi="Times New Roman"/>
          <w:sz w:val="22"/>
          <w:szCs w:val="22"/>
          <w:b w:val="1"/>
          <w:bCs w:val="1"/>
          <w:color w:val="auto"/>
        </w:rPr>
      </w:pPr>
    </w:p>
    <w:p>
      <w:pPr>
        <w:jc w:val="both"/>
        <w:ind w:left="2" w:right="20" w:hanging="2"/>
        <w:spacing w:after="0" w:line="291" w:lineRule="auto"/>
        <w:tabs>
          <w:tab w:leader="none" w:pos="556"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Severance and Change in Control. </w:t>
      </w:r>
      <w:r>
        <w:rPr>
          <w:rFonts w:ascii="Times New Roman" w:cs="Times New Roman" w:eastAsia="Times New Roman" w:hAnsi="Times New Roman"/>
          <w:sz w:val="22"/>
          <w:szCs w:val="22"/>
          <w:color w:val="auto"/>
        </w:rPr>
        <w:t>You will be a participant in the Company’s</w:t>
      </w:r>
      <w:r>
        <w:rPr>
          <w:rFonts w:ascii="Times New Roman" w:cs="Times New Roman" w:eastAsia="Times New Roman" w:hAnsi="Times New Roman"/>
          <w:sz w:val="22"/>
          <w:szCs w:val="22"/>
          <w:b w:val="1"/>
          <w:bCs w:val="1"/>
          <w:color w:val="auto"/>
        </w:rPr>
        <w:t xml:space="preserve"> Severance and Change in Control Plan </w:t>
      </w:r>
      <w:r>
        <w:rPr>
          <w:rFonts w:ascii="Times New Roman" w:cs="Times New Roman" w:eastAsia="Times New Roman" w:hAnsi="Times New Roman"/>
          <w:sz w:val="22"/>
          <w:szCs w:val="22"/>
          <w:color w:val="auto"/>
        </w:rPr>
        <w:t>(the “Severance Plan”), as a Tier 1 participant. For purposes of the Severance Plan, the definition of “Good Reason”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9.15 shall be amended as follows:</w:t>
      </w:r>
    </w:p>
    <w:p>
      <w:pPr>
        <w:spacing w:after="0" w:line="374" w:lineRule="exact"/>
        <w:rPr>
          <w:sz w:val="20"/>
          <w:szCs w:val="20"/>
          <w:color w:val="auto"/>
        </w:rPr>
      </w:pPr>
    </w:p>
    <w:p>
      <w:pPr>
        <w:jc w:val="both"/>
        <w:ind w:left="64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means a cessation of the Participant’s employment as a result of the Participant’s resignation within 12 months after the occurrence of one or more of the following without the Participant’s consent: (i) a reduction of more than 10% in Participant’s base salary as an employee of the Company, except to the extent that the Company implements an equal percentage reduction applicable to all executive officers and management personnel; (ii) a material reduction in the Participant’s duties, responsibilities or authority at the Company; (iii) a change in the geographic location at which the Participant must perform services which results in an increase in the one-way commute of the Participant by more than 50 miles; or (iv) a successor of the Company does not assume this Plan. A resignation for Good Reason will not be deemed to have occurred unless the Participant gives the Company written notice of the condition within 90 days after the condition comes into existence and the Company fails to remedy the condition within 30 days after receiving the Participant’s written notice.</w:t>
      </w:r>
    </w:p>
    <w:p>
      <w:pPr>
        <w:spacing w:after="0" w:line="200" w:lineRule="exact"/>
        <w:rPr>
          <w:sz w:val="20"/>
          <w:szCs w:val="20"/>
          <w:color w:val="auto"/>
        </w:rPr>
      </w:pPr>
    </w:p>
    <w:p>
      <w:pPr>
        <w:spacing w:after="0" w:line="201"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22"/>
          <w:szCs w:val="22"/>
          <w:color w:val="auto"/>
        </w:rPr>
        <w:t>All other terms and provisions of the Severance Plan shall remain in full force and effect. For the avoidance of doubt, acceleration and/or forfeiture of equity upon termination will be governed by the Severance Plan. A copy of the Severance Plan is included for your review.</w:t>
      </w:r>
    </w:p>
    <w:p>
      <w:pPr>
        <w:spacing w:after="0" w:line="378" w:lineRule="exact"/>
        <w:rPr>
          <w:sz w:val="20"/>
          <w:szCs w:val="20"/>
          <w:color w:val="auto"/>
        </w:rPr>
      </w:pPr>
    </w:p>
    <w:p>
      <w:pPr>
        <w:jc w:val="both"/>
        <w:ind w:left="2" w:right="20" w:hanging="2"/>
        <w:spacing w:after="0" w:line="284" w:lineRule="auto"/>
        <w:tabs>
          <w:tab w:leader="none" w:pos="556"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Proprietary Information and Inventions Agreement</w:t>
      </w:r>
      <w:r>
        <w:rPr>
          <w:rFonts w:ascii="Times New Roman" w:cs="Times New Roman" w:eastAsia="Times New Roman" w:hAnsi="Times New Roman"/>
          <w:sz w:val="22"/>
          <w:szCs w:val="22"/>
          <w:color w:val="auto"/>
        </w:rPr>
        <w:t>. Like all Company employees, you will be required,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condition of your employment with the Company, to sign the Company’s standard Proprietary Information and Inventions Agreement, a copy of which is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w:t>
      </w:r>
    </w:p>
    <w:p>
      <w:pPr>
        <w:sectPr>
          <w:pgSz w:w="11900" w:h="16838" w:orient="portrait"/>
          <w:cols w:equalWidth="0" w:num="1">
            <w:col w:w="11042"/>
          </w:cols>
          <w:pgMar w:left="418" w:top="1107" w:right="439" w:bottom="1440" w:gutter="0" w:footer="0" w:header="0"/>
        </w:sectPr>
      </w:pPr>
    </w:p>
    <w:bookmarkStart w:id="125" w:name="page126"/>
    <w:bookmarkEnd w:id="125"/>
    <w:p>
      <w:pPr>
        <w:ind w:right="20"/>
        <w:spacing w:after="0" w:line="271" w:lineRule="auto"/>
        <w:rPr>
          <w:sz w:val="20"/>
          <w:szCs w:val="20"/>
          <w:color w:val="auto"/>
        </w:rPr>
      </w:pPr>
      <w:r>
        <w:rPr>
          <w:rFonts w:ascii="Times New Roman" w:cs="Times New Roman" w:eastAsia="Times New Roman" w:hAnsi="Times New Roman"/>
          <w:sz w:val="22"/>
          <w:szCs w:val="22"/>
          <w:color w:val="auto"/>
        </w:rPr>
        <w:t>Notwithstanding the language in the Proprietary Information and Inventions Agreement, the definition of “Cause” in Section 9.3 of the Severance Plan will govern your employment, consistent with the requirements of New York law.</w:t>
      </w:r>
    </w:p>
    <w:p>
      <w:pPr>
        <w:spacing w:after="0" w:line="194" w:lineRule="exact"/>
        <w:rPr>
          <w:sz w:val="20"/>
          <w:szCs w:val="20"/>
          <w:color w:val="auto"/>
        </w:rPr>
      </w:pPr>
    </w:p>
    <w:p>
      <w:pPr>
        <w:ind w:left="100" w:right="20" w:hanging="2"/>
        <w:spacing w:after="0" w:line="250" w:lineRule="auto"/>
        <w:tabs>
          <w:tab w:leader="none" w:pos="654"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Relationship</w:t>
      </w:r>
      <w:r>
        <w:rPr>
          <w:rFonts w:ascii="Times New Roman" w:cs="Times New Roman" w:eastAsia="Times New Roman" w:hAnsi="Times New Roman"/>
          <w:sz w:val="22"/>
          <w:szCs w:val="22"/>
          <w:color w:val="auto"/>
        </w:rPr>
        <w:t>. Employment with the Company is for no specific period of time. Your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207" w:lineRule="exact"/>
        <w:rPr>
          <w:rFonts w:ascii="Times New Roman" w:cs="Times New Roman" w:eastAsia="Times New Roman" w:hAnsi="Times New Roman"/>
          <w:sz w:val="22"/>
          <w:szCs w:val="22"/>
          <w:b w:val="1"/>
          <w:bCs w:val="1"/>
          <w:color w:val="auto"/>
        </w:rPr>
      </w:pPr>
    </w:p>
    <w:p>
      <w:pPr>
        <w:ind w:left="660" w:hanging="562"/>
        <w:spacing w:after="0"/>
        <w:tabs>
          <w:tab w:leader="none" w:pos="66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Matters</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100" w:right="20" w:hanging="2"/>
        <w:spacing w:after="0" w:line="313" w:lineRule="auto"/>
        <w:tabs>
          <w:tab w:leader="none" w:pos="65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All forms of compensation referred to in this letter agreement are subject to reduction to reflect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withholding and payroll taxes and other deductions required by law.</w:t>
      </w:r>
    </w:p>
    <w:p>
      <w:pPr>
        <w:spacing w:after="0" w:line="136" w:lineRule="exact"/>
        <w:rPr>
          <w:rFonts w:ascii="Times New Roman" w:cs="Times New Roman" w:eastAsia="Times New Roman" w:hAnsi="Times New Roman"/>
          <w:sz w:val="22"/>
          <w:szCs w:val="22"/>
          <w:color w:val="auto"/>
        </w:rPr>
      </w:pPr>
    </w:p>
    <w:p>
      <w:pPr>
        <w:jc w:val="both"/>
        <w:ind w:left="100" w:hanging="2"/>
        <w:spacing w:after="0" w:line="283" w:lineRule="auto"/>
        <w:tabs>
          <w:tab w:leader="none" w:pos="65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Advice</w:t>
      </w:r>
      <w:r>
        <w:rPr>
          <w:rFonts w:ascii="Times New Roman" w:cs="Times New Roman" w:eastAsia="Times New Roman" w:hAnsi="Times New Roman"/>
          <w:sz w:val="22"/>
          <w:szCs w:val="22"/>
          <w:color w:val="auto"/>
        </w:rPr>
        <w:t>. You are encouraged to obtain your own tax advice regarding your compensation from the Company.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386" w:lineRule="exact"/>
        <w:rPr>
          <w:sz w:val="20"/>
          <w:szCs w:val="20"/>
          <w:color w:val="auto"/>
        </w:rPr>
      </w:pPr>
    </w:p>
    <w:p>
      <w:pPr>
        <w:ind w:left="100" w:right="20" w:hanging="2"/>
        <w:spacing w:after="0" w:line="300" w:lineRule="auto"/>
        <w:tabs>
          <w:tab w:leader="none" w:pos="654"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Legal Review Reimbursement</w:t>
      </w:r>
      <w:r>
        <w:rPr>
          <w:rFonts w:ascii="Times New Roman" w:cs="Times New Roman" w:eastAsia="Times New Roman" w:hAnsi="Times New Roman"/>
          <w:sz w:val="22"/>
          <w:szCs w:val="22"/>
          <w:color w:val="auto"/>
        </w:rPr>
        <w:t>. Peloton will reimburse legal fees for review of this offer of employment and associated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documentation.</w:t>
      </w:r>
    </w:p>
    <w:p>
      <w:pPr>
        <w:spacing w:after="0" w:line="150" w:lineRule="exact"/>
        <w:rPr>
          <w:rFonts w:ascii="Times New Roman" w:cs="Times New Roman" w:eastAsia="Times New Roman" w:hAnsi="Times New Roman"/>
          <w:sz w:val="22"/>
          <w:szCs w:val="22"/>
          <w:b w:val="1"/>
          <w:bCs w:val="1"/>
          <w:color w:val="auto"/>
        </w:rPr>
      </w:pPr>
    </w:p>
    <w:p>
      <w:pPr>
        <w:jc w:val="both"/>
        <w:ind w:left="100" w:hanging="2"/>
        <w:spacing w:after="0" w:line="275" w:lineRule="auto"/>
        <w:tabs>
          <w:tab w:leader="none" w:pos="642"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Arbitration</w:t>
      </w:r>
      <w:r>
        <w:rPr>
          <w:rFonts w:ascii="Times New Roman" w:cs="Times New Roman" w:eastAsia="Times New Roman" w:hAnsi="Times New Roman"/>
          <w:sz w:val="22"/>
          <w:szCs w:val="22"/>
          <w:color w:val="auto"/>
        </w:rPr>
        <w:t>. You and the Company shall submit to mandatory and exclusive binding arbitration any controversy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claim arising out of, or relating to, this Agreement or any breach hereof, provided, however, that the parties retain their right to, and shall not be prohibited, limited or in any other way restricted from, seeking or obtaining equitable relief from a court having jurisdiction over the parties. Such arbitration shall be governed by the Federal Arbitration Act and conducted through the JAMS in the State of New York, New York County, before a single neutral arbitrator, in accordance with the Employment Arbitration Rules of JAMS in effect at that time (currently available at: jamsadr.com). The parties hereby waive any rights they may have to have any such claims tried before a judge or jury. The parties may conduct only essential discovery prior to the hearing, as defined by the JAMS arbitrator. The arbitrator shall issue a written decision that contains the essential findings and conclusions on which the decision is based. You shall bear only those costs of arbitration you would otherwise bear had you brought a claim covered by this Agreement in court. Judgment upon the determination or award rendered by the arbitrator may be entered in any court having jurisdiction thereof.</w:t>
      </w:r>
    </w:p>
    <w:p>
      <w:pPr>
        <w:spacing w:after="0" w:line="186" w:lineRule="exact"/>
        <w:rPr>
          <w:rFonts w:ascii="Times New Roman" w:cs="Times New Roman" w:eastAsia="Times New Roman" w:hAnsi="Times New Roman"/>
          <w:sz w:val="22"/>
          <w:szCs w:val="22"/>
          <w:b w:val="1"/>
          <w:bCs w:val="1"/>
          <w:color w:val="auto"/>
        </w:rPr>
      </w:pPr>
    </w:p>
    <w:p>
      <w:pPr>
        <w:jc w:val="both"/>
        <w:ind w:left="100" w:hanging="2"/>
        <w:spacing w:after="0" w:line="283" w:lineRule="auto"/>
        <w:tabs>
          <w:tab w:leader="none" w:pos="654"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Coverage Under Directors’ and Officers’ Liability Insurance Policies; Indemnification. </w:t>
      </w:r>
      <w:r>
        <w:rPr>
          <w:rFonts w:ascii="Times New Roman" w:cs="Times New Roman" w:eastAsia="Times New Roman" w:hAnsi="Times New Roman"/>
          <w:sz w:val="22"/>
          <w:szCs w:val="22"/>
          <w:color w:val="auto"/>
        </w:rPr>
        <w:t>The Company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indemnify you to the maximum extent permitted by applicable law and the Company’s by-laws for your services rendered as an officer and director of the Company and to maintain directors’ and officers’ liability insurance policies covering you on a basis no less favorable</w:t>
      </w:r>
    </w:p>
    <w:p>
      <w:pPr>
        <w:sectPr>
          <w:pgSz w:w="11900" w:h="16838" w:orient="portrait"/>
          <w:cols w:equalWidth="0" w:num="1">
            <w:col w:w="11140"/>
          </w:cols>
          <w:pgMar w:left="320" w:top="1017" w:right="439" w:bottom="1440" w:gutter="0" w:footer="0" w:header="0"/>
        </w:sectPr>
      </w:pPr>
    </w:p>
    <w:bookmarkStart w:id="126" w:name="page127"/>
    <w:bookmarkEnd w:id="126"/>
    <w:p>
      <w:pPr>
        <w:jc w:val="both"/>
        <w:ind w:left="2" w:right="20"/>
        <w:spacing w:after="0" w:line="282" w:lineRule="auto"/>
        <w:rPr>
          <w:sz w:val="20"/>
          <w:szCs w:val="20"/>
          <w:color w:val="auto"/>
        </w:rPr>
      </w:pPr>
      <w:r>
        <w:rPr>
          <w:rFonts w:ascii="Times New Roman" w:cs="Times New Roman" w:eastAsia="Times New Roman" w:hAnsi="Times New Roman"/>
          <w:sz w:val="22"/>
          <w:szCs w:val="22"/>
          <w:color w:val="auto"/>
        </w:rPr>
        <w:t>than provided to other directors and senior executives, which indemnification and coverage shall continue as to you even if you have ceased to be a director, officer or employee of the Company with respect to acts or omissions which occurred prior to such cessation.</w:t>
      </w:r>
    </w:p>
    <w:p>
      <w:pPr>
        <w:spacing w:after="0" w:line="171" w:lineRule="exact"/>
        <w:rPr>
          <w:sz w:val="20"/>
          <w:szCs w:val="20"/>
          <w:color w:val="auto"/>
        </w:rPr>
      </w:pPr>
    </w:p>
    <w:p>
      <w:pPr>
        <w:jc w:val="both"/>
        <w:ind w:left="2" w:hanging="2"/>
        <w:spacing w:after="0" w:line="276" w:lineRule="auto"/>
        <w:tabs>
          <w:tab w:leader="none" w:pos="556"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Interpretation, Amendment and Enforcement</w:t>
      </w:r>
      <w:r>
        <w:rPr>
          <w:rFonts w:ascii="Times New Roman" w:cs="Times New Roman" w:eastAsia="Times New Roman" w:hAnsi="Times New Roman"/>
          <w:sz w:val="22"/>
          <w:szCs w:val="22"/>
          <w:color w:val="auto"/>
        </w:rPr>
        <w:t>. This letter agreement and Exhibit A constitute the complete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New York law, excluding laws relating to conflicts or choice of law. You and the Company submit to the exclusive personal jurisdiction of the federal and state courts located in New York in connection with any Dispute or any claim related to any Dispute.</w:t>
      </w:r>
    </w:p>
    <w:p>
      <w:pPr>
        <w:spacing w:after="0" w:line="172" w:lineRule="exact"/>
        <w:rPr>
          <w:rFonts w:ascii="Times New Roman" w:cs="Times New Roman" w:eastAsia="Times New Roman" w:hAnsi="Times New Roman"/>
          <w:sz w:val="22"/>
          <w:szCs w:val="22"/>
          <w:b w:val="1"/>
          <w:bCs w:val="1"/>
          <w:color w:val="auto"/>
        </w:rPr>
      </w:pPr>
    </w:p>
    <w:p>
      <w:pPr>
        <w:ind w:left="416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 * * *</w:t>
      </w:r>
    </w:p>
    <w:p>
      <w:pPr>
        <w:spacing w:after="0" w:line="274" w:lineRule="exact"/>
        <w:rPr>
          <w:sz w:val="20"/>
          <w:szCs w:val="20"/>
          <w:color w:val="auto"/>
        </w:rPr>
      </w:pPr>
    </w:p>
    <w:p>
      <w:pPr>
        <w:jc w:val="both"/>
        <w:ind w:left="2" w:right="20"/>
        <w:spacing w:after="0" w:line="277" w:lineRule="auto"/>
        <w:rPr>
          <w:sz w:val="20"/>
          <w:szCs w:val="20"/>
          <w:color w:val="auto"/>
        </w:rPr>
      </w:pPr>
      <w:r>
        <w:rPr>
          <w:rFonts w:ascii="Times New Roman" w:cs="Times New Roman" w:eastAsia="Times New Roman" w:hAnsi="Times New Roman"/>
          <w:sz w:val="22"/>
          <w:szCs w:val="22"/>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As required by law, your employment with the Company is contingent upon your providing legal proof of your identity and authorization to work in the United States. In addition, your employment is contingent on a satisfactory review of a background check and upon your starting work with the Company on November 1, 2023.</w:t>
      </w:r>
    </w:p>
    <w:p>
      <w:pPr>
        <w:spacing w:after="0" w:line="165"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If you have any questions, please feel free to reach out.</w:t>
      </w:r>
    </w:p>
    <w:p>
      <w:pPr>
        <w:spacing w:after="0" w:line="200" w:lineRule="exact"/>
        <w:rPr>
          <w:sz w:val="20"/>
          <w:szCs w:val="20"/>
          <w:color w:val="auto"/>
        </w:rPr>
      </w:pPr>
    </w:p>
    <w:p>
      <w:pPr>
        <w:spacing w:after="0" w:line="330" w:lineRule="exact"/>
        <w:rPr>
          <w:sz w:val="20"/>
          <w:szCs w:val="20"/>
          <w:color w:val="auto"/>
        </w:rPr>
      </w:pPr>
    </w:p>
    <w:p>
      <w:pPr>
        <w:ind w:left="3802"/>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60" w:lineRule="exact"/>
        <w:rPr>
          <w:sz w:val="20"/>
          <w:szCs w:val="20"/>
          <w:color w:val="auto"/>
        </w:rPr>
      </w:pPr>
    </w:p>
    <w:p>
      <w:pPr>
        <w:ind w:left="3802"/>
        <w:spacing w:after="0"/>
        <w:rPr>
          <w:sz w:val="20"/>
          <w:szCs w:val="20"/>
          <w:color w:val="auto"/>
        </w:rPr>
      </w:pPr>
      <w:r>
        <w:rPr>
          <w:rFonts w:ascii="Times New Roman" w:cs="Times New Roman" w:eastAsia="Times New Roman" w:hAnsi="Times New Roman"/>
          <w:sz w:val="22"/>
          <w:szCs w:val="22"/>
          <w:color w:val="auto"/>
        </w:rPr>
        <w:t>PELOTON INTERACTIVE, INC.</w:t>
      </w:r>
    </w:p>
    <w:p>
      <w:pPr>
        <w:spacing w:after="0" w:line="200" w:lineRule="exact"/>
        <w:rPr>
          <w:sz w:val="20"/>
          <w:szCs w:val="20"/>
          <w:color w:val="auto"/>
        </w:rPr>
      </w:pPr>
    </w:p>
    <w:p>
      <w:pPr>
        <w:spacing w:after="0" w:line="209" w:lineRule="exact"/>
        <w:rPr>
          <w:sz w:val="20"/>
          <w:szCs w:val="20"/>
          <w:color w:val="auto"/>
        </w:rPr>
      </w:pPr>
    </w:p>
    <w:p>
      <w:pPr>
        <w:ind w:left="3802"/>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u w:val="single" w:color="auto"/>
          <w:color w:val="auto"/>
        </w:rPr>
        <w:t>Barry McCarthy</w:t>
      </w:r>
    </w:p>
    <w:p>
      <w:pPr>
        <w:spacing w:after="0" w:line="29" w:lineRule="exact"/>
        <w:rPr>
          <w:sz w:val="20"/>
          <w:szCs w:val="20"/>
          <w:color w:val="auto"/>
        </w:rPr>
      </w:pPr>
    </w:p>
    <w:p>
      <w:pPr>
        <w:ind w:left="3802"/>
        <w:spacing w:after="0"/>
        <w:rPr>
          <w:sz w:val="20"/>
          <w:szCs w:val="20"/>
          <w:color w:val="auto"/>
        </w:rPr>
      </w:pPr>
      <w:r>
        <w:rPr>
          <w:rFonts w:ascii="Times New Roman" w:cs="Times New Roman" w:eastAsia="Times New Roman" w:hAnsi="Times New Roman"/>
          <w:sz w:val="22"/>
          <w:szCs w:val="22"/>
          <w:color w:val="auto"/>
        </w:rPr>
        <w:t>Signature of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2"/>
        <w:spacing w:after="0"/>
        <w:rPr>
          <w:sz w:val="20"/>
          <w:szCs w:val="20"/>
          <w:color w:val="auto"/>
        </w:rPr>
      </w:pPr>
      <w:r>
        <w:rPr>
          <w:rFonts w:ascii="Times New Roman" w:cs="Times New Roman" w:eastAsia="Times New Roman" w:hAnsi="Times New Roman"/>
          <w:sz w:val="22"/>
          <w:szCs w:val="22"/>
          <w:b w:val="1"/>
          <w:bCs w:val="1"/>
          <w:color w:val="auto"/>
        </w:rPr>
        <w:t>By</w:t>
      </w:r>
      <w:r>
        <w:rPr>
          <w:rFonts w:ascii="Times New Roman" w:cs="Times New Roman" w:eastAsia="Times New Roman" w:hAnsi="Times New Roman"/>
          <w:sz w:val="22"/>
          <w:szCs w:val="22"/>
          <w:color w:val="auto"/>
        </w:rPr>
        <w:t>: Barry McCarthy</w:t>
      </w:r>
    </w:p>
    <w:p>
      <w:pPr>
        <w:spacing w:after="0" w:line="152" w:lineRule="exact"/>
        <w:rPr>
          <w:sz w:val="20"/>
          <w:szCs w:val="20"/>
          <w:color w:val="auto"/>
        </w:rPr>
      </w:pPr>
    </w:p>
    <w:p>
      <w:pPr>
        <w:ind w:left="3802"/>
        <w:spacing w:after="0"/>
        <w:rPr>
          <w:sz w:val="20"/>
          <w:szCs w:val="20"/>
          <w:color w:val="auto"/>
        </w:rPr>
      </w:pPr>
      <w:r>
        <w:rPr>
          <w:rFonts w:ascii="Times New Roman" w:cs="Times New Roman" w:eastAsia="Times New Roman" w:hAnsi="Times New Roman"/>
          <w:sz w:val="22"/>
          <w:szCs w:val="22"/>
          <w:b w:val="1"/>
          <w:bCs w:val="1"/>
          <w:color w:val="auto"/>
        </w:rPr>
        <w:t>Title</w:t>
      </w:r>
      <w:r>
        <w:rPr>
          <w:rFonts w:ascii="Times New Roman" w:cs="Times New Roman" w:eastAsia="Times New Roman" w:hAnsi="Times New Roman"/>
          <w:sz w:val="22"/>
          <w:szCs w:val="22"/>
          <w:color w:val="auto"/>
        </w:rPr>
        <w:t>: Chief Executive Officer</w:t>
      </w:r>
    </w:p>
    <w:p>
      <w:pPr>
        <w:sectPr>
          <w:pgSz w:w="11900" w:h="16838" w:orient="portrait"/>
          <w:cols w:equalWidth="0" w:num="1">
            <w:col w:w="11042"/>
          </w:cols>
          <w:pgMar w:left="418" w:top="1354" w:right="439" w:bottom="1440" w:gutter="0" w:footer="0" w:header="0"/>
        </w:sectPr>
      </w:pPr>
    </w:p>
    <w:bookmarkStart w:id="127" w:name="page128"/>
    <w:bookmarkEnd w:id="127"/>
    <w:p>
      <w:pPr>
        <w:ind w:left="20"/>
        <w:spacing w:after="0"/>
        <w:rPr>
          <w:sz w:val="20"/>
          <w:szCs w:val="20"/>
          <w:color w:val="auto"/>
        </w:rPr>
      </w:pPr>
      <w:r>
        <w:rPr>
          <w:rFonts w:ascii="Times New Roman" w:cs="Times New Roman" w:eastAsia="Times New Roman" w:hAnsi="Times New Roman"/>
          <w:sz w:val="22"/>
          <w:szCs w:val="22"/>
          <w:color w:val="auto"/>
        </w:rPr>
        <w:t>I have read and accept this employment offer:</w:t>
      </w:r>
    </w:p>
    <w:p>
      <w:pPr>
        <w:spacing w:after="0" w:line="3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u w:val="single" w:color="auto"/>
          <w:color w:val="auto"/>
        </w:rPr>
        <w:t>Nick Caldwell</w:t>
      </w:r>
    </w:p>
    <w:p>
      <w:pPr>
        <w:spacing w:after="0" w:line="24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Signature of Employee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Dated: </w:t>
      </w:r>
      <w:r>
        <w:rPr>
          <w:rFonts w:ascii="Times New Roman" w:cs="Times New Roman" w:eastAsia="Times New Roman" w:hAnsi="Times New Roman"/>
          <w:sz w:val="22"/>
          <w:szCs w:val="22"/>
          <w:color w:val="auto"/>
        </w:rPr>
        <w:t>9/18/2023</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Exhibit A: Proprietary Information and Inventions Agreement Exhibit B: Severance and</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Change in Control Plan</w:t>
      </w:r>
    </w:p>
    <w:p>
      <w:pPr>
        <w:sectPr>
          <w:pgSz w:w="11900" w:h="16838" w:orient="portrait"/>
          <w:cols w:equalWidth="0" w:num="1">
            <w:col w:w="10059"/>
          </w:cols>
          <w:pgMar w:left="400" w:top="1341" w:right="1440"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TRANSITION AGREEMENT</w:t>
      </w:r>
    </w:p>
    <w:p>
      <w:pPr>
        <w:spacing w:after="0" w:line="229" w:lineRule="exact"/>
        <w:rPr>
          <w:sz w:val="20"/>
          <w:szCs w:val="20"/>
          <w:color w:val="auto"/>
        </w:rPr>
      </w:pPr>
    </w:p>
    <w:p>
      <w:pPr>
        <w:ind w:firstLine="1296"/>
        <w:spacing w:after="0" w:line="273" w:lineRule="auto"/>
        <w:rPr>
          <w:sz w:val="20"/>
          <w:szCs w:val="20"/>
          <w:color w:val="auto"/>
        </w:rPr>
      </w:pPr>
      <w:r>
        <w:rPr>
          <w:rFonts w:ascii="Times New Roman" w:cs="Times New Roman" w:eastAsia="Times New Roman" w:hAnsi="Times New Roman"/>
          <w:sz w:val="20"/>
          <w:szCs w:val="20"/>
          <w:color w:val="auto"/>
        </w:rPr>
        <w:t>This Transition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entered into by and between Barry McCarthy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and Peloton Interactive,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dated as of May 2, 2024.</w:t>
      </w:r>
    </w:p>
    <w:p>
      <w:pPr>
        <w:spacing w:after="0" w:line="169" w:lineRule="exact"/>
        <w:rPr>
          <w:sz w:val="20"/>
          <w:szCs w:val="20"/>
          <w:color w:val="auto"/>
        </w:rPr>
      </w:pPr>
    </w:p>
    <w:p>
      <w:pPr>
        <w:ind w:left="1700" w:hanging="396"/>
        <w:spacing w:after="0"/>
        <w:tabs>
          <w:tab w:leader="none" w:pos="17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Board of Directors Resignation; Advisory Period; Separation of Employment</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1720" w:hanging="416"/>
        <w:spacing w:after="0"/>
        <w:tabs>
          <w:tab w:leader="none" w:pos="1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Board of Directors Resignation. </w:t>
      </w:r>
      <w:r>
        <w:rPr>
          <w:rFonts w:ascii="Times New Roman" w:cs="Times New Roman" w:eastAsia="Times New Roman" w:hAnsi="Times New Roman"/>
          <w:sz w:val="20"/>
          <w:szCs w:val="20"/>
          <w:color w:val="auto"/>
        </w:rPr>
        <w:t>Executive resigned as a director of the Company, effective April 28, 2024.</w:t>
      </w:r>
    </w:p>
    <w:p>
      <w:pPr>
        <w:spacing w:after="0" w:line="256" w:lineRule="exact"/>
        <w:rPr>
          <w:rFonts w:ascii="Times New Roman" w:cs="Times New Roman" w:eastAsia="Times New Roman" w:hAnsi="Times New Roman"/>
          <w:sz w:val="20"/>
          <w:szCs w:val="20"/>
          <w:color w:val="auto"/>
        </w:rPr>
      </w:pPr>
    </w:p>
    <w:p>
      <w:pPr>
        <w:jc w:val="both"/>
        <w:ind w:firstLine="1304"/>
        <w:spacing w:after="0" w:line="252" w:lineRule="auto"/>
        <w:tabs>
          <w:tab w:leader="none" w:pos="187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Transition; Termination Date. </w:t>
      </w:r>
      <w:r>
        <w:rPr>
          <w:rFonts w:ascii="Times New Roman" w:cs="Times New Roman" w:eastAsia="Times New Roman" w:hAnsi="Times New Roman"/>
          <w:sz w:val="20"/>
          <w:szCs w:val="20"/>
          <w:color w:val="auto"/>
        </w:rPr>
        <w:t>Regardless of whether Executive signs this Agreement, Executive’s service as Chief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Executive Officer of the Company will end effective at the close of business on May 2, 2024 (the “</w:t>
      </w:r>
      <w:r>
        <w:rPr>
          <w:rFonts w:ascii="Times New Roman" w:cs="Times New Roman" w:eastAsia="Times New Roman" w:hAnsi="Times New Roman"/>
          <w:sz w:val="20"/>
          <w:szCs w:val="20"/>
          <w:b w:val="1"/>
          <w:bCs w:val="1"/>
          <w:i w:val="1"/>
          <w:iCs w:val="1"/>
          <w:color w:val="auto"/>
        </w:rPr>
        <w:t>Transition Date</w:t>
      </w:r>
      <w:r>
        <w:rPr>
          <w:rFonts w:ascii="Times New Roman" w:cs="Times New Roman" w:eastAsia="Times New Roman" w:hAnsi="Times New Roman"/>
          <w:sz w:val="20"/>
          <w:szCs w:val="20"/>
          <w:color w:val="auto"/>
        </w:rPr>
        <w:t>”) and Executive shall cease to serve as an officer of the Company and its affiliates, unless Executive’s employment is earlier terminated for Cause (as such term is defined in the Company’s Severance and Change in Control Plan, the “</w:t>
      </w:r>
      <w:r>
        <w:rPr>
          <w:rFonts w:ascii="Times New Roman" w:cs="Times New Roman" w:eastAsia="Times New Roman" w:hAnsi="Times New Roman"/>
          <w:sz w:val="20"/>
          <w:szCs w:val="20"/>
          <w:b w:val="1"/>
          <w:bCs w:val="1"/>
          <w:i w:val="1"/>
          <w:iCs w:val="1"/>
          <w:color w:val="auto"/>
        </w:rPr>
        <w:t>Severance Plan</w:t>
      </w:r>
      <w:r>
        <w:rPr>
          <w:rFonts w:ascii="Times New Roman" w:cs="Times New Roman" w:eastAsia="Times New Roman" w:hAnsi="Times New Roman"/>
          <w:sz w:val="20"/>
          <w:szCs w:val="20"/>
          <w:color w:val="auto"/>
        </w:rPr>
        <w:t>”). Provided that Executive timely signs, and does not revoke, this Agreement, then effective as of the Transition Date, Executive shall remain employed by the Company as an employee at-will serving as Strategic Advisor to the Company through December 31, 2024 (the “</w:t>
      </w:r>
      <w:r>
        <w:rPr>
          <w:rFonts w:ascii="Times New Roman" w:cs="Times New Roman" w:eastAsia="Times New Roman" w:hAnsi="Times New Roman"/>
          <w:sz w:val="20"/>
          <w:szCs w:val="20"/>
          <w:b w:val="1"/>
          <w:bCs w:val="1"/>
          <w:i w:val="1"/>
          <w:iCs w:val="1"/>
          <w:color w:val="auto"/>
        </w:rPr>
        <w:t>Advisory Period End Date</w:t>
      </w:r>
      <w:r>
        <w:rPr>
          <w:rFonts w:ascii="Times New Roman" w:cs="Times New Roman" w:eastAsia="Times New Roman" w:hAnsi="Times New Roman"/>
          <w:sz w:val="20"/>
          <w:szCs w:val="20"/>
          <w:color w:val="auto"/>
        </w:rPr>
        <w:t>”), unless Executive’s employment with the Company is earlier terminated (i) for Cause (as such term is defined in the Severance Plan); (ii) by Executive’s voluntary resignation; or (iii) by Executive’s and the Company’s mutual agreement (the date on which Executive’s employment terminates, the “</w:t>
      </w:r>
      <w:r>
        <w:rPr>
          <w:rFonts w:ascii="Times New Roman" w:cs="Times New Roman" w:eastAsia="Times New Roman" w:hAnsi="Times New Roman"/>
          <w:sz w:val="20"/>
          <w:szCs w:val="20"/>
          <w:b w:val="1"/>
          <w:bCs w:val="1"/>
          <w:i w:val="1"/>
          <w:iCs w:val="1"/>
          <w:color w:val="auto"/>
        </w:rPr>
        <w:t>Termination Date</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2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Advisory Period. </w:t>
      </w:r>
      <w:r>
        <w:rPr>
          <w:rFonts w:ascii="Times New Roman" w:cs="Times New Roman" w:eastAsia="Times New Roman" w:hAnsi="Times New Roman"/>
          <w:sz w:val="20"/>
          <w:szCs w:val="20"/>
          <w:color w:val="auto"/>
        </w:rPr>
        <w:t>During the period from the Transition Date through the Termination Date (such period, the “</w:t>
      </w:r>
      <w:r>
        <w:rPr>
          <w:rFonts w:ascii="Times New Roman" w:cs="Times New Roman" w:eastAsia="Times New Roman" w:hAnsi="Times New Roman"/>
          <w:sz w:val="20"/>
          <w:szCs w:val="20"/>
          <w:b w:val="1"/>
          <w:bCs w:val="1"/>
          <w:i w:val="1"/>
          <w:iCs w:val="1"/>
          <w:color w:val="auto"/>
        </w:rPr>
        <w:t>Advisory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color w:val="auto"/>
        </w:rPr>
        <w:t>Period</w:t>
      </w:r>
      <w:r>
        <w:rPr>
          <w:rFonts w:ascii="Times New Roman" w:cs="Times New Roman" w:eastAsia="Times New Roman" w:hAnsi="Times New Roman"/>
          <w:sz w:val="20"/>
          <w:szCs w:val="20"/>
          <w:color w:val="auto"/>
        </w:rPr>
        <w:t>”), Executive agrees to cooperate reasonably with the Company in accomplishing a smooth and orderly transition of Executive’s prior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responsibilities as Chief Executive Officer to other employees of the Company, particularly including pending matters of which Executive has the principal knowledge and background information. Further, during the Advisory Period, (i) Executive shall work remotely but shall report to any Company offices as requested by the Chairperson of the Board, (ii) his services as Strategic Advisor will be provided on an as-and-when-needed basis upon request from the Chairperson of the Board, (iii) he shall report to the Chairperson of the Board and be available for consultation with the Chairperson of the Board, the Company’s then-current Chief Executive Officer (including any interim Co-Chief Executive Officer), and the Company’s Lead Team, (iv) he shall not have the right, authority, or power, express or implied, to perform any act, enter into any agreement, or make any statement or representations on behalf of the Company (including without limitation to its vendors, customers, or employees) that would bind the Company or create any liabilities or obligations, expressed or implied, in the Company’s name or on the Company’s behalf, and (v) he shall not manage Company employees. For the avoidance of doubt, Executive further understands and acknowledges that, without the express, advance written consent of the Chairperson of the Board, Executive shall not make any public-facing statements regarding the Company’s or its affiliates’ current or former officers or directors, policies, practices, products, services, decision-making, conduct, professionalism or compliance with standards or employees, advisors and agents as a group. As an employee of the Company, during the Advisory Period, Executive shall remain subject to Company policies, including, but not limited to, the Company’s Insider Trading Policy.</w:t>
      </w:r>
    </w:p>
    <w:p>
      <w:pPr>
        <w:spacing w:after="0" w:line="217" w:lineRule="exact"/>
        <w:rPr>
          <w:rFonts w:ascii="Times New Roman" w:cs="Times New Roman" w:eastAsia="Times New Roman" w:hAnsi="Times New Roman"/>
          <w:sz w:val="20"/>
          <w:szCs w:val="20"/>
          <w:color w:val="auto"/>
        </w:rPr>
      </w:pPr>
    </w:p>
    <w:p>
      <w:pPr>
        <w:jc w:val="both"/>
        <w:ind w:firstLine="1304"/>
        <w:spacing w:after="0" w:line="263" w:lineRule="auto"/>
        <w:tabs>
          <w:tab w:leader="none" w:pos="176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Prior Agreements. </w:t>
      </w:r>
      <w:r>
        <w:rPr>
          <w:rFonts w:ascii="Times New Roman" w:cs="Times New Roman" w:eastAsia="Times New Roman" w:hAnsi="Times New Roman"/>
          <w:sz w:val="20"/>
          <w:szCs w:val="20"/>
          <w:color w:val="auto"/>
        </w:rPr>
        <w:t>The parties hereto acknowledge and agree that certain employment offer letter by and between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and Executive, dated February 7, 2022 (the “</w:t>
      </w:r>
      <w:r>
        <w:rPr>
          <w:rFonts w:ascii="Times New Roman" w:cs="Times New Roman" w:eastAsia="Times New Roman" w:hAnsi="Times New Roman"/>
          <w:sz w:val="20"/>
          <w:szCs w:val="20"/>
          <w:b w:val="1"/>
          <w:bCs w:val="1"/>
          <w:i w:val="1"/>
          <w:iCs w:val="1"/>
          <w:color w:val="auto"/>
        </w:rPr>
        <w:t>Employment Letter</w:t>
      </w:r>
      <w:r>
        <w:rPr>
          <w:rFonts w:ascii="Times New Roman" w:cs="Times New Roman" w:eastAsia="Times New Roman" w:hAnsi="Times New Roman"/>
          <w:sz w:val="20"/>
          <w:szCs w:val="20"/>
          <w:color w:val="auto"/>
        </w:rPr>
        <w:t>”), is superseded by this Agreement. Executive agrees that at no point shall his change in position, compensation, duties, responsibilities or authority or the appointment of a new Chief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1 of 14</w:t>
      </w:r>
    </w:p>
    <w:p>
      <w:pPr>
        <w:sectPr>
          <w:pgSz w:w="11900" w:h="16838" w:orient="portrait"/>
          <w:cols w:equalWidth="0" w:num="1">
            <w:col w:w="11240"/>
          </w:cols>
          <w:pgMar w:left="320" w:top="122" w:right="339" w:bottom="1440" w:gutter="0" w:footer="0" w:header="0"/>
        </w:sectPr>
      </w:pPr>
    </w:p>
    <w:bookmarkStart w:id="129" w:name="page130"/>
    <w:bookmarkEnd w:id="129"/>
    <w:p>
      <w:pPr>
        <w:jc w:val="both"/>
        <w:spacing w:after="0" w:line="261" w:lineRule="auto"/>
        <w:rPr>
          <w:sz w:val="20"/>
          <w:szCs w:val="20"/>
          <w:color w:val="auto"/>
        </w:rPr>
      </w:pPr>
      <w:r>
        <w:rPr>
          <w:rFonts w:ascii="Times New Roman" w:cs="Times New Roman" w:eastAsia="Times New Roman" w:hAnsi="Times New Roman"/>
          <w:sz w:val="20"/>
          <w:szCs w:val="20"/>
          <w:color w:val="auto"/>
        </w:rPr>
        <w:t>Executive Officer of the Company constitute an event giving rise to Good Reason, as defined in, and for purposes of, the Severance Plan. For the avoidance of doubt, nothing in this Agreement shall supersede Executive’s Proprietary Information and Inventions Agreement with the Company, dated February 7, 2022 (the “</w:t>
      </w:r>
      <w:r>
        <w:rPr>
          <w:rFonts w:ascii="Times New Roman" w:cs="Times New Roman" w:eastAsia="Times New Roman" w:hAnsi="Times New Roman"/>
          <w:sz w:val="20"/>
          <w:szCs w:val="20"/>
          <w:b w:val="1"/>
          <w:bCs w:val="1"/>
          <w:i w:val="1"/>
          <w:iCs w:val="1"/>
          <w:color w:val="auto"/>
        </w:rPr>
        <w:t>PIIA</w:t>
      </w:r>
      <w:r>
        <w:rPr>
          <w:rFonts w:ascii="Times New Roman" w:cs="Times New Roman" w:eastAsia="Times New Roman" w:hAnsi="Times New Roman"/>
          <w:sz w:val="20"/>
          <w:szCs w:val="20"/>
          <w:color w:val="auto"/>
        </w:rPr>
        <w:t>”).</w:t>
      </w:r>
    </w:p>
    <w:p>
      <w:pPr>
        <w:spacing w:after="0" w:line="208" w:lineRule="exact"/>
        <w:rPr>
          <w:sz w:val="20"/>
          <w:szCs w:val="20"/>
          <w:color w:val="auto"/>
        </w:rPr>
      </w:pPr>
    </w:p>
    <w:p>
      <w:pPr>
        <w:ind w:left="1900" w:hanging="596"/>
        <w:spacing w:after="0"/>
        <w:tabs>
          <w:tab w:leader="none" w:pos="19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firstLine="1304"/>
        <w:spacing w:after="0" w:line="287" w:lineRule="auto"/>
        <w:tabs>
          <w:tab w:leader="none" w:pos="196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Changes Before Transition Date</w:t>
      </w:r>
      <w:r>
        <w:rPr>
          <w:rFonts w:ascii="Times New Roman" w:cs="Times New Roman" w:eastAsia="Times New Roman" w:hAnsi="Times New Roman"/>
          <w:sz w:val="20"/>
          <w:szCs w:val="20"/>
          <w:color w:val="auto"/>
        </w:rPr>
        <w:t>. Through the Transition Date, Executive shall continue to be entitled to receive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compensation and benefits Executive is entitled to receive as of the Effective Date.</w:t>
      </w:r>
    </w:p>
    <w:p>
      <w:pPr>
        <w:spacing w:after="0" w:line="151"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6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Advisory Period. </w:t>
      </w:r>
      <w:r>
        <w:rPr>
          <w:rFonts w:ascii="Times New Roman" w:cs="Times New Roman" w:eastAsia="Times New Roman" w:hAnsi="Times New Roman"/>
          <w:sz w:val="20"/>
          <w:szCs w:val="20"/>
          <w:color w:val="auto"/>
        </w:rPr>
        <w:t>Subject to and conditioned upon (i) Executive’s continued compliance in all material respects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this Agreement and the Restrictive Covenants (as defined below) and (ii) Executive’s execution and delivery to the Company of an effective release of claims in substantially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on or before May 22, 2024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within 21 days following the May 1, 2024 delivery of the Agreement to Executive), and the non-revocation of the Release during the seven-day period following the date on which the Release is executed and (iii) approval by the Compensation Committee of the Company’s Board of Directors:</w:t>
      </w:r>
    </w:p>
    <w:p>
      <w:pPr>
        <w:spacing w:after="0" w:line="177" w:lineRule="exact"/>
        <w:rPr>
          <w:rFonts w:ascii="Times New Roman" w:cs="Times New Roman" w:eastAsia="Times New Roman" w:hAnsi="Times New Roman"/>
          <w:sz w:val="20"/>
          <w:szCs w:val="20"/>
          <w:color w:val="auto"/>
        </w:rPr>
      </w:pPr>
    </w:p>
    <w:p>
      <w:pPr>
        <w:jc w:val="both"/>
        <w:ind w:firstLine="1904"/>
        <w:spacing w:after="0" w:line="258" w:lineRule="auto"/>
        <w:tabs>
          <w:tab w:leader="none" w:pos="2382"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period commencing on the Transition Date, and ending on the three-month anniversary thereof, the Company shall pay Executive a base salary in the amount of $50,000 per month (the “</w:t>
      </w:r>
      <w:r>
        <w:rPr>
          <w:rFonts w:ascii="Times New Roman" w:cs="Times New Roman" w:eastAsia="Times New Roman" w:hAnsi="Times New Roman"/>
          <w:sz w:val="20"/>
          <w:szCs w:val="20"/>
          <w:b w:val="1"/>
          <w:bCs w:val="1"/>
          <w:i w:val="1"/>
          <w:iCs w:val="1"/>
          <w:color w:val="auto"/>
        </w:rPr>
        <w:t>Salary</w:t>
      </w:r>
      <w:r>
        <w:rPr>
          <w:rFonts w:ascii="Times New Roman" w:cs="Times New Roman" w:eastAsia="Times New Roman" w:hAnsi="Times New Roman"/>
          <w:sz w:val="20"/>
          <w:szCs w:val="20"/>
          <w:color w:val="auto"/>
        </w:rPr>
        <w:t>”), pro-rated to reflect any partial month of employment, and payable in accordance with the Company’s normal payroll practices. For the remainder of the Advisory Period, such Salary shall be reduced to $5,000 per month, pro-rated to reflect any partial month of employment.</w:t>
      </w:r>
    </w:p>
    <w:p>
      <w:pPr>
        <w:spacing w:after="0" w:line="182" w:lineRule="exact"/>
        <w:rPr>
          <w:sz w:val="20"/>
          <w:szCs w:val="20"/>
          <w:color w:val="auto"/>
        </w:rPr>
      </w:pPr>
    </w:p>
    <w:p>
      <w:pPr>
        <w:jc w:val="both"/>
        <w:ind w:firstLine="1874"/>
        <w:spacing w:after="0" w:line="263" w:lineRule="auto"/>
        <w:tabs>
          <w:tab w:leader="none" w:pos="2389"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Company equity awards held by Executive as of the Effective Date (the “</w:t>
      </w:r>
      <w:r>
        <w:rPr>
          <w:rFonts w:ascii="Times New Roman" w:cs="Times New Roman" w:eastAsia="Times New Roman" w:hAnsi="Times New Roman"/>
          <w:sz w:val="20"/>
          <w:szCs w:val="20"/>
          <w:b w:val="1"/>
          <w:bCs w:val="1"/>
          <w:i w:val="1"/>
          <w:iCs w:val="1"/>
          <w:color w:val="auto"/>
        </w:rPr>
        <w:t>Company 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Awards</w:t>
      </w:r>
      <w:r>
        <w:rPr>
          <w:rFonts w:ascii="Times New Roman" w:cs="Times New Roman" w:eastAsia="Times New Roman" w:hAnsi="Times New Roman"/>
          <w:sz w:val="20"/>
          <w:szCs w:val="20"/>
          <w:color w:val="auto"/>
        </w:rPr>
        <w:t>”) will continue to vest and, if applicable, become exercisable during the Advisory Period in accordance with their terms; provided,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however, that the Company Equity Awards shall be amended to remain exercisable through December 31, 2027.</w:t>
      </w:r>
    </w:p>
    <w:p>
      <w:pPr>
        <w:spacing w:after="0" w:line="165" w:lineRule="exact"/>
        <w:rPr>
          <w:rFonts w:ascii="Times New Roman" w:cs="Times New Roman" w:eastAsia="Times New Roman" w:hAnsi="Times New Roman"/>
          <w:sz w:val="20"/>
          <w:szCs w:val="20"/>
          <w:color w:val="auto"/>
        </w:rPr>
      </w:pPr>
    </w:p>
    <w:p>
      <w:pPr>
        <w:jc w:val="both"/>
        <w:ind w:firstLine="1728"/>
        <w:spacing w:after="0" w:line="265" w:lineRule="auto"/>
        <w:tabs>
          <w:tab w:leader="none" w:pos="2228"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acknowledges and agrees that, except as provided in this Section 2(b)(iii), during the Advisory Period, Executive shall not be eligible to be granted a Company equity or equity-based award, including, for the avoidance of doubt, any bi-annual refresh equity award. Notwithstanding the immediately preceding sentence, and subject to approval by the Board, the Company shall grant Executive a new stock option award (the “</w:t>
      </w:r>
      <w:r>
        <w:rPr>
          <w:rFonts w:ascii="Times New Roman" w:cs="Times New Roman" w:eastAsia="Times New Roman" w:hAnsi="Times New Roman"/>
          <w:sz w:val="19"/>
          <w:szCs w:val="19"/>
          <w:b w:val="1"/>
          <w:bCs w:val="1"/>
          <w:i w:val="1"/>
          <w:iCs w:val="1"/>
          <w:color w:val="auto"/>
        </w:rPr>
        <w:t>Stock Option Award</w:t>
      </w:r>
      <w:r>
        <w:rPr>
          <w:rFonts w:ascii="Times New Roman" w:cs="Times New Roman" w:eastAsia="Times New Roman" w:hAnsi="Times New Roman"/>
          <w:sz w:val="19"/>
          <w:szCs w:val="19"/>
          <w:color w:val="auto"/>
        </w:rPr>
        <w:t>”) under the Company’s 2019 Equity Incentive Plan (the “</w:t>
      </w:r>
      <w:r>
        <w:rPr>
          <w:rFonts w:ascii="Times New Roman" w:cs="Times New Roman" w:eastAsia="Times New Roman" w:hAnsi="Times New Roman"/>
          <w:sz w:val="19"/>
          <w:szCs w:val="19"/>
          <w:b w:val="1"/>
          <w:bCs w:val="1"/>
          <w:i w:val="1"/>
          <w:iCs w:val="1"/>
          <w:color w:val="auto"/>
        </w:rPr>
        <w:t>Equity Plan</w:t>
      </w:r>
      <w:r>
        <w:rPr>
          <w:rFonts w:ascii="Times New Roman" w:cs="Times New Roman" w:eastAsia="Times New Roman" w:hAnsi="Times New Roman"/>
          <w:sz w:val="19"/>
          <w:szCs w:val="19"/>
          <w:color w:val="auto"/>
        </w:rPr>
        <w:t>”), which shall (A) have a fair market value on the grant date of $3,000,000, (B) have a vesting commencement date of the Transition Date,</w:t>
      </w:r>
    </w:p>
    <w:p>
      <w:pPr>
        <w:spacing w:after="0" w:line="3" w:lineRule="exact"/>
        <w:rPr>
          <w:rFonts w:ascii="Times New Roman" w:cs="Times New Roman" w:eastAsia="Times New Roman" w:hAnsi="Times New Roman"/>
          <w:sz w:val="19"/>
          <w:szCs w:val="19"/>
          <w:color w:val="auto"/>
        </w:rPr>
      </w:pPr>
    </w:p>
    <w:p>
      <w:pPr>
        <w:ind w:left="320" w:hanging="312"/>
        <w:spacing w:after="0"/>
        <w:tabs>
          <w:tab w:leader="none" w:pos="3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vest in equal monthly installments on the last day of each month between the Transition Date and December 31, 2024, such that the Stock</w:t>
      </w:r>
    </w:p>
    <w:p>
      <w:pPr>
        <w:spacing w:after="0" w:line="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Option Award will be scheduled to be fully vested on December 31, 2024, and (D) be exercisable through December 31, 2027. The Stock Option Award shall be subject to the terms of a stock option agreement and the Equity Plan; however, notwithstanding anything to the contrary in the Equity Plan or the Severance Plan, the Stock Option Award shall not be subject to Section 3.1(c) or 3.2(c) of the Severance Plan. For the avoidance of doubt, the Stock Option Award is not a Company Equity Award.</w:t>
      </w:r>
    </w:p>
    <w:p>
      <w:pPr>
        <w:spacing w:after="0" w:line="176" w:lineRule="exact"/>
        <w:rPr>
          <w:sz w:val="20"/>
          <w:szCs w:val="20"/>
          <w:color w:val="auto"/>
        </w:rPr>
      </w:pPr>
    </w:p>
    <w:p>
      <w:pPr>
        <w:ind w:left="1840" w:hanging="536"/>
        <w:spacing w:after="0"/>
        <w:tabs>
          <w:tab w:leader="none" w:pos="18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Accrued Obligations; Severance</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firstLine="1304"/>
        <w:spacing w:after="0" w:line="263" w:lineRule="auto"/>
        <w:tabs>
          <w:tab w:leader="none" w:pos="184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Accrued Obligations; Vested Benefits. </w:t>
      </w:r>
      <w:r>
        <w:rPr>
          <w:rFonts w:ascii="Times New Roman" w:cs="Times New Roman" w:eastAsia="Times New Roman" w:hAnsi="Times New Roman"/>
          <w:sz w:val="20"/>
          <w:szCs w:val="20"/>
          <w:color w:val="auto"/>
        </w:rPr>
        <w:t>Within 30 days following the Termination Date, the Company will pay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Executive (i) all accrued but unpaid salary and, if required by the Company’s applicable policies, all accrued, unused vacation / paid time off through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2 of 14</w:t>
      </w:r>
    </w:p>
    <w:p>
      <w:pPr>
        <w:sectPr>
          <w:pgSz w:w="11900" w:h="16838" w:orient="portrait"/>
          <w:cols w:equalWidth="0" w:num="1">
            <w:col w:w="11240"/>
          </w:cols>
          <w:pgMar w:left="320" w:top="1413" w:right="339" w:bottom="1440" w:gutter="0" w:footer="0" w:header="0"/>
        </w:sectPr>
      </w:pPr>
    </w:p>
    <w:bookmarkStart w:id="130" w:name="page131"/>
    <w:bookmarkEnd w:id="130"/>
    <w:p>
      <w:pPr>
        <w:jc w:val="both"/>
        <w:spacing w:after="0" w:line="253" w:lineRule="auto"/>
        <w:rPr>
          <w:sz w:val="20"/>
          <w:szCs w:val="20"/>
          <w:color w:val="auto"/>
        </w:rPr>
      </w:pPr>
      <w:r>
        <w:rPr>
          <w:rFonts w:ascii="Times New Roman" w:cs="Times New Roman" w:eastAsia="Times New Roman" w:hAnsi="Times New Roman"/>
          <w:sz w:val="20"/>
          <w:szCs w:val="20"/>
          <w:color w:val="auto"/>
        </w:rPr>
        <w:t>and (ii) any unreimbursed business expenses incurred by Executive, in accordance with Company policy, prior to the Termination Date (collectively, the “</w:t>
      </w:r>
      <w:r>
        <w:rPr>
          <w:rFonts w:ascii="Times New Roman" w:cs="Times New Roman" w:eastAsia="Times New Roman" w:hAnsi="Times New Roman"/>
          <w:sz w:val="20"/>
          <w:szCs w:val="20"/>
          <w:b w:val="1"/>
          <w:bCs w:val="1"/>
          <w:i w:val="1"/>
          <w:iCs w:val="1"/>
          <w:color w:val="auto"/>
        </w:rPr>
        <w:t>Accrued Obligations</w:t>
      </w:r>
      <w:r>
        <w:rPr>
          <w:rFonts w:ascii="Times New Roman" w:cs="Times New Roman" w:eastAsia="Times New Roman" w:hAnsi="Times New Roman"/>
          <w:sz w:val="20"/>
          <w:szCs w:val="20"/>
          <w:color w:val="auto"/>
        </w:rPr>
        <w:t>”). Additionally, following the Termination Date, Executive shall be entitled to retain or receive any vested amounts due to Executive under any employee benefit plan, program or policy of the Company, in any case pursuant to and in accordance with the terms and conditions of the applicable plan, program or policy. For the avoidance of doubt, as of the Termination Date, Executive shall forfeit any portion of a Company Equity Award that remains unvested as of the Termination Date (after application of any accelerated vesting as described below).</w:t>
      </w:r>
    </w:p>
    <w:p>
      <w:pPr>
        <w:spacing w:after="0" w:line="188" w:lineRule="exact"/>
        <w:rPr>
          <w:sz w:val="20"/>
          <w:szCs w:val="20"/>
          <w:color w:val="auto"/>
        </w:rPr>
      </w:pPr>
    </w:p>
    <w:p>
      <w:pPr>
        <w:jc w:val="both"/>
        <w:ind w:firstLine="212"/>
        <w:spacing w:after="0" w:line="252" w:lineRule="auto"/>
        <w:tabs>
          <w:tab w:leader="none" w:pos="689"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Severance. </w:t>
      </w:r>
      <w:r>
        <w:rPr>
          <w:rFonts w:ascii="Times New Roman" w:cs="Times New Roman" w:eastAsia="Times New Roman" w:hAnsi="Times New Roman"/>
          <w:sz w:val="20"/>
          <w:szCs w:val="20"/>
          <w:color w:val="auto"/>
        </w:rPr>
        <w:t>Upon the cessation of Executive’s employment following (x) the Advisory Period End Date or (y) the earlier termination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of Executive’s employment hereunder by reason of (A) Executive’s death or Disability (within the meaning of the Company’s long-term disability plan applicable to Executive as of the Effective Date) or (B) the Company’s termination of the Advisory Period other than for Cause (as such term is defined in the Severance Plan), then, subject to and conditioned upon (x) Executive’s continued compliance with this Agreement and the Restrictive Covenants and (y) Executive’s execution of a Release (in substantially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on or within 53 days following the Termination Date, and non-revocation of the Release during the seven-day period following the date on which the Release is executed:</w:t>
      </w:r>
    </w:p>
    <w:p>
      <w:pPr>
        <w:spacing w:after="0" w:line="190" w:lineRule="exact"/>
        <w:rPr>
          <w:rFonts w:ascii="Times New Roman" w:cs="Times New Roman" w:eastAsia="Times New Roman" w:hAnsi="Times New Roman"/>
          <w:sz w:val="20"/>
          <w:szCs w:val="20"/>
          <w:color w:val="auto"/>
        </w:rPr>
      </w:pPr>
    </w:p>
    <w:p>
      <w:pPr>
        <w:jc w:val="both"/>
        <w:ind w:firstLine="1545"/>
        <w:spacing w:after="0" w:line="253" w:lineRule="auto"/>
        <w:tabs>
          <w:tab w:leader="none" w:pos="1965"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terminates Executive’s employment other than for Cause (as such term is defined in the Severance Plan) prior to the Advisory Period End Date, (A) the Company shall continue to pay to Executive the Salary that would have been payable during the remainder of the Advisory Period had the Advisory Period ended on the Advisory Period End Date, in accordance with the Company’s normal payroll practices and (B) as of the Termination Date, the vesting of each outstanding Company Equity Award and the Stock Option Award shall continue with respect to the number of option shares subject to each such Company Equity Award and the Stock Option Award that would have vested had Executive remained in employment with the Company through the Advisory Period End Date;</w:t>
      </w:r>
    </w:p>
    <w:p>
      <w:pPr>
        <w:spacing w:after="0" w:line="178" w:lineRule="exact"/>
        <w:rPr>
          <w:rFonts w:ascii="Times New Roman" w:cs="Times New Roman" w:eastAsia="Times New Roman" w:hAnsi="Times New Roman"/>
          <w:sz w:val="20"/>
          <w:szCs w:val="20"/>
          <w:color w:val="auto"/>
        </w:rPr>
      </w:pPr>
    </w:p>
    <w:p>
      <w:pPr>
        <w:jc w:val="both"/>
        <w:ind w:firstLine="1552"/>
        <w:spacing w:after="0" w:line="257" w:lineRule="auto"/>
        <w:tabs>
          <w:tab w:leader="none" w:pos="2022"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Advisory Period End Date, the vesting of each outstanding Company Equity Award shall be accelerated with respect to the number of option shares subject to each such Company Equity Award that would have vested through the 12-month anniversary of the Advisory Period End Date had Executive remained in employment with the Company through such 12-month anniversary (for clarity, such accelerated vesting is in addition to any continued vesting pursuant to clause (i) above), and any then-remaining unvested portions of any Company Equity Awards shall be forfeited for no consideration;</w:t>
      </w:r>
    </w:p>
    <w:p>
      <w:pPr>
        <w:spacing w:after="0" w:line="172" w:lineRule="exact"/>
        <w:rPr>
          <w:rFonts w:ascii="Times New Roman" w:cs="Times New Roman" w:eastAsia="Times New Roman" w:hAnsi="Times New Roman"/>
          <w:sz w:val="20"/>
          <w:szCs w:val="20"/>
          <w:color w:val="auto"/>
        </w:rPr>
      </w:pPr>
    </w:p>
    <w:p>
      <w:pPr>
        <w:ind w:right="20" w:firstLine="1538"/>
        <w:spacing w:after="0" w:line="283" w:lineRule="auto"/>
        <w:tabs>
          <w:tab w:leader="none" w:pos="2060"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Executive an amount equal to $1,250,000, payable in a single lump sum within 60 days following the Termination Date;</w:t>
      </w:r>
    </w:p>
    <w:p>
      <w:pPr>
        <w:spacing w:after="0" w:line="146" w:lineRule="exact"/>
        <w:rPr>
          <w:rFonts w:ascii="Times New Roman" w:cs="Times New Roman" w:eastAsia="Times New Roman" w:hAnsi="Times New Roman"/>
          <w:sz w:val="20"/>
          <w:szCs w:val="20"/>
          <w:color w:val="auto"/>
        </w:rPr>
      </w:pPr>
    </w:p>
    <w:p>
      <w:pPr>
        <w:jc w:val="both"/>
        <w:ind w:firstLine="1554"/>
        <w:spacing w:after="0" w:line="261" w:lineRule="auto"/>
        <w:tabs>
          <w:tab w:leader="none" w:pos="2081"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elects to receive continued healthcare coverage pursuant to the provisions of COBRA, the Company shall pay the cost of Executive’s and Executive’s covered dependents’ healthcare coverage premiums for a period ending on the earliest of</w:t>
      </w:r>
    </w:p>
    <w:p>
      <w:pPr>
        <w:spacing w:after="0" w:line="1" w:lineRule="exact"/>
        <w:rPr>
          <w:rFonts w:ascii="Times New Roman" w:cs="Times New Roman" w:eastAsia="Times New Roman" w:hAnsi="Times New Roman"/>
          <w:sz w:val="20"/>
          <w:szCs w:val="20"/>
          <w:color w:val="auto"/>
        </w:rPr>
      </w:pPr>
    </w:p>
    <w:p>
      <w:pPr>
        <w:jc w:val="both"/>
        <w:ind w:firstLine="8"/>
        <w:spacing w:after="0" w:line="253" w:lineRule="auto"/>
        <w:tabs>
          <w:tab w:leader="none" w:pos="347"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12-month anniversary of the Termination Date, (B) the date on which Executive and his covered dependents become eligible for healthcare coverage under another employer’s plan, or (C) the date on which Executive and his covered dependents otherwise become ineligible for COBRA coverage, which such cost shall be taxable income to Executive;</w:t>
      </w:r>
    </w:p>
    <w:p>
      <w:pPr>
        <w:spacing w:after="0" w:line="175" w:lineRule="exact"/>
        <w:rPr>
          <w:rFonts w:ascii="Times New Roman" w:cs="Times New Roman" w:eastAsia="Times New Roman" w:hAnsi="Times New Roman"/>
          <w:sz w:val="20"/>
          <w:szCs w:val="20"/>
          <w:color w:val="auto"/>
        </w:rPr>
      </w:pPr>
    </w:p>
    <w:p>
      <w:pPr>
        <w:ind w:firstLine="1602"/>
        <w:spacing w:after="0" w:line="283" w:lineRule="auto"/>
        <w:tabs>
          <w:tab w:leader="none" w:pos="2124" w:val="left"/>
        </w:tabs>
        <w:numPr>
          <w:ilvl w:val="3"/>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above, if Executive terminates his employment prior to the Advisory Period End Date because Executive has obtained other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3 of 14</w:t>
      </w:r>
    </w:p>
    <w:p>
      <w:pPr>
        <w:sectPr>
          <w:pgSz w:w="11900" w:h="16838" w:orient="portrait"/>
          <w:cols w:equalWidth="0" w:num="1">
            <w:col w:w="11240"/>
          </w:cols>
          <w:pgMar w:left="320" w:top="1413" w:right="339" w:bottom="1440" w:gutter="0" w:footer="0" w:header="0"/>
        </w:sectPr>
      </w:pPr>
    </w:p>
    <w:bookmarkStart w:id="131" w:name="page132"/>
    <w:bookmarkEnd w:id="131"/>
    <w:p>
      <w:pPr>
        <w:jc w:val="both"/>
        <w:spacing w:after="0" w:line="253" w:lineRule="auto"/>
        <w:rPr>
          <w:sz w:val="20"/>
          <w:szCs w:val="20"/>
          <w:color w:val="auto"/>
        </w:rPr>
      </w:pPr>
      <w:r>
        <w:rPr>
          <w:rFonts w:ascii="Times New Roman" w:cs="Times New Roman" w:eastAsia="Times New Roman" w:hAnsi="Times New Roman"/>
          <w:sz w:val="20"/>
          <w:szCs w:val="20"/>
          <w:color w:val="auto"/>
        </w:rPr>
        <w:t>or a consulting position and Executive is unable to continue as Strategic Advisor due to the requirements of such employment or consulting position, then (A) Executive shall be entitled to receive the amounts and benefits in Sections 3(b)(ii), 3(b)(iii), and 3(b)(iv), subject to the terms and conditions set forth herein (including the release requirement described above), and (B) Executive shall be entitled to retain the portion of the Stock Option Award that is vested as of the Termination Date and any remaining unvested portion shall be forfeited. For the avoidance of doubt, in such circumstance, Executive shall not be entitled to receive the amounts and benefits in Section 3(b)(i).</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the period during which Executive has discretion to execute or revoke the release described above straddles two calendar years, the Company will make the payments that are conditioned upon the release no earlier than January 1st of the second of such calendar years, regardless of the taxable year in which Executive actually delivers the executed release to the Company. For the avoidance of doubt, if Executive terminates his employment prior to the Advisory Period End Date (other than due to Executive’s death or Disability as set forth in this Section 3(b) or on account of obtaining a subsequent employment or consulting position as described in Section 3(b)(v)), Executive shall forfeit any entitlement to the payments and benefits set forth in this Section 3(b).</w:t>
      </w:r>
    </w:p>
    <w:p>
      <w:pPr>
        <w:spacing w:after="0" w:line="192" w:lineRule="exact"/>
        <w:rPr>
          <w:sz w:val="20"/>
          <w:szCs w:val="20"/>
          <w:color w:val="auto"/>
        </w:rPr>
      </w:pPr>
    </w:p>
    <w:p>
      <w:pPr>
        <w:ind w:firstLine="1304"/>
        <w:spacing w:after="0" w:line="269" w:lineRule="auto"/>
        <w:tabs>
          <w:tab w:leader="none" w:pos="205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Withholdings and Other Deductions</w:t>
      </w:r>
      <w:r>
        <w:rPr>
          <w:rFonts w:ascii="Times New Roman" w:cs="Times New Roman" w:eastAsia="Times New Roman" w:hAnsi="Times New Roman"/>
          <w:sz w:val="20"/>
          <w:szCs w:val="20"/>
          <w:color w:val="auto"/>
        </w:rPr>
        <w:t>. All compensation payable to Executive hereunder shall be subject to such withholdings and deductions as the Company is from time to time required to make pursuant to law, governmental regulation or order.</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5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Warranty</w:t>
      </w:r>
      <w:r>
        <w:rPr>
          <w:rFonts w:ascii="Times New Roman" w:cs="Times New Roman" w:eastAsia="Times New Roman" w:hAnsi="Times New Roman"/>
          <w:sz w:val="20"/>
          <w:szCs w:val="20"/>
          <w:color w:val="auto"/>
        </w:rPr>
        <w:t>. Executive acknowledges that, upon receipt of the Accrued Obligations, and except as otherwise provided in this Agreement, Executive has (i) received all monies and other benefits due to Executive as a result of his employment with and separation from the Company, and (ii) no right, title, or interest in or entitlement to any other payments or benefits other than as set forth in this Agreement. Executive further represents that he has not sustained a work-related injury or illness which he has not previously reported to the Company.</w:t>
      </w:r>
    </w:p>
    <w:p>
      <w:pPr>
        <w:spacing w:after="0" w:line="191" w:lineRule="exact"/>
        <w:rPr>
          <w:rFonts w:ascii="Times New Roman" w:cs="Times New Roman" w:eastAsia="Times New Roman" w:hAnsi="Times New Roman"/>
          <w:sz w:val="20"/>
          <w:szCs w:val="20"/>
          <w:color w:val="auto"/>
        </w:rPr>
      </w:pPr>
    </w:p>
    <w:p>
      <w:pPr>
        <w:ind w:left="1900" w:hanging="596"/>
        <w:spacing w:after="0"/>
        <w:tabs>
          <w:tab w:leader="none" w:pos="19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Company Property; Access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firstLine="1952"/>
        <w:spacing w:after="0" w:line="250" w:lineRule="auto"/>
        <w:tabs>
          <w:tab w:leader="none" w:pos="2375"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Return of Company Property. </w:t>
      </w:r>
      <w:r>
        <w:rPr>
          <w:rFonts w:ascii="Times New Roman" w:cs="Times New Roman" w:eastAsia="Times New Roman" w:hAnsi="Times New Roman"/>
          <w:sz w:val="20"/>
          <w:szCs w:val="20"/>
          <w:color w:val="auto"/>
        </w:rPr>
        <w:t>Executive agrees that he shall, prior to or on the Transition Date (or within seven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days thereafter), return to the Company all documents of the Company and its affiliates (and all copies thereof) and all other Company or Company affiliate property that Executive has in his possession, custody or control (other than de minimis items) (the “</w:t>
      </w:r>
      <w:r>
        <w:rPr>
          <w:rFonts w:ascii="Times New Roman" w:cs="Times New Roman" w:eastAsia="Times New Roman" w:hAnsi="Times New Roman"/>
          <w:sz w:val="20"/>
          <w:szCs w:val="20"/>
          <w:b w:val="1"/>
          <w:bCs w:val="1"/>
          <w:i w:val="1"/>
          <w:iCs w:val="1"/>
          <w:color w:val="auto"/>
        </w:rPr>
        <w:t>Company Property</w:t>
      </w:r>
      <w:r>
        <w:rPr>
          <w:rFonts w:ascii="Times New Roman" w:cs="Times New Roman" w:eastAsia="Times New Roman" w:hAnsi="Times New Roman"/>
          <w:sz w:val="20"/>
          <w:szCs w:val="20"/>
          <w:color w:val="auto"/>
        </w:rPr>
        <w:t>”). Executive specifically agrees to return any credit cards, entry cards, identification badges and keys prior to or on the Transition Date. Notwithstanding the preceding sentence, Executive shall be permitted to retain such Company Property as the Chairperson of the Board determines is necessary and appropriate for Executive to retain during the Advisory Period; provided, that Executive shall return any Company Property still in his possession on the Termination Date, or on any earlier date as may be requested by the Company. Company Property includes: (i) any materials of any kind that contain or embody any Confidential Information (as defined below) of the Company or an affiliate of the Company (and all reproductions thereof), (ii) portable electronic devices (including, but not limited to, tablet computers) unless the Company otherwise permits Executive, in writing, to retain certain agreed-upon devices following the Company’s removal of Company Property from such devices, credit cards, entry cards, identification badges and keys, and (iii) any correspondence, drawings, manuals, letters, notes, notebooks, reports, programs, plans, proposals, financial documents, or any other documents concerning the customers, business plans, marketing strategies, products and/or processes of the Company or any of its affiliates and any information received from the Company or any of its affiliates regarding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4 of 14</w:t>
      </w:r>
    </w:p>
    <w:p>
      <w:pPr>
        <w:sectPr>
          <w:pgSz w:w="11900" w:h="16838" w:orient="portrait"/>
          <w:cols w:equalWidth="0" w:num="1">
            <w:col w:w="11240"/>
          </w:cols>
          <w:pgMar w:left="320" w:top="1413" w:right="339" w:bottom="1440" w:gutter="0" w:footer="0" w:header="0"/>
        </w:sectPr>
      </w:pPr>
    </w:p>
    <w:bookmarkStart w:id="132" w:name="page133"/>
    <w:bookmarkEnd w:id="132"/>
    <w:p>
      <w:pPr>
        <w:jc w:val="both"/>
        <w:ind w:firstLine="1952"/>
        <w:spacing w:after="0" w:line="273" w:lineRule="auto"/>
        <w:tabs>
          <w:tab w:leader="none" w:pos="2372"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Access to Company Systems, Premises, and Information. </w:t>
      </w:r>
      <w:r>
        <w:rPr>
          <w:rFonts w:ascii="Times New Roman" w:cs="Times New Roman" w:eastAsia="Times New Roman" w:hAnsi="Times New Roman"/>
          <w:sz w:val="19"/>
          <w:szCs w:val="19"/>
          <w:color w:val="auto"/>
        </w:rPr>
        <w:t>Effective as of the Transition Date, Executive’s access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(i) the Company’s systems (including network, cloud, messaging, intranet, phone, and any other electronic or communication systems),</w:t>
      </w:r>
    </w:p>
    <w:p>
      <w:pPr>
        <w:spacing w:after="0" w:line="1" w:lineRule="exact"/>
        <w:rPr>
          <w:rFonts w:ascii="Times New Roman" w:cs="Times New Roman" w:eastAsia="Times New Roman" w:hAnsi="Times New Roman"/>
          <w:sz w:val="19"/>
          <w:szCs w:val="19"/>
          <w:color w:val="auto"/>
        </w:rPr>
      </w:pPr>
    </w:p>
    <w:p>
      <w:pPr>
        <w:ind w:left="320" w:hanging="312"/>
        <w:spacing w:after="0"/>
        <w:tabs>
          <w:tab w:leader="none" w:pos="3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premises, and (iii) internal, non-public Company reporting shall be terminated, in each case except as may be approved in</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advance by the Chairperson of the Board. For the avoidance of doubt, Executive shall be permitted to retain his Company email address during the Advisory Period solely for the purposes of providing those services described in Section 1(c), and the Company reserves the right, its sole and absolute discretion, to discontinue such Company email access at any time.</w:t>
      </w:r>
    </w:p>
    <w:p>
      <w:pPr>
        <w:spacing w:after="0" w:line="189" w:lineRule="exact"/>
        <w:rPr>
          <w:sz w:val="20"/>
          <w:szCs w:val="20"/>
          <w:color w:val="auto"/>
        </w:rPr>
      </w:pPr>
    </w:p>
    <w:p>
      <w:pPr>
        <w:ind w:left="1700" w:hanging="396"/>
        <w:spacing w:after="0"/>
        <w:tabs>
          <w:tab w:leader="none" w:pos="17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Protection of Confidential Information; No Assistance and No Disparagement; No Public Statements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52" w:lineRule="auto"/>
        <w:tabs>
          <w:tab w:leader="none" w:pos="2379"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that during his employment with the Company, Executive had access to, received and had been entrusted with Confidential Information (as defined below), which is considered secret and/or proprietary and has great value to the Company and that except for Executive’s engagement by the Company, Executive would not otherwise have access to such Confidential Information. Executive recognizes that all such Confidential Information is the property of the Company. Subject to Section 9, and in addition to Executive’s obligations under the PIIA, during and at all times after employment with the Company, Executive shall keep all of the Confidential Information in confidence and shall not disclose any of the same to any other person, except with the prior written consent of the Company (or as otherwise necessary in the performance of his duties hereunder provided that such person is permitted to have access to such Confidential Information). Executive shall use his best efforts to prevent publication or disclosure of any Confidential Information and shall not, directly or indirectly, cause the Confidential Information to be used for the gain or benefit of any party outside of the Company or for Executive’s personal gain or benefit outside the scope of Executive’s engagement by the Company.</w:t>
      </w:r>
    </w:p>
    <w:p>
      <w:pPr>
        <w:spacing w:after="0" w:line="173" w:lineRule="exact"/>
        <w:rPr>
          <w:rFonts w:ascii="Times New Roman" w:cs="Times New Roman" w:eastAsia="Times New Roman" w:hAnsi="Times New Roman"/>
          <w:sz w:val="20"/>
          <w:szCs w:val="20"/>
          <w:color w:val="auto"/>
        </w:rPr>
      </w:pPr>
    </w:p>
    <w:p>
      <w:pPr>
        <w:jc w:val="both"/>
        <w:ind w:firstLine="1952"/>
        <w:spacing w:after="0" w:line="250" w:lineRule="auto"/>
        <w:tabs>
          <w:tab w:leader="none" w:pos="2441"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as used herein, means all information or material (i) which gives the Company a competitive business advantage or the opportunity of obtaining such advantage, (ii) the disclosure of which could be detrimental to the interests of the Company and/or its affiliates, (iii) which is owned by the Company and/or its affiliates, in which the Company and/or its affiliates has an interest, or which is valuable or unique, (iv) which is developed or used by the Company or any of its affiliates and which relates to the business, operations, employees, customers and/or clients of the Company or any of its affiliates, or (v) which is either (A) marked “Confidential Information”, “Proprietary Information” or with another similar marking, or (B) from all the relevant circumstances should reasonably be assumed by Executive to be confidential and proprietary to the Company. Confidential Information may include trade secrets, inventions, drawings, file data, documentation, diagrams, specifications, know how, ideas, processes, formulas, models, flow charts, software in various stages of development, source codes, object codes, research and development procedures, research or development and test results, marketing techniques and materials, marketing and development plans, price lists, pricing policies, business plans, information relating to the Company and its customers and/or producers or other suppliers’ identities, characteristics and agreements, financial information and projections, and employee files, in each case, whether disclosed or made available to Executive in writing, orally or by drawings or observation, or whether intangible or embodied in documentation, software, hardware or other tangible form. Confidential Information also includes any information described above which the Company obtains from another party and which the Company treats as proprietary or designates as Confidential Information, whether or not owned or developed by the Company. Notwithstanding the foregoing, Confidential Information shall not include any information which (x) is contained in any filing with the Securities and Exchange Commission or is known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5 of 14</w:t>
      </w:r>
    </w:p>
    <w:p>
      <w:pPr>
        <w:sectPr>
          <w:pgSz w:w="11900" w:h="16838" w:orient="portrait"/>
          <w:cols w:equalWidth="0" w:num="1">
            <w:col w:w="11240"/>
          </w:cols>
          <w:pgMar w:left="320" w:top="1409" w:right="339" w:bottom="1440" w:gutter="0" w:footer="0" w:header="0"/>
        </w:sectPr>
      </w:pPr>
    </w:p>
    <w:bookmarkStart w:id="133" w:name="page134"/>
    <w:bookmarkEnd w:id="133"/>
    <w:p>
      <w:pPr>
        <w:jc w:val="both"/>
        <w:spacing w:after="0" w:line="261" w:lineRule="auto"/>
        <w:rPr>
          <w:sz w:val="20"/>
          <w:szCs w:val="20"/>
          <w:color w:val="auto"/>
        </w:rPr>
      </w:pPr>
      <w:r>
        <w:rPr>
          <w:rFonts w:ascii="Times New Roman" w:cs="Times New Roman" w:eastAsia="Times New Roman" w:hAnsi="Times New Roman"/>
          <w:sz w:val="20"/>
          <w:szCs w:val="20"/>
          <w:color w:val="auto"/>
        </w:rPr>
        <w:t>public or becomes known to the public through no fault of Executive, (y) is received by Executive on a non-confidential basis from a person that is not bound by an obligation of confidentiality to the Company or its affiliates, or (z) was in Executive’s possession prior to receipt from the Company or its affiliates, as evidenced by Executive’s written records.</w:t>
      </w:r>
    </w:p>
    <w:p>
      <w:pPr>
        <w:spacing w:after="0" w:line="208" w:lineRule="exact"/>
        <w:rPr>
          <w:sz w:val="20"/>
          <w:szCs w:val="20"/>
          <w:color w:val="auto"/>
        </w:rPr>
      </w:pPr>
    </w:p>
    <w:p>
      <w:pPr>
        <w:jc w:val="both"/>
        <w:ind w:firstLine="1952"/>
        <w:spacing w:after="0" w:line="250" w:lineRule="auto"/>
        <w:tabs>
          <w:tab w:leader="none" w:pos="2382"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and subject to the exceptions set forth in Section 9 below, Executive acknowledges and agrees that Executive: (i) shall not provide any Confidential Information, including any advice or assistance derived from Executive’s experience with the Company, to any competitor of the Company, shareholder of the Company, litigant or potential litigant against the Company, or any other third party (each, a “</w:t>
      </w:r>
      <w:r>
        <w:rPr>
          <w:rFonts w:ascii="Times New Roman" w:cs="Times New Roman" w:eastAsia="Times New Roman" w:hAnsi="Times New Roman"/>
          <w:sz w:val="20"/>
          <w:szCs w:val="20"/>
          <w:b w:val="1"/>
          <w:bCs w:val="1"/>
          <w:i w:val="1"/>
          <w:iCs w:val="1"/>
          <w:color w:val="auto"/>
        </w:rPr>
        <w:t>Potential Adverse Party</w:t>
      </w:r>
      <w:r>
        <w:rPr>
          <w:rFonts w:ascii="Times New Roman" w:cs="Times New Roman" w:eastAsia="Times New Roman" w:hAnsi="Times New Roman"/>
          <w:sz w:val="20"/>
          <w:szCs w:val="20"/>
          <w:color w:val="auto"/>
        </w:rPr>
        <w:t>”); (ii) shall not make, publicly or privately, written or oral, any statements that disparage, or would reasonably be expected to otherwise cause harm to, the business or reputation of the Company or any of its affiliates, and/or that are or would reasonably be expected to be harmful to or reflect negatively on any of the Company’s or its affiliates’ current or former officers or directors, policies, practices, products, services, decision-making, conduct, professionalism or compliance with standards or employees, advisors and agents as a group; and (iii) shall not aid, encourage, advise or otherwise assist any Potential Adverse Party in asserting, prosecuting or defending any claim, action or proceeding, undertaking any proxy contest, withhold campaign or other shareholder campaign or proxy solicitation, or making any other demands against the Company. Additionally, Executive further agrees to promptly notify the Company, to the extent legally permitted, if any private (non-governmental) third party approaches Executive concerning any of the foregoing matters. The Company shall instruct the members of the Board and its Lead Team to not publish or disseminate (and shall not publish), directly or indirectly, any statements, whether written or oral, that are or would reasonably be expected to be harmful to or reflect negatively on Executive’s personal or business reputation.</w:t>
      </w:r>
    </w:p>
    <w:p>
      <w:pPr>
        <w:spacing w:after="0" w:line="210"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1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The parties acknowledge and agree that the restrictive covenants contained in Sections 7 and 10 of this Agreement, the Severance Plan (including with respect to non-competition, non-solicitation, cooperation and non-disparagement), and pursuant to the PIIA (collectively, the “</w:t>
      </w:r>
      <w:r>
        <w:rPr>
          <w:rFonts w:ascii="Times New Roman" w:cs="Times New Roman" w:eastAsia="Times New Roman" w:hAnsi="Times New Roman"/>
          <w:sz w:val="20"/>
          <w:szCs w:val="20"/>
          <w:b w:val="1"/>
          <w:bCs w:val="1"/>
          <w:i w:val="1"/>
          <w:iCs w:val="1"/>
          <w:color w:val="auto"/>
        </w:rPr>
        <w:t>Restrictive Covenants</w:t>
      </w:r>
      <w:r>
        <w:rPr>
          <w:rFonts w:ascii="Times New Roman" w:cs="Times New Roman" w:eastAsia="Times New Roman" w:hAnsi="Times New Roman"/>
          <w:sz w:val="20"/>
          <w:szCs w:val="20"/>
          <w:color w:val="auto"/>
        </w:rPr>
        <w:t>”) shall remain in full force and effect in accordance with their terms and Executive shall continue to be bound by their terms; provided, that, any exceptions or qualifications provided herein shall also apply to the Restrictive Covenants that are not set forth herein. Notwithstanding any other provision of this Agreement or the Restrictive Covenants, Executive may disclose the Restrictive Covenants (as modified by this Agreement) to any potential employer or business partner for the purposes of demonstrating such Restrictive Covenants.</w:t>
      </w:r>
    </w:p>
    <w:p>
      <w:pPr>
        <w:spacing w:after="0" w:line="179" w:lineRule="exact"/>
        <w:rPr>
          <w:rFonts w:ascii="Times New Roman" w:cs="Times New Roman" w:eastAsia="Times New Roman" w:hAnsi="Times New Roman"/>
          <w:sz w:val="20"/>
          <w:szCs w:val="20"/>
          <w:color w:val="auto"/>
        </w:rPr>
      </w:pPr>
    </w:p>
    <w:p>
      <w:pPr>
        <w:jc w:val="both"/>
        <w:ind w:firstLine="1304"/>
        <w:spacing w:after="0" w:line="250" w:lineRule="auto"/>
        <w:tabs>
          <w:tab w:leader="none" w:pos="169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Exceptions</w:t>
      </w:r>
      <w:r>
        <w:rPr>
          <w:rFonts w:ascii="Times New Roman" w:cs="Times New Roman" w:eastAsia="Times New Roman" w:hAnsi="Times New Roman"/>
          <w:sz w:val="20"/>
          <w:szCs w:val="20"/>
          <w:color w:val="auto"/>
        </w:rPr>
        <w:t>. Notwithstanding anything in this Agreement or the Severance Plan to the contrary, nothing contained in this Agreement or the Severance Plan shall prohibit either party to this Agreement (or either party’s attorney(s)) from (i) filing a charge with, reporting possible violations of federal law or regulation to, participating in any investigation by, or cooperating with the U.S. Equal Employment Opportunity Commission, the U.S. Securities and Exchange Commission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the Financial Industry Regulatory Authority (“</w:t>
      </w:r>
      <w:r>
        <w:rPr>
          <w:rFonts w:ascii="Times New Roman" w:cs="Times New Roman" w:eastAsia="Times New Roman" w:hAnsi="Times New Roman"/>
          <w:sz w:val="20"/>
          <w:szCs w:val="20"/>
          <w:b w:val="1"/>
          <w:bCs w:val="1"/>
          <w:i w:val="1"/>
          <w:iCs w:val="1"/>
          <w:color w:val="auto"/>
        </w:rPr>
        <w:t>FINRA</w:t>
      </w:r>
      <w:r>
        <w:rPr>
          <w:rFonts w:ascii="Times New Roman" w:cs="Times New Roman" w:eastAsia="Times New Roman" w:hAnsi="Times New Roman"/>
          <w:sz w:val="20"/>
          <w:szCs w:val="20"/>
          <w:color w:val="auto"/>
        </w:rPr>
        <w:t>”), the Equal Employment Opportunity Commission, the National Labor Relations Board,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cs="Times New Roman" w:eastAsia="Times New Roman" w:hAnsi="Times New Roman"/>
          <w:sz w:val="20"/>
          <w:szCs w:val="20"/>
          <w:b w:val="1"/>
          <w:bCs w:val="1"/>
          <w:i w:val="1"/>
          <w:iCs w:val="1"/>
          <w:color w:val="auto"/>
        </w:rPr>
        <w:t>Government Agencies</w:t>
      </w:r>
      <w:r>
        <w:rPr>
          <w:rFonts w:ascii="Times New Roman" w:cs="Times New Roman" w:eastAsia="Times New Roman" w:hAnsi="Times New Roman"/>
          <w:sz w:val="20"/>
          <w:szCs w:val="20"/>
          <w:color w:val="auto"/>
        </w:rPr>
        <w:t>”), or making other disclosures that are protected under the whistleblower provisions of applicable law or regulation, (ii) communicating directly with, cooperating with, or providing information in confidence to any Government Agencies for the purpose of reporting or investigating a suspected violation of law, or from providing such information to such party’s attorney(s) or in a sealed complaint or other document filed in a lawsuit or other governmental proceeding,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6 of 14</w:t>
      </w:r>
    </w:p>
    <w:p>
      <w:pPr>
        <w:sectPr>
          <w:pgSz w:w="11900" w:h="16838" w:orient="portrait"/>
          <w:cols w:equalWidth="0" w:num="1">
            <w:col w:w="11240"/>
          </w:cols>
          <w:pgMar w:left="320" w:top="1413" w:right="339" w:bottom="1440" w:gutter="0" w:footer="0" w:header="0"/>
        </w:sectPr>
      </w:pPr>
    </w:p>
    <w:bookmarkStart w:id="134" w:name="page135"/>
    <w:bookmarkEnd w:id="134"/>
    <w:p>
      <w:pPr>
        <w:jc w:val="both"/>
        <w:spacing w:after="0" w:line="250" w:lineRule="auto"/>
        <w:rPr>
          <w:sz w:val="20"/>
          <w:szCs w:val="20"/>
          <w:color w:val="auto"/>
        </w:rPr>
      </w:pPr>
      <w:r>
        <w:rPr>
          <w:rFonts w:ascii="Times New Roman" w:cs="Times New Roman" w:eastAsia="Times New Roman" w:hAnsi="Times New Roman"/>
          <w:sz w:val="20"/>
          <w:szCs w:val="20"/>
          <w:color w:val="auto"/>
        </w:rPr>
        <w:t>making truthful statements between the parties hereto as may be legally required, (iv) testifying truthfully in any proceeding in response to a subpoena, court order or written request if Executive makes reasonable efforts to provide prior notice to the Company and seek protective treatment of the Confidential Information (to the extent legally permitted), (v) receiving an award for information provided to the SEC, IRS, or another government-administrated whistleblower award program , and/or (vi) exercising any rights Executive may have under Section 7 of the U.S. National Labor Relations Act. Pursuant to 18 USC Section 1833(b), Executive acknowledges that (1)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and (2) if Executive files a lawsuit for retaliation by the Company or its affiliates for reporting a suspected violation of law, Executive may disclose the trade secret to his attorney and use the trade secret information in the court proceeding, if Executive files any document containing the trade secret under seal and does not disclose the trade secret, except pursuant to court order. Further, nothing in this Agreement is intended to or shall preclude either party from providing truthful testimony in response to a valid subpoena, court order, regulatory request or other judicial, administrative or legal process or otherwise as required by law. If Executive is required to provide testimony or produce documents, then unless otherwise directed or requested by a Governmental Agency or law enforcement, Executive shall notify the Company in writing as promptly as practicable after receiving any such request of the anticipated testimony and at least ten days prior to providing such testimony (or, if such notice is not possible under the circumstances, with as much prior notice as is possible) to afford the Company a reasonable opportunity to challenge the subpoena, court order or similar legal process.</w:t>
      </w:r>
    </w:p>
    <w:p>
      <w:pPr>
        <w:spacing w:after="0" w:line="180" w:lineRule="exact"/>
        <w:rPr>
          <w:sz w:val="20"/>
          <w:szCs w:val="20"/>
          <w:color w:val="auto"/>
        </w:rPr>
      </w:pPr>
    </w:p>
    <w:p>
      <w:pPr>
        <w:jc w:val="both"/>
        <w:ind w:firstLine="1304"/>
        <w:spacing w:after="0" w:line="263" w:lineRule="auto"/>
        <w:tabs>
          <w:tab w:leader="none" w:pos="1872"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Ongoing Cooperation</w:t>
      </w:r>
      <w:r>
        <w:rPr>
          <w:rFonts w:ascii="Times New Roman" w:cs="Times New Roman" w:eastAsia="Times New Roman" w:hAnsi="Times New Roman"/>
          <w:sz w:val="19"/>
          <w:szCs w:val="19"/>
          <w:color w:val="auto"/>
        </w:rPr>
        <w:t>. Subject to Section 9, Executive agrees that during his employment and thereafter, Executive will assist and cooperate with the Company, its affiliates and its counsel (i) concerning reasonable requests for information about the business of the Company or its affiliates or Executive’s involvement and participation therein, (ii) in connection with the defense, prosecution or investigation of any claims or actions now in existence or which may be brought in the future against or on behalf of the Company or its subsidiaries or affiliates, including any proceeding before any arbitral, administrative, judicial, legislative, regulatory, or other body or agency, including testifying in any proceeding to the extent such claims, actions, investigations or proceedings relate to services performed or required to be performed by Executive, pertinent knowledge possessed by Executive, or any act or omission by Executive, and (iii) and in connection with any investigation or review by any federal, state or local regulatory, quasi- or self-regulatory or self-governing authority or organization (including, without limitation, the SEC and FINRA) as any such investigation or review relates to services performed or required to be performed by Executive, pertinent knowledge possessed by Executive, or any act or omission by Executive. Executive’s full reasonable cooperation shall include, but not be limited to, providing true and complete factual information and producing, if legally permitted, all documents and records in Executive’s possession or control that may be requested by the Company or its counsel, being available to meet and speak with officers or employees of the Company, its affiliates and/or their counsel at reasonable times and locations, executing documents Executive knows to be accurate and truthful, appearing at the Company’s request as a witness at depositions, trials or other proceedings without the necessity of a subpoena, and taking such other actions as may reasonably be requested by the Company and/or its counsel to effectuate the foregoing. In requesting such services, the Company shall consider other commitments that Executive may have at the time of the request and the Company shall reimburse Executive for reasonable expenses consistent with expense reimbursement for senior executives of the Company, Section 24 hereof and the Indemnification Agreement (as defined in Section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9"/>
          <w:szCs w:val="19"/>
          <w:color w:val="auto"/>
        </w:rPr>
        <w:t>Page 7 of 14</w:t>
      </w:r>
    </w:p>
    <w:p>
      <w:pPr>
        <w:sectPr>
          <w:pgSz w:w="11900" w:h="16838" w:orient="portrait"/>
          <w:cols w:equalWidth="0" w:num="1">
            <w:col w:w="11240"/>
          </w:cols>
          <w:pgMar w:left="320" w:top="1413" w:right="339" w:bottom="1440" w:gutter="0" w:footer="0" w:header="0"/>
        </w:sectPr>
      </w:pPr>
    </w:p>
    <w:bookmarkStart w:id="135" w:name="page136"/>
    <w:bookmarkEnd w:id="135"/>
    <w:p>
      <w:pPr>
        <w:ind w:left="1800" w:hanging="496"/>
        <w:spacing w:after="0"/>
        <w:tabs>
          <w:tab w:leader="none" w:pos="18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409A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304"/>
        <w:spacing w:after="0" w:line="250" w:lineRule="auto"/>
        <w:tabs>
          <w:tab w:leader="none" w:pos="177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payments under this Agreement are intended to be exempt from, or compliant with, Section 409A of the Code and Department of Treasury regulations and other interpretive guidance issued thereunder, including without limitation any such regulations or other such guidance that may be issued after the Effective Date (collectively,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and the Agreement shall be interpreted consistent with such intent. Notwithstanding any provision of this Agreement to the contrary, in the event that following the Effective Date, the Company determines that any compensation or benefits payable under this Agreement may be subject to Section 409A, the Company may adopt such amendments to this Agreement or adopt other policies or procedures (including amendments, policies and procedures with retroactive effect), or take any other actions that the Company determines are necessary or appropriate to preserve the intended tax treatment of the compensation and benefits payable hereunder, including without limitation actions intended to (i) exempt the compensation and benefits payable under this Agreement from Section 409A, and/or (ii) comply with the requirements of Section 409A; provided, however, that this Section 11 does not, and shall not be construed so as to, create any obligation on the part of the Company to adopt any such amendments, policies or procedures or to take any other such actions. In no event shall the Company, its affiliates or any of their respective officers, directors or advisors be liable for any taxes, interest or penalties imposed under Section 409A or any corresponding provision of state or local law.</w:t>
      </w:r>
    </w:p>
    <w:p>
      <w:pPr>
        <w:spacing w:after="0" w:line="179" w:lineRule="exact"/>
        <w:rPr>
          <w:rFonts w:ascii="Times New Roman" w:cs="Times New Roman" w:eastAsia="Times New Roman" w:hAnsi="Times New Roman"/>
          <w:sz w:val="20"/>
          <w:szCs w:val="20"/>
          <w:color w:val="auto"/>
        </w:rPr>
      </w:pPr>
    </w:p>
    <w:p>
      <w:pPr>
        <w:jc w:val="both"/>
        <w:ind w:firstLine="1304"/>
        <w:spacing w:after="0" w:line="269" w:lineRule="auto"/>
        <w:tabs>
          <w:tab w:leader="none" w:pos="1833"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right under this Agreement to a series of installment payments shall be treated as a right to a series of separate payments. Any payments subject to Section 409A that are subject to execution of a waiver and release which may be executed and/or revoked in a calendar year following the calendar year in which the payment event (such as termination of employment) occurs shall commence payment only in the calendar year in which the consideration period or, if applicable, release revocation period ends, as necessary to comply with Section 409A. All payments of nonqualified deferred compensation subject to Section 409A to be made upon a termination of employment under this Agreement may only be made upon Executive’s “separation from service” (within the meaning of Section 409A).</w:t>
      </w:r>
    </w:p>
    <w:p>
      <w:pPr>
        <w:spacing w:after="0" w:line="177" w:lineRule="exact"/>
        <w:rPr>
          <w:rFonts w:ascii="Times New Roman" w:cs="Times New Roman" w:eastAsia="Times New Roman" w:hAnsi="Times New Roman"/>
          <w:sz w:val="19"/>
          <w:szCs w:val="19"/>
          <w:color w:val="auto"/>
        </w:rPr>
      </w:pPr>
    </w:p>
    <w:p>
      <w:pPr>
        <w:jc w:val="both"/>
        <w:ind w:firstLine="1304"/>
        <w:spacing w:after="0" w:line="251" w:lineRule="auto"/>
        <w:tabs>
          <w:tab w:leader="none" w:pos="178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no compensation or benefits shall be paid to Executive during the six-month period following Executive’s “separation from service” with the Company (within the meaning of Section 409A) if the Company determines that paying such amounts at the time or times indicated in this Agreement would be a prohibited distribution under Section 409A(a)(2)(B)(i) of the Code. If the payment of any such amounts is delayed as a result of the previous sentence, then on the first business day following the end of such six-month period (or such earlier date upon which such amount can be paid under Section 409A without resulting in a prohibited distribution, including as a result of Executive’s death), the Company shall pay Executive a lump-sum amount equal to the cumulative amount that would have otherwise been payable to Executive during such period (without interest).</w:t>
      </w:r>
    </w:p>
    <w:p>
      <w:pPr>
        <w:spacing w:after="0" w:line="193" w:lineRule="exact"/>
        <w:rPr>
          <w:sz w:val="20"/>
          <w:szCs w:val="20"/>
          <w:color w:val="auto"/>
        </w:rPr>
      </w:pPr>
    </w:p>
    <w:p>
      <w:pPr>
        <w:ind w:left="1800" w:hanging="496"/>
        <w:spacing w:after="0"/>
        <w:tabs>
          <w:tab w:leader="none" w:pos="18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and Remedies</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firstLine="1304"/>
        <w:spacing w:after="0" w:line="263" w:lineRule="auto"/>
        <w:tabs>
          <w:tab w:leader="none" w:pos="178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Breach. </w:t>
      </w:r>
      <w:r>
        <w:rPr>
          <w:rFonts w:ascii="Times New Roman" w:cs="Times New Roman" w:eastAsia="Times New Roman" w:hAnsi="Times New Roman"/>
          <w:sz w:val="20"/>
          <w:szCs w:val="20"/>
          <w:color w:val="auto"/>
        </w:rPr>
        <w:t>In the event Executive materially breaches Section 8 (including the Restrictive Covenants), any outstanding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obligations of the Company hereunder shall immediately terminate, and the Company’s covenants hereunder shall be deemed null and void in their entirety, and Executive shall forfeit any unvested portion of the Stock Option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8 of 14</w:t>
      </w:r>
    </w:p>
    <w:p>
      <w:pPr>
        <w:sectPr>
          <w:pgSz w:w="11900" w:h="16838" w:orient="portrait"/>
          <w:cols w:equalWidth="0" w:num="1">
            <w:col w:w="11240"/>
          </w:cols>
          <w:pgMar w:left="320" w:top="1413" w:right="339" w:bottom="1440" w:gutter="0" w:footer="0" w:header="0"/>
        </w:sectPr>
      </w:pPr>
    </w:p>
    <w:bookmarkStart w:id="136" w:name="page137"/>
    <w:bookmarkEnd w:id="136"/>
    <w:p>
      <w:pPr>
        <w:spacing w:after="0" w:line="185" w:lineRule="exact"/>
        <w:rPr>
          <w:sz w:val="20"/>
          <w:szCs w:val="20"/>
          <w:color w:val="auto"/>
        </w:rPr>
      </w:pPr>
    </w:p>
    <w:p>
      <w:pPr>
        <w:jc w:val="both"/>
        <w:ind w:left="-1120" w:firstLine="1304"/>
        <w:spacing w:after="0" w:line="254" w:lineRule="auto"/>
        <w:tabs>
          <w:tab w:leader="none" w:pos="68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Remedies. </w:t>
      </w:r>
      <w:r>
        <w:rPr>
          <w:rFonts w:ascii="Times New Roman" w:cs="Times New Roman" w:eastAsia="Times New Roman" w:hAnsi="Times New Roman"/>
          <w:sz w:val="20"/>
          <w:szCs w:val="20"/>
          <w:color w:val="auto"/>
        </w:rPr>
        <w:t>In the event of a breach or threatened breach by Executive of Sections 6, 7, 8 (including the Restrictive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Covenants), or 10, Executive hereby consents and agrees that money damages would not afford an adequate remedy to the Company and that the Company shall be entitled to seek a temporary or permanent injunction or other equitable relief against such breach or threatened breach from any court of competent jurisdiction, without the necessity of showing any actual damages, and without the necessity of posting any bond or other security, and the prevailing party shall be entitled to its costs, including its reasonable attorney’s fees and expenses. Any equitable relief shall be in addition to, not in lieu of, legal remedies, monetary damages, or other available relief.</w:t>
      </w:r>
    </w:p>
    <w:p>
      <w:pPr>
        <w:spacing w:after="0" w:line="272" w:lineRule="exact"/>
        <w:rPr>
          <w:sz w:val="20"/>
          <w:szCs w:val="20"/>
          <w:color w:val="auto"/>
        </w:rPr>
      </w:pPr>
    </w:p>
    <w:p>
      <w:pPr>
        <w:ind w:left="-1120" w:firstLine="1304"/>
        <w:spacing w:after="0" w:line="269" w:lineRule="auto"/>
        <w:tabs>
          <w:tab w:leader="none" w:pos="75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construed under the laws of the State of New York, both procedural and substantive, without regard to the conflict-of-laws provisions thereof.</w:t>
      </w:r>
    </w:p>
    <w:p>
      <w:pPr>
        <w:spacing w:after="0" w:line="172" w:lineRule="exact"/>
        <w:rPr>
          <w:rFonts w:ascii="Times New Roman" w:cs="Times New Roman" w:eastAsia="Times New Roman" w:hAnsi="Times New Roman"/>
          <w:sz w:val="20"/>
          <w:szCs w:val="20"/>
          <w:color w:val="auto"/>
        </w:rPr>
      </w:pPr>
    </w:p>
    <w:p>
      <w:pPr>
        <w:ind w:left="-1120" w:right="20" w:firstLine="1304"/>
        <w:spacing w:after="0" w:line="269" w:lineRule="auto"/>
        <w:tabs>
          <w:tab w:leader="none" w:pos="68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failure to enforce any provision of this Agreement shall not be construed to be a waiver of such provision or to affect the validity of this Agreement or the right of any party to enforce this Agreement.</w:t>
      </w:r>
    </w:p>
    <w:p>
      <w:pPr>
        <w:spacing w:after="0" w:line="172" w:lineRule="exact"/>
        <w:rPr>
          <w:rFonts w:ascii="Times New Roman" w:cs="Times New Roman" w:eastAsia="Times New Roman" w:hAnsi="Times New Roman"/>
          <w:sz w:val="20"/>
          <w:szCs w:val="20"/>
          <w:color w:val="auto"/>
        </w:rPr>
      </w:pPr>
    </w:p>
    <w:p>
      <w:pPr>
        <w:jc w:val="both"/>
        <w:ind w:left="-1120" w:firstLine="1304"/>
        <w:spacing w:after="0" w:line="261" w:lineRule="auto"/>
        <w:tabs>
          <w:tab w:leader="none" w:pos="69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The headings in this Agreement are provided solely for convenience, and are not intended to be part of, nor to affect or alter the interpretation or meaning of, this Agreement. The word “include” shall be interpreted to mean to include and not to be limited to.</w:t>
      </w:r>
    </w:p>
    <w:p>
      <w:pPr>
        <w:spacing w:after="0" w:line="181" w:lineRule="exact"/>
        <w:rPr>
          <w:rFonts w:ascii="Times New Roman" w:cs="Times New Roman" w:eastAsia="Times New Roman" w:hAnsi="Times New Roman"/>
          <w:sz w:val="20"/>
          <w:szCs w:val="20"/>
          <w:color w:val="auto"/>
        </w:rPr>
      </w:pPr>
    </w:p>
    <w:p>
      <w:pPr>
        <w:jc w:val="both"/>
        <w:ind w:left="-1120" w:firstLine="1304"/>
        <w:spacing w:after="0" w:line="250" w:lineRule="auto"/>
        <w:tabs>
          <w:tab w:leader="none" w:pos="75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It is the desire and intent of the parties that the provisions of this Agreement shall be enforced to the fullest extent permissible under the laws and public policies applied in each jurisdiction in which enforcement is sought. If the scope of any provision, clause, subclause or definition contained in this Agreement is found to be too broad to permit enforcement of such provision to its full extent, then such provision, clause, subclause or definition shall be enforced to the maximum extent permitted by law, and the parties hereby consent and agree that such scope shall be modified by a court accordingly in any proceeding brought to enforce such provision, clause, subclause or definition. Furthermore, if any provision, clause, subclause or definition of this Agreement is construed to be invalid or unenforceable even after modification intended to reflect the maximum period or scope legally permissible under the circumstances, such invalidity or unenforceability shall not affect the remainder of the provisions, clauses, subclauses or definitions of this Agreement, which shall be given full effect, without regard to the invalid or unenforceable portions.</w:t>
      </w:r>
    </w:p>
    <w:p>
      <w:pPr>
        <w:spacing w:after="0" w:line="192" w:lineRule="exact"/>
        <w:rPr>
          <w:rFonts w:ascii="Times New Roman" w:cs="Times New Roman" w:eastAsia="Times New Roman" w:hAnsi="Times New Roman"/>
          <w:sz w:val="20"/>
          <w:szCs w:val="20"/>
          <w:color w:val="auto"/>
        </w:rPr>
      </w:pPr>
    </w:p>
    <w:p>
      <w:pPr>
        <w:jc w:val="both"/>
        <w:ind w:left="-1120" w:firstLine="1304"/>
        <w:spacing w:after="0" w:line="258" w:lineRule="auto"/>
        <w:tabs>
          <w:tab w:leader="none" w:pos="671"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This Agreement is personal to Executive and, without the prior written consent of the Company, shall not be assignable by Executive other than by will or the laws of descent and distribution. This Agreement shall inure to the benefit of and be enforceable by Executive’s legal representatives. This Agreement shall inure to the benefit of and be binding upon the Company and its respective successors and assigns.</w:t>
      </w:r>
    </w:p>
    <w:p>
      <w:pPr>
        <w:spacing w:after="0" w:line="172" w:lineRule="exact"/>
        <w:rPr>
          <w:rFonts w:ascii="Times New Roman" w:cs="Times New Roman" w:eastAsia="Times New Roman" w:hAnsi="Times New Roman"/>
          <w:sz w:val="20"/>
          <w:szCs w:val="20"/>
          <w:color w:val="auto"/>
        </w:rPr>
      </w:pPr>
    </w:p>
    <w:p>
      <w:pPr>
        <w:jc w:val="both"/>
        <w:ind w:left="-1120" w:firstLine="1304"/>
        <w:spacing w:after="0" w:line="258" w:lineRule="auto"/>
        <w:tabs>
          <w:tab w:leader="none" w:pos="68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Ambiguities</w:t>
      </w:r>
      <w:r>
        <w:rPr>
          <w:rFonts w:ascii="Times New Roman" w:cs="Times New Roman" w:eastAsia="Times New Roman" w:hAnsi="Times New Roman"/>
          <w:sz w:val="20"/>
          <w:szCs w:val="20"/>
          <w:color w:val="auto"/>
        </w:rPr>
        <w:t>. Both parties have participated in the negotiation of this Agreement and, thus, it is understood and agreed that the general rule that ambiguities are to be construed against the drafter shall not apply to this Agreement. In the event that any language of this Agreement is found to be ambiguous, each party shall have an opportunity to present evidence as to the actual intent of the parties with respect to any such ambiguous language.</w:t>
      </w:r>
    </w:p>
    <w:p>
      <w:pPr>
        <w:spacing w:after="0" w:line="185" w:lineRule="exact"/>
        <w:rPr>
          <w:rFonts w:ascii="Times New Roman" w:cs="Times New Roman" w:eastAsia="Times New Roman" w:hAnsi="Times New Roman"/>
          <w:sz w:val="20"/>
          <w:szCs w:val="20"/>
          <w:color w:val="auto"/>
        </w:rPr>
      </w:pPr>
    </w:p>
    <w:p>
      <w:pPr>
        <w:jc w:val="both"/>
        <w:ind w:left="-1120" w:right="20" w:firstLine="1304"/>
        <w:spacing w:after="0" w:line="281" w:lineRule="auto"/>
        <w:tabs>
          <w:tab w:leader="none" w:pos="684"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 / Amendments</w:t>
      </w:r>
      <w:r>
        <w:rPr>
          <w:rFonts w:ascii="Times New Roman" w:cs="Times New Roman" w:eastAsia="Times New Roman" w:hAnsi="Times New Roman"/>
          <w:sz w:val="19"/>
          <w:szCs w:val="19"/>
          <w:color w:val="auto"/>
        </w:rPr>
        <w:t>. This Agreement (including the exhibits here), together with the PIIA, the Severance Plan, the Equity Plan, the award agreements evidencing the Company Equity Awards and the Stock Option Award, and the Indemnification Agreement, constitutes the entire agreement between the parties concerning the subject matter hereof, and supersedes all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9"/>
          <w:szCs w:val="19"/>
          <w:color w:val="auto"/>
        </w:rPr>
        <w:t>Page 9 of 14</w:t>
      </w:r>
    </w:p>
    <w:p>
      <w:pPr>
        <w:sectPr>
          <w:pgSz w:w="11900" w:h="16838" w:orient="portrait"/>
          <w:cols w:equalWidth="0" w:num="1">
            <w:col w:w="10120"/>
          </w:cols>
          <w:pgMar w:left="1440" w:top="1440" w:right="339" w:bottom="1440" w:gutter="0" w:footer="0" w:header="0"/>
        </w:sectPr>
      </w:pPr>
    </w:p>
    <w:bookmarkStart w:id="137" w:name="page138"/>
    <w:bookmarkEnd w:id="137"/>
    <w:p>
      <w:pPr>
        <w:jc w:val="both"/>
        <w:spacing w:after="0" w:line="253" w:lineRule="auto"/>
        <w:rPr>
          <w:sz w:val="20"/>
          <w:szCs w:val="20"/>
          <w:color w:val="auto"/>
        </w:rPr>
      </w:pPr>
      <w:r>
        <w:rPr>
          <w:rFonts w:ascii="Times New Roman" w:cs="Times New Roman" w:eastAsia="Times New Roman" w:hAnsi="Times New Roman"/>
          <w:sz w:val="20"/>
          <w:szCs w:val="20"/>
          <w:color w:val="auto"/>
        </w:rPr>
        <w:t>discussions and negotiations between the Company and Executive, including the Employment Letter. Executive acknowledges and agrees that the payments and benefits set forth herein constitute full and complete satisfaction of the Company’s obligations to Executive under the Severance Plan (notwithstanding anything contained to the contrary therein), and Executive shall have no right, title or interest in any payments or benefits under the Severance Plan (except as provided herein). No amendments to this Agreement will be valid unless written and signed by Executive and an authorized representative of the Company.</w:t>
      </w:r>
    </w:p>
    <w:p>
      <w:pPr>
        <w:spacing w:after="0" w:line="192" w:lineRule="exact"/>
        <w:rPr>
          <w:sz w:val="20"/>
          <w:szCs w:val="20"/>
          <w:color w:val="auto"/>
        </w:rPr>
      </w:pPr>
    </w:p>
    <w:p>
      <w:pPr>
        <w:ind w:firstLine="1304"/>
        <w:spacing w:after="0" w:line="283" w:lineRule="auto"/>
        <w:tabs>
          <w:tab w:leader="none" w:pos="2087"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each of which shall be deemed to be an original, but all of which together will constitute one and the same Agreement.</w:t>
      </w:r>
    </w:p>
    <w:p>
      <w:pPr>
        <w:spacing w:after="0" w:line="146" w:lineRule="exact"/>
        <w:rPr>
          <w:rFonts w:ascii="Times New Roman" w:cs="Times New Roman" w:eastAsia="Times New Roman" w:hAnsi="Times New Roman"/>
          <w:sz w:val="20"/>
          <w:szCs w:val="20"/>
          <w:color w:val="auto"/>
        </w:rPr>
      </w:pPr>
    </w:p>
    <w:p>
      <w:pPr>
        <w:jc w:val="both"/>
        <w:ind w:firstLine="1304"/>
        <w:spacing w:after="0" w:line="249" w:lineRule="auto"/>
        <w:tabs>
          <w:tab w:leader="none" w:pos="202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Consultation with Counsel; Time for Consideration; Effective Date</w:t>
      </w:r>
      <w:r>
        <w:rPr>
          <w:rFonts w:ascii="Times New Roman" w:cs="Times New Roman" w:eastAsia="Times New Roman" w:hAnsi="Times New Roman"/>
          <w:sz w:val="20"/>
          <w:szCs w:val="20"/>
          <w:color w:val="auto"/>
        </w:rPr>
        <w:t>. Executive acknowledges (i) that Executive has thoroughly read and considered all aspects of this Agreement, that Executive understands all its provisions and that Executive is voluntarily entering into this Agreement, (ii) that he has been represented by, or had the opportunity to be represented by independent counsel of his own choice in connection with the negotiation and execution of this Agreement and has been advised to do so by the Company, and (iii) that he has read and understands the Agreement, is fully aware of its legal effect, and has entered into it freely based on his own judgment. Without limiting the generality of the foregoing, Executive acknowledges that he has had the opportunity to consult with his own independent tax advisors with respect to the tax consequences to his of this Agreement, and that he is relying solely on the advice of his independent advisors for such purposes. Pursuant to the Age Discrimination in Employment Act, Executive acknowledges and represents that he has been given 21 days (the “</w:t>
      </w:r>
      <w:r>
        <w:rPr>
          <w:rFonts w:ascii="Times New Roman" w:cs="Times New Roman" w:eastAsia="Times New Roman" w:hAnsi="Times New Roman"/>
          <w:sz w:val="20"/>
          <w:szCs w:val="20"/>
          <w:b w:val="1"/>
          <w:bCs w:val="1"/>
          <w:i w:val="1"/>
          <w:iCs w:val="1"/>
          <w:color w:val="auto"/>
        </w:rPr>
        <w:t>Review Period</w:t>
      </w:r>
      <w:r>
        <w:rPr>
          <w:rFonts w:ascii="Times New Roman" w:cs="Times New Roman" w:eastAsia="Times New Roman" w:hAnsi="Times New Roman"/>
          <w:sz w:val="20"/>
          <w:szCs w:val="20"/>
          <w:color w:val="auto"/>
        </w:rPr>
        <w:t xml:space="preserve">”) during which to review and consider the provisions of this Agreement and, specifically, the Release annexed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although Executive may sign and return it sooner if he wishes. Executive further acknowledges and represents that Executive has been advised by the Company that, if Executive signs this Agreement, Executive has the right to revoke this Agreement for a period of seven (7) days after signing it. Executive acknowledges and agrees that, if Executive wishes to revoke this Agreement, Executive must do so in writing, signed by Executive and received by the Company no later than 5:00 p.m. Eastern Time on the seventh day of the revocation period by delivering to the Company written notice of revocation by e-mail to Tammy Albarrán, via electronic mail at tammy.albarran@onepeloton.com. If no such revocation occurs, the Release and this Agreement shall become effective on the eighth day following Executive’s execution and delivery of this Agreement (including the Release) to the Company (including by way of DocuSign or other electronic signature platforms, e-mail, by hand or overnight courier)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In the event that Executive does not sign and return the Agreement (including the Release) prior to the expiration of the Review Period, or Executive revokes the Agreement after timely executing it, then the Agreement shall have no force or effect, and Executive shall have no right to receive the payments, benefits and arrangements described in Sections 2 and 3 above.</w:t>
      </w:r>
    </w:p>
    <w:p>
      <w:pPr>
        <w:spacing w:after="0" w:line="19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1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 Executive and the Company shall submit to mandatory and exclusive binding arbitration any controversy or claim arising out of, or relating to, this Agreement or any breach hereof, provided, however, that the parties retain their right to, and shall not be prohibited, limited or in any other way restricted from, seeking or obtaining equitable relief from a court having jurisdiction over the parties. Such arbitration shall be governed by the Federal Arbitration Act and conducted through the JAMS in the State of New York, New York County, before a single neutral arbitrator, in accordance with the Employment Arbitration Rules of JAMS in effect at that time (currently available at: jamsadr.com). The parties hereby waive any rights they may have to have any such claims tried before a judge or jury. The parties may conduct only essential discovery prior to the hearing, as defined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10 of 14</w:t>
      </w:r>
    </w:p>
    <w:p>
      <w:pPr>
        <w:sectPr>
          <w:pgSz w:w="11900" w:h="16838" w:orient="portrait"/>
          <w:cols w:equalWidth="0" w:num="1">
            <w:col w:w="11240"/>
          </w:cols>
          <w:pgMar w:left="320" w:top="1413" w:right="339" w:bottom="1440" w:gutter="0" w:footer="0" w:header="0"/>
        </w:sectPr>
      </w:pPr>
    </w:p>
    <w:bookmarkStart w:id="138" w:name="page139"/>
    <w:bookmarkEnd w:id="138"/>
    <w:p>
      <w:pPr>
        <w:jc w:val="both"/>
        <w:spacing w:after="0" w:line="254" w:lineRule="auto"/>
        <w:rPr>
          <w:sz w:val="20"/>
          <w:szCs w:val="20"/>
          <w:color w:val="auto"/>
        </w:rPr>
      </w:pPr>
      <w:r>
        <w:rPr>
          <w:rFonts w:ascii="Times New Roman" w:cs="Times New Roman" w:eastAsia="Times New Roman" w:hAnsi="Times New Roman"/>
          <w:sz w:val="20"/>
          <w:szCs w:val="20"/>
          <w:color w:val="auto"/>
        </w:rPr>
        <w:t>JAMS arbitrator. The arbitrator shall issue a written decision that contains the essential findings and conclusions on which the decision is based. Executive shall bear only those costs of arbitration Executive would otherwise bear had Executive brought a claim covered by this Agreement in court. Judgment upon the determination or award rendered by the arbitrator may be entered in any court having jurisdiction</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thereof. </w:t>
      </w:r>
      <w:r>
        <w:rPr>
          <w:rFonts w:ascii="Times New Roman" w:cs="Times New Roman" w:eastAsia="Times New Roman" w:hAnsi="Times New Roman"/>
          <w:sz w:val="20"/>
          <w:szCs w:val="20"/>
          <w:b w:val="1"/>
          <w:bCs w:val="1"/>
          <w:color w:val="auto"/>
        </w:rPr>
        <w:t>Executive and the Company agree to bring any dispute in arbitration on an individual basis only, meaning that Executive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agrees he will not, and waives any right to, bring any dispute in arbitration (or otherwise) on a class or collective basis or through any procedure or law that permits the joinder of claims relating to or arising from the employment of other individuals.</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Notwithstanding the foregoing: (a) nothing in this arbitration provision shall be construed as limiting Executive’s right to file a claim with or seek the assistance of the Equal Employment Opportunity Commission, the National Labor Relations Board, Department of Labor, or any similar state or federal administrative agency, however, any claim that cannot be resolved administratively or is not submitted to the applicable agency for resolution shall be subject to this arbitration provision; and (b) the following disputes and claims are not covered by this arbitration provision and shall therefore be resolved by the parties in any appropriate forum, including courts of law, as required by the laws then in effect: (i) claims of sexual assault or sexual harassment pursuant to the Ending Forced Arbitration of Sexual Assault and Sexual Harassment Act, 9 U.S.C. 401-03; (ii) claims for workers’ compensation benefits; (iii) claims for unemployment insurance benefits;</w:t>
      </w:r>
    </w:p>
    <w:p>
      <w:pPr>
        <w:spacing w:after="0" w:line="4" w:lineRule="exact"/>
        <w:rPr>
          <w:sz w:val="20"/>
          <w:szCs w:val="20"/>
          <w:color w:val="auto"/>
        </w:rPr>
      </w:pPr>
    </w:p>
    <w:p>
      <w:pPr>
        <w:ind w:right="20" w:firstLine="8"/>
        <w:spacing w:after="0" w:line="253" w:lineRule="auto"/>
        <w:tabs>
          <w:tab w:leader="none" w:pos="36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state or federal disability insurance benefits; and (v) any other claims that may not be subject to a predispute arbitration agreement by law.</w:t>
      </w:r>
    </w:p>
    <w:p>
      <w:pPr>
        <w:spacing w:after="0" w:line="188" w:lineRule="exact"/>
        <w:rPr>
          <w:rFonts w:ascii="Times New Roman" w:cs="Times New Roman" w:eastAsia="Times New Roman" w:hAnsi="Times New Roman"/>
          <w:sz w:val="20"/>
          <w:szCs w:val="20"/>
          <w:color w:val="auto"/>
        </w:rPr>
      </w:pPr>
    </w:p>
    <w:p>
      <w:pPr>
        <w:jc w:val="both"/>
        <w:ind w:firstLine="1304"/>
        <w:spacing w:after="0" w:line="261" w:lineRule="auto"/>
        <w:tabs>
          <w:tab w:leader="none" w:pos="2087"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and other communications hereunder shall be in writing and shall be delivered by courier or other means of personal service (including by means of a nationally recognized courier service or professional messenger service), or sent by email and also mailed first class, postage prepaid, by certified mail, return receipt requested, in all cases addressed to:</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If to Executive</w:t>
      </w:r>
      <w:r>
        <w:rPr>
          <w:rFonts w:ascii="Times New Roman" w:cs="Times New Roman" w:eastAsia="Times New Roman" w:hAnsi="Times New Roman"/>
          <w:sz w:val="20"/>
          <w:szCs w:val="20"/>
          <w:color w:val="auto"/>
        </w:rPr>
        <w:t>: at Executive’s most recent address on the records of the Company</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If to the Company</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Peloton Interactive, Inc.</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441 Ninth Avenue, 6th Floor</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New York, NY 10001</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Attention: Chief Legal Officer</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All notices, requests and other communications shall be deemed given on the date of actual receipt or delivery as evidenced by written receipt, acknowledgement or other evidence of actual receipt or delivery to the address. In case of service by telecopy, a copy of such notice shall be personally delivered or sent by registered or certified mail, in the manner set forth above, within three business days thereafter. Any party hereto may from time to time by notice in writing served as set forth above designate a different address or a different or additional person to which all such notices or communications thereafter are to be given.</w:t>
      </w:r>
    </w:p>
    <w:p>
      <w:pPr>
        <w:spacing w:after="0" w:line="200" w:lineRule="exact"/>
        <w:rPr>
          <w:sz w:val="20"/>
          <w:szCs w:val="20"/>
          <w:color w:val="auto"/>
        </w:rPr>
      </w:pPr>
    </w:p>
    <w:p>
      <w:pPr>
        <w:jc w:val="both"/>
        <w:ind w:firstLine="1304"/>
        <w:spacing w:after="0" w:line="269" w:lineRule="auto"/>
        <w:tabs>
          <w:tab w:leader="none" w:pos="1782"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Both parties acknowledge and agree that notwithstanding anything contained to the contrary therein, Executive shall continue to be indemnified (and receive advancement of expenses) to the extent provided for in Executive’s indemnification agreement with the Company (the “</w:t>
      </w:r>
      <w:r>
        <w:rPr>
          <w:rFonts w:ascii="Times New Roman" w:cs="Times New Roman" w:eastAsia="Times New Roman" w:hAnsi="Times New Roman"/>
          <w:sz w:val="19"/>
          <w:szCs w:val="19"/>
          <w:b w:val="1"/>
          <w:bCs w:val="1"/>
          <w:i w:val="1"/>
          <w:iCs w:val="1"/>
          <w:color w:val="auto"/>
        </w:rPr>
        <w:t>Indemnification Agreement</w:t>
      </w:r>
      <w:r>
        <w:rPr>
          <w:rFonts w:ascii="Times New Roman" w:cs="Times New Roman" w:eastAsia="Times New Roman" w:hAnsi="Times New Roman"/>
          <w:sz w:val="19"/>
          <w:szCs w:val="19"/>
          <w:color w:val="auto"/>
        </w:rPr>
        <w:t>”), provided that, Executive shall be indemnified (and receive advancement of expenses) under such agreement as if Executive continued to be an executive officer of the Company during the Advisory Period. Additionally, both parties acknowledge and agree that notwithstanding anything contained to the contrary therein, Executive shall be afforded the maximum extent of insurance coverage available to Executive during the Advisory Period under the Company’s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11 of 14</w:t>
      </w:r>
    </w:p>
    <w:p>
      <w:pPr>
        <w:sectPr>
          <w:pgSz w:w="11900" w:h="16838" w:orient="portrait"/>
          <w:cols w:equalWidth="0" w:num="1">
            <w:col w:w="11240"/>
          </w:cols>
          <w:pgMar w:left="320" w:top="1413" w:right="339" w:bottom="1440" w:gutter="0" w:footer="0" w:header="0"/>
        </w:sectPr>
      </w:pPr>
    </w:p>
    <w:bookmarkStart w:id="139" w:name="page140"/>
    <w:bookmarkEnd w:id="139"/>
    <w:p>
      <w:pPr>
        <w:ind w:right="20"/>
        <w:spacing w:after="0" w:line="283" w:lineRule="auto"/>
        <w:rPr>
          <w:sz w:val="20"/>
          <w:szCs w:val="20"/>
          <w:color w:val="auto"/>
        </w:rPr>
      </w:pPr>
      <w:r>
        <w:rPr>
          <w:rFonts w:ascii="Times New Roman" w:cs="Times New Roman" w:eastAsia="Times New Roman" w:hAnsi="Times New Roman"/>
          <w:sz w:val="20"/>
          <w:szCs w:val="20"/>
          <w:color w:val="auto"/>
        </w:rPr>
        <w:t>liability policy. For the avoidance of doubt, any applicable indemnification under the Indemnification Agreement shall apply with respect to all Indemnifiable Events (as defined in the Indemnification Agreement) during his employment and the Advisory Period.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12 of 14</w:t>
      </w:r>
    </w:p>
    <w:p>
      <w:pPr>
        <w:sectPr>
          <w:pgSz w:w="11900" w:h="16838" w:orient="portrait"/>
          <w:cols w:equalWidth="0" w:num="1">
            <w:col w:w="11240"/>
          </w:cols>
          <w:pgMar w:left="320" w:top="1413" w:right="339" w:bottom="1440" w:gutter="0" w:footer="0" w:header="0"/>
        </w:sectPr>
      </w:pPr>
    </w:p>
    <w:bookmarkStart w:id="140" w:name="page141"/>
    <w:bookmarkEnd w:id="140"/>
    <w:p>
      <w:pPr>
        <w:spacing w:after="0" w:line="283" w:lineRule="auto"/>
        <w:rPr>
          <w:sz w:val="20"/>
          <w:szCs w:val="20"/>
          <w:color w:val="auto"/>
        </w:rPr>
      </w:pPr>
      <w:r>
        <w:rPr>
          <w:rFonts w:ascii="Times New Roman" w:cs="Times New Roman" w:eastAsia="Times New Roman" w:hAnsi="Times New Roman"/>
          <w:sz w:val="20"/>
          <w:szCs w:val="20"/>
          <w:color w:val="auto"/>
        </w:rPr>
        <w:t>IN WITNESS WHEREOF, Executive has hereunto set Executive’s hand and the Company has caused these presents to be executed in its name on its behalf, all as of the day and year set forth below.</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Dated: 05/02/2024</w:t>
            </w:r>
          </w:p>
        </w:tc>
        <w:tc>
          <w:tcPr>
            <w:tcW w:w="29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w w:val="99"/>
              </w:rPr>
              <w:t>/s/ Barry McCarthy____________</w:t>
            </w:r>
          </w:p>
        </w:tc>
      </w:tr>
      <w:tr>
        <w:trPr>
          <w:trHeight w:val="20"/>
        </w:trPr>
        <w:tc>
          <w:tcPr>
            <w:tcW w:w="5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0"/>
        </w:trPr>
        <w:tc>
          <w:tcPr>
            <w:tcW w:w="580" w:type="dxa"/>
            <w:vAlign w:val="bottom"/>
          </w:tcPr>
          <w:p>
            <w:pPr>
              <w:spacing w:after="0"/>
              <w:rPr>
                <w:sz w:val="23"/>
                <w:szCs w:val="23"/>
                <w:color w:val="auto"/>
              </w:rPr>
            </w:pPr>
          </w:p>
        </w:tc>
        <w:tc>
          <w:tcPr>
            <w:tcW w:w="4460" w:type="dxa"/>
            <w:vAlign w:val="bottom"/>
            <w:gridSpan w:val="5"/>
          </w:tcPr>
          <w:p>
            <w:pPr>
              <w:ind w:left="620"/>
              <w:spacing w:after="0"/>
              <w:rPr>
                <w:sz w:val="20"/>
                <w:szCs w:val="20"/>
                <w:color w:val="auto"/>
              </w:rPr>
            </w:pPr>
            <w:r>
              <w:rPr>
                <w:rFonts w:ascii="Times New Roman" w:cs="Times New Roman" w:eastAsia="Times New Roman" w:hAnsi="Times New Roman"/>
                <w:sz w:val="20"/>
                <w:szCs w:val="20"/>
                <w:color w:val="auto"/>
              </w:rPr>
              <w:t>Barry McCarthy</w:t>
            </w:r>
          </w:p>
        </w:tc>
      </w:tr>
      <w:tr>
        <w:trPr>
          <w:trHeight w:val="912"/>
        </w:trPr>
        <w:tc>
          <w:tcPr>
            <w:tcW w:w="2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Dated: 05/02/2024</w:t>
            </w:r>
          </w:p>
        </w:tc>
        <w:tc>
          <w:tcPr>
            <w:tcW w:w="29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w w:val="98"/>
              </w:rPr>
              <w:t>/s/ Jay Hoag__________________</w:t>
            </w:r>
          </w:p>
        </w:tc>
      </w:tr>
      <w:tr>
        <w:trPr>
          <w:trHeight w:val="20"/>
        </w:trPr>
        <w:tc>
          <w:tcPr>
            <w:tcW w:w="5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Peloton Interactive, Inc.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Jay Hoag</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Chairperson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i w:val="1"/>
          <w:iCs w:val="1"/>
          <w:color w:val="auto"/>
        </w:rPr>
        <w:t>Signature Page</w:t>
      </w:r>
    </w:p>
    <w:p>
      <w:pPr>
        <w:sectPr>
          <w:pgSz w:w="11900" w:h="16838" w:orient="portrait"/>
          <w:cols w:equalWidth="0" w:num="1">
            <w:col w:w="10860"/>
          </w:cols>
          <w:pgMar w:left="320" w:top="1413" w:right="71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RELEASE</w:t>
      </w:r>
    </w:p>
    <w:p>
      <w:pPr>
        <w:spacing w:after="0" w:line="227" w:lineRule="exact"/>
        <w:rPr>
          <w:sz w:val="20"/>
          <w:szCs w:val="20"/>
          <w:color w:val="auto"/>
        </w:rPr>
      </w:pPr>
    </w:p>
    <w:p>
      <w:pPr>
        <w:jc w:val="both"/>
        <w:ind w:firstLine="656"/>
        <w:spacing w:after="0" w:line="249" w:lineRule="auto"/>
        <w:tabs>
          <w:tab w:leader="none" w:pos="103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For valuable consideration, the receipt and adequacy of which are hereby acknowledged, the undersigned does hereby release and forever discharge the “</w:t>
      </w:r>
      <w:r>
        <w:rPr>
          <w:rFonts w:ascii="Times New Roman" w:cs="Times New Roman" w:eastAsia="Times New Roman" w:hAnsi="Times New Roman"/>
          <w:sz w:val="20"/>
          <w:szCs w:val="20"/>
          <w:b w:val="1"/>
          <w:bCs w:val="1"/>
          <w:i w:val="1"/>
          <w:iCs w:val="1"/>
          <w:color w:val="auto"/>
        </w:rPr>
        <w:t>Releasees</w:t>
      </w:r>
      <w:r>
        <w:rPr>
          <w:rFonts w:ascii="Times New Roman" w:cs="Times New Roman" w:eastAsia="Times New Roman" w:hAnsi="Times New Roman"/>
          <w:sz w:val="20"/>
          <w:szCs w:val="20"/>
          <w:color w:val="auto"/>
        </w:rPr>
        <w:t>” hereunder, consisting of Peloton Interactive,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the Company’s partners, subsidiaries, associates, affiliates, successors, heirs, assigns, agents, directors, officers, employees, representatives, lawyers, insurers, and all persons acting by, through, under or in concert with them, or any of them,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Times New Roman" w:cs="Times New Roman" w:eastAsia="Times New Roman" w:hAnsi="Times New Roman"/>
          <w:sz w:val="20"/>
          <w:szCs w:val="20"/>
          <w:b w:val="1"/>
          <w:bCs w:val="1"/>
          <w:i w:val="1"/>
          <w:iCs w:val="1"/>
          <w:color w:val="auto"/>
        </w:rPr>
        <w:t>Claims</w:t>
      </w:r>
      <w:r>
        <w:rPr>
          <w:rFonts w:ascii="Times New Roman" w:cs="Times New Roman" w:eastAsia="Times New Roman" w:hAnsi="Times New Roman"/>
          <w:sz w:val="20"/>
          <w:szCs w:val="20"/>
          <w:color w:val="auto"/>
        </w:rPr>
        <w:t>”), which the undersigned now has or may hereafter have against the Releasees, or any of them, by reason of any matter, cause, or thing whatsoever from the beginning of time to the date hereof. The Claims released herein include, without limiting the generality of the foregoing, any Claims in any way arising out of, based upon, or related to the employment, the terms and conditions of employment or termination of employment of the undersigned by the Releasees, or any of them (including, but not limited to, any alleged discrimination, harassment or retaliation); any alleged breach of any express or implied contract of employment; any alleged torts, or other alleged legal restrictions on Releasees’ right to terminate the employment of the undersigned; any alleged wrongful discharge, whistleblowing, detrimental reliance, defamation, slander, libel, intentional and negligent emotional distress or compensatory and/or punitive damages; common law, including but not limited to any alleged wrongful or retaliatory discharge in violation of public policy, breach of the covenant of good faith and fair dealing, interference with contractual relations or prospective business advantage, invasion of privacy, false imprisonment, and/or fraud; rights to attorneys’ fees, costs, disbursements and/or the like; and any alleged violation of any federal, state or local statute or ordinance including, without limitation, Title VII of the Civil Rights Act of 1964, the Age Discrimination in Employment Act, the Older Workers Benefit Protection Act, the Americans with Disabilities Act, Sections 1981 through 1988 of Title 42 of the United States Code, the National Labor Relations Act, the Employee Retirement Income Security Act, all claims under the Family and Medical Leave Act and Worker Adjustment and Retraining Notification Act, and all other federal, state and local leave and/or WARN laws; and any claim(s) under the New York State Human Rights Law; the New York City Administrative Code; the New York Labor Law; the New York Minimum Wage Act; the statutory provisions regarding retaliation/discrimination under the New York Worker’s Compensation Law; the New York City Earned Sick Time Act; the New York City Human Rights Law; the New York State budgetary measures; and the Stop Sexual Harassment in the Workplace Act; and any other legally waivable federal, state or local laws, including common law.</w:t>
      </w:r>
    </w:p>
    <w:p>
      <w:pPr>
        <w:spacing w:after="0" w:line="182" w:lineRule="exact"/>
        <w:rPr>
          <w:rFonts w:ascii="Times New Roman" w:cs="Times New Roman" w:eastAsia="Times New Roman" w:hAnsi="Times New Roman"/>
          <w:sz w:val="20"/>
          <w:szCs w:val="20"/>
          <w:color w:val="auto"/>
        </w:rPr>
      </w:pPr>
    </w:p>
    <w:p>
      <w:pPr>
        <w:ind w:firstLine="656"/>
        <w:spacing w:after="0" w:line="287" w:lineRule="auto"/>
        <w:tabs>
          <w:tab w:leader="none" w:pos="102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Claims Not Released</w:t>
      </w:r>
      <w:r>
        <w:rPr>
          <w:rFonts w:ascii="Times New Roman" w:cs="Times New Roman" w:eastAsia="Times New Roman" w:hAnsi="Times New Roman"/>
          <w:sz w:val="20"/>
          <w:szCs w:val="20"/>
          <w:color w:val="auto"/>
        </w:rPr>
        <w:t>. Notwithstanding the foregoing, this general release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shall not operate to release any rights or claims of the undersigned to:</w:t>
      </w:r>
    </w:p>
    <w:p>
      <w:pPr>
        <w:spacing w:after="0" w:line="155" w:lineRule="exact"/>
        <w:rPr>
          <w:rFonts w:ascii="Times New Roman" w:cs="Times New Roman" w:eastAsia="Times New Roman" w:hAnsi="Times New Roman"/>
          <w:sz w:val="20"/>
          <w:szCs w:val="20"/>
          <w:color w:val="auto"/>
        </w:rPr>
      </w:pPr>
    </w:p>
    <w:p>
      <w:pPr>
        <w:ind w:left="1300" w:right="20" w:hanging="320"/>
        <w:spacing w:after="0" w:line="269" w:lineRule="auto"/>
        <w:tabs>
          <w:tab w:leader="none" w:pos="129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Claims for alleged breach of the Transition Agreement between the undersigned and the Company, dated as of May 2, 2024;</w:t>
      </w:r>
    </w:p>
    <w:p>
      <w:pPr>
        <w:spacing w:after="0" w:line="172" w:lineRule="exact"/>
        <w:rPr>
          <w:rFonts w:ascii="Times New Roman" w:cs="Times New Roman" w:eastAsia="Times New Roman" w:hAnsi="Times New Roman"/>
          <w:sz w:val="20"/>
          <w:szCs w:val="20"/>
          <w:color w:val="auto"/>
        </w:rPr>
      </w:pPr>
    </w:p>
    <w:p>
      <w:pPr>
        <w:ind w:left="1300" w:hanging="320"/>
        <w:spacing w:after="0" w:line="269" w:lineRule="auto"/>
        <w:tabs>
          <w:tab w:leader="none" w:pos="1288"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vested benefits the undersigned may have, if any, as of the date hereof under any applicable plan, policy, practice, program, contract or agreement with the Company that cannot be released under applicable law;</w:t>
      </w:r>
    </w:p>
    <w:p>
      <w:pPr>
        <w:spacing w:after="0" w:line="172" w:lineRule="exact"/>
        <w:rPr>
          <w:rFonts w:ascii="Times New Roman" w:cs="Times New Roman" w:eastAsia="Times New Roman" w:hAnsi="Times New Roman"/>
          <w:sz w:val="20"/>
          <w:szCs w:val="20"/>
          <w:color w:val="auto"/>
        </w:rPr>
      </w:pPr>
    </w:p>
    <w:p>
      <w:pPr>
        <w:ind w:left="1300" w:hanging="320"/>
        <w:spacing w:after="0" w:line="283" w:lineRule="auto"/>
        <w:tabs>
          <w:tab w:leader="none" w:pos="129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Claims for indemnification and/or advancement of expenses arising under any indemnification agreement between the undersigned and the Company or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Exhibit A – General Release</w:t>
      </w:r>
    </w:p>
    <w:p>
      <w:pPr>
        <w:sectPr>
          <w:pgSz w:w="11900" w:h="16838" w:orient="portrait"/>
          <w:cols w:equalWidth="0" w:num="1">
            <w:col w:w="11240"/>
          </w:cols>
          <w:pgMar w:left="320" w:top="1409" w:right="339" w:bottom="1440" w:gutter="0" w:footer="0" w:header="0"/>
        </w:sectPr>
      </w:pPr>
    </w:p>
    <w:bookmarkStart w:id="142" w:name="page143"/>
    <w:bookmarkEnd w:id="142"/>
    <w:p>
      <w:pPr>
        <w:ind w:left="1300"/>
        <w:spacing w:after="0" w:line="283" w:lineRule="auto"/>
        <w:rPr>
          <w:sz w:val="20"/>
          <w:szCs w:val="20"/>
          <w:color w:val="auto"/>
        </w:rPr>
      </w:pPr>
      <w:r>
        <w:rPr>
          <w:rFonts w:ascii="Times New Roman" w:cs="Times New Roman" w:eastAsia="Times New Roman" w:hAnsi="Times New Roman"/>
          <w:sz w:val="20"/>
          <w:szCs w:val="20"/>
          <w:color w:val="auto"/>
        </w:rPr>
        <w:t>bylaws, certificate of incorporation or other similar governing document of the Company or to any coverage under applicable directors’ and officers’ liability insurance policies;</w:t>
      </w:r>
    </w:p>
    <w:p>
      <w:pPr>
        <w:spacing w:after="0" w:line="146" w:lineRule="exact"/>
        <w:rPr>
          <w:sz w:val="20"/>
          <w:szCs w:val="20"/>
          <w:color w:val="auto"/>
        </w:rPr>
      </w:pPr>
    </w:p>
    <w:p>
      <w:pPr>
        <w:ind w:left="1300" w:hanging="320"/>
        <w:spacing w:after="0"/>
        <w:tabs>
          <w:tab w:leader="none" w:pos="130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 a claim for unemployment or workers’ compensation benefits;</w:t>
      </w:r>
    </w:p>
    <w:p>
      <w:pPr>
        <w:spacing w:after="0" w:line="229"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9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bring to the attention of the U.S. Equal Employment Opportunity Commission or similar state or local administrative agency claims of discrimination, harassment, interference with leave rights, and retaliation; provided, however, that the undersigned releases the undersigned’s right to secure damages or other relief for any such alleged treatment;</w:t>
      </w:r>
    </w:p>
    <w:p>
      <w:pPr>
        <w:spacing w:after="0" w:line="18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which cannot be waived by an employee under applicable law; or</w:t>
      </w:r>
    </w:p>
    <w:p>
      <w:pPr>
        <w:spacing w:after="0" w:line="215" w:lineRule="exact"/>
        <w:rPr>
          <w:rFonts w:ascii="Times New Roman" w:cs="Times New Roman" w:eastAsia="Times New Roman" w:hAnsi="Times New Roman"/>
          <w:sz w:val="20"/>
          <w:szCs w:val="20"/>
          <w:color w:val="auto"/>
        </w:rPr>
      </w:pPr>
    </w:p>
    <w:p>
      <w:pPr>
        <w:ind w:left="1300" w:hanging="320"/>
        <w:spacing w:after="0" w:line="283" w:lineRule="auto"/>
        <w:tabs>
          <w:tab w:leader="none" w:pos="128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undersigned’s right to communicate directly with, cooperate with, or provide information to, any federal, state or local government regulator.</w:t>
      </w:r>
    </w:p>
    <w:p>
      <w:pPr>
        <w:spacing w:after="0" w:line="146" w:lineRule="exact"/>
        <w:rPr>
          <w:rFonts w:ascii="Times New Roman" w:cs="Times New Roman" w:eastAsia="Times New Roman" w:hAnsi="Times New Roman"/>
          <w:sz w:val="20"/>
          <w:szCs w:val="20"/>
          <w:color w:val="auto"/>
        </w:rPr>
      </w:pPr>
    </w:p>
    <w:p>
      <w:pPr>
        <w:jc w:val="both"/>
        <w:ind w:firstLine="656"/>
        <w:spacing w:after="0" w:line="264" w:lineRule="auto"/>
        <w:tabs>
          <w:tab w:leader="none" w:pos="1129"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Exceptions</w:t>
      </w:r>
      <w:r>
        <w:rPr>
          <w:rFonts w:ascii="Times New Roman" w:cs="Times New Roman" w:eastAsia="Times New Roman" w:hAnsi="Times New Roman"/>
          <w:sz w:val="19"/>
          <w:szCs w:val="19"/>
          <w:color w:val="auto"/>
        </w:rPr>
        <w:t>. Notwithstanding anything in this Release to the contrary, nothing contained in this Release shall prohibit the undersigned from (i)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(ii) communicating directly with, cooperating with, or providing information in confidence to, any federal, state or local government regulator (including, but not limited to, the U.S. Securities and Exchange Commission, the U.S. Commodity Futures Trading Commission, the U.S. Department of Justice, or the U.S. National Labor Relations Board) for the purpose of reporting or investigating a suspected violation of law, or from providing such information to the undersigned’s attorney or in a sealed complaint or other document filed in a lawsuit or other governmental proceeding, and/or (iii) exercising any rights the undersigned may have under Section 7 of the U.S. National Labor Relations Act. Pursuant to 18 USC Section 1833(b), the undersigned acknowledges that (1) the undersigned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and (2) if the undersigned files a lawsuit for retaliation by the Releasees for reporting a suspected violation of law, the undersigned may disclose the trade secret to the undersigned’s attorney and use the trade secret information in the court proceeding, if the undersigned files any document containing the trade secret under seal and does not disclose the trade secret, except pursuant to court order.</w:t>
      </w:r>
    </w:p>
    <w:p>
      <w:pPr>
        <w:spacing w:after="0" w:line="175" w:lineRule="exact"/>
        <w:rPr>
          <w:rFonts w:ascii="Times New Roman" w:cs="Times New Roman" w:eastAsia="Times New Roman" w:hAnsi="Times New Roman"/>
          <w:sz w:val="19"/>
          <w:szCs w:val="19"/>
          <w:color w:val="auto"/>
        </w:rPr>
      </w:pPr>
    </w:p>
    <w:p>
      <w:pPr>
        <w:jc w:val="both"/>
        <w:ind w:firstLine="656"/>
        <w:spacing w:after="0" w:line="253" w:lineRule="auto"/>
        <w:tabs>
          <w:tab w:leader="none" w:pos="102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w:t>
      </w:r>
      <w:r>
        <w:rPr>
          <w:rFonts w:ascii="Times New Roman" w:cs="Times New Roman" w:eastAsia="Times New Roman" w:hAnsi="Times New Roman"/>
          <w:sz w:val="20"/>
          <w:szCs w:val="20"/>
          <w:color w:val="auto"/>
        </w:rPr>
        <w:t>. The undersigned represents and warrants that there has been no assignment or other transfer of any interest in any Claim which the undersigned may have against 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undersigned under this indemnity.</w:t>
      </w:r>
    </w:p>
    <w:p>
      <w:pPr>
        <w:spacing w:after="0" w:line="19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2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Action</w:t>
      </w:r>
      <w:r>
        <w:rPr>
          <w:rFonts w:ascii="Times New Roman" w:cs="Times New Roman" w:eastAsia="Times New Roman" w:hAnsi="Times New Roman"/>
          <w:sz w:val="20"/>
          <w:szCs w:val="20"/>
          <w:color w:val="auto"/>
        </w:rPr>
        <w:t>. The undersigned agrees that if the undersigned hereafter commences any suit arising out of, based upon, or relating to any of the Claims released hereunder or in any manner asserts against Releasees, or any of them, any of the Claims released hereunder, then the undersigned agrees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Exhibit A – General Release</w:t>
      </w:r>
    </w:p>
    <w:p>
      <w:pPr>
        <w:sectPr>
          <w:pgSz w:w="11900" w:h="16838" w:orient="portrait"/>
          <w:cols w:equalWidth="0" w:num="1">
            <w:col w:w="11240"/>
          </w:cols>
          <w:pgMar w:left="320" w:top="1413" w:right="339" w:bottom="1440" w:gutter="0" w:footer="0" w:header="0"/>
        </w:sectPr>
      </w:pPr>
    </w:p>
    <w:bookmarkStart w:id="143" w:name="page144"/>
    <w:bookmarkEnd w:id="143"/>
    <w:p>
      <w:pPr>
        <w:spacing w:after="0" w:line="283" w:lineRule="auto"/>
        <w:rPr>
          <w:sz w:val="20"/>
          <w:szCs w:val="20"/>
          <w:color w:val="auto"/>
        </w:rPr>
      </w:pPr>
      <w:r>
        <w:rPr>
          <w:rFonts w:ascii="Times New Roman" w:cs="Times New Roman" w:eastAsia="Times New Roman" w:hAnsi="Times New Roman"/>
          <w:sz w:val="20"/>
          <w:szCs w:val="20"/>
          <w:color w:val="auto"/>
        </w:rPr>
        <w:t>pay to Releasees, and each of them, in addition to any other damages caused to Releasees thereby, all attorneys’ fees, costs, and expenses incurred by Releasees in defending or otherwise responding to said suit or Claim.</w:t>
      </w:r>
    </w:p>
    <w:p>
      <w:pPr>
        <w:spacing w:after="0" w:line="146" w:lineRule="exact"/>
        <w:rPr>
          <w:sz w:val="20"/>
          <w:szCs w:val="20"/>
          <w:color w:val="auto"/>
        </w:rPr>
      </w:pPr>
    </w:p>
    <w:p>
      <w:pPr>
        <w:jc w:val="both"/>
        <w:ind w:firstLine="656"/>
        <w:spacing w:after="0" w:line="261" w:lineRule="auto"/>
        <w:tabs>
          <w:tab w:leader="none" w:pos="99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Admission</w:t>
      </w:r>
      <w:r>
        <w:rPr>
          <w:rFonts w:ascii="Times New Roman" w:cs="Times New Roman" w:eastAsia="Times New Roman" w:hAnsi="Times New Roman"/>
          <w:sz w:val="20"/>
          <w:szCs w:val="20"/>
          <w:color w:val="auto"/>
        </w:rPr>
        <w:t>. The undersigned further understands and agrees that neither the payment of any sum of money nor the execution of this Release shall constitute or be construed as an admission of any liability whatsoever by the Releasees, or any of them, who have consistently taken the position that they have no liability whatsoever to the undersigned.</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99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OWBPA</w:t>
      </w:r>
      <w:r>
        <w:rPr>
          <w:rFonts w:ascii="Times New Roman" w:cs="Times New Roman" w:eastAsia="Times New Roman" w:hAnsi="Times New Roman"/>
          <w:sz w:val="20"/>
          <w:szCs w:val="20"/>
          <w:color w:val="auto"/>
        </w:rPr>
        <w:t>. The undersigned agrees and acknowledges that this Release constitutes a knowing and voluntary waiver and release of all Claims the undersigned has or may have against the Company and/or any of the other Releasees as set forth herein, including, but not limited to, all Claims arising under the Older Worker’s Benefit Protection Act and the Age Discrimination in Employment Act. In accordance with the Older Worker’s Benefit Protection Act, the undersigned is hereby advised as follows:</w:t>
      </w:r>
    </w:p>
    <w:p>
      <w:pPr>
        <w:spacing w:after="0" w:line="172" w:lineRule="exact"/>
        <w:rPr>
          <w:rFonts w:ascii="Times New Roman" w:cs="Times New Roman" w:eastAsia="Times New Roman" w:hAnsi="Times New Roman"/>
          <w:sz w:val="20"/>
          <w:szCs w:val="20"/>
          <w:color w:val="auto"/>
        </w:rPr>
      </w:pPr>
    </w:p>
    <w:p>
      <w:pPr>
        <w:jc w:val="both"/>
        <w:ind w:left="1300" w:hanging="320"/>
        <w:spacing w:after="0" w:line="268" w:lineRule="auto"/>
        <w:tabs>
          <w:tab w:leader="none" w:pos="1288"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has read the terms of this Release, and understands its terms and effects, including the fact that the undersigned agreed to release and forever discharge the Company and each of the Releasees, from any Claims released in this Release;</w:t>
      </w:r>
    </w:p>
    <w:p>
      <w:pPr>
        <w:spacing w:after="0" w:line="188"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8"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understands that, by entering into this Release, the undersigned does not waive any Claims that may arise after the date of the undersigned’s execution of this Release, including without limitation any rights or claims that the undersigned may have to secure enforcement of the terms and conditions of this Release;</w:t>
      </w:r>
    </w:p>
    <w:p>
      <w:pPr>
        <w:spacing w:after="0" w:line="208" w:lineRule="exact"/>
        <w:rPr>
          <w:rFonts w:ascii="Times New Roman" w:cs="Times New Roman" w:eastAsia="Times New Roman" w:hAnsi="Times New Roman"/>
          <w:sz w:val="20"/>
          <w:szCs w:val="20"/>
          <w:color w:val="auto"/>
        </w:rPr>
      </w:pPr>
    </w:p>
    <w:p>
      <w:pPr>
        <w:jc w:val="both"/>
        <w:ind w:left="2280" w:hanging="328"/>
        <w:spacing w:after="0" w:line="281" w:lineRule="auto"/>
        <w:tabs>
          <w:tab w:leader="none" w:pos="2268" w:val="left"/>
        </w:tabs>
        <w:numPr>
          <w:ilvl w:val="2"/>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undersigned has signed this Release voluntarily and knowingly in exchange for the consideration described in this Release, which the undersigned acknowledges is adequate and satisfactory to the undersigned and which the undersigned acknowledges is in addition to any other benefits to which the undersigned is otherwise entitled;</w:t>
      </w:r>
    </w:p>
    <w:p>
      <w:pPr>
        <w:spacing w:after="0" w:line="191" w:lineRule="exact"/>
        <w:rPr>
          <w:rFonts w:ascii="Times New Roman" w:cs="Times New Roman" w:eastAsia="Times New Roman" w:hAnsi="Times New Roman"/>
          <w:sz w:val="19"/>
          <w:szCs w:val="19"/>
          <w:color w:val="auto"/>
        </w:rPr>
      </w:pPr>
    </w:p>
    <w:p>
      <w:pPr>
        <w:ind w:left="2260" w:hanging="308"/>
        <w:spacing w:after="0"/>
        <w:tabs>
          <w:tab w:leader="none" w:pos="2260"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advised the undersigned to consult with an attorney prior to executing this Release;</w:t>
      </w:r>
    </w:p>
    <w:p>
      <w:pPr>
        <w:spacing w:after="0" w:line="242" w:lineRule="exact"/>
        <w:rPr>
          <w:rFonts w:ascii="Times New Roman" w:cs="Times New Roman" w:eastAsia="Times New Roman" w:hAnsi="Times New Roman"/>
          <w:sz w:val="20"/>
          <w:szCs w:val="20"/>
          <w:color w:val="auto"/>
        </w:rPr>
      </w:pPr>
    </w:p>
    <w:p>
      <w:pPr>
        <w:jc w:val="both"/>
        <w:ind w:left="2280" w:hanging="328"/>
        <w:spacing w:after="0" w:line="257" w:lineRule="auto"/>
        <w:tabs>
          <w:tab w:leader="none" w:pos="2268"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has been given at least 21 days in which to review and consider this Release. To the extent that the undersigned chooses to sign this Release prior to the expiration of such period, the undersigned acknowledges that the undersigned has done so voluntarily, had sufficient time to consider the Release, to consult with counsel and that the undersigned does not desire additional time and hereby waives the remainder of the 21-day period; and</w:t>
      </w:r>
    </w:p>
    <w:p>
      <w:pPr>
        <w:spacing w:after="0" w:line="199" w:lineRule="exact"/>
        <w:rPr>
          <w:rFonts w:ascii="Times New Roman" w:cs="Times New Roman" w:eastAsia="Times New Roman" w:hAnsi="Times New Roman"/>
          <w:sz w:val="20"/>
          <w:szCs w:val="20"/>
          <w:color w:val="auto"/>
        </w:rPr>
      </w:pPr>
    </w:p>
    <w:p>
      <w:pPr>
        <w:jc w:val="both"/>
        <w:ind w:left="2280" w:hanging="328"/>
        <w:spacing w:after="0" w:line="253" w:lineRule="auto"/>
        <w:tabs>
          <w:tab w:leader="none" w:pos="2268"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may revoke this Release within seven days from the date the undersigned signs this Release and this Release will become effective upon the expiration of that revocation period. If the undersigned revokes this Release during such seven-day period, this Release will be null and void and of no force or effect on either the Company or the undersigned and the undersigned will not be entitled to any of the payments or benefits which are expressly conditioned upon the execution and non-revocation of this Release. Any revocation must be in writing and sent to Tammy Albarrán, via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Exhibit A – General Release</w:t>
      </w:r>
    </w:p>
    <w:p>
      <w:pPr>
        <w:sectPr>
          <w:pgSz w:w="11900" w:h="16838" w:orient="portrait"/>
          <w:cols w:equalWidth="0" w:num="1">
            <w:col w:w="11240"/>
          </w:cols>
          <w:pgMar w:left="320" w:top="1413" w:right="339" w:bottom="1440" w:gutter="0" w:footer="0" w:header="0"/>
        </w:sectPr>
      </w:pPr>
    </w:p>
    <w:bookmarkStart w:id="144" w:name="page145"/>
    <w:bookmarkEnd w:id="144"/>
    <w:p>
      <w:pPr>
        <w:ind w:left="2280"/>
        <w:spacing w:after="0" w:line="283" w:lineRule="auto"/>
        <w:rPr>
          <w:sz w:val="20"/>
          <w:szCs w:val="20"/>
          <w:color w:val="auto"/>
        </w:rPr>
      </w:pPr>
      <w:r>
        <w:rPr>
          <w:rFonts w:ascii="Times New Roman" w:cs="Times New Roman" w:eastAsia="Times New Roman" w:hAnsi="Times New Roman"/>
          <w:sz w:val="20"/>
          <w:szCs w:val="20"/>
          <w:color w:val="auto"/>
        </w:rPr>
        <w:t>electronic mail at tammy.albarran@onepeloton.com, on or before 11:59 p.m. Eastern time on the seventh day after this Release is executed by the undersigned.</w:t>
      </w:r>
    </w:p>
    <w:p>
      <w:pPr>
        <w:spacing w:after="0" w:line="173" w:lineRule="exact"/>
        <w:rPr>
          <w:sz w:val="20"/>
          <w:szCs w:val="20"/>
          <w:color w:val="auto"/>
        </w:rPr>
      </w:pPr>
    </w:p>
    <w:p>
      <w:pPr>
        <w:ind w:firstLine="656"/>
        <w:spacing w:after="0" w:line="283" w:lineRule="auto"/>
        <w:tabs>
          <w:tab w:leader="none" w:pos="99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Release is deemed made and entered into in the State of New York, and in all respects shall be interpreted, enforced and governed under the internal laws of the State of New York, to the extent not preempted by federal law.</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Exhibit A – General Release</w:t>
      </w:r>
    </w:p>
    <w:p>
      <w:pPr>
        <w:sectPr>
          <w:pgSz w:w="11900" w:h="16838" w:orient="portrait"/>
          <w:cols w:equalWidth="0" w:num="1">
            <w:col w:w="11240"/>
          </w:cols>
          <w:pgMar w:left="320" w:top="1413" w:right="339" w:bottom="1440" w:gutter="0" w:footer="0" w:header="0"/>
        </w:sectPr>
      </w:pPr>
    </w:p>
    <w:bookmarkStart w:id="145" w:name="page146"/>
    <w:bookmarkEnd w:id="145"/>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IN WITNESS WHEREOF, the undersigned has executed this Release on the date set forth below.</w:t>
      </w:r>
    </w:p>
    <w:p>
      <w:pPr>
        <w:spacing w:after="0" w:line="200" w:lineRule="exact"/>
        <w:rPr>
          <w:sz w:val="20"/>
          <w:szCs w:val="20"/>
          <w:color w:val="auto"/>
        </w:rPr>
      </w:pPr>
    </w:p>
    <w:p>
      <w:pPr>
        <w:spacing w:after="0" w:line="2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____________________</w:t>
      </w:r>
    </w:p>
    <w:p>
      <w:pPr>
        <w:spacing w:after="0" w:line="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Barry McCarthy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i w:val="1"/>
          <w:iCs w:val="1"/>
          <w:color w:val="auto"/>
        </w:rPr>
        <w:t>Exhibit A – General Release</w:t>
      </w:r>
    </w:p>
    <w:p>
      <w:pPr>
        <w:sectPr>
          <w:pgSz w:w="11900" w:h="16838" w:orient="portrait"/>
          <w:cols w:equalWidth="0" w:num="1">
            <w:col w:w="9939"/>
          </w:cols>
          <w:pgMar w:left="520" w:top="1440" w:right="1440"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PELOTON INTERACTIVE, INC.</w:t>
      </w:r>
    </w:p>
    <w:p>
      <w:pPr>
        <w:jc w:val="center"/>
        <w:spacing w:after="0" w:line="238" w:lineRule="auto"/>
        <w:rPr>
          <w:sz w:val="20"/>
          <w:szCs w:val="20"/>
          <w:color w:val="auto"/>
        </w:rPr>
      </w:pPr>
      <w:r>
        <w:rPr>
          <w:rFonts w:ascii="Calibri" w:cs="Calibri" w:eastAsia="Calibri" w:hAnsi="Calibri"/>
          <w:sz w:val="20"/>
          <w:szCs w:val="20"/>
          <w:color w:val="auto"/>
        </w:rPr>
        <w:t>441 NINTH AVENUE, 6th FLOOR</w:t>
      </w:r>
    </w:p>
    <w:p>
      <w:pPr>
        <w:jc w:val="center"/>
        <w:spacing w:after="0" w:line="226" w:lineRule="auto"/>
        <w:rPr>
          <w:sz w:val="20"/>
          <w:szCs w:val="20"/>
          <w:color w:val="auto"/>
        </w:rPr>
      </w:pPr>
      <w:r>
        <w:rPr>
          <w:rFonts w:ascii="Calibri" w:cs="Calibri" w:eastAsia="Calibri" w:hAnsi="Calibri"/>
          <w:sz w:val="20"/>
          <w:szCs w:val="20"/>
          <w:color w:val="auto"/>
        </w:rPr>
        <w:t>NEW YORK, NY 10001</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May 2, 2024</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Karen Boone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Dear Karen:</w:t>
      </w:r>
    </w:p>
    <w:p>
      <w:pPr>
        <w:spacing w:after="0" w:line="225" w:lineRule="exact"/>
        <w:rPr>
          <w:sz w:val="20"/>
          <w:szCs w:val="20"/>
          <w:color w:val="auto"/>
        </w:rPr>
      </w:pPr>
    </w:p>
    <w:p>
      <w:pPr>
        <w:ind w:right="400"/>
        <w:spacing w:after="0" w:line="228" w:lineRule="auto"/>
        <w:rPr>
          <w:sz w:val="20"/>
          <w:szCs w:val="20"/>
          <w:color w:val="auto"/>
        </w:rPr>
      </w:pPr>
      <w:r>
        <w:rPr>
          <w:rFonts w:ascii="Calibri" w:cs="Calibri" w:eastAsia="Calibri" w:hAnsi="Calibri"/>
          <w:sz w:val="20"/>
          <w:szCs w:val="20"/>
          <w:color w:val="auto"/>
        </w:rPr>
        <w:t>Peloton Interactve, Inc. (the “Company”) is pleased to ofer you employment on the following terms, commencing May 2, 2024 (the “Commencement Date”):</w:t>
      </w:r>
    </w:p>
    <w:p>
      <w:pPr>
        <w:spacing w:after="0" w:line="225" w:lineRule="exact"/>
        <w:rPr>
          <w:sz w:val="20"/>
          <w:szCs w:val="20"/>
          <w:color w:val="auto"/>
        </w:rPr>
      </w:pPr>
    </w:p>
    <w:p>
      <w:pPr>
        <w:ind w:left="340" w:right="240" w:hanging="332"/>
        <w:spacing w:after="0" w:line="231" w:lineRule="auto"/>
        <w:tabs>
          <w:tab w:leader="none" w:pos="335" w:val="left"/>
        </w:tabs>
        <w:numPr>
          <w:ilvl w:val="0"/>
          <w:numId w:val="10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Positon. </w:t>
      </w:r>
      <w:r>
        <w:rPr>
          <w:rFonts w:ascii="Calibri" w:cs="Calibri" w:eastAsia="Calibri" w:hAnsi="Calibri"/>
          <w:sz w:val="20"/>
          <w:szCs w:val="20"/>
          <w:color w:val="auto"/>
        </w:rPr>
        <w:t>Your ttle will be Interim Co-Chief Executve Ofcer and Interim Co-President, and you will serve in this positon alongside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Chris Bruzzo. As Interim Co-Chief Executve Ofcer, you will be responsible for overseeing the Company’s fnance, legal, human resources, and emerging business functons.</w:t>
      </w:r>
    </w:p>
    <w:p>
      <w:pPr>
        <w:spacing w:after="0" w:line="226" w:lineRule="exact"/>
        <w:rPr>
          <w:rFonts w:ascii="Calibri" w:cs="Calibri" w:eastAsia="Calibri" w:hAnsi="Calibri"/>
          <w:sz w:val="20"/>
          <w:szCs w:val="20"/>
          <w:b w:val="1"/>
          <w:bCs w:val="1"/>
          <w:color w:val="auto"/>
        </w:rPr>
      </w:pPr>
    </w:p>
    <w:p>
      <w:pPr>
        <w:ind w:left="340" w:right="20"/>
        <w:spacing w:after="0" w:line="231" w:lineRule="auto"/>
        <w:rPr>
          <w:rFonts w:ascii="Calibri" w:cs="Calibri" w:eastAsia="Calibri" w:hAnsi="Calibri"/>
          <w:sz w:val="20"/>
          <w:szCs w:val="20"/>
          <w:b w:val="1"/>
          <w:bCs w:val="1"/>
          <w:color w:val="auto"/>
        </w:rPr>
      </w:pPr>
      <w:r>
        <w:rPr>
          <w:rFonts w:ascii="Calibri" w:cs="Calibri" w:eastAsia="Calibri" w:hAnsi="Calibri"/>
          <w:sz w:val="20"/>
          <w:szCs w:val="20"/>
          <w:color w:val="auto"/>
        </w:rPr>
        <w:t>You will report solely and directly to the Company’s Board of Directors (the “Board”). While you render services to the Company as Interim Co-Chief Executve Ofcer, you shall not engage in any other employment, consultng or other business actvity (whether full-tme or part-tme) that would create a confict of interest with the Company or that would otherwise prevent you from performing your dutes to the Company. By signing this leter agreement, you confrm to the Company that you have no contractual commitments or other legal obligatons that would prohibit you from performing your dutes for the Company.</w:t>
      </w:r>
    </w:p>
    <w:p>
      <w:pPr>
        <w:spacing w:after="0" w:line="229" w:lineRule="exact"/>
        <w:rPr>
          <w:rFonts w:ascii="Calibri" w:cs="Calibri" w:eastAsia="Calibri" w:hAnsi="Calibri"/>
          <w:sz w:val="20"/>
          <w:szCs w:val="20"/>
          <w:b w:val="1"/>
          <w:bCs w:val="1"/>
          <w:color w:val="auto"/>
        </w:rPr>
      </w:pPr>
    </w:p>
    <w:p>
      <w:pPr>
        <w:ind w:left="340" w:right="40"/>
        <w:spacing w:after="0"/>
        <w:rPr>
          <w:rFonts w:ascii="Calibri" w:cs="Calibri" w:eastAsia="Calibri" w:hAnsi="Calibri"/>
          <w:sz w:val="20"/>
          <w:szCs w:val="20"/>
          <w:b w:val="1"/>
          <w:bCs w:val="1"/>
          <w:color w:val="auto"/>
        </w:rPr>
      </w:pPr>
      <w:r>
        <w:rPr>
          <w:rFonts w:ascii="Calibri" w:cs="Calibri" w:eastAsia="Calibri" w:hAnsi="Calibri"/>
          <w:sz w:val="20"/>
          <w:szCs w:val="20"/>
          <w:color w:val="auto"/>
        </w:rPr>
        <w:t>In additon, you will contnue to serve, without compensaton other than herein provided, as a member of the Board, and if and when reelected, your Board service will contnue past its current term. You will cease receiving Board fees, retainers, equity compensaton awarded to non-employee directors of the Company and other similar compensaton as of the Commencement Date. During your employment, you may (i) consistent with Company governance policies, contnue to serve on the corporate boards or commitees of businesses that are not compettors of the Company on which you currently serve, and, with prior writen approval of the Board or an authorized commitee thereof (not to be unreasonably withheld), commence service on other such boards or commitees, (ii) serve on civic or charitable boards or commitees, and (iii) manage your personal and family investments, so long as any such actvites do not, individually or in the aggregate, interfere with the discharge of your responsibilites to the Company or create a confict of interests.</w:t>
      </w:r>
    </w:p>
    <w:p>
      <w:pPr>
        <w:spacing w:after="0" w:line="395" w:lineRule="exact"/>
        <w:rPr>
          <w:rFonts w:ascii="Calibri" w:cs="Calibri" w:eastAsia="Calibri" w:hAnsi="Calibri"/>
          <w:sz w:val="20"/>
          <w:szCs w:val="20"/>
          <w:b w:val="1"/>
          <w:bCs w:val="1"/>
          <w:color w:val="auto"/>
        </w:rPr>
      </w:pPr>
    </w:p>
    <w:p>
      <w:pPr>
        <w:ind w:left="340" w:right="60" w:hanging="332"/>
        <w:spacing w:after="0" w:line="233" w:lineRule="auto"/>
        <w:tabs>
          <w:tab w:leader="none" w:pos="335" w:val="left"/>
        </w:tabs>
        <w:numPr>
          <w:ilvl w:val="0"/>
          <w:numId w:val="10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Term. </w:t>
      </w:r>
      <w:r>
        <w:rPr>
          <w:rFonts w:ascii="Calibri" w:cs="Calibri" w:eastAsia="Calibri" w:hAnsi="Calibri"/>
          <w:sz w:val="20"/>
          <w:szCs w:val="20"/>
          <w:color w:val="auto"/>
        </w:rPr>
        <w:t>The Company antcipates that your appointment as Interim Co-Chief Executve Ofcer will last for three months. However, you</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understand and acknowledge that your employment with the Company is at-will, and your employment period may be shorter or longer. You and the Company agree that this leter agreement may be renewed on a monthly basis in a writng signed by both partes. If the leter agreement is renewed such that you remain employed in the Interim Co-Chief Executve Ofcer role beyond the six-month anniversary of the Commencement Date, then the partes agree to negotate in good faith any amendments to the terms set forth in Secton 4.</w:t>
      </w:r>
    </w:p>
    <w:p>
      <w:pPr>
        <w:spacing w:after="0" w:line="211" w:lineRule="exact"/>
        <w:rPr>
          <w:rFonts w:ascii="Calibri" w:cs="Calibri" w:eastAsia="Calibri" w:hAnsi="Calibri"/>
          <w:sz w:val="20"/>
          <w:szCs w:val="20"/>
          <w:b w:val="1"/>
          <w:bCs w:val="1"/>
          <w:color w:val="auto"/>
        </w:rPr>
      </w:pPr>
    </w:p>
    <w:p>
      <w:pPr>
        <w:ind w:left="340" w:right="300" w:hanging="332"/>
        <w:spacing w:after="0" w:line="236" w:lineRule="auto"/>
        <w:tabs>
          <w:tab w:leader="none" w:pos="335" w:val="left"/>
        </w:tabs>
        <w:numPr>
          <w:ilvl w:val="0"/>
          <w:numId w:val="10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Work Schedule. </w:t>
      </w:r>
      <w:r>
        <w:rPr>
          <w:rFonts w:ascii="Calibri" w:cs="Calibri" w:eastAsia="Calibri" w:hAnsi="Calibri"/>
          <w:sz w:val="20"/>
          <w:szCs w:val="20"/>
          <w:color w:val="auto"/>
        </w:rPr>
        <w:t>This is an exempt positon requiring at least 50% of your working tme. It is expected that during the term of your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employment, you will devote the equivalent of at least three 8-hour workdays per week to your employment dutes, and any additonal tme as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340"/>
        <w:spacing w:after="0"/>
        <w:rPr>
          <w:sz w:val="20"/>
          <w:szCs w:val="20"/>
          <w:color w:val="auto"/>
        </w:rPr>
      </w:pPr>
      <w:r>
        <w:rPr>
          <w:rFonts w:ascii="Calibri" w:cs="Calibri" w:eastAsia="Calibri" w:hAnsi="Calibri"/>
          <w:sz w:val="20"/>
          <w:szCs w:val="20"/>
          <w:color w:val="auto"/>
        </w:rPr>
        <w:t>Page 1 of 5</w:t>
      </w:r>
    </w:p>
    <w:p>
      <w:pPr>
        <w:sectPr>
          <w:pgSz w:w="11900" w:h="16838" w:orient="portrait"/>
          <w:cols w:equalWidth="0" w:num="1">
            <w:col w:w="11240"/>
          </w:cols>
          <w:pgMar w:left="320" w:top="114" w:right="339" w:bottom="1440" w:gutter="0" w:footer="0" w:header="0"/>
        </w:sectPr>
      </w:pPr>
    </w:p>
    <w:bookmarkStart w:id="147" w:name="page148"/>
    <w:bookmarkEnd w:id="147"/>
    <w:p>
      <w:pPr>
        <w:spacing w:after="0" w:line="178" w:lineRule="exact"/>
        <w:rPr>
          <w:sz w:val="20"/>
          <w:szCs w:val="20"/>
          <w:color w:val="auto"/>
        </w:rPr>
      </w:pPr>
    </w:p>
    <w:p>
      <w:pPr>
        <w:ind w:left="340"/>
        <w:spacing w:after="0"/>
        <w:rPr>
          <w:sz w:val="20"/>
          <w:szCs w:val="20"/>
          <w:color w:val="auto"/>
        </w:rPr>
      </w:pPr>
      <w:r>
        <w:rPr>
          <w:rFonts w:ascii="Calibri" w:cs="Calibri" w:eastAsia="Calibri" w:hAnsi="Calibri"/>
          <w:sz w:val="20"/>
          <w:szCs w:val="20"/>
          <w:color w:val="auto"/>
        </w:rPr>
        <w:t>might from tme to tme require. It is antcipated that you will travel to the Company’s ofces in New York City twice per month.</w:t>
      </w:r>
    </w:p>
    <w:p>
      <w:pPr>
        <w:spacing w:after="0" w:line="215" w:lineRule="exact"/>
        <w:rPr>
          <w:sz w:val="20"/>
          <w:szCs w:val="20"/>
          <w:color w:val="auto"/>
        </w:rPr>
      </w:pPr>
    </w:p>
    <w:p>
      <w:pPr>
        <w:ind w:left="320" w:hanging="312"/>
        <w:spacing w:after="0"/>
        <w:tabs>
          <w:tab w:leader="none" w:pos="320" w:val="left"/>
        </w:tabs>
        <w:numPr>
          <w:ilvl w:val="0"/>
          <w:numId w:val="10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Compensaton</w:t>
      </w:r>
    </w:p>
    <w:p>
      <w:pPr>
        <w:spacing w:after="0" w:line="211" w:lineRule="exact"/>
        <w:rPr>
          <w:rFonts w:ascii="Calibri" w:cs="Calibri" w:eastAsia="Calibri" w:hAnsi="Calibri"/>
          <w:sz w:val="20"/>
          <w:szCs w:val="20"/>
          <w:b w:val="1"/>
          <w:bCs w:val="1"/>
          <w:color w:val="auto"/>
        </w:rPr>
      </w:pPr>
    </w:p>
    <w:p>
      <w:pPr>
        <w:ind w:left="820" w:right="660" w:hanging="326"/>
        <w:spacing w:after="0" w:line="234" w:lineRule="auto"/>
        <w:tabs>
          <w:tab w:leader="none" w:pos="820" w:val="left"/>
        </w:tabs>
        <w:numPr>
          <w:ilvl w:val="1"/>
          <w:numId w:val="102"/>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Base Salary. </w:t>
      </w:r>
      <w:r>
        <w:rPr>
          <w:rFonts w:ascii="Calibri" w:cs="Calibri" w:eastAsia="Calibri" w:hAnsi="Calibri"/>
          <w:sz w:val="20"/>
          <w:szCs w:val="20"/>
          <w:color w:val="auto"/>
        </w:rPr>
        <w:t>The Company will pay you a base salary at the rate of $150,000 per month, payable in accordance with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Company’s standard payroll schedule and pro-rated for any partal month of employment.</w:t>
      </w:r>
    </w:p>
    <w:p>
      <w:pPr>
        <w:spacing w:after="0" w:line="212" w:lineRule="exact"/>
        <w:rPr>
          <w:rFonts w:ascii="Calibri" w:cs="Calibri" w:eastAsia="Calibri" w:hAnsi="Calibri"/>
          <w:sz w:val="20"/>
          <w:szCs w:val="20"/>
          <w:color w:val="auto"/>
        </w:rPr>
      </w:pPr>
    </w:p>
    <w:p>
      <w:pPr>
        <w:ind w:left="820" w:right="160" w:hanging="326"/>
        <w:spacing w:after="0" w:line="233" w:lineRule="auto"/>
        <w:tabs>
          <w:tab w:leader="none" w:pos="815" w:val="left"/>
        </w:tabs>
        <w:numPr>
          <w:ilvl w:val="1"/>
          <w:numId w:val="102"/>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Equity Grant. </w:t>
      </w:r>
      <w:r>
        <w:rPr>
          <w:rFonts w:ascii="Calibri" w:cs="Calibri" w:eastAsia="Calibri" w:hAnsi="Calibri"/>
          <w:sz w:val="20"/>
          <w:szCs w:val="20"/>
          <w:color w:val="auto"/>
        </w:rPr>
        <w:t>Subject to approval by the Board, the Company will grant you an award of restricted stock units with respect to</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shares of the Company’s Class A common stock (the “RSU Award”). The RSU Award shall (i) have a grant-date value of $450,000, (ii) have a vestng commencement date of the Commencement Date, (iii) vest in equal monthly installments on the last day of the month over the three-month period commencing on the Commencement Date (</w:t>
      </w:r>
      <w:r>
        <w:rPr>
          <w:rFonts w:ascii="Calibri" w:cs="Calibri" w:eastAsia="Calibri" w:hAnsi="Calibri"/>
          <w:sz w:val="20"/>
          <w:szCs w:val="20"/>
          <w:i w:val="1"/>
          <w:iCs w:val="1"/>
          <w:color w:val="auto"/>
        </w:rPr>
        <w:t>i.e.</w:t>
      </w:r>
      <w:r>
        <w:rPr>
          <w:rFonts w:ascii="Calibri" w:cs="Calibri" w:eastAsia="Calibri" w:hAnsi="Calibri"/>
          <w:sz w:val="20"/>
          <w:szCs w:val="20"/>
          <w:color w:val="auto"/>
        </w:rPr>
        <w:t>, at a rate of $150,000 in grant-date value per month), and (iv) be subject to the terms of an award agreement to be entered into by and between you and the Company (the “RSU Award Agreement”) and the Company’s 2019 Equity Incentve Plan (the “Equity Plan”).</w:t>
      </w:r>
    </w:p>
    <w:p>
      <w:pPr>
        <w:spacing w:after="0" w:line="224" w:lineRule="exact"/>
        <w:rPr>
          <w:rFonts w:ascii="Calibri" w:cs="Calibri" w:eastAsia="Calibri" w:hAnsi="Calibri"/>
          <w:sz w:val="20"/>
          <w:szCs w:val="20"/>
          <w:color w:val="auto"/>
        </w:rPr>
      </w:pPr>
    </w:p>
    <w:p>
      <w:pPr>
        <w:ind w:left="820" w:right="100" w:hanging="326"/>
        <w:spacing w:after="0" w:line="231" w:lineRule="auto"/>
        <w:tabs>
          <w:tab w:leader="none" w:pos="822" w:val="left"/>
        </w:tabs>
        <w:numPr>
          <w:ilvl w:val="1"/>
          <w:numId w:val="102"/>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Compensaton Review. </w:t>
      </w:r>
      <w:r>
        <w:rPr>
          <w:rFonts w:ascii="Calibri" w:cs="Calibri" w:eastAsia="Calibri" w:hAnsi="Calibri"/>
          <w:sz w:val="20"/>
          <w:szCs w:val="20"/>
          <w:color w:val="auto"/>
        </w:rPr>
        <w:t>If you are stll serving as the Interim Co-Chief Executve Ofcer on the six-month anniversary of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Commencement Date, you and the Company agree to renegotate the compensaton arrangements described in this Secton 3 in good faith.</w:t>
      </w:r>
    </w:p>
    <w:p>
      <w:pPr>
        <w:spacing w:after="0" w:line="226" w:lineRule="exact"/>
        <w:rPr>
          <w:rFonts w:ascii="Calibri" w:cs="Calibri" w:eastAsia="Calibri" w:hAnsi="Calibri"/>
          <w:sz w:val="20"/>
          <w:szCs w:val="20"/>
          <w:color w:val="auto"/>
        </w:rPr>
      </w:pPr>
    </w:p>
    <w:p>
      <w:pPr>
        <w:ind w:left="340" w:right="300" w:hanging="332"/>
        <w:spacing w:after="0" w:line="233" w:lineRule="auto"/>
        <w:tabs>
          <w:tab w:leader="none" w:pos="335" w:val="left"/>
        </w:tabs>
        <w:numPr>
          <w:ilvl w:val="0"/>
          <w:numId w:val="10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Employee Benefts; Expenses. </w:t>
      </w:r>
      <w:r>
        <w:rPr>
          <w:rFonts w:ascii="Calibri" w:cs="Calibri" w:eastAsia="Calibri" w:hAnsi="Calibri"/>
          <w:sz w:val="20"/>
          <w:szCs w:val="20"/>
          <w:color w:val="auto"/>
        </w:rPr>
        <w:t>As a regular employee of the Company, you will be eligible to partcipate in a number of Company-sponsored benefts, subject to the terms of the applicable plans and policies. In additon, you will be enttled to paid vacaton in accordance with the Company’s vacaton policy, as in efect from tme to tme. The Company will reimburse you for all reasonable and necessary expenses actually incurred by you in connecton with the business afairs of the Company and the performance of your dutes hereunder, in accordance with Company policy as in efect from tme to tme. You will not be designated as eligible to partcipate in the Company’s Severance and Change in Control Plan.</w:t>
      </w:r>
    </w:p>
    <w:p>
      <w:pPr>
        <w:spacing w:after="0" w:line="211" w:lineRule="exact"/>
        <w:rPr>
          <w:rFonts w:ascii="Calibri" w:cs="Calibri" w:eastAsia="Calibri" w:hAnsi="Calibri"/>
          <w:sz w:val="20"/>
          <w:szCs w:val="20"/>
          <w:b w:val="1"/>
          <w:bCs w:val="1"/>
          <w:color w:val="auto"/>
        </w:rPr>
      </w:pPr>
    </w:p>
    <w:p>
      <w:pPr>
        <w:ind w:left="340" w:hanging="332"/>
        <w:spacing w:after="0" w:line="233" w:lineRule="auto"/>
        <w:tabs>
          <w:tab w:leader="none" w:pos="335" w:val="left"/>
        </w:tabs>
        <w:numPr>
          <w:ilvl w:val="0"/>
          <w:numId w:val="10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Arbitraton. </w:t>
      </w:r>
      <w:r>
        <w:rPr>
          <w:rFonts w:ascii="Calibri" w:cs="Calibri" w:eastAsia="Calibri" w:hAnsi="Calibri"/>
          <w:sz w:val="20"/>
          <w:szCs w:val="20"/>
          <w:color w:val="auto"/>
        </w:rPr>
        <w:t>You and the Company shall submit to mandatory and exclusive binding arbitraton any controversy or claim arising out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 or relatng to, this Agreement or any breach hereof, provided, however, that the partes retain their right to, and shall not be prohibited, limited or in any other way restricted from, seeking or obtaining equitable relief from a court having jurisdicton over the partes. Such arbitraton shall be governed by the Federal Arbitraton Act and conducted through JAMS in the State of New York, New York County, before a single neutral arbitrator, in accordance with JAMS Employment Arbitraton Rules and Procedures in efect at that tme (currently available at: htps://www.jamsadr.com/rules-employment-arbitraton). The partes hereby waive any rights they may have to have any such claims tried before a judge or jury. The partes may conduct only essental discovery prior to the hearing, as defned by the JAMS arbitrator. The arbitrator shall issue a writen decision that contains the essental fndings and conclusions on which the decision is based. You shall bear only those costs of arbitraton you would otherwise bear had you brought a claim covered by this Agreement in court. Judgment upon the determinaton or award rendered by the arbitrator may be entered in any court having jurisdicton thereof. Notwithstanding the foregoing: (a) nothing in this arbitraton provision shall be construed as limitng your right to fle a claim with or seek the assistance of the Equal Employment Opportunity Commission, the Natonal Labor Relatons Board, Department of Labor, or any similar state or federal administratve agency, however, any claim that cannot be resolved administratvely or is not submited to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Page 2 of 5</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8" w:lineRule="exact"/>
        <w:rPr>
          <w:sz w:val="20"/>
          <w:szCs w:val="20"/>
          <w:color w:val="auto"/>
        </w:rPr>
      </w:pPr>
    </w:p>
    <w:p>
      <w:pPr>
        <w:ind w:left="340" w:right="60"/>
        <w:spacing w:after="0" w:line="233" w:lineRule="auto"/>
        <w:rPr>
          <w:sz w:val="20"/>
          <w:szCs w:val="20"/>
          <w:color w:val="auto"/>
        </w:rPr>
      </w:pPr>
      <w:r>
        <w:rPr>
          <w:rFonts w:ascii="Calibri" w:cs="Calibri" w:eastAsia="Calibri" w:hAnsi="Calibri"/>
          <w:sz w:val="20"/>
          <w:szCs w:val="20"/>
          <w:color w:val="auto"/>
        </w:rPr>
        <w:t>agency for resoluton shall be subject to this arbitraton provision; and (b) the following disputes and claims are not covered by this arbitraton provision and shall therefore be resolved by the partes in any appropriate forum, including courts of law, as required by the laws then in efect: (i) claims of sexual assault or sexual harassment pursuant to the Ending Forced Arbitraton of Sexual Assault and Sexual Harassment Act, 9 U.S.C. 401-03; (ii) claims for workers’ compensaton benefts; (iii) claims for unemployment insurance benefts; (iv) claims for state or federal disability insurance benefts; and (v) any other claims that may not be subject to a predispute arbitraton agreement by law.</w:t>
      </w:r>
    </w:p>
    <w:p>
      <w:pPr>
        <w:spacing w:after="0" w:line="225" w:lineRule="exact"/>
        <w:rPr>
          <w:sz w:val="20"/>
          <w:szCs w:val="20"/>
          <w:color w:val="auto"/>
        </w:rPr>
      </w:pPr>
    </w:p>
    <w:p>
      <w:pPr>
        <w:ind w:left="340" w:right="480" w:hanging="332"/>
        <w:spacing w:after="0" w:line="231" w:lineRule="auto"/>
        <w:tabs>
          <w:tab w:leader="none" w:pos="335" w:val="left"/>
        </w:tabs>
        <w:numPr>
          <w:ilvl w:val="0"/>
          <w:numId w:val="10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Proprietary Informaton and Inventons Agreement. </w:t>
      </w:r>
      <w:r>
        <w:rPr>
          <w:rFonts w:ascii="Calibri" w:cs="Calibri" w:eastAsia="Calibri" w:hAnsi="Calibri"/>
          <w:sz w:val="20"/>
          <w:szCs w:val="20"/>
          <w:color w:val="auto"/>
        </w:rPr>
        <w:t>Like all Company employees, you will be required, as a conditon of your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employment with the Company, to sign the Company’s standard Proprietary Informaton and Inventons Agreement in the form atached hereto as Exhibit A (the “PIIA”).</w:t>
      </w:r>
    </w:p>
    <w:p>
      <w:pPr>
        <w:spacing w:after="0" w:line="213" w:lineRule="exact"/>
        <w:rPr>
          <w:rFonts w:ascii="Calibri" w:cs="Calibri" w:eastAsia="Calibri" w:hAnsi="Calibri"/>
          <w:sz w:val="20"/>
          <w:szCs w:val="20"/>
          <w:b w:val="1"/>
          <w:bCs w:val="1"/>
          <w:color w:val="auto"/>
        </w:rPr>
      </w:pPr>
    </w:p>
    <w:p>
      <w:pPr>
        <w:ind w:left="340" w:right="40" w:hanging="332"/>
        <w:spacing w:after="0" w:line="233" w:lineRule="auto"/>
        <w:tabs>
          <w:tab w:leader="none" w:pos="335" w:val="left"/>
        </w:tabs>
        <w:numPr>
          <w:ilvl w:val="0"/>
          <w:numId w:val="10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Employment Relatonship. </w:t>
      </w:r>
      <w:r>
        <w:rPr>
          <w:rFonts w:ascii="Calibri" w:cs="Calibri" w:eastAsia="Calibri" w:hAnsi="Calibri"/>
          <w:sz w:val="20"/>
          <w:szCs w:val="20"/>
          <w:color w:val="auto"/>
        </w:rPr>
        <w:t>Employment with the Company is for no specifc period of tme. Your employment with the Company will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be “at will,” meaning that either you or the Company may terminate your employment at any tme and for any reason, with or without cause. Any contrary representatons that may have been made to you are superseded by this leter agreement. Notwithstanding the foregoing, you agree to provide the Company with thirty (30) days’ advance writen notce if you decide to terminate your employment with the Company. The Board may shorten or waive this advance notce requirement in its sole discreton. This is the full and complete agreement between you and the Company of these terms.</w:t>
      </w:r>
    </w:p>
    <w:p>
      <w:pPr>
        <w:spacing w:after="0" w:line="215" w:lineRule="exact"/>
        <w:rPr>
          <w:rFonts w:ascii="Calibri" w:cs="Calibri" w:eastAsia="Calibri" w:hAnsi="Calibri"/>
          <w:sz w:val="20"/>
          <w:szCs w:val="20"/>
          <w:b w:val="1"/>
          <w:bCs w:val="1"/>
          <w:color w:val="auto"/>
        </w:rPr>
      </w:pPr>
    </w:p>
    <w:p>
      <w:pPr>
        <w:ind w:left="320" w:hanging="312"/>
        <w:spacing w:after="0"/>
        <w:tabs>
          <w:tab w:leader="none" w:pos="320" w:val="left"/>
        </w:tabs>
        <w:numPr>
          <w:ilvl w:val="0"/>
          <w:numId w:val="10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Tax Maters.</w:t>
      </w:r>
    </w:p>
    <w:p>
      <w:pPr>
        <w:spacing w:after="0" w:line="224" w:lineRule="exact"/>
        <w:rPr>
          <w:rFonts w:ascii="Calibri" w:cs="Calibri" w:eastAsia="Calibri" w:hAnsi="Calibri"/>
          <w:sz w:val="20"/>
          <w:szCs w:val="20"/>
          <w:b w:val="1"/>
          <w:bCs w:val="1"/>
          <w:color w:val="auto"/>
        </w:rPr>
      </w:pPr>
    </w:p>
    <w:p>
      <w:pPr>
        <w:ind w:left="820" w:right="560" w:hanging="326"/>
        <w:spacing w:after="0" w:line="228" w:lineRule="auto"/>
        <w:tabs>
          <w:tab w:leader="none" w:pos="820" w:val="left"/>
        </w:tabs>
        <w:numPr>
          <w:ilvl w:val="1"/>
          <w:numId w:val="103"/>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Withholding. </w:t>
      </w:r>
      <w:r>
        <w:rPr>
          <w:rFonts w:ascii="Calibri" w:cs="Calibri" w:eastAsia="Calibri" w:hAnsi="Calibri"/>
          <w:sz w:val="20"/>
          <w:szCs w:val="20"/>
          <w:color w:val="auto"/>
        </w:rPr>
        <w:t>All forms of compensaton referred to in this leter agreement are subject to reducton to refect applicable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withholding and payroll taxes and other deductons required by law.</w:t>
      </w:r>
    </w:p>
    <w:p>
      <w:pPr>
        <w:spacing w:after="0" w:line="224" w:lineRule="exact"/>
        <w:rPr>
          <w:rFonts w:ascii="Calibri" w:cs="Calibri" w:eastAsia="Calibri" w:hAnsi="Calibri"/>
          <w:sz w:val="20"/>
          <w:szCs w:val="20"/>
          <w:color w:val="auto"/>
        </w:rPr>
      </w:pPr>
    </w:p>
    <w:p>
      <w:pPr>
        <w:ind w:left="820" w:right="60" w:hanging="326"/>
        <w:spacing w:after="0" w:line="231" w:lineRule="auto"/>
        <w:tabs>
          <w:tab w:leader="none" w:pos="815" w:val="left"/>
        </w:tabs>
        <w:numPr>
          <w:ilvl w:val="1"/>
          <w:numId w:val="103"/>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Tax Advice. </w:t>
      </w:r>
      <w:r>
        <w:rPr>
          <w:rFonts w:ascii="Calibri" w:cs="Calibri" w:eastAsia="Calibri" w:hAnsi="Calibri"/>
          <w:sz w:val="20"/>
          <w:szCs w:val="20"/>
          <w:color w:val="auto"/>
        </w:rPr>
        <w:t>You are encouraged to obtain your own tax advice regarding your compensaton from the Company. You agree that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the Company does not have a duty to design its compensaton policies in a manner that minimizes your tax liabilites, and you will not make any claim against the Company or the Board related to tax liabilites arising from your compensaton.</w:t>
      </w:r>
    </w:p>
    <w:p>
      <w:pPr>
        <w:spacing w:after="0" w:line="213" w:lineRule="exact"/>
        <w:rPr>
          <w:rFonts w:ascii="Calibri" w:cs="Calibri" w:eastAsia="Calibri" w:hAnsi="Calibri"/>
          <w:sz w:val="20"/>
          <w:szCs w:val="20"/>
          <w:color w:val="auto"/>
        </w:rPr>
      </w:pPr>
    </w:p>
    <w:p>
      <w:pPr>
        <w:ind w:left="820" w:right="20" w:hanging="326"/>
        <w:spacing w:after="0" w:line="233" w:lineRule="auto"/>
        <w:tabs>
          <w:tab w:leader="none" w:pos="822" w:val="left"/>
        </w:tabs>
        <w:numPr>
          <w:ilvl w:val="1"/>
          <w:numId w:val="103"/>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Secton 409A. </w:t>
      </w:r>
      <w:r>
        <w:rPr>
          <w:rFonts w:ascii="Calibri" w:cs="Calibri" w:eastAsia="Calibri" w:hAnsi="Calibri"/>
          <w:sz w:val="20"/>
          <w:szCs w:val="20"/>
          <w:color w:val="auto"/>
        </w:rPr>
        <w:t>Payments under this leter agreement are intended to be exempt from or comply with Secton 409A of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Internal Revenue Code of 1986, as amended (“Secton 409A”; the “Code”), and the leter agreement will be interpreted consistent with such intent; however, nothing in this leter agreement will be interpreted or construed to transfer any liability for any tax (including a tax or penalty due as a result of a failure to comply with Secton 409A) from you to the Company or to any other individual or entty. In no event will any taxable reimbursement due under the terms of this leter agreement be paid later than December 31 of the calendar year afer the year in which the expense is incurred, and any such reimbursement will comply with Treas. Reg. § 1.409A-3(i)(1)(iv).</w:t>
      </w:r>
    </w:p>
    <w:p>
      <w:pPr>
        <w:spacing w:after="0" w:line="230" w:lineRule="exact"/>
        <w:rPr>
          <w:rFonts w:ascii="Calibri" w:cs="Calibri" w:eastAsia="Calibri" w:hAnsi="Calibri"/>
          <w:sz w:val="20"/>
          <w:szCs w:val="20"/>
          <w:color w:val="auto"/>
        </w:rPr>
      </w:pPr>
    </w:p>
    <w:p>
      <w:pPr>
        <w:ind w:left="340" w:right="60" w:hanging="332"/>
        <w:spacing w:after="0"/>
        <w:tabs>
          <w:tab w:leader="none" w:pos="343" w:val="left"/>
        </w:tabs>
        <w:numPr>
          <w:ilvl w:val="0"/>
          <w:numId w:val="10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Interpretaton and Amendment. </w:t>
      </w:r>
      <w:r>
        <w:rPr>
          <w:rFonts w:ascii="Calibri" w:cs="Calibri" w:eastAsia="Calibri" w:hAnsi="Calibri"/>
          <w:sz w:val="20"/>
          <w:szCs w:val="20"/>
          <w:color w:val="auto"/>
        </w:rPr>
        <w:t>This leter agreement, the RSU Award Agreement, the Equity Plan, and the PIIA consttute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complete agreement between you and the Company, contain all of the terms of your employment with the Company and supersede any prior agreements, representatons or understandings (whether writen, oral or implied) between you and the Company. This leter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Page 3 of 5</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88" w:lineRule="exact"/>
        <w:rPr>
          <w:sz w:val="20"/>
          <w:szCs w:val="20"/>
          <w:color w:val="auto"/>
        </w:rPr>
      </w:pPr>
    </w:p>
    <w:p>
      <w:pPr>
        <w:ind w:left="340" w:right="400"/>
        <w:spacing w:after="0" w:line="234" w:lineRule="auto"/>
        <w:rPr>
          <w:sz w:val="20"/>
          <w:szCs w:val="20"/>
          <w:color w:val="auto"/>
        </w:rPr>
      </w:pPr>
      <w:r>
        <w:rPr>
          <w:rFonts w:ascii="Calibri" w:cs="Calibri" w:eastAsia="Calibri" w:hAnsi="Calibri"/>
          <w:sz w:val="20"/>
          <w:szCs w:val="20"/>
          <w:color w:val="auto"/>
        </w:rPr>
        <w:t>agreement may not be amended or modifed, except by an express writen agreement signed by both you and a duly authorized ofcer of the Company.</w:t>
      </w:r>
    </w:p>
    <w:p>
      <w:pPr>
        <w:spacing w:after="0" w:line="212" w:lineRule="exact"/>
        <w:rPr>
          <w:sz w:val="20"/>
          <w:szCs w:val="20"/>
          <w:color w:val="auto"/>
        </w:rPr>
      </w:pPr>
    </w:p>
    <w:p>
      <w:pPr>
        <w:ind w:left="340" w:hanging="332"/>
        <w:spacing w:after="0" w:line="234" w:lineRule="auto"/>
        <w:tabs>
          <w:tab w:leader="none" w:pos="343" w:val="left"/>
        </w:tabs>
        <w:numPr>
          <w:ilvl w:val="0"/>
          <w:numId w:val="10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Coverage Under Directors’ and Ofcers’ Liability Insurance Policies; Indemnifcaton. </w:t>
      </w:r>
      <w:r>
        <w:rPr>
          <w:rFonts w:ascii="Calibri" w:cs="Calibri" w:eastAsia="Calibri" w:hAnsi="Calibri"/>
          <w:sz w:val="20"/>
          <w:szCs w:val="20"/>
          <w:color w:val="auto"/>
        </w:rPr>
        <w:t>The Company agrees to indemnify you to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maximum extent permited by applicable law and the Company’s by-laws for your services rendered as an ofcer and director of the Company and to maintain directors’ and ofcers’ liability insurance policies covering you on a basis no less favorable than provided to other directors and senior executves, which indemnifcaton and coverage shall contnue as to you even if you have ceased to be a director, ofcer or employee of the Company with respect to acts or omissions which occurred prior to such cessaton.</w:t>
      </w:r>
    </w:p>
    <w:p>
      <w:pPr>
        <w:spacing w:after="0" w:line="213" w:lineRule="exact"/>
        <w:rPr>
          <w:rFonts w:ascii="Calibri" w:cs="Calibri" w:eastAsia="Calibri" w:hAnsi="Calibri"/>
          <w:sz w:val="20"/>
          <w:szCs w:val="20"/>
          <w:b w:val="1"/>
          <w:bCs w:val="1"/>
          <w:color w:val="auto"/>
        </w:rPr>
      </w:pPr>
    </w:p>
    <w:p>
      <w:pPr>
        <w:ind w:left="340" w:right="80" w:hanging="332"/>
        <w:spacing w:after="0" w:line="233" w:lineRule="auto"/>
        <w:tabs>
          <w:tab w:leader="none" w:pos="343" w:val="left"/>
        </w:tabs>
        <w:numPr>
          <w:ilvl w:val="0"/>
          <w:numId w:val="10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Governing Law. </w:t>
      </w:r>
      <w:r>
        <w:rPr>
          <w:rFonts w:ascii="Calibri" w:cs="Calibri" w:eastAsia="Calibri" w:hAnsi="Calibri"/>
          <w:sz w:val="20"/>
          <w:szCs w:val="20"/>
          <w:color w:val="auto"/>
        </w:rPr>
        <w:t>The terms of this leter agreement and the resoluton of any disputes as to the meaning, efect, performance 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validity of this leter agreement or arising out of, related to, or in any way connected with, this leter agreement, your employment with the Company or any other relatonship between you and the Company (the “Disputes”) will be governed by New York law, excluding laws relatng to conficts or choice of law. You and the Company submit to the exclusive personal jurisdicton of the federal and state courts located in New York in connecton with any Dispute or any claim related to any Dispute, except as otherwise provided in Secton 6 or the PIIA.</w:t>
      </w:r>
    </w:p>
    <w:p>
      <w:pPr>
        <w:spacing w:after="0" w:line="224" w:lineRule="exact"/>
        <w:rPr>
          <w:rFonts w:ascii="Calibri" w:cs="Calibri" w:eastAsia="Calibri" w:hAnsi="Calibri"/>
          <w:sz w:val="20"/>
          <w:szCs w:val="20"/>
          <w:b w:val="1"/>
          <w:bCs w:val="1"/>
          <w:color w:val="auto"/>
        </w:rPr>
      </w:pPr>
    </w:p>
    <w:p>
      <w:pPr>
        <w:ind w:left="340" w:right="240" w:hanging="332"/>
        <w:spacing w:after="0" w:line="231" w:lineRule="auto"/>
        <w:tabs>
          <w:tab w:leader="none" w:pos="343" w:val="left"/>
        </w:tabs>
        <w:numPr>
          <w:ilvl w:val="0"/>
          <w:numId w:val="10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Legal Advice. </w:t>
      </w:r>
      <w:r>
        <w:rPr>
          <w:rFonts w:ascii="Calibri" w:cs="Calibri" w:eastAsia="Calibri" w:hAnsi="Calibri"/>
          <w:sz w:val="20"/>
          <w:szCs w:val="20"/>
          <w:color w:val="auto"/>
        </w:rPr>
        <w:t>You acknowledge that you have been advised by the Company to consult with, and seek the advice of, a personal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atorney of your choice prior to executng this leter agreement in connecton with the negotaton, drafing and executon of this leter agreement and the PIIA, including, without limitaton, the arbitraton provisions contained in Secton 7, the choice of law provision contained in Secton 12 of this leter agreement and the relevant provisions of the PIIA. You represent and warrant that you have, in fact, retained a personal atorney for such purpose and have received the advice of such atorney with respect to the terms of this leter agreement and the PIIA, and the negotaton of this leter agreement and PIIA, prior to entering into either and the including, without limitaton, with respect to the covenants and provisions noted in the preceding sentence.</w:t>
      </w:r>
    </w:p>
    <w:p>
      <w:pPr>
        <w:spacing w:after="0" w:line="222" w:lineRule="exact"/>
        <w:rPr>
          <w:sz w:val="20"/>
          <w:szCs w:val="20"/>
          <w:color w:val="auto"/>
        </w:rPr>
      </w:pPr>
    </w:p>
    <w:p>
      <w:pPr>
        <w:jc w:val="center"/>
        <w:spacing w:after="0"/>
        <w:tabs>
          <w:tab w:leader="none" w:pos="220" w:val="left"/>
          <w:tab w:leader="none" w:pos="200" w:val="left"/>
        </w:tabs>
        <w:rPr>
          <w:sz w:val="20"/>
          <w:szCs w:val="20"/>
          <w:color w:val="auto"/>
        </w:rPr>
      </w:pPr>
      <w:r>
        <w:rPr>
          <w:rFonts w:ascii="Calibri" w:cs="Calibri" w:eastAsia="Calibri" w:hAnsi="Calibri"/>
          <w:sz w:val="20"/>
          <w:szCs w:val="20"/>
          <w:color w:val="auto"/>
        </w:rPr>
        <w:t>*</w:t>
        <w:tab/>
        <w:t>*</w:t>
        <w:tab/>
        <w:t>*</w:t>
      </w:r>
    </w:p>
    <w:p>
      <w:pPr>
        <w:spacing w:after="0" w:line="211" w:lineRule="exact"/>
        <w:rPr>
          <w:sz w:val="20"/>
          <w:szCs w:val="20"/>
          <w:color w:val="auto"/>
        </w:rPr>
      </w:pPr>
    </w:p>
    <w:p>
      <w:pPr>
        <w:jc w:val="both"/>
        <w:ind w:right="320"/>
        <w:spacing w:after="0" w:line="236" w:lineRule="auto"/>
        <w:rPr>
          <w:sz w:val="20"/>
          <w:szCs w:val="20"/>
          <w:color w:val="auto"/>
        </w:rPr>
      </w:pPr>
      <w:r>
        <w:rPr>
          <w:rFonts w:ascii="Calibri" w:cs="Calibri" w:eastAsia="Calibri" w:hAnsi="Calibri"/>
          <w:sz w:val="20"/>
          <w:szCs w:val="20"/>
          <w:color w:val="auto"/>
        </w:rPr>
        <w:t>You may indicate your agreement with these terms and accept this ofer by signing and datng it and the enclosed PIIA and returning them to me. This ofer, if not accepted, will expire at the close of business on May 3, 2024. As required by law, your employment with the Company is contngent upon your providing legal proof of your identty and authorizaton to work in the United States.</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color w:val="auto"/>
        </w:rPr>
        <w:t>If you have any questons, please call me to discuss.</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i w:val="1"/>
          <w:iCs w:val="1"/>
          <w:color w:val="auto"/>
        </w:rPr>
        <w:t>Signature page follows</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Page 4 of 5</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78" w:lineRule="exact"/>
        <w:rPr>
          <w:sz w:val="20"/>
          <w:szCs w:val="20"/>
          <w:color w:val="auto"/>
        </w:rPr>
      </w:pPr>
    </w:p>
    <w:p>
      <w:pPr>
        <w:spacing w:after="0"/>
        <w:rPr>
          <w:sz w:val="20"/>
          <w:szCs w:val="20"/>
          <w:color w:val="auto"/>
        </w:rPr>
      </w:pPr>
      <w:r>
        <w:rPr>
          <w:rFonts w:ascii="Calibri" w:cs="Calibri" w:eastAsia="Calibri" w:hAnsi="Calibri"/>
          <w:sz w:val="20"/>
          <w:szCs w:val="20"/>
          <w:color w:val="auto"/>
        </w:rPr>
        <w:t>Very truly yours,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PELOTON INTERACTIVE,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/s/ </w:t>
      </w:r>
      <w:r>
        <w:rPr>
          <w:rFonts w:ascii="Calibri" w:cs="Calibri" w:eastAsia="Calibri" w:hAnsi="Calibri"/>
          <w:sz w:val="20"/>
          <w:szCs w:val="20"/>
          <w:u w:val="single" w:color="auto"/>
          <w:color w:val="auto"/>
        </w:rPr>
        <w:t>Jay Hoag</w:t>
      </w:r>
      <w:r>
        <w:rPr>
          <w:rFonts w:ascii="Calibri" w:cs="Calibri" w:eastAsia="Calibri" w:hAnsi="Calibri"/>
          <w:sz w:val="20"/>
          <w:szCs w:val="20"/>
          <w:color w:val="auto"/>
        </w:rPr>
        <w:t>______________</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By: </w:t>
      </w:r>
      <w:r>
        <w:rPr>
          <w:rFonts w:ascii="Calibri" w:cs="Calibri" w:eastAsia="Calibri" w:hAnsi="Calibri"/>
          <w:sz w:val="20"/>
          <w:szCs w:val="20"/>
          <w:color w:val="auto"/>
        </w:rPr>
        <w:t>Jay Hoag</w:t>
      </w:r>
    </w:p>
    <w:p>
      <w:pPr>
        <w:spacing w:after="0" w:line="225" w:lineRule="auto"/>
        <w:rPr>
          <w:sz w:val="20"/>
          <w:szCs w:val="20"/>
          <w:color w:val="auto"/>
        </w:rPr>
      </w:pPr>
      <w:r>
        <w:rPr>
          <w:rFonts w:ascii="Calibri" w:cs="Calibri" w:eastAsia="Calibri" w:hAnsi="Calibri"/>
          <w:sz w:val="20"/>
          <w:szCs w:val="20"/>
          <w:b w:val="1"/>
          <w:bCs w:val="1"/>
          <w:color w:val="auto"/>
        </w:rPr>
        <w:t xml:space="preserve">Title: </w:t>
      </w:r>
      <w:r>
        <w:rPr>
          <w:rFonts w:ascii="Calibri" w:cs="Calibri" w:eastAsia="Calibri" w:hAnsi="Calibri"/>
          <w:sz w:val="20"/>
          <w:szCs w:val="20"/>
          <w:color w:val="auto"/>
        </w:rPr>
        <w:t>Chairperson of the Board</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I have read and accept this employment ofer.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/s/ </w:t>
      </w:r>
      <w:r>
        <w:rPr>
          <w:rFonts w:ascii="Calibri" w:cs="Calibri" w:eastAsia="Calibri" w:hAnsi="Calibri"/>
          <w:sz w:val="20"/>
          <w:szCs w:val="20"/>
          <w:u w:val="single" w:color="auto"/>
          <w:color w:val="auto"/>
        </w:rPr>
        <w:t>Karen Boone</w:t>
      </w:r>
      <w:r>
        <w:rPr>
          <w:rFonts w:ascii="Calibri" w:cs="Calibri" w:eastAsia="Calibri" w:hAnsi="Calibri"/>
          <w:sz w:val="20"/>
          <w:szCs w:val="20"/>
          <w:color w:val="auto"/>
        </w:rPr>
        <w:t>____________</w:t>
      </w:r>
    </w:p>
    <w:p>
      <w:pPr>
        <w:spacing w:after="0" w:line="225" w:lineRule="auto"/>
        <w:rPr>
          <w:sz w:val="20"/>
          <w:szCs w:val="20"/>
          <w:color w:val="auto"/>
        </w:rPr>
      </w:pPr>
      <w:r>
        <w:rPr>
          <w:rFonts w:ascii="Calibri" w:cs="Calibri" w:eastAsia="Calibri" w:hAnsi="Calibri"/>
          <w:sz w:val="20"/>
          <w:szCs w:val="20"/>
          <w:color w:val="auto"/>
        </w:rPr>
        <w:t>Karen Boone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Date: </w:t>
      </w:r>
      <w:r>
        <w:rPr>
          <w:rFonts w:ascii="Calibri" w:cs="Calibri" w:eastAsia="Calibri" w:hAnsi="Calibri"/>
          <w:sz w:val="20"/>
          <w:szCs w:val="20"/>
          <w:u w:val="single" w:color="auto"/>
          <w:color w:val="auto"/>
        </w:rPr>
        <w:t>05/02/2024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Atachments:</w:t>
      </w:r>
    </w:p>
    <w:p>
      <w:pPr>
        <w:spacing w:after="0" w:line="215" w:lineRule="exact"/>
        <w:rPr>
          <w:sz w:val="20"/>
          <w:szCs w:val="20"/>
          <w:color w:val="auto"/>
        </w:rPr>
      </w:pPr>
    </w:p>
    <w:p>
      <w:pPr>
        <w:ind w:left="340"/>
        <w:spacing w:after="0"/>
        <w:rPr>
          <w:sz w:val="20"/>
          <w:szCs w:val="20"/>
          <w:color w:val="auto"/>
        </w:rPr>
      </w:pPr>
      <w:r>
        <w:rPr>
          <w:rFonts w:ascii="Calibri" w:cs="Calibri" w:eastAsia="Calibri" w:hAnsi="Calibri"/>
          <w:sz w:val="20"/>
          <w:szCs w:val="20"/>
          <w:color w:val="auto"/>
        </w:rPr>
        <w:t>Exhibit A: Proprietary Informaton and Inventons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Page 5 of 5</w:t>
      </w:r>
    </w:p>
    <w:p>
      <w:pPr>
        <w:sectPr>
          <w:pgSz w:w="11900" w:h="16838" w:orient="portrait"/>
          <w:cols w:equalWidth="0" w:num="1">
            <w:col w:w="11240"/>
          </w:cols>
          <w:pgMar w:left="320" w:top="1440"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PELOTON INTERACTIVE, INC.</w:t>
      </w:r>
    </w:p>
    <w:p>
      <w:pPr>
        <w:jc w:val="center"/>
        <w:spacing w:after="0" w:line="238" w:lineRule="auto"/>
        <w:rPr>
          <w:sz w:val="20"/>
          <w:szCs w:val="20"/>
          <w:color w:val="auto"/>
        </w:rPr>
      </w:pPr>
      <w:r>
        <w:rPr>
          <w:rFonts w:ascii="Calibri" w:cs="Calibri" w:eastAsia="Calibri" w:hAnsi="Calibri"/>
          <w:sz w:val="20"/>
          <w:szCs w:val="20"/>
          <w:color w:val="auto"/>
        </w:rPr>
        <w:t>441 NINTH AVENUE, 6th FLOOR</w:t>
      </w:r>
    </w:p>
    <w:p>
      <w:pPr>
        <w:jc w:val="center"/>
        <w:spacing w:after="0" w:line="226" w:lineRule="auto"/>
        <w:rPr>
          <w:sz w:val="20"/>
          <w:szCs w:val="20"/>
          <w:color w:val="auto"/>
        </w:rPr>
      </w:pPr>
      <w:r>
        <w:rPr>
          <w:rFonts w:ascii="Calibri" w:cs="Calibri" w:eastAsia="Calibri" w:hAnsi="Calibri"/>
          <w:sz w:val="20"/>
          <w:szCs w:val="20"/>
          <w:color w:val="auto"/>
        </w:rPr>
        <w:t>NEW YORK, NY 10001</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May 2, 2024</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Chris Bruzzo</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Dear Chris:</w:t>
      </w:r>
    </w:p>
    <w:p>
      <w:pPr>
        <w:spacing w:after="0" w:line="225" w:lineRule="exact"/>
        <w:rPr>
          <w:sz w:val="20"/>
          <w:szCs w:val="20"/>
          <w:color w:val="auto"/>
        </w:rPr>
      </w:pPr>
    </w:p>
    <w:p>
      <w:pPr>
        <w:ind w:right="400"/>
        <w:spacing w:after="0" w:line="228" w:lineRule="auto"/>
        <w:rPr>
          <w:sz w:val="20"/>
          <w:szCs w:val="20"/>
          <w:color w:val="auto"/>
        </w:rPr>
      </w:pPr>
      <w:r>
        <w:rPr>
          <w:rFonts w:ascii="Calibri" w:cs="Calibri" w:eastAsia="Calibri" w:hAnsi="Calibri"/>
          <w:sz w:val="20"/>
          <w:szCs w:val="20"/>
          <w:color w:val="auto"/>
        </w:rPr>
        <w:t>Peloton Interactve, Inc. (the “Company”) is pleased to ofer you employment on the following terms, commencing May 2, 2024 (the “Commencement Date”):</w:t>
      </w:r>
    </w:p>
    <w:p>
      <w:pPr>
        <w:spacing w:after="0" w:line="225" w:lineRule="exact"/>
        <w:rPr>
          <w:sz w:val="20"/>
          <w:szCs w:val="20"/>
          <w:color w:val="auto"/>
        </w:rPr>
      </w:pPr>
    </w:p>
    <w:p>
      <w:pPr>
        <w:ind w:left="340" w:right="80" w:hanging="332"/>
        <w:spacing w:after="0" w:line="231" w:lineRule="auto"/>
        <w:tabs>
          <w:tab w:leader="none" w:pos="335" w:val="left"/>
        </w:tabs>
        <w:numPr>
          <w:ilvl w:val="0"/>
          <w:numId w:val="10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Positon. </w:t>
      </w:r>
      <w:r>
        <w:rPr>
          <w:rFonts w:ascii="Calibri" w:cs="Calibri" w:eastAsia="Calibri" w:hAnsi="Calibri"/>
          <w:sz w:val="20"/>
          <w:szCs w:val="20"/>
          <w:color w:val="auto"/>
        </w:rPr>
        <w:t>Your ttle will be Interim Co-Chief Executve Ofcer and Interim Co-President, and you will serve in this positon alongside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Karen Boone. As Interim Co-Chief Executve Ofcer, you will be responsible for overseeing the Company’s marketng, content, supply chain, and product functons.</w:t>
      </w:r>
    </w:p>
    <w:p>
      <w:pPr>
        <w:spacing w:after="0" w:line="226" w:lineRule="exact"/>
        <w:rPr>
          <w:rFonts w:ascii="Calibri" w:cs="Calibri" w:eastAsia="Calibri" w:hAnsi="Calibri"/>
          <w:sz w:val="20"/>
          <w:szCs w:val="20"/>
          <w:b w:val="1"/>
          <w:bCs w:val="1"/>
          <w:color w:val="auto"/>
        </w:rPr>
      </w:pPr>
    </w:p>
    <w:p>
      <w:pPr>
        <w:ind w:left="340" w:right="20"/>
        <w:spacing w:after="0" w:line="231" w:lineRule="auto"/>
        <w:rPr>
          <w:rFonts w:ascii="Calibri" w:cs="Calibri" w:eastAsia="Calibri" w:hAnsi="Calibri"/>
          <w:sz w:val="20"/>
          <w:szCs w:val="20"/>
          <w:b w:val="1"/>
          <w:bCs w:val="1"/>
          <w:color w:val="auto"/>
        </w:rPr>
      </w:pPr>
      <w:r>
        <w:rPr>
          <w:rFonts w:ascii="Calibri" w:cs="Calibri" w:eastAsia="Calibri" w:hAnsi="Calibri"/>
          <w:sz w:val="20"/>
          <w:szCs w:val="20"/>
          <w:color w:val="auto"/>
        </w:rPr>
        <w:t>You will report solely and directly to the Company’s Board of Directors (the “Board”). While you render services to the Company as Interim Co-Chief Executve Ofcer, you shall not engage in any other employment, consultng or other business actvity (whether full-tme or part-tme) that would create a confict of interest with the Company or that would otherwise prevent you from performing your dutes to the Company. By signing this leter agreement, you confrm to the Company that you have no contractual commitments or other legal obligatons that would prohibit you from performing your dutes for the Company.</w:t>
      </w:r>
    </w:p>
    <w:p>
      <w:pPr>
        <w:spacing w:after="0" w:line="229" w:lineRule="exact"/>
        <w:rPr>
          <w:rFonts w:ascii="Calibri" w:cs="Calibri" w:eastAsia="Calibri" w:hAnsi="Calibri"/>
          <w:sz w:val="20"/>
          <w:szCs w:val="20"/>
          <w:b w:val="1"/>
          <w:bCs w:val="1"/>
          <w:color w:val="auto"/>
        </w:rPr>
      </w:pPr>
    </w:p>
    <w:p>
      <w:pPr>
        <w:ind w:left="340" w:right="40"/>
        <w:spacing w:after="0"/>
        <w:rPr>
          <w:rFonts w:ascii="Calibri" w:cs="Calibri" w:eastAsia="Calibri" w:hAnsi="Calibri"/>
          <w:sz w:val="20"/>
          <w:szCs w:val="20"/>
          <w:b w:val="1"/>
          <w:bCs w:val="1"/>
          <w:color w:val="auto"/>
        </w:rPr>
      </w:pPr>
      <w:r>
        <w:rPr>
          <w:rFonts w:ascii="Calibri" w:cs="Calibri" w:eastAsia="Calibri" w:hAnsi="Calibri"/>
          <w:sz w:val="20"/>
          <w:szCs w:val="20"/>
          <w:color w:val="auto"/>
        </w:rPr>
        <w:t>In additon, you will contnue to serve, without compensaton other than herein provided, as a member of the Board, and if and when reelected, your Board service will contnue past its current term. You will cease receiving Board fees, retainers, equity compensaton awarded to non-employee directors of the Company and other similar compensaton as of the Commencement Date. During your employment, you may (i) consistent with Company governance policies, contnue to serve on the corporate boards or commitees of businesses that are not compettors of the Company on which you currently serve, and, with prior writen approval of the Board or an authorized commitee thereof (not to be unreasonably withheld), commence service on other such boards or commitees, (ii) serve on civic or charitable boards or commitees, and (iii) manage your personal and family investments, so long as any such actvites do not, individually or in the aggregate, interfere with the discharge of your responsibilites to the Company or create a confict of interests.</w:t>
      </w:r>
    </w:p>
    <w:p>
      <w:pPr>
        <w:spacing w:after="0" w:line="395" w:lineRule="exact"/>
        <w:rPr>
          <w:rFonts w:ascii="Calibri" w:cs="Calibri" w:eastAsia="Calibri" w:hAnsi="Calibri"/>
          <w:sz w:val="20"/>
          <w:szCs w:val="20"/>
          <w:b w:val="1"/>
          <w:bCs w:val="1"/>
          <w:color w:val="auto"/>
        </w:rPr>
      </w:pPr>
    </w:p>
    <w:p>
      <w:pPr>
        <w:ind w:left="340" w:right="60" w:hanging="332"/>
        <w:spacing w:after="0" w:line="233" w:lineRule="auto"/>
        <w:tabs>
          <w:tab w:leader="none" w:pos="335" w:val="left"/>
        </w:tabs>
        <w:numPr>
          <w:ilvl w:val="0"/>
          <w:numId w:val="10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Term. </w:t>
      </w:r>
      <w:r>
        <w:rPr>
          <w:rFonts w:ascii="Calibri" w:cs="Calibri" w:eastAsia="Calibri" w:hAnsi="Calibri"/>
          <w:sz w:val="20"/>
          <w:szCs w:val="20"/>
          <w:color w:val="auto"/>
        </w:rPr>
        <w:t>The Company antcipates that your appointment as Interim Co-Chief Executve Ofcer will last for three months. However, you</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understand and acknowledge that your employment with the Company is at-will, and your employment period may be shorter or longer. You and the Company agree that this leter agreement may be renewed on a monthly basis in a writng signed by both partes. If the leter agreement is renewed such that you remain employed in the Interim Co-Chief Executve Ofcer role beyond the six-month anniversary of the Commencement Date, then the partes agree to negotate in good faith any amendments to the terms set forth in Secton 4.</w:t>
      </w:r>
    </w:p>
    <w:p>
      <w:pPr>
        <w:spacing w:after="0" w:line="211" w:lineRule="exact"/>
        <w:rPr>
          <w:rFonts w:ascii="Calibri" w:cs="Calibri" w:eastAsia="Calibri" w:hAnsi="Calibri"/>
          <w:sz w:val="20"/>
          <w:szCs w:val="20"/>
          <w:b w:val="1"/>
          <w:bCs w:val="1"/>
          <w:color w:val="auto"/>
        </w:rPr>
      </w:pPr>
    </w:p>
    <w:p>
      <w:pPr>
        <w:ind w:left="340" w:right="300" w:hanging="332"/>
        <w:spacing w:after="0" w:line="233" w:lineRule="auto"/>
        <w:tabs>
          <w:tab w:leader="none" w:pos="335" w:val="left"/>
        </w:tabs>
        <w:numPr>
          <w:ilvl w:val="0"/>
          <w:numId w:val="10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Work Schedule. </w:t>
      </w:r>
      <w:r>
        <w:rPr>
          <w:rFonts w:ascii="Calibri" w:cs="Calibri" w:eastAsia="Calibri" w:hAnsi="Calibri"/>
          <w:sz w:val="20"/>
          <w:szCs w:val="20"/>
          <w:color w:val="auto"/>
        </w:rPr>
        <w:t>This is an exempt positon requiring at least 50% of your working tme. It is expected that during the term of your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employment, you will devote the equivalent of at least three 8-hour workdays per week to your employment dutes, and any additonal tme as circumstances might from tme to tme require. It is antcipated that you will travel to the Company’s ofces in New York City twice per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340"/>
        <w:spacing w:after="0"/>
        <w:rPr>
          <w:sz w:val="20"/>
          <w:szCs w:val="20"/>
          <w:color w:val="auto"/>
        </w:rPr>
      </w:pPr>
      <w:r>
        <w:rPr>
          <w:rFonts w:ascii="Calibri" w:cs="Calibri" w:eastAsia="Calibri" w:hAnsi="Calibri"/>
          <w:sz w:val="20"/>
          <w:szCs w:val="20"/>
          <w:color w:val="auto"/>
        </w:rPr>
        <w:t>Page 1 of 5</w:t>
      </w:r>
    </w:p>
    <w:p>
      <w:pPr>
        <w:sectPr>
          <w:pgSz w:w="11900" w:h="16838" w:orient="portrait"/>
          <w:cols w:equalWidth="0" w:num="1">
            <w:col w:w="11240"/>
          </w:cols>
          <w:pgMar w:left="320" w:top="114" w:right="339" w:bottom="1440" w:gutter="0" w:footer="0" w:header="0"/>
        </w:sectPr>
      </w:pPr>
    </w:p>
    <w:bookmarkStart w:id="152" w:name="page153"/>
    <w:bookmarkEnd w:id="152"/>
    <w:p>
      <w:pPr>
        <w:ind w:left="320" w:hanging="312"/>
        <w:spacing w:after="0"/>
        <w:tabs>
          <w:tab w:leader="none" w:pos="320" w:val="left"/>
        </w:tabs>
        <w:numPr>
          <w:ilvl w:val="0"/>
          <w:numId w:val="10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Compensaton</w:t>
      </w:r>
    </w:p>
    <w:p>
      <w:pPr>
        <w:spacing w:after="0" w:line="224" w:lineRule="exact"/>
        <w:rPr>
          <w:rFonts w:ascii="Calibri" w:cs="Calibri" w:eastAsia="Calibri" w:hAnsi="Calibri"/>
          <w:sz w:val="20"/>
          <w:szCs w:val="20"/>
          <w:b w:val="1"/>
          <w:bCs w:val="1"/>
          <w:color w:val="auto"/>
        </w:rPr>
      </w:pPr>
    </w:p>
    <w:p>
      <w:pPr>
        <w:ind w:left="820" w:right="660" w:hanging="326"/>
        <w:spacing w:after="0" w:line="228" w:lineRule="auto"/>
        <w:tabs>
          <w:tab w:leader="none" w:pos="820" w:val="left"/>
        </w:tabs>
        <w:numPr>
          <w:ilvl w:val="1"/>
          <w:numId w:val="106"/>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Base Salary. </w:t>
      </w:r>
      <w:r>
        <w:rPr>
          <w:rFonts w:ascii="Calibri" w:cs="Calibri" w:eastAsia="Calibri" w:hAnsi="Calibri"/>
          <w:sz w:val="20"/>
          <w:szCs w:val="20"/>
          <w:color w:val="auto"/>
        </w:rPr>
        <w:t>The Company will pay you a base salary at the rate of $150,000 per month, payable in accordance with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Company’s standard payroll schedule and pro-rated for any partal month of employment.</w:t>
      </w:r>
    </w:p>
    <w:p>
      <w:pPr>
        <w:spacing w:after="0" w:line="224" w:lineRule="exact"/>
        <w:rPr>
          <w:rFonts w:ascii="Calibri" w:cs="Calibri" w:eastAsia="Calibri" w:hAnsi="Calibri"/>
          <w:sz w:val="20"/>
          <w:szCs w:val="20"/>
          <w:color w:val="auto"/>
        </w:rPr>
      </w:pPr>
    </w:p>
    <w:p>
      <w:pPr>
        <w:ind w:left="820" w:right="160" w:hanging="326"/>
        <w:spacing w:after="0" w:line="233" w:lineRule="auto"/>
        <w:tabs>
          <w:tab w:leader="none" w:pos="815" w:val="left"/>
        </w:tabs>
        <w:numPr>
          <w:ilvl w:val="1"/>
          <w:numId w:val="106"/>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Equity Grant. </w:t>
      </w:r>
      <w:r>
        <w:rPr>
          <w:rFonts w:ascii="Calibri" w:cs="Calibri" w:eastAsia="Calibri" w:hAnsi="Calibri"/>
          <w:sz w:val="20"/>
          <w:szCs w:val="20"/>
          <w:color w:val="auto"/>
        </w:rPr>
        <w:t>Subject to approval by the Board, the Company will grant you an award of restricted stock units with respect to</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shares of the Company’s Class A common stock (the “RSU Award”). The RSU Award shall (i) have a grant-date value of $450,000, (ii) have a vestng commencement date of the Commencement Date, (iii) vest in equal monthly installments on the last day of the month over the three-month period commencing on the Commencement Date (</w:t>
      </w:r>
      <w:r>
        <w:rPr>
          <w:rFonts w:ascii="Calibri" w:cs="Calibri" w:eastAsia="Calibri" w:hAnsi="Calibri"/>
          <w:sz w:val="20"/>
          <w:szCs w:val="20"/>
          <w:i w:val="1"/>
          <w:iCs w:val="1"/>
          <w:color w:val="auto"/>
        </w:rPr>
        <w:t>i.e.</w:t>
      </w:r>
      <w:r>
        <w:rPr>
          <w:rFonts w:ascii="Calibri" w:cs="Calibri" w:eastAsia="Calibri" w:hAnsi="Calibri"/>
          <w:sz w:val="20"/>
          <w:szCs w:val="20"/>
          <w:color w:val="auto"/>
        </w:rPr>
        <w:t>, at a rate of $150,000 in grant-date value per month), and (iv) be subject to the terms of an award agreement to be entered into by and between you and the Company (the “RSU Award Agreement”) and the Company’s 2019 Equity Incentve Plan (the “Equity Plan”).</w:t>
      </w:r>
    </w:p>
    <w:p>
      <w:pPr>
        <w:spacing w:after="0" w:line="211" w:lineRule="exact"/>
        <w:rPr>
          <w:rFonts w:ascii="Calibri" w:cs="Calibri" w:eastAsia="Calibri" w:hAnsi="Calibri"/>
          <w:sz w:val="20"/>
          <w:szCs w:val="20"/>
          <w:color w:val="auto"/>
        </w:rPr>
      </w:pPr>
    </w:p>
    <w:p>
      <w:pPr>
        <w:ind w:left="820" w:right="100" w:hanging="326"/>
        <w:spacing w:after="0" w:line="236" w:lineRule="auto"/>
        <w:tabs>
          <w:tab w:leader="none" w:pos="822" w:val="left"/>
        </w:tabs>
        <w:numPr>
          <w:ilvl w:val="1"/>
          <w:numId w:val="106"/>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Compensaton Review. </w:t>
      </w:r>
      <w:r>
        <w:rPr>
          <w:rFonts w:ascii="Calibri" w:cs="Calibri" w:eastAsia="Calibri" w:hAnsi="Calibri"/>
          <w:sz w:val="20"/>
          <w:szCs w:val="20"/>
          <w:color w:val="auto"/>
        </w:rPr>
        <w:t>If you are stll serving as the Interim Co-Chief Executve Ofcer on the six-month anniversary of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Commencement Date, you and the Company agree to renegotate the compensaton arrangements described in this Secton 3 in good faith.</w:t>
      </w:r>
    </w:p>
    <w:p>
      <w:pPr>
        <w:spacing w:after="0" w:line="211" w:lineRule="exact"/>
        <w:rPr>
          <w:rFonts w:ascii="Calibri" w:cs="Calibri" w:eastAsia="Calibri" w:hAnsi="Calibri"/>
          <w:sz w:val="20"/>
          <w:szCs w:val="20"/>
          <w:color w:val="auto"/>
        </w:rPr>
      </w:pPr>
    </w:p>
    <w:p>
      <w:pPr>
        <w:ind w:left="340" w:right="300" w:hanging="332"/>
        <w:spacing w:after="0" w:line="233" w:lineRule="auto"/>
        <w:tabs>
          <w:tab w:leader="none" w:pos="335" w:val="left"/>
        </w:tabs>
        <w:numPr>
          <w:ilvl w:val="0"/>
          <w:numId w:val="10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Employee Benefts; Expenses. </w:t>
      </w:r>
      <w:r>
        <w:rPr>
          <w:rFonts w:ascii="Calibri" w:cs="Calibri" w:eastAsia="Calibri" w:hAnsi="Calibri"/>
          <w:sz w:val="20"/>
          <w:szCs w:val="20"/>
          <w:color w:val="auto"/>
        </w:rPr>
        <w:t>As a regular employee of the Company, you will be eligible to partcipate in a number of Company-sponsored benefts, subject to the terms of the applicable plans and policies. In additon, you will be enttled to paid vacaton in accordance with the Company’s vacaton policy, as in efect from tme to tme. The Company will reimburse you for all reasonable and necessary expenses actually incurred by you in connecton with the business afairs of the Company and the performance of your dutes hereunder, in accordance with Company policy as in efect from tme to tme. You will not be designated as eligible to partcipate in the Company’s Severance and Change in Control Plan.</w:t>
      </w:r>
    </w:p>
    <w:p>
      <w:pPr>
        <w:spacing w:after="0" w:line="224" w:lineRule="exact"/>
        <w:rPr>
          <w:rFonts w:ascii="Calibri" w:cs="Calibri" w:eastAsia="Calibri" w:hAnsi="Calibri"/>
          <w:sz w:val="20"/>
          <w:szCs w:val="20"/>
          <w:b w:val="1"/>
          <w:bCs w:val="1"/>
          <w:color w:val="auto"/>
        </w:rPr>
      </w:pPr>
    </w:p>
    <w:p>
      <w:pPr>
        <w:ind w:left="340" w:hanging="332"/>
        <w:spacing w:after="0" w:line="233" w:lineRule="auto"/>
        <w:tabs>
          <w:tab w:leader="none" w:pos="335" w:val="left"/>
        </w:tabs>
        <w:numPr>
          <w:ilvl w:val="0"/>
          <w:numId w:val="10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Arbitraton. </w:t>
      </w:r>
      <w:r>
        <w:rPr>
          <w:rFonts w:ascii="Calibri" w:cs="Calibri" w:eastAsia="Calibri" w:hAnsi="Calibri"/>
          <w:sz w:val="20"/>
          <w:szCs w:val="20"/>
          <w:color w:val="auto"/>
        </w:rPr>
        <w:t>You and the Company shall submit to mandatory and exclusive binding arbitraton any controversy or claim arising out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 or relatng to, this Agreement or any breach hereof, provided, however, that the partes retain their right to, and shall not be prohibited, limited or in any other way restricted from, seeking or obtaining equitable relief from a court having jurisdicton over the partes. Such arbitraton shall be governed by the Federal Arbitraton Act and conducted through JAMS in the State of New York, New York County, before a single neutral arbitrator, in accordance with JAMS Employment Arbitraton Rules and Procedures in efect at that tme (currently available at: htps://www.jamsadr.com/rules-employment-arbitraton). The partes hereby waive any rights they may have to have any such claims tried before a judge or jury. The partes may conduct only essental discovery prior to the hearing, as defned by the JAMS arbitrator. The arbitrator shall issue a writen decision that contains the essental fndings and conclusions on which the decision is based. You shall bear only those costs of arbitraton you would otherwise bear had you brought a claim covered by this Agreement in court. Judgment upon the determinaton or award rendered by the arbitrator may be entered in any court having jurisdicton thereof. Notwithstanding the foregoing: (a) nothing in this arbitraton provision shall be construed as limitng your right to fle a claim with or seek the assistance of the Equal Employment Opportunity Commission, the Natonal Labor Relatons Board, Department of Labor, or any similar state or federal administratve agency, however, any claim that cannot be resolved administratvely or is not submited to the applicable agency for resoluton shall be subject to this arbitraton provision; and (b) the following disputes and claims are not covered by this arbitraton provision and shall therefore be resolved by the partes in any appropriate forum, including courts of law, as required by the laws then in efect: (i) claims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Page 2 of 5</w:t>
      </w:r>
    </w:p>
    <w:p>
      <w:pPr>
        <w:sectPr>
          <w:pgSz w:w="11900" w:h="16838" w:orient="portrait"/>
          <w:cols w:equalWidth="0" w:num="1">
            <w:col w:w="11240"/>
          </w:cols>
          <w:pgMar w:left="320" w:top="1402" w:right="339" w:bottom="1440" w:gutter="0" w:footer="0" w:header="0"/>
        </w:sectPr>
      </w:pPr>
    </w:p>
    <w:bookmarkStart w:id="153" w:name="page154"/>
    <w:bookmarkEnd w:id="153"/>
    <w:p>
      <w:pPr>
        <w:ind w:left="340" w:right="100"/>
        <w:spacing w:after="0" w:line="231" w:lineRule="auto"/>
        <w:rPr>
          <w:sz w:val="20"/>
          <w:szCs w:val="20"/>
          <w:color w:val="auto"/>
        </w:rPr>
      </w:pPr>
      <w:r>
        <w:rPr>
          <w:rFonts w:ascii="Calibri" w:cs="Calibri" w:eastAsia="Calibri" w:hAnsi="Calibri"/>
          <w:sz w:val="20"/>
          <w:szCs w:val="20"/>
          <w:color w:val="auto"/>
        </w:rPr>
        <w:t>sexual assault or sexual harassment pursuant to the Ending Forced Arbitraton of Sexual Assault and Sexual Harassment Act, 9 U.S.C. 401-03; (ii) claims for workers’ compensaton benefts; (iii) claims for unemployment insurance benefts; (iv) claims for state or federal disability insurance benefts; and (v) any other claims that may not be subject to a predispute arbitraton agreement by law.</w:t>
      </w:r>
    </w:p>
    <w:p>
      <w:pPr>
        <w:spacing w:after="0" w:line="227" w:lineRule="exact"/>
        <w:rPr>
          <w:sz w:val="20"/>
          <w:szCs w:val="20"/>
          <w:color w:val="auto"/>
        </w:rPr>
      </w:pPr>
    </w:p>
    <w:p>
      <w:pPr>
        <w:ind w:left="340" w:right="480" w:hanging="332"/>
        <w:spacing w:after="0" w:line="231" w:lineRule="auto"/>
        <w:tabs>
          <w:tab w:leader="none" w:pos="335" w:val="left"/>
        </w:tabs>
        <w:numPr>
          <w:ilvl w:val="0"/>
          <w:numId w:val="10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Proprietary Informaton and Inventons Agreement. </w:t>
      </w:r>
      <w:r>
        <w:rPr>
          <w:rFonts w:ascii="Calibri" w:cs="Calibri" w:eastAsia="Calibri" w:hAnsi="Calibri"/>
          <w:sz w:val="20"/>
          <w:szCs w:val="20"/>
          <w:color w:val="auto"/>
        </w:rPr>
        <w:t>Like all Company employees, you will be required, as a conditon of your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employment with the Company, to sign the Company’s standard Proprietary Informaton and Inventons Agreement in the form atached hereto as Exhibit A (the “PIIA”).</w:t>
      </w:r>
    </w:p>
    <w:p>
      <w:pPr>
        <w:spacing w:after="0" w:line="226" w:lineRule="exact"/>
        <w:rPr>
          <w:rFonts w:ascii="Calibri" w:cs="Calibri" w:eastAsia="Calibri" w:hAnsi="Calibri"/>
          <w:sz w:val="20"/>
          <w:szCs w:val="20"/>
          <w:b w:val="1"/>
          <w:bCs w:val="1"/>
          <w:color w:val="auto"/>
        </w:rPr>
      </w:pPr>
    </w:p>
    <w:p>
      <w:pPr>
        <w:ind w:left="340" w:right="40" w:hanging="332"/>
        <w:spacing w:after="0" w:line="233" w:lineRule="auto"/>
        <w:tabs>
          <w:tab w:leader="none" w:pos="335" w:val="left"/>
        </w:tabs>
        <w:numPr>
          <w:ilvl w:val="0"/>
          <w:numId w:val="10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Employment Relatonship. </w:t>
      </w:r>
      <w:r>
        <w:rPr>
          <w:rFonts w:ascii="Calibri" w:cs="Calibri" w:eastAsia="Calibri" w:hAnsi="Calibri"/>
          <w:sz w:val="20"/>
          <w:szCs w:val="20"/>
          <w:color w:val="auto"/>
        </w:rPr>
        <w:t>Employment with the Company is for no specifc period of tme. Your employment with the Company will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be “at will,” meaning that either you or the Company may terminate your employment at any tme and for any reason, with or without cause. Any contrary representatons that may have been made to you are superseded by this leter agreement. Notwithstanding the foregoing, you agree to provide the Company with thirty (30) days’ advance writen notce if you decide to terminate your employment with the Company. The Board may shorten or waive this advance notce requirement in its sole discreton. This is the full and complete agreement between you and the Company of these terms.</w:t>
      </w:r>
    </w:p>
    <w:p>
      <w:pPr>
        <w:spacing w:after="0" w:line="201" w:lineRule="exact"/>
        <w:rPr>
          <w:rFonts w:ascii="Calibri" w:cs="Calibri" w:eastAsia="Calibri" w:hAnsi="Calibri"/>
          <w:sz w:val="20"/>
          <w:szCs w:val="20"/>
          <w:b w:val="1"/>
          <w:bCs w:val="1"/>
          <w:color w:val="auto"/>
        </w:rPr>
      </w:pPr>
    </w:p>
    <w:p>
      <w:pPr>
        <w:ind w:left="320" w:hanging="312"/>
        <w:spacing w:after="0"/>
        <w:tabs>
          <w:tab w:leader="none" w:pos="320" w:val="left"/>
        </w:tabs>
        <w:numPr>
          <w:ilvl w:val="0"/>
          <w:numId w:val="10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Tax Maters.</w:t>
      </w:r>
    </w:p>
    <w:p>
      <w:pPr>
        <w:spacing w:after="0" w:line="224" w:lineRule="exact"/>
        <w:rPr>
          <w:rFonts w:ascii="Calibri" w:cs="Calibri" w:eastAsia="Calibri" w:hAnsi="Calibri"/>
          <w:sz w:val="20"/>
          <w:szCs w:val="20"/>
          <w:b w:val="1"/>
          <w:bCs w:val="1"/>
          <w:color w:val="auto"/>
        </w:rPr>
      </w:pPr>
    </w:p>
    <w:p>
      <w:pPr>
        <w:ind w:left="820" w:right="560" w:hanging="326"/>
        <w:spacing w:after="0" w:line="228" w:lineRule="auto"/>
        <w:tabs>
          <w:tab w:leader="none" w:pos="820" w:val="left"/>
        </w:tabs>
        <w:numPr>
          <w:ilvl w:val="1"/>
          <w:numId w:val="107"/>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Withholding. </w:t>
      </w:r>
      <w:r>
        <w:rPr>
          <w:rFonts w:ascii="Calibri" w:cs="Calibri" w:eastAsia="Calibri" w:hAnsi="Calibri"/>
          <w:sz w:val="20"/>
          <w:szCs w:val="20"/>
          <w:color w:val="auto"/>
        </w:rPr>
        <w:t>All forms of compensaton referred to in this leter agreement are subject to reducton to refect applicable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withholding and payroll taxes and other deductons required by law.</w:t>
      </w:r>
    </w:p>
    <w:p>
      <w:pPr>
        <w:spacing w:after="0" w:line="224" w:lineRule="exact"/>
        <w:rPr>
          <w:rFonts w:ascii="Calibri" w:cs="Calibri" w:eastAsia="Calibri" w:hAnsi="Calibri"/>
          <w:sz w:val="20"/>
          <w:szCs w:val="20"/>
          <w:color w:val="auto"/>
        </w:rPr>
      </w:pPr>
    </w:p>
    <w:p>
      <w:pPr>
        <w:ind w:left="820" w:right="60" w:hanging="326"/>
        <w:spacing w:after="0" w:line="231" w:lineRule="auto"/>
        <w:tabs>
          <w:tab w:leader="none" w:pos="815" w:val="left"/>
        </w:tabs>
        <w:numPr>
          <w:ilvl w:val="1"/>
          <w:numId w:val="107"/>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Tax Advice. </w:t>
      </w:r>
      <w:r>
        <w:rPr>
          <w:rFonts w:ascii="Calibri" w:cs="Calibri" w:eastAsia="Calibri" w:hAnsi="Calibri"/>
          <w:sz w:val="20"/>
          <w:szCs w:val="20"/>
          <w:color w:val="auto"/>
        </w:rPr>
        <w:t>You are encouraged to obtain your own tax advice regarding your compensaton from the Company. You agree that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the Company does not have a duty to design its compensaton policies in a manner that minimizes your tax liabilites, and you will not make any claim against the Company or the Board related to tax liabilites arising from your compensaton.</w:t>
      </w:r>
    </w:p>
    <w:p>
      <w:pPr>
        <w:spacing w:after="0" w:line="226" w:lineRule="exact"/>
        <w:rPr>
          <w:rFonts w:ascii="Calibri" w:cs="Calibri" w:eastAsia="Calibri" w:hAnsi="Calibri"/>
          <w:sz w:val="20"/>
          <w:szCs w:val="20"/>
          <w:color w:val="auto"/>
        </w:rPr>
      </w:pPr>
    </w:p>
    <w:p>
      <w:pPr>
        <w:ind w:left="820" w:right="20" w:hanging="326"/>
        <w:spacing w:after="0" w:line="231" w:lineRule="auto"/>
        <w:tabs>
          <w:tab w:leader="none" w:pos="822" w:val="left"/>
        </w:tabs>
        <w:numPr>
          <w:ilvl w:val="1"/>
          <w:numId w:val="107"/>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Secton 409A. </w:t>
      </w:r>
      <w:r>
        <w:rPr>
          <w:rFonts w:ascii="Calibri" w:cs="Calibri" w:eastAsia="Calibri" w:hAnsi="Calibri"/>
          <w:sz w:val="20"/>
          <w:szCs w:val="20"/>
          <w:color w:val="auto"/>
        </w:rPr>
        <w:t>Payments under this leter agreement are intended to be exempt from or comply with Secton 409A of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Internal Revenue Code of 1986, as amended (“Secton 409A”; the “Code”), and the leter agreement will be interpreted consistent with such intent; however, nothing in this leter agreement will be interpreted or construed to transfer any liability for any tax (including a tax or penalty due as a result of a failure to comply with Secton 409A) from you to the Company or to any other individual or entty. In no event will any taxable reimbursement due under the terms of this leter agreement be paid later than December 31 of the calendar year afer the year in which the expense is incurred, and any such reimbursement will comply with Treas. Reg. § 1.409A-3(i)(1)(iv).</w:t>
      </w:r>
    </w:p>
    <w:p>
      <w:pPr>
        <w:spacing w:after="0" w:line="231" w:lineRule="exact"/>
        <w:rPr>
          <w:rFonts w:ascii="Calibri" w:cs="Calibri" w:eastAsia="Calibri" w:hAnsi="Calibri"/>
          <w:sz w:val="20"/>
          <w:szCs w:val="20"/>
          <w:color w:val="auto"/>
        </w:rPr>
      </w:pPr>
    </w:p>
    <w:p>
      <w:pPr>
        <w:ind w:left="340" w:right="60" w:hanging="332"/>
        <w:spacing w:after="0" w:line="231" w:lineRule="auto"/>
        <w:tabs>
          <w:tab w:leader="none" w:pos="343" w:val="left"/>
        </w:tabs>
        <w:numPr>
          <w:ilvl w:val="0"/>
          <w:numId w:val="10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Interpretaton and Amendment. </w:t>
      </w:r>
      <w:r>
        <w:rPr>
          <w:rFonts w:ascii="Calibri" w:cs="Calibri" w:eastAsia="Calibri" w:hAnsi="Calibri"/>
          <w:sz w:val="20"/>
          <w:szCs w:val="20"/>
          <w:color w:val="auto"/>
        </w:rPr>
        <w:t>This leter agreement, the RSU Award Agreement, the Equity Plan, and the PIIA consttute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complete agreement between you and the Company, contain all of the terms of your employment with the Company and supersede any prior agreements, representatons or understandings (whether writen, oral or implied) between you and the Company. This leter agreement may not be amended or modifed, except by an express writen agreement signed by both you and a duly authorized ofcer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Page 3 of 5</w:t>
      </w:r>
    </w:p>
    <w:p>
      <w:pPr>
        <w:sectPr>
          <w:pgSz w:w="11900" w:h="16838" w:orient="portrait"/>
          <w:cols w:equalWidth="0" w:num="1">
            <w:col w:w="11240"/>
          </w:cols>
          <w:pgMar w:left="320" w:top="1411" w:right="339" w:bottom="1440" w:gutter="0" w:footer="0" w:header="0"/>
        </w:sectPr>
      </w:pPr>
    </w:p>
    <w:bookmarkStart w:id="154" w:name="page155"/>
    <w:bookmarkEnd w:id="154"/>
    <w:p>
      <w:pPr>
        <w:ind w:left="340" w:hanging="332"/>
        <w:spacing w:after="0" w:line="231" w:lineRule="auto"/>
        <w:tabs>
          <w:tab w:leader="none" w:pos="343" w:val="left"/>
        </w:tabs>
        <w:numPr>
          <w:ilvl w:val="0"/>
          <w:numId w:val="10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Coverage Under Directors’ and Ofcers’ Liability Insurance Policies; Indemnifcaton. </w:t>
      </w:r>
      <w:r>
        <w:rPr>
          <w:rFonts w:ascii="Calibri" w:cs="Calibri" w:eastAsia="Calibri" w:hAnsi="Calibri"/>
          <w:sz w:val="20"/>
          <w:szCs w:val="20"/>
          <w:color w:val="auto"/>
        </w:rPr>
        <w:t>The Company agrees to indemnify you to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maximum extent permited by applicable law and the Company’s by-laws for your services rendered as an ofcer and director of the Company and to maintain directors’ and ofcers’ liability insurance policies covering you on a basis no less favorable than provided to other directors and senior executves, which indemnifcaton and coverage shall contnue as to you even if you have ceased to be a director, ofcer or employee of the Company with respect to acts or omissions which occurred prior to such cessaton.</w:t>
      </w:r>
    </w:p>
    <w:p>
      <w:pPr>
        <w:spacing w:after="0" w:line="229" w:lineRule="exact"/>
        <w:rPr>
          <w:rFonts w:ascii="Calibri" w:cs="Calibri" w:eastAsia="Calibri" w:hAnsi="Calibri"/>
          <w:sz w:val="20"/>
          <w:szCs w:val="20"/>
          <w:b w:val="1"/>
          <w:bCs w:val="1"/>
          <w:color w:val="auto"/>
        </w:rPr>
      </w:pPr>
    </w:p>
    <w:p>
      <w:pPr>
        <w:ind w:left="340" w:right="80" w:hanging="332"/>
        <w:spacing w:after="0" w:line="233" w:lineRule="auto"/>
        <w:tabs>
          <w:tab w:leader="none" w:pos="343" w:val="left"/>
        </w:tabs>
        <w:numPr>
          <w:ilvl w:val="0"/>
          <w:numId w:val="10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Governing Law. </w:t>
      </w:r>
      <w:r>
        <w:rPr>
          <w:rFonts w:ascii="Calibri" w:cs="Calibri" w:eastAsia="Calibri" w:hAnsi="Calibri"/>
          <w:sz w:val="20"/>
          <w:szCs w:val="20"/>
          <w:color w:val="auto"/>
        </w:rPr>
        <w:t>The terms of this leter agreement and the resoluton of any disputes as to the meaning, efect, performance 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validity of this leter agreement or arising out of, related to, or in any way connected with, this leter agreement, your employment with the Company or any other relatonship between you and the Company (the “Disputes”) will be governed by New York law, excluding laws relatng to conficts or choice of law. You and the Company submit to the exclusive personal jurisdicton of the federal and state courts located in New York in connecton with any Dispute or any claim related to any Dispute, except as otherwise provided in Secton 6 or the PIIA.</w:t>
      </w:r>
    </w:p>
    <w:p>
      <w:pPr>
        <w:spacing w:after="0" w:line="224" w:lineRule="exact"/>
        <w:rPr>
          <w:rFonts w:ascii="Calibri" w:cs="Calibri" w:eastAsia="Calibri" w:hAnsi="Calibri"/>
          <w:sz w:val="20"/>
          <w:szCs w:val="20"/>
          <w:b w:val="1"/>
          <w:bCs w:val="1"/>
          <w:color w:val="auto"/>
        </w:rPr>
      </w:pPr>
    </w:p>
    <w:p>
      <w:pPr>
        <w:ind w:left="340" w:right="240" w:hanging="332"/>
        <w:spacing w:after="0" w:line="231" w:lineRule="auto"/>
        <w:tabs>
          <w:tab w:leader="none" w:pos="343" w:val="left"/>
        </w:tabs>
        <w:numPr>
          <w:ilvl w:val="0"/>
          <w:numId w:val="10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Legal Advice. </w:t>
      </w:r>
      <w:r>
        <w:rPr>
          <w:rFonts w:ascii="Calibri" w:cs="Calibri" w:eastAsia="Calibri" w:hAnsi="Calibri"/>
          <w:sz w:val="20"/>
          <w:szCs w:val="20"/>
          <w:color w:val="auto"/>
        </w:rPr>
        <w:t>You acknowledge that you have been advised by the Company to consult with, and seek the advice of, a personal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atorney of your choice prior to executng this leter agreement in connecton with the negotaton, drafing and executon of this leter agreement and the PIIA, including, without limitaton, the arbitraton provisions contained in Secton 7, the choice of law provision contained in Secton 12 of this leter agreement and the relevant provisions of the PIIA. You represent and warrant that you have, in fact, retained a personal atorney for such purpose and have received the advice of such atorney with respect to the terms of this leter agreement and the PIIA, and the negotaton of this leter agreement and PIIA, prior to entering into either and the including, without limitaton, with respect to the covenants and provisions noted in the preceding sentence.</w:t>
      </w:r>
    </w:p>
    <w:p>
      <w:pPr>
        <w:spacing w:after="0" w:line="222" w:lineRule="exact"/>
        <w:rPr>
          <w:sz w:val="20"/>
          <w:szCs w:val="20"/>
          <w:color w:val="auto"/>
        </w:rPr>
      </w:pPr>
    </w:p>
    <w:p>
      <w:pPr>
        <w:jc w:val="center"/>
        <w:spacing w:after="0"/>
        <w:tabs>
          <w:tab w:leader="none" w:pos="220" w:val="left"/>
          <w:tab w:leader="none" w:pos="200" w:val="left"/>
        </w:tabs>
        <w:rPr>
          <w:sz w:val="20"/>
          <w:szCs w:val="20"/>
          <w:color w:val="auto"/>
        </w:rPr>
      </w:pPr>
      <w:r>
        <w:rPr>
          <w:rFonts w:ascii="Calibri" w:cs="Calibri" w:eastAsia="Calibri" w:hAnsi="Calibri"/>
          <w:sz w:val="20"/>
          <w:szCs w:val="20"/>
          <w:color w:val="auto"/>
        </w:rPr>
        <w:t>*</w:t>
        <w:tab/>
        <w:t>*</w:t>
        <w:tab/>
        <w:t>*</w:t>
      </w:r>
    </w:p>
    <w:p>
      <w:pPr>
        <w:spacing w:after="0" w:line="211" w:lineRule="exact"/>
        <w:rPr>
          <w:sz w:val="20"/>
          <w:szCs w:val="20"/>
          <w:color w:val="auto"/>
        </w:rPr>
      </w:pPr>
    </w:p>
    <w:p>
      <w:pPr>
        <w:jc w:val="both"/>
        <w:ind w:right="320"/>
        <w:spacing w:after="0" w:line="231" w:lineRule="auto"/>
        <w:rPr>
          <w:sz w:val="20"/>
          <w:szCs w:val="20"/>
          <w:color w:val="auto"/>
        </w:rPr>
      </w:pPr>
      <w:r>
        <w:rPr>
          <w:rFonts w:ascii="Calibri" w:cs="Calibri" w:eastAsia="Calibri" w:hAnsi="Calibri"/>
          <w:sz w:val="20"/>
          <w:szCs w:val="20"/>
          <w:color w:val="auto"/>
        </w:rPr>
        <w:t>You may indicate your agreement with these terms and accept this ofer by signing and datng it and the enclosed PIIA and returning them to me. This ofer, if not accepted, will expire at the close of business on May 3, 2024. As required by law, your employment with the Company is contngent upon your providing legal proof of your identty and authorizaton to work in the United States.</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color w:val="auto"/>
        </w:rPr>
        <w:t>If you have any questons, please call me to discuss.</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i w:val="1"/>
          <w:iCs w:val="1"/>
          <w:color w:val="auto"/>
        </w:rPr>
        <w:t>Signature page follows</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Page 4 of 5</w:t>
      </w:r>
    </w:p>
    <w:p>
      <w:pPr>
        <w:sectPr>
          <w:pgSz w:w="11900" w:h="16838" w:orient="portrait"/>
          <w:cols w:equalWidth="0" w:num="1">
            <w:col w:w="11240"/>
          </w:cols>
          <w:pgMar w:left="320" w:top="1411" w:right="339" w:bottom="1440" w:gutter="0" w:footer="0" w:header="0"/>
        </w:sectPr>
      </w:pPr>
    </w:p>
    <w:bookmarkStart w:id="155" w:name="page156"/>
    <w:bookmarkEnd w:id="155"/>
    <w:p>
      <w:pPr>
        <w:spacing w:after="0"/>
        <w:rPr>
          <w:sz w:val="20"/>
          <w:szCs w:val="20"/>
          <w:color w:val="auto"/>
        </w:rPr>
      </w:pPr>
      <w:r>
        <w:rPr>
          <w:rFonts w:ascii="Calibri" w:cs="Calibri" w:eastAsia="Calibri" w:hAnsi="Calibri"/>
          <w:sz w:val="20"/>
          <w:szCs w:val="20"/>
          <w:color w:val="auto"/>
        </w:rPr>
        <w:t>Very truly yours,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PELOTON INTERACTIVE, INC.</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/s/ </w:t>
      </w:r>
      <w:r>
        <w:rPr>
          <w:rFonts w:ascii="Calibri" w:cs="Calibri" w:eastAsia="Calibri" w:hAnsi="Calibri"/>
          <w:sz w:val="20"/>
          <w:szCs w:val="20"/>
          <w:u w:val="single" w:color="auto"/>
          <w:color w:val="auto"/>
        </w:rPr>
        <w:t>Jay Hoag</w:t>
      </w:r>
      <w:r>
        <w:rPr>
          <w:rFonts w:ascii="Calibri" w:cs="Calibri" w:eastAsia="Calibri" w:hAnsi="Calibri"/>
          <w:sz w:val="20"/>
          <w:szCs w:val="20"/>
          <w:color w:val="auto"/>
        </w:rPr>
        <w:t>_____</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By: </w:t>
      </w:r>
      <w:r>
        <w:rPr>
          <w:rFonts w:ascii="Calibri" w:cs="Calibri" w:eastAsia="Calibri" w:hAnsi="Calibri"/>
          <w:sz w:val="20"/>
          <w:szCs w:val="20"/>
          <w:color w:val="auto"/>
        </w:rPr>
        <w:t>Jay Hoag</w:t>
      </w:r>
    </w:p>
    <w:p>
      <w:pPr>
        <w:spacing w:after="0" w:line="225" w:lineRule="auto"/>
        <w:rPr>
          <w:sz w:val="20"/>
          <w:szCs w:val="20"/>
          <w:color w:val="auto"/>
        </w:rPr>
      </w:pPr>
      <w:r>
        <w:rPr>
          <w:rFonts w:ascii="Calibri" w:cs="Calibri" w:eastAsia="Calibri" w:hAnsi="Calibri"/>
          <w:sz w:val="20"/>
          <w:szCs w:val="20"/>
          <w:b w:val="1"/>
          <w:bCs w:val="1"/>
          <w:color w:val="auto"/>
        </w:rPr>
        <w:t xml:space="preserve">Title: </w:t>
      </w:r>
      <w:r>
        <w:rPr>
          <w:rFonts w:ascii="Calibri" w:cs="Calibri" w:eastAsia="Calibri" w:hAnsi="Calibri"/>
          <w:sz w:val="20"/>
          <w:szCs w:val="20"/>
          <w:color w:val="auto"/>
        </w:rPr>
        <w:t>Chairperson of the Board</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I have read and accept this employment ofer.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/s/ Chris Bruzzo</w:t>
      </w:r>
      <w:r>
        <w:rPr>
          <w:rFonts w:ascii="Calibri" w:cs="Calibri" w:eastAsia="Calibri" w:hAnsi="Calibri"/>
          <w:sz w:val="20"/>
          <w:szCs w:val="20"/>
          <w:color w:val="auto"/>
        </w:rPr>
        <w:t>_____</w:t>
      </w:r>
    </w:p>
    <w:p>
      <w:pPr>
        <w:spacing w:after="0" w:line="225" w:lineRule="auto"/>
        <w:rPr>
          <w:sz w:val="20"/>
          <w:szCs w:val="20"/>
          <w:color w:val="auto"/>
        </w:rPr>
      </w:pPr>
      <w:r>
        <w:rPr>
          <w:rFonts w:ascii="Calibri" w:cs="Calibri" w:eastAsia="Calibri" w:hAnsi="Calibri"/>
          <w:sz w:val="20"/>
          <w:szCs w:val="20"/>
          <w:color w:val="auto"/>
        </w:rPr>
        <w:t>Chris Bruzzo</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Date: </w:t>
      </w:r>
      <w:r>
        <w:rPr>
          <w:rFonts w:ascii="Calibri" w:cs="Calibri" w:eastAsia="Calibri" w:hAnsi="Calibri"/>
          <w:sz w:val="20"/>
          <w:szCs w:val="20"/>
          <w:u w:val="single" w:color="auto"/>
          <w:color w:val="auto"/>
        </w:rPr>
        <w:t>05/02/2024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Atachments:</w:t>
      </w:r>
    </w:p>
    <w:p>
      <w:pPr>
        <w:spacing w:after="0" w:line="215" w:lineRule="exact"/>
        <w:rPr>
          <w:sz w:val="20"/>
          <w:szCs w:val="20"/>
          <w:color w:val="auto"/>
        </w:rPr>
      </w:pPr>
    </w:p>
    <w:p>
      <w:pPr>
        <w:ind w:left="340"/>
        <w:spacing w:after="0"/>
        <w:rPr>
          <w:sz w:val="20"/>
          <w:szCs w:val="20"/>
          <w:color w:val="auto"/>
        </w:rPr>
      </w:pPr>
      <w:r>
        <w:rPr>
          <w:rFonts w:ascii="Calibri" w:cs="Calibri" w:eastAsia="Calibri" w:hAnsi="Calibri"/>
          <w:sz w:val="20"/>
          <w:szCs w:val="20"/>
          <w:color w:val="auto"/>
        </w:rPr>
        <w:t>Exhibit A: Proprietary Informaton and Inventons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Page 5 of 5</w:t>
      </w:r>
    </w:p>
    <w:p>
      <w:pPr>
        <w:sectPr>
          <w:pgSz w:w="11900" w:h="16838" w:orient="portrait"/>
          <w:cols w:equalWidth="0" w:num="1">
            <w:col w:w="11240"/>
          </w:cols>
          <w:pgMar w:left="320" w:top="1402" w:right="339" w:bottom="1440" w:gutter="0" w:footer="0" w:header="0"/>
        </w:sectPr>
      </w:pPr>
    </w:p>
    <w:bookmarkStart w:id="156" w:name="page157"/>
    <w:bookmarkEnd w:id="156"/>
    <w:p>
      <w:pPr>
        <w:spacing w:after="0" w:line="50" w:lineRule="exact"/>
        <w:rPr>
          <w:sz w:val="20"/>
          <w:szCs w:val="20"/>
          <w:color w:val="auto"/>
        </w:rPr>
      </w:pPr>
    </w:p>
    <w:p>
      <w:pPr>
        <w:jc w:val="center"/>
        <w:spacing w:after="0"/>
        <w:rPr>
          <w:sz w:val="20"/>
          <w:szCs w:val="20"/>
          <w:color w:val="auto"/>
        </w:rPr>
      </w:pPr>
      <w:r>
        <w:rPr>
          <w:rFonts w:ascii="Arial" w:cs="Arial" w:eastAsia="Arial" w:hAnsi="Arial"/>
          <w:sz w:val="19"/>
          <w:szCs w:val="19"/>
          <w:color w:val="333333"/>
        </w:rPr>
        <w:t>Consent of Independent Registered Public Accounting Firm</w:t>
      </w:r>
    </w:p>
    <w:p>
      <w:pPr>
        <w:spacing w:after="0" w:line="268" w:lineRule="exact"/>
        <w:rPr>
          <w:sz w:val="20"/>
          <w:szCs w:val="20"/>
          <w:color w:val="auto"/>
        </w:rPr>
      </w:pPr>
    </w:p>
    <w:p>
      <w:pPr>
        <w:ind w:left="600" w:right="580"/>
        <w:spacing w:after="0" w:line="419" w:lineRule="auto"/>
        <w:rPr>
          <w:sz w:val="20"/>
          <w:szCs w:val="20"/>
          <w:color w:val="auto"/>
        </w:rPr>
      </w:pPr>
      <w:r>
        <w:rPr>
          <w:rFonts w:ascii="Arial" w:cs="Arial" w:eastAsia="Arial" w:hAnsi="Arial"/>
          <w:sz w:val="19"/>
          <w:szCs w:val="19"/>
          <w:color w:val="333333"/>
        </w:rPr>
        <w:t>We consent to the incorporation by reference in the Registration Statements on Form S-3 (File No. 333-261097) and Form S-8 (File Nos. 333-267306, 333-259099, 333-248724 333-233941, 333-274173, and 333-276818) of our reports dated August 22, 2024, with respect to the consolidated financial statements of Peloton Interactive, Inc. and the effectiveness of internal control over financial reporting of Peloton Interactive, Inc. included in this Annual Report (Form 10-K) for the year ended June 30, 2024.</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9"/>
          <w:szCs w:val="19"/>
          <w:color w:val="333333"/>
        </w:rPr>
        <w:t>/s/ Ernst &amp; Young LLP</w:t>
      </w:r>
    </w:p>
    <w:p>
      <w:pPr>
        <w:spacing w:after="0" w:line="200" w:lineRule="exact"/>
        <w:rPr>
          <w:sz w:val="20"/>
          <w:szCs w:val="20"/>
          <w:color w:val="auto"/>
        </w:rPr>
      </w:pPr>
    </w:p>
    <w:p>
      <w:pPr>
        <w:spacing w:after="0" w:line="351" w:lineRule="exact"/>
        <w:rPr>
          <w:sz w:val="20"/>
          <w:szCs w:val="20"/>
          <w:color w:val="auto"/>
        </w:rPr>
      </w:pPr>
    </w:p>
    <w:p>
      <w:pPr>
        <w:ind w:left="580"/>
        <w:spacing w:after="0"/>
        <w:rPr>
          <w:sz w:val="20"/>
          <w:szCs w:val="20"/>
          <w:color w:val="auto"/>
        </w:rPr>
      </w:pPr>
      <w:r>
        <w:rPr>
          <w:rFonts w:ascii="Arial" w:cs="Arial" w:eastAsia="Arial" w:hAnsi="Arial"/>
          <w:sz w:val="19"/>
          <w:szCs w:val="19"/>
          <w:color w:val="333333"/>
        </w:rPr>
        <w:t>New York, New York</w:t>
      </w:r>
    </w:p>
    <w:p>
      <w:pPr>
        <w:spacing w:after="0" w:line="200" w:lineRule="exact"/>
        <w:rPr>
          <w:sz w:val="20"/>
          <w:szCs w:val="20"/>
          <w:color w:val="auto"/>
        </w:rPr>
      </w:pPr>
    </w:p>
    <w:p>
      <w:pPr>
        <w:spacing w:after="0" w:line="338" w:lineRule="exact"/>
        <w:rPr>
          <w:sz w:val="20"/>
          <w:szCs w:val="20"/>
          <w:color w:val="auto"/>
        </w:rPr>
      </w:pPr>
    </w:p>
    <w:p>
      <w:pPr>
        <w:ind w:left="580"/>
        <w:spacing w:after="0"/>
        <w:rPr>
          <w:sz w:val="20"/>
          <w:szCs w:val="20"/>
          <w:color w:val="auto"/>
        </w:rPr>
      </w:pPr>
      <w:r>
        <w:rPr>
          <w:rFonts w:ascii="Arial" w:cs="Arial" w:eastAsia="Arial" w:hAnsi="Arial"/>
          <w:sz w:val="19"/>
          <w:szCs w:val="19"/>
          <w:color w:val="333333"/>
        </w:rPr>
        <w:t>August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Internal Use Only</w:t>
      </w:r>
    </w:p>
    <w:p>
      <w:pPr>
        <w:spacing w:after="0" w:line="26" w:lineRule="exact"/>
        <w:rPr>
          <w:sz w:val="20"/>
          <w:szCs w:val="20"/>
          <w:color w:val="auto"/>
        </w:rPr>
      </w:pPr>
    </w:p>
    <w:p>
      <w:pPr>
        <w:spacing w:after="0"/>
        <w:tabs>
          <w:tab w:leader="none" w:pos="4420" w:val="left"/>
          <w:tab w:leader="none" w:pos="10640" w:val="left"/>
        </w:tabs>
        <w:rPr>
          <w:sz w:val="20"/>
          <w:szCs w:val="20"/>
          <w:color w:val="auto"/>
        </w:rPr>
      </w:pPr>
      <w:r>
        <w:rPr>
          <w:rFonts w:ascii="Times New Roman" w:cs="Times New Roman" w:eastAsia="Times New Roman" w:hAnsi="Times New Roman"/>
          <w:sz w:val="32"/>
          <w:szCs w:val="32"/>
          <w:color w:val="auto"/>
          <w:vertAlign w:val="superscript"/>
        </w:rPr>
        <w:t>Exported on 08/18/2023 12:14 am</w:t>
      </w:r>
      <w:r>
        <w:rPr>
          <w:sz w:val="20"/>
          <w:szCs w:val="20"/>
          <w:color w:val="auto"/>
        </w:rPr>
        <w:tab/>
      </w:r>
      <w:r>
        <w:rPr>
          <w:rFonts w:ascii="Times New Roman" w:cs="Times New Roman" w:eastAsia="Times New Roman" w:hAnsi="Times New Roman"/>
          <w:sz w:val="22"/>
          <w:szCs w:val="22"/>
          <w:color w:val="auto"/>
        </w:rPr>
        <w:t>© All rights are reserved.</w:t>
      </w:r>
      <w:r>
        <w:rPr>
          <w:sz w:val="20"/>
          <w:szCs w:val="20"/>
          <w:color w:val="auto"/>
        </w:rPr>
        <w:tab/>
      </w:r>
      <w:r>
        <w:rPr>
          <w:rFonts w:ascii="Times New Roman" w:cs="Times New Roman" w:eastAsia="Times New Roman" w:hAnsi="Times New Roman"/>
          <w:sz w:val="16"/>
          <w:szCs w:val="16"/>
          <w:color w:val="auto"/>
        </w:rPr>
        <w:t>Page 1</w:t>
      </w:r>
    </w:p>
    <w:p>
      <w:pPr>
        <w:sectPr>
          <w:pgSz w:w="11900" w:h="16838" w:orient="portrait"/>
          <w:cols w:equalWidth="0" w:num="1">
            <w:col w:w="11100"/>
          </w:cols>
          <w:pgMar w:left="400" w:top="1440" w:right="39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22"/>
          <w:szCs w:val="22"/>
          <w:b w:val="1"/>
          <w:bCs w:val="1"/>
          <w:color w:val="auto"/>
        </w:rPr>
        <w:t>CERTIFICATION OF CO-PRINCIPAL EXECUTIVE OFFICER PURSUANT TO</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RULE 13a-14(a) OR 15d-14(a) OF THE SECURITIES EXCHANGE ACT OF 1934,</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I, Karen Boone, certify that:</w:t>
      </w:r>
    </w:p>
    <w:p>
      <w:pPr>
        <w:spacing w:after="0" w:line="248"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Peloton Interactive, Inc.;</w:t>
      </w:r>
    </w:p>
    <w:p>
      <w:pPr>
        <w:spacing w:after="0" w:line="261" w:lineRule="exact"/>
        <w:rPr>
          <w:rFonts w:ascii="Arial" w:cs="Arial" w:eastAsia="Arial" w:hAnsi="Arial"/>
          <w:sz w:val="16"/>
          <w:szCs w:val="16"/>
          <w:color w:val="auto"/>
        </w:rPr>
      </w:pPr>
    </w:p>
    <w:p>
      <w:pPr>
        <w:ind w:firstLine="8"/>
        <w:spacing w:after="0" w:line="286" w:lineRule="auto"/>
        <w:tabs>
          <w:tab w:leader="none" w:pos="64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firstLine="8"/>
        <w:spacing w:after="0" w:line="286" w:lineRule="auto"/>
        <w:tabs>
          <w:tab w:leader="none" w:pos="64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jc w:val="both"/>
        <w:ind w:firstLine="8"/>
        <w:spacing w:after="0" w:line="275" w:lineRule="auto"/>
        <w:tabs>
          <w:tab w:leader="none" w:pos="64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ind w:left="660" w:hanging="328"/>
        <w:spacing w:after="0" w:line="286" w:lineRule="auto"/>
        <w:tabs>
          <w:tab w:leader="none" w:pos="65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1" w:lineRule="exact"/>
        <w:rPr>
          <w:rFonts w:ascii="Arial" w:cs="Arial" w:eastAsia="Arial" w:hAnsi="Arial"/>
          <w:sz w:val="16"/>
          <w:szCs w:val="16"/>
          <w:color w:val="auto"/>
        </w:rPr>
      </w:pPr>
    </w:p>
    <w:p>
      <w:pPr>
        <w:ind w:firstLine="8"/>
        <w:spacing w:after="0" w:line="263" w:lineRule="auto"/>
        <w:tabs>
          <w:tab w:leader="none" w:pos="64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70" w:lineRule="auto"/>
        <w:tabs>
          <w:tab w:leader="none" w:pos="6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304" w:lineRule="auto"/>
        <w:tabs>
          <w:tab w:leader="none" w:pos="6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August 22, 2024</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By: /s/ Karen Boone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Karen Boone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Interim Co-President and Co-Chief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(Co-Principal Executive Officer)</w:t>
      </w:r>
    </w:p>
    <w:p>
      <w:pPr>
        <w:sectPr>
          <w:pgSz w:w="11900" w:h="16838" w:orient="portrait"/>
          <w:cols w:equalWidth="0" w:num="1">
            <w:col w:w="11240"/>
          </w:cols>
          <w:pgMar w:left="320" w:top="125" w:right="33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22"/>
          <w:szCs w:val="22"/>
          <w:b w:val="1"/>
          <w:bCs w:val="1"/>
          <w:color w:val="auto"/>
        </w:rPr>
        <w:t>CERTIFICATION OF CO-PRINCIPAL EXECUTIVE OFFICER PURSUANT TO</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RULE 13a-14(a) OR 15d-14(a) OF THE SECURITIES EXCHANGE ACT OF 1934,</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I, Chris Bruzzo, certify that:</w:t>
      </w:r>
    </w:p>
    <w:p>
      <w:pPr>
        <w:spacing w:after="0" w:line="248"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Peloton Interactive, Inc.;</w:t>
      </w:r>
    </w:p>
    <w:p>
      <w:pPr>
        <w:spacing w:after="0" w:line="261" w:lineRule="exact"/>
        <w:rPr>
          <w:rFonts w:ascii="Arial" w:cs="Arial" w:eastAsia="Arial" w:hAnsi="Arial"/>
          <w:sz w:val="16"/>
          <w:szCs w:val="16"/>
          <w:color w:val="auto"/>
        </w:rPr>
      </w:pPr>
    </w:p>
    <w:p>
      <w:pPr>
        <w:ind w:firstLine="8"/>
        <w:spacing w:after="0" w:line="286" w:lineRule="auto"/>
        <w:tabs>
          <w:tab w:leader="none" w:pos="64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firstLine="8"/>
        <w:spacing w:after="0" w:line="286" w:lineRule="auto"/>
        <w:tabs>
          <w:tab w:leader="none" w:pos="64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jc w:val="both"/>
        <w:ind w:firstLine="8"/>
        <w:spacing w:after="0" w:line="275" w:lineRule="auto"/>
        <w:tabs>
          <w:tab w:leader="none" w:pos="64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ind w:left="660" w:hanging="328"/>
        <w:spacing w:after="0" w:line="286" w:lineRule="auto"/>
        <w:tabs>
          <w:tab w:leader="none" w:pos="65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1" w:lineRule="exact"/>
        <w:rPr>
          <w:rFonts w:ascii="Arial" w:cs="Arial" w:eastAsia="Arial" w:hAnsi="Arial"/>
          <w:sz w:val="16"/>
          <w:szCs w:val="16"/>
          <w:color w:val="auto"/>
        </w:rPr>
      </w:pPr>
    </w:p>
    <w:p>
      <w:pPr>
        <w:ind w:firstLine="8"/>
        <w:spacing w:after="0" w:line="263" w:lineRule="auto"/>
        <w:tabs>
          <w:tab w:leader="none" w:pos="64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70" w:lineRule="auto"/>
        <w:tabs>
          <w:tab w:leader="none" w:pos="66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304" w:lineRule="auto"/>
        <w:tabs>
          <w:tab w:leader="none" w:pos="66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August 22, 2024</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By: /s/ Chris Bruzzo</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Chris Bruzzo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Interim Co-President and Co-Chief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(Co-Principal Executive Officer)</w:t>
      </w:r>
    </w:p>
    <w:p>
      <w:pPr>
        <w:sectPr>
          <w:pgSz w:w="11900" w:h="16838" w:orient="portrait"/>
          <w:cols w:equalWidth="0" w:num="1">
            <w:col w:w="11240"/>
          </w:cols>
          <w:pgMar w:left="320" w:top="125" w:right="339" w:bottom="1440" w:gutter="0" w:footer="0" w:header="0"/>
        </w:sectPr>
      </w:pPr>
    </w:p>
    <w:bookmarkStart w:id="159" w:name="page160"/>
    <w:bookmarkEnd w:id="159"/>
    <w:p>
      <w:pPr>
        <w:jc w:val="center"/>
        <w:spacing w:after="0" w:line="264" w:lineRule="auto"/>
        <w:rPr>
          <w:sz w:val="20"/>
          <w:szCs w:val="20"/>
          <w:color w:val="auto"/>
        </w:rPr>
      </w:pPr>
      <w:r>
        <w:rPr>
          <w:rFonts w:ascii="Arial" w:cs="Arial" w:eastAsia="Arial" w:hAnsi="Arial"/>
          <w:sz w:val="22"/>
          <w:szCs w:val="22"/>
          <w:b w:val="1"/>
          <w:bCs w:val="1"/>
          <w:color w:val="auto"/>
        </w:rPr>
        <w:t>CERTIFICATION OF PRINCIPAL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 Elizabeth F Coddington, certify that:</w:t>
      </w:r>
    </w:p>
    <w:p>
      <w:pPr>
        <w:spacing w:after="0" w:line="248"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Peloton Interactive, Inc.;</w:t>
      </w:r>
    </w:p>
    <w:p>
      <w:pPr>
        <w:spacing w:after="0" w:line="261" w:lineRule="exact"/>
        <w:rPr>
          <w:rFonts w:ascii="Arial" w:cs="Arial" w:eastAsia="Arial" w:hAnsi="Arial"/>
          <w:sz w:val="16"/>
          <w:szCs w:val="16"/>
          <w:color w:val="auto"/>
        </w:rPr>
      </w:pPr>
    </w:p>
    <w:p>
      <w:pPr>
        <w:ind w:firstLine="8"/>
        <w:spacing w:after="0" w:line="286" w:lineRule="auto"/>
        <w:tabs>
          <w:tab w:leader="none" w:pos="64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firstLine="8"/>
        <w:spacing w:after="0" w:line="286" w:lineRule="auto"/>
        <w:tabs>
          <w:tab w:leader="none" w:pos="64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jc w:val="both"/>
        <w:ind w:firstLine="8"/>
        <w:spacing w:after="0" w:line="275" w:lineRule="auto"/>
        <w:tabs>
          <w:tab w:leader="none" w:pos="64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ind w:left="660" w:hanging="328"/>
        <w:spacing w:after="0" w:line="286" w:lineRule="auto"/>
        <w:tabs>
          <w:tab w:leader="none" w:pos="651"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1" w:lineRule="exact"/>
        <w:rPr>
          <w:rFonts w:ascii="Arial" w:cs="Arial" w:eastAsia="Arial" w:hAnsi="Arial"/>
          <w:sz w:val="16"/>
          <w:szCs w:val="16"/>
          <w:color w:val="auto"/>
        </w:rPr>
      </w:pPr>
    </w:p>
    <w:p>
      <w:pPr>
        <w:ind w:firstLine="8"/>
        <w:spacing w:after="0" w:line="263" w:lineRule="auto"/>
        <w:tabs>
          <w:tab w:leader="none" w:pos="64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70" w:lineRule="auto"/>
        <w:tabs>
          <w:tab w:leader="none" w:pos="6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304" w:lineRule="auto"/>
        <w:tabs>
          <w:tab w:leader="none" w:pos="6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August 22, 2024</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By: /s/ Elizabeth F Coddington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Elizabeth F Coddington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22"/>
          <w:szCs w:val="22"/>
          <w:b w:val="1"/>
          <w:bCs w:val="1"/>
          <w:color w:val="auto"/>
        </w:rPr>
        <w:t>CERTIFICATION OF CO-PRINCIPAL EXECUTIVE OFFICER PURSUANT TO</w:t>
      </w:r>
    </w:p>
    <w:p>
      <w:pPr>
        <w:spacing w:after="0" w:line="26"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Karen Boone, Interim Co-Chief Executive Officer of Peloton Interactive, Inc. (the “Company”), do hereby certify, pursuant to 18 U.S.C. Section 1350, as adopted pursuant to Section 906 of the Sarbanes-Oxley Act of 2002, that to the best of my knowledge:</w:t>
      </w:r>
    </w:p>
    <w:p>
      <w:pPr>
        <w:spacing w:after="0" w:line="196" w:lineRule="exact"/>
        <w:rPr>
          <w:sz w:val="20"/>
          <w:szCs w:val="20"/>
          <w:color w:val="auto"/>
        </w:rPr>
      </w:pPr>
    </w:p>
    <w:p>
      <w:pPr>
        <w:ind w:left="660" w:hanging="328"/>
        <w:spacing w:after="0" w:line="286"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fiscal year ended June 30, 2024 (the “Report”) fully complies with the requirements of Section 13(a) or 15(d) of the Securities Exchange Act of 1934, as amended;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August 22, 2024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By: /s/ Karen Boone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Karen Boone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Interim Co-President and Co-Chief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(Co-Principal Executive Officer)</w:t>
      </w:r>
    </w:p>
    <w:p>
      <w:pPr>
        <w:sectPr>
          <w:pgSz w:w="11900" w:h="16838" w:orient="portrait"/>
          <w:cols w:equalWidth="0" w:num="1">
            <w:col w:w="11240"/>
          </w:cols>
          <w:pgMar w:left="320" w:top="125" w:right="33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22"/>
          <w:szCs w:val="22"/>
          <w:b w:val="1"/>
          <w:bCs w:val="1"/>
          <w:color w:val="auto"/>
        </w:rPr>
        <w:t>CERTIFICATION OF CO-PRINCIPAL EXECUTIVE OFFICER PURSUANT TO</w:t>
      </w:r>
    </w:p>
    <w:p>
      <w:pPr>
        <w:spacing w:after="0" w:line="26"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Chris Bruzzo, Interim Co-Chief Executive Officer of Peloton Interactive, Inc. (the “Company”), do hereby certify, pursuant to 18 U.S.C. Section 1350, as adopted pursuant to Section 906 of the Sarbanes-Oxley Act of 2002, that to the best of my knowledge:</w:t>
      </w:r>
    </w:p>
    <w:p>
      <w:pPr>
        <w:spacing w:after="0" w:line="196" w:lineRule="exact"/>
        <w:rPr>
          <w:sz w:val="20"/>
          <w:szCs w:val="20"/>
          <w:color w:val="auto"/>
        </w:rPr>
      </w:pPr>
    </w:p>
    <w:p>
      <w:pPr>
        <w:ind w:left="660" w:hanging="328"/>
        <w:spacing w:after="0" w:line="286" w:lineRule="auto"/>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fiscal year ended June 30, 2024 (the “Report”) fully complies with the requirements of Section 13(a) or 15(d) of the Securities Exchange Act of 1934, as amended;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August 22, 2024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By: /s/ Chris Bruzzo</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Chris Bruzzo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Interim Co-President and Co-Chief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(Co-Principal Executive Officer)</w:t>
      </w:r>
    </w:p>
    <w:p>
      <w:pPr>
        <w:sectPr>
          <w:pgSz w:w="11900" w:h="16838" w:orient="portrait"/>
          <w:cols w:equalWidth="0" w:num="1">
            <w:col w:w="11240"/>
          </w:cols>
          <w:pgMar w:left="320" w:top="125" w:right="33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22"/>
          <w:szCs w:val="22"/>
          <w:b w:val="1"/>
          <w:bCs w:val="1"/>
          <w:color w:val="auto"/>
        </w:rPr>
        <w:t>CERTIFICATION OF PRINCIPAL FINANCIAL OFFICER PURSUANT TO</w:t>
      </w:r>
    </w:p>
    <w:p>
      <w:pPr>
        <w:spacing w:after="0" w:line="26"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Elizabeth F Coddington, Chief Financial Officer of Peloton Interactive, Inc. (the “Company”), do hereby certify, pursuant to 18 U.S.C. Section 1350, as adopted pursuant to Section 906 of the Sarbanes-Oxley Act of 2002, that to the best of my knowledge:</w:t>
      </w:r>
    </w:p>
    <w:p>
      <w:pPr>
        <w:spacing w:after="0" w:line="196" w:lineRule="exact"/>
        <w:rPr>
          <w:sz w:val="20"/>
          <w:szCs w:val="20"/>
          <w:color w:val="auto"/>
        </w:rPr>
      </w:pPr>
    </w:p>
    <w:p>
      <w:pPr>
        <w:ind w:left="660" w:hanging="328"/>
        <w:spacing w:after="0" w:line="286" w:lineRule="auto"/>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fiscal year ended June 30, 2024 (the “Report”) fully complies with the requirements of Section 13(a) or 15(d) of the Securities Exchange Act of 1934, as amended;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August 22, 2024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By: /s/ Elizabeth F Coddington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Elizabeth F Coddington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2"/>
          <w:szCs w:val="22"/>
          <w:b w:val="1"/>
          <w:bCs w:val="1"/>
          <w:color w:val="auto"/>
        </w:rPr>
        <w:t>PELOTON INTERACTIVE,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RECOVERY OF INCENTIVE-BASED COMPENSATION</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Peloton Interactive,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herein are defined in Section 11.</w:t>
      </w:r>
    </w:p>
    <w:p>
      <w:pPr>
        <w:spacing w:after="0" w:line="160"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24" w:lineRule="exact"/>
        <w:rPr>
          <w:sz w:val="20"/>
          <w:szCs w:val="20"/>
          <w:color w:val="auto"/>
        </w:rPr>
      </w:pPr>
    </w:p>
    <w:p>
      <w:pPr>
        <w:jc w:val="both"/>
        <w:ind w:firstLine="708"/>
        <w:spacing w:after="0" w:line="263" w:lineRule="auto"/>
        <w:rPr>
          <w:sz w:val="20"/>
          <w:szCs w:val="20"/>
          <w:color w:val="auto"/>
        </w:rPr>
      </w:pPr>
      <w:r>
        <w:rPr>
          <w:rFonts w:ascii="Times New Roman" w:cs="Times New Roman" w:eastAsia="Times New Roman" w:hAnsi="Times New Roman"/>
          <w:sz w:val="22"/>
          <w:szCs w:val="22"/>
          <w:color w:val="auto"/>
        </w:rPr>
        <w:t>This Policy shall apply to current and former Officers. Each Officer shall be required to sign an Acknowledgement Agreement pursuant to which such Officer will agree to be bound by the terms of, and comply with, this Policy; however, any Officer’s failure to sign any such Acknowledgment Agreement shall not negate the application of this Policy to the Officer.</w:t>
      </w:r>
    </w:p>
    <w:p>
      <w:pPr>
        <w:spacing w:after="0" w:line="163" w:lineRule="exact"/>
        <w:rPr>
          <w:sz w:val="20"/>
          <w:szCs w:val="20"/>
          <w:color w:val="auto"/>
        </w:rPr>
      </w:pPr>
    </w:p>
    <w:p>
      <w:pPr>
        <w:ind w:left="380" w:hanging="372"/>
        <w:spacing w:after="0"/>
        <w:tabs>
          <w:tab w:leader="none" w:pos="38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75" w:lineRule="exact"/>
        <w:rPr>
          <w:sz w:val="20"/>
          <w:szCs w:val="20"/>
          <w:color w:val="auto"/>
        </w:rPr>
      </w:pPr>
    </w:p>
    <w:p>
      <w:pPr>
        <w:ind w:left="380" w:hanging="372"/>
        <w:spacing w:after="0"/>
        <w:tabs>
          <w:tab w:leader="none" w:pos="38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In addition, if the Committee determines that an Officer engaged in fraud or misconduct that materially contributed to the need for a Restatement, then the Committee may, in its discretion, determine to recover any portion of Incentive-Based Compensation that is in excess of the Erroneously Awarded Compensation.</w:t>
      </w:r>
    </w:p>
    <w:p>
      <w:pPr>
        <w:spacing w:after="0" w:line="19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For clarity, the recovery of Erroneously Awarded Compensation or Incentive-Based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8" w:right="339" w:bottom="1440" w:gutter="0" w:footer="0" w:header="0"/>
        </w:sectPr>
      </w:pPr>
    </w:p>
    <w:bookmarkStart w:id="164" w:name="page165"/>
    <w:bookmarkEnd w:id="164"/>
    <w:p>
      <w:pPr>
        <w:spacing w:after="0" w:line="200" w:lineRule="exact"/>
        <w:rPr>
          <w:sz w:val="20"/>
          <w:szCs w:val="20"/>
          <w:color w:val="auto"/>
        </w:rPr>
      </w:pPr>
    </w:p>
    <w:p>
      <w:pPr>
        <w:spacing w:after="0" w:line="237" w:lineRule="exact"/>
        <w:rPr>
          <w:sz w:val="20"/>
          <w:szCs w:val="20"/>
          <w:color w:val="auto"/>
        </w:rPr>
      </w:pPr>
    </w:p>
    <w:p>
      <w:pPr>
        <w:ind w:left="380" w:hanging="372"/>
        <w:spacing w:after="0"/>
        <w:tabs>
          <w:tab w:leader="none" w:pos="38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or other Incentive-Based Compensation, which may include, without limitation, reduction or cancellation by the Company or an affiliate of the Company of Incentive-Based Compensation, Erroneously Awarded Compensation or time-vesting equity awards, reimbursement or repayment by any person subject to this Policy of the Erroneously Awarded Compensation or other Incentive-Based Compensation, and, to the extent permitted by law, an offset of the Erroneously Awarded Compensation or other Incentive-Based Compensation against other compensation payable by the Company or an affiliate of the Company to such person. Notwithstanding the foregoing, unless otherwise prohibited by the Applicable Rules, to the extent this Policy provides for recovery of Erroneously Awarded Compensation or other Incentive-Based Compensation already recovered by the Company pursuant to Section 304 of the Sarbanes-Oxley Act of 2002 or Other Recovery Arrangements (including the Prior Policy (as defined below)), the amount of Erroneously Awarded Compensation or other Incentive-Based Compensation already recovered by the Company from the recipient of such Erroneously Awarded Compensation or other Incentive-Based Compensation may be credited to the amount of Erroneously Awarded Compensation or other Incentive-Based Compensation required to be recovered pursuant to this Policy from such person.</w:t>
      </w:r>
    </w:p>
    <w:p>
      <w:pPr>
        <w:spacing w:after="0" w:line="202" w:lineRule="exact"/>
        <w:rPr>
          <w:sz w:val="20"/>
          <w:szCs w:val="20"/>
          <w:color w:val="auto"/>
        </w:rPr>
      </w:pPr>
    </w:p>
    <w:p>
      <w:pPr>
        <w:ind w:left="380" w:hanging="372"/>
        <w:spacing w:after="0"/>
        <w:tabs>
          <w:tab w:leader="none" w:pos="38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2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69" w:lineRule="exact"/>
        <w:rPr>
          <w:sz w:val="20"/>
          <w:szCs w:val="20"/>
          <w:color w:val="auto"/>
        </w:rPr>
      </w:pPr>
    </w:p>
    <w:p>
      <w:pPr>
        <w:ind w:left="380" w:hanging="372"/>
        <w:spacing w:after="0"/>
        <w:tabs>
          <w:tab w:leader="none" w:pos="38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37"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2"/>
          <w:szCs w:val="22"/>
          <w:color w:val="auto"/>
        </w:rPr>
        <w:t>Applicable Rules, it shall be deemed amended to the minimum extent necessary to ensure compliance therewith.</w:t>
      </w:r>
    </w:p>
    <w:p>
      <w:pPr>
        <w:spacing w:after="0" w:line="216" w:lineRule="exact"/>
        <w:rPr>
          <w:sz w:val="20"/>
          <w:szCs w:val="20"/>
          <w:color w:val="auto"/>
        </w:rPr>
      </w:pPr>
    </w:p>
    <w:p>
      <w:pPr>
        <w:ind w:left="380" w:hanging="372"/>
        <w:spacing w:after="0"/>
        <w:tabs>
          <w:tab w:leader="none" w:pos="38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or other Incentive-Based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75" w:lineRule="exact"/>
        <w:rPr>
          <w:sz w:val="20"/>
          <w:szCs w:val="20"/>
          <w:color w:val="auto"/>
        </w:rPr>
      </w:pPr>
    </w:p>
    <w:p>
      <w:pPr>
        <w:ind w:left="380" w:hanging="372"/>
        <w:spacing w:after="0"/>
        <w:tabs>
          <w:tab w:leader="none" w:pos="38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Notwithstanding the preceding paragraph of this Section 8, from and after the Effective Date, this Policy shall supersede and replace the Company’s Compensation Recoupment and Forfeiture Policy, originally adopted by the Company on January 28, 2022 (the “</w:t>
      </w:r>
      <w:r>
        <w:rPr>
          <w:rFonts w:ascii="Times New Roman" w:cs="Times New Roman" w:eastAsia="Times New Roman" w:hAnsi="Times New Roman"/>
          <w:sz w:val="21"/>
          <w:szCs w:val="21"/>
          <w:b w:val="1"/>
          <w:bCs w:val="1"/>
          <w:i w:val="1"/>
          <w:iCs w:val="1"/>
          <w:color w:val="auto"/>
        </w:rPr>
        <w:t>Prior Policy</w:t>
      </w:r>
      <w:r>
        <w:rPr>
          <w:rFonts w:ascii="Times New Roman" w:cs="Times New Roman" w:eastAsia="Times New Roman" w:hAnsi="Times New Roman"/>
          <w:sz w:val="21"/>
          <w:szCs w:val="21"/>
          <w:color w:val="auto"/>
        </w:rPr>
        <w:t>”) with respect to Erroneously Awarded Compensation or other Incentive-Based Compensation received by a current or former Officer from and after the Effective Date; provided that the Prior Policy shall continue to apply with respect to compensation received prior to the Effective Date by any Officer in accordance with its terms and conditions to the extent such compensation is not Erroneously Awarded Compensation or other Incentive-Based Compensation subject to this Policy. For the avoidance of doubt, the Prior Policy is hereby amended to be consistent with this paragraph.</w:t>
      </w:r>
    </w:p>
    <w:p>
      <w:pPr>
        <w:spacing w:after="0" w:line="169" w:lineRule="exact"/>
        <w:rPr>
          <w:sz w:val="20"/>
          <w:szCs w:val="20"/>
          <w:color w:val="auto"/>
        </w:rPr>
      </w:pPr>
    </w:p>
    <w:p>
      <w:pPr>
        <w:ind w:left="380" w:hanging="372"/>
        <w:spacing w:after="0"/>
        <w:tabs>
          <w:tab w:leader="none" w:pos="38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166" w:name="page167"/>
    <w:bookmarkEnd w:id="166"/>
    <w:p>
      <w:pPr>
        <w:ind w:left="500" w:hanging="492"/>
        <w:spacing w:after="0"/>
        <w:tabs>
          <w:tab w:leader="none" w:pos="50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0" w:hanging="472"/>
        <w:spacing w:after="0"/>
        <w:tabs>
          <w:tab w:leader="none" w:pos="48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50" w:lineRule="exact"/>
        <w:rPr>
          <w:sz w:val="20"/>
          <w:szCs w:val="20"/>
          <w:color w:val="auto"/>
        </w:rPr>
      </w:pPr>
    </w:p>
    <w:p>
      <w:pPr>
        <w:jc w:val="both"/>
        <w:ind w:firstLine="310"/>
        <w:spacing w:after="0" w:line="26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0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33"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w:t>
      </w:r>
      <w:r>
        <w:rPr>
          <w:rFonts w:ascii="Times New Roman" w:cs="Times New Roman" w:eastAsia="Times New Roman" w:hAnsi="Times New Roman"/>
          <w:sz w:val="21"/>
          <w:szCs w:val="21"/>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8" w:right="339" w:bottom="1440" w:gutter="0" w:footer="0" w:header="0"/>
        </w:sectPr>
      </w:pPr>
    </w:p>
    <w:bookmarkStart w:id="167" w:name="page168"/>
    <w:bookmarkEnd w:id="167"/>
    <w:p>
      <w:pPr>
        <w:jc w:val="both"/>
        <w:spacing w:after="0" w:line="251" w:lineRule="auto"/>
        <w:rPr>
          <w:sz w:val="20"/>
          <w:szCs w:val="20"/>
          <w:color w:val="auto"/>
        </w:rPr>
      </w:pPr>
      <w:r>
        <w:rPr>
          <w:rFonts w:ascii="Times New Roman" w:cs="Times New Roman" w:eastAsia="Times New Roman" w:hAnsi="Times New Roman"/>
          <w:sz w:val="22"/>
          <w:szCs w:val="22"/>
          <w:color w:val="auto"/>
        </w:rPr>
        <w:t>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Company has a class of securities listed on a national securities exchange or association; and (d) during the applicable Three-Year Period.</w:t>
      </w:r>
    </w:p>
    <w:p>
      <w:pPr>
        <w:spacing w:after="0" w:line="17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10D-1(d) under the Exchange Act.</w:t>
      </w:r>
    </w:p>
    <w:p>
      <w:pPr>
        <w:spacing w:after="0" w:line="14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an accounting restatement to correct the Company’s material noncompliance with any financial reporting requirement under securities laws, including restatements that correct an error in previously issued financial statements</w:t>
      </w:r>
    </w:p>
    <w:p>
      <w:pPr>
        <w:spacing w:after="0" w:line="1" w:lineRule="exact"/>
        <w:rPr>
          <w:sz w:val="20"/>
          <w:szCs w:val="20"/>
          <w:color w:val="auto"/>
        </w:rPr>
      </w:pPr>
    </w:p>
    <w:p>
      <w:pPr>
        <w:ind w:right="20" w:firstLine="8"/>
        <w:spacing w:after="0" w:line="248" w:lineRule="auto"/>
        <w:tabs>
          <w:tab w:leader="none" w:pos="31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material to the previously issued financial statements or (b) that would result in a material misstatement if the error were corrected in the current period or left uncorrected in the current period.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2" w:right="339" w:bottom="1440" w:gutter="0" w:footer="0" w:header="0"/>
        </w:sectPr>
      </w:pPr>
    </w:p>
    <w:bookmarkStart w:id="168" w:name="page169"/>
    <w:bookmarkEnd w:id="168"/>
    <w:p>
      <w:pPr>
        <w:ind w:left="3140"/>
        <w:spacing w:after="0"/>
        <w:rPr>
          <w:sz w:val="20"/>
          <w:szCs w:val="20"/>
          <w:color w:val="auto"/>
        </w:rPr>
      </w:pPr>
      <w:r>
        <w:rPr>
          <w:rFonts w:ascii="Times New Roman" w:cs="Times New Roman" w:eastAsia="Times New Roman" w:hAnsi="Times New Roman"/>
          <w:sz w:val="22"/>
          <w:szCs w:val="22"/>
          <w:b w:val="1"/>
          <w:bCs w:val="1"/>
          <w:color w:val="auto"/>
        </w:rPr>
        <w:t>FORM OF ACKNOWLEDGEMENT AGREEMENT</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PERTAINING TO THE PELOTON INTERACTIVE, INC. POLICY FOR RECOVERY OF INCENTIVE-BASED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consideration of, and as a condition to, the receipt of future cash and equity incentive compensation from Peloton Interactive,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_________________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the Company are entering into this Acknowledgement Agreement.</w:t>
      </w:r>
    </w:p>
    <w:p>
      <w:pPr>
        <w:spacing w:after="0" w:line="173" w:lineRule="exact"/>
        <w:rPr>
          <w:sz w:val="20"/>
          <w:szCs w:val="20"/>
          <w:color w:val="auto"/>
        </w:rPr>
      </w:pPr>
    </w:p>
    <w:p>
      <w:pPr>
        <w:jc w:val="both"/>
        <w:ind w:left="660" w:hanging="328"/>
        <w:spacing w:after="0" w:line="253" w:lineRule="auto"/>
        <w:tabs>
          <w:tab w:leader="none" w:pos="6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compensation payable to Executive may be subject to reduction, cancellation, forfeiture and/or recoupment to the extent necessary to comply with the Company’s (a) Policy for Recovery of Incentive-Based Compensation (as amended from time to time,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and (b) any Other Recovery Arrangements (as defined in the Policy). Executive acknowledges that Executive has received and has had an opportunity to review the Policy and any Other Recovery Arrangements applicable to Executive.</w:t>
      </w:r>
    </w:p>
    <w:p>
      <w:pPr>
        <w:spacing w:after="0" w:line="178"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to the terms of the Policy and any Other Recovery Arrangements, including that any compensation received by Executive shall be subject to and conditioned upon the provisions of the Policy and any Other Recovery Arrangements applicable to Executive.</w:t>
      </w:r>
    </w:p>
    <w:p>
      <w:pPr>
        <w:spacing w:after="0" w:line="186" w:lineRule="exact"/>
        <w:rPr>
          <w:rFonts w:ascii="Times New Roman" w:cs="Times New Roman" w:eastAsia="Times New Roman" w:hAnsi="Times New Roman"/>
          <w:sz w:val="22"/>
          <w:szCs w:val="22"/>
          <w:color w:val="auto"/>
        </w:rPr>
      </w:pPr>
    </w:p>
    <w:p>
      <w:pPr>
        <w:jc w:val="both"/>
        <w:ind w:left="660" w:right="20" w:hanging="328"/>
        <w:spacing w:after="0" w:line="257" w:lineRule="auto"/>
        <w:tabs>
          <w:tab w:leader="none" w:pos="6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further acknowledges and agrees that Executive is not entitled to indemnification in connection with any enforcement of the Policy or any Other Recovery Arrangements applicable to Executive and expressly waives any rights to such indemnification under the Company’s organizational documents or otherwise.</w:t>
      </w:r>
    </w:p>
    <w:p>
      <w:pPr>
        <w:spacing w:after="0" w:line="172" w:lineRule="exact"/>
        <w:rPr>
          <w:rFonts w:ascii="Times New Roman" w:cs="Times New Roman" w:eastAsia="Times New Roman" w:hAnsi="Times New Roman"/>
          <w:sz w:val="22"/>
          <w:szCs w:val="22"/>
          <w:color w:val="auto"/>
        </w:rPr>
      </w:pPr>
    </w:p>
    <w:p>
      <w:pPr>
        <w:jc w:val="both"/>
        <w:ind w:left="660" w:hanging="328"/>
        <w:spacing w:after="0" w:line="256" w:lineRule="auto"/>
        <w:tabs>
          <w:tab w:leader="none" w:pos="6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to take all actions requested by the Company in order to enable or facilitate the enforcement of the Policy and any Other Recovery Arrangements applicable to Executive (including, without limitation, any reduction, cancellation, forfeiture or recoupment of any compensation that Executive has received or to which Executive may become entitled).</w:t>
      </w:r>
    </w:p>
    <w:p>
      <w:pPr>
        <w:spacing w:after="0" w:line="176" w:lineRule="exact"/>
        <w:rPr>
          <w:rFonts w:ascii="Times New Roman" w:cs="Times New Roman" w:eastAsia="Times New Roman" w:hAnsi="Times New Roman"/>
          <w:sz w:val="22"/>
          <w:szCs w:val="22"/>
          <w:color w:val="auto"/>
        </w:rPr>
      </w:pPr>
    </w:p>
    <w:p>
      <w:pPr>
        <w:jc w:val="both"/>
        <w:ind w:left="660" w:hanging="328"/>
        <w:spacing w:after="0" w:line="251" w:lineRule="auto"/>
        <w:tabs>
          <w:tab w:leader="none" w:pos="6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recovery right under the Policy and any Other Recovery Arrangements applicable to Executive conflicts with any other contractual rights Executive may have with the Company or any affiliate, Executive understands that the terms of the Policy and the Other Recovery Arrangements shall supersede any such contractual rights. Executive agrees that no recovery of compensation under the Policy and the Other Recovery Arrangements will give rise to Executive’s right to resign for “good reason” or due to a “constructive termination” (or similar term or like effect) under any plan, program or policy of or agreement with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8" w:right="339" w:bottom="1440" w:gutter="0" w:footer="0" w:header="0"/>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2854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2854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2854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PELOTON INTERACTIVE,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2854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2854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2854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0"/>
          <w:szCs w:val="20"/>
          <w:color w:val="auto"/>
        </w:rPr>
        <w:t>2</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1)"/>
      <w:numFmt w:val="decimal"/>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1)"/>
      <w:numFmt w:val="decimal"/>
      <w:start w:val="1"/>
    </w:lvl>
  </w:abstractNum>
  <w:abstractNum w:abstractNumId="34">
    <w:nsid w:val="60B6DF70"/>
    <w:multiLevelType w:val="hybridMultilevel"/>
    <w:lvl w:ilvl="0">
      <w:lvlJc w:val="left"/>
      <w:lvlText w:val="(%1)"/>
      <w:numFmt w:val="decimal"/>
      <w:start w:val="5"/>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1)"/>
      <w:numFmt w:val="decimal"/>
      <w:start w:val="1"/>
    </w:lvl>
  </w:abstractNum>
  <w:abstractNum w:abstractNumId="37">
    <w:nsid w:val="7FFFCA11"/>
    <w:multiLevelType w:val="hybridMultilevel"/>
    <w:lvl w:ilvl="0">
      <w:lvlJc w:val="left"/>
      <w:lvlText w:val="(%1)"/>
      <w:numFmt w:val="decimal"/>
      <w:start w:val="2"/>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1)"/>
      <w:numFmt w:val="decimal"/>
      <w:start w:val="1"/>
    </w:lvl>
  </w:abstractNum>
  <w:abstractNum w:abstractNumId="42">
    <w:nsid w:val="6EB5BD4"/>
    <w:multiLevelType w:val="hybridMultilevel"/>
    <w:lvl w:ilvl="0">
      <w:lvlJc w:val="left"/>
      <w:lvlText w:val="(%1)"/>
      <w:numFmt w:val="decimal"/>
      <w:start w:val="1"/>
    </w:lvl>
  </w:abstractNum>
  <w:abstractNum w:abstractNumId="43">
    <w:nsid w:val="6F6DD9AC"/>
    <w:multiLevelType w:val="hybridMultilevel"/>
    <w:lvl w:ilvl="0">
      <w:lvlJc w:val="left"/>
      <w:lvlText w:val="(%1)"/>
      <w:numFmt w:val="decimal"/>
      <w:start w:val="1"/>
    </w:lvl>
  </w:abstractNum>
  <w:abstractNum w:abstractNumId="44">
    <w:nsid w:val="94211F2"/>
    <w:multiLevelType w:val="hybridMultilevel"/>
    <w:lvl w:ilvl="0">
      <w:lvlJc w:val="left"/>
      <w:lvlText w:val="(%1)"/>
      <w:numFmt w:val="decimal"/>
      <w:start w:val="2"/>
    </w:lvl>
  </w:abstractNum>
  <w:abstractNum w:abstractNumId="45">
    <w:nsid w:val="885E1B"/>
    <w:multiLevelType w:val="hybridMultilevel"/>
    <w:lvl w:ilvl="0">
      <w:lvlJc w:val="left"/>
      <w:lvlText w:val="(%1)"/>
      <w:numFmt w:val="decimal"/>
      <w:start w:val="1"/>
    </w:lvl>
  </w:abstractNum>
  <w:abstractNum w:abstractNumId="46">
    <w:nsid w:val="76272110"/>
    <w:multiLevelType w:val="hybridMultilevel"/>
    <w:lvl w:ilvl="0">
      <w:lvlJc w:val="left"/>
      <w:lvlText w:val="(%1)"/>
      <w:numFmt w:val="decimal"/>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1)"/>
      <w:numFmt w:val="decimal"/>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1."/>
      <w:numFmt w:val="decimal"/>
      <w:start w:val="1"/>
    </w:lvl>
  </w:abstractNum>
  <w:abstractNum w:abstractNumId="56">
    <w:nsid w:val="39EE015C"/>
    <w:multiLevelType w:val="hybridMultilevel"/>
    <w:lvl w:ilvl="0">
      <w:lvlJc w:val="left"/>
      <w:lvlText w:val="%1"/>
      <w:numFmt w:val="decimal"/>
      <w:start w:val="1"/>
    </w:lvl>
    <w:lvl w:ilvl="1">
      <w:lvlJc w:val="left"/>
      <w:lvlText w:val="%2."/>
      <w:numFmt w:val="decimal"/>
      <w:start w:val="4"/>
    </w:lvl>
  </w:abstractNum>
  <w:abstractNum w:abstractNumId="57">
    <w:nsid w:val="57FC4FBB"/>
    <w:multiLevelType w:val="hybridMultilevel"/>
    <w:lvl w:ilvl="0">
      <w:lvlJc w:val="left"/>
      <w:lvlText w:val="%1."/>
      <w:numFmt w:val="decimal"/>
      <w:start w:val="15"/>
    </w:lvl>
    <w:lvl w:ilvl="1">
      <w:lvlJc w:val="left"/>
      <w:lvlText w:val="%2."/>
      <w:numFmt w:val="decimal"/>
      <w:start w:val="6"/>
    </w:lvl>
  </w:abstractNum>
  <w:abstractNum w:abstractNumId="58">
    <w:nsid w:val="CC1016F"/>
    <w:multiLevelType w:val="hybridMultilevel"/>
    <w:lvl w:ilvl="0">
      <w:lvlJc w:val="left"/>
      <w:lvlText w:val="(%1)"/>
      <w:numFmt w:val="lowerLetter"/>
      <w:start w:val="1"/>
    </w:lvl>
  </w:abstractNum>
  <w:abstractNum w:abstractNumId="59">
    <w:nsid w:val="43F18422"/>
    <w:multiLevelType w:val="hybridMultilevel"/>
    <w:lvl w:ilvl="0">
      <w:lvlJc w:val="left"/>
      <w:lvlText w:val="(%1)"/>
      <w:numFmt w:val="lowerLetter"/>
      <w:start w:val="2"/>
    </w:lvl>
  </w:abstractNum>
  <w:abstractNum w:abstractNumId="60">
    <w:nsid w:val="60EF0119"/>
    <w:multiLevelType w:val="hybridMultilevel"/>
    <w:lvl w:ilvl="0">
      <w:lvlJc w:val="left"/>
      <w:lvlText w:val="%1."/>
      <w:numFmt w:val="decimal"/>
      <w:start w:val="10"/>
    </w:lvl>
    <w:lvl w:ilvl="1">
      <w:lvlJc w:val="left"/>
      <w:lvlText w:val="*"/>
      <w:numFmt w:val="bullet"/>
      <w:start w:val="1"/>
    </w:lvl>
  </w:abstractNum>
  <w:abstractNum w:abstractNumId="61">
    <w:nsid w:val="26F324BA"/>
    <w:multiLevelType w:val="hybridMultilevel"/>
    <w:lvl w:ilvl="0">
      <w:lvlJc w:val="left"/>
      <w:lvlText w:val="%1."/>
      <w:numFmt w:val="decimal"/>
      <w:start w:val="1"/>
    </w:lvl>
  </w:abstractNum>
  <w:abstractNum w:abstractNumId="62">
    <w:nsid w:val="7F01579B"/>
    <w:multiLevelType w:val="hybridMultilevel"/>
    <w:lvl w:ilvl="0">
      <w:lvlJc w:val="left"/>
      <w:lvlText w:val="%1."/>
      <w:numFmt w:val="decimal"/>
      <w:start w:val="4"/>
    </w:lvl>
  </w:abstractNum>
  <w:abstractNum w:abstractNumId="63">
    <w:nsid w:val="49DA307D"/>
    <w:multiLevelType w:val="hybridMultilevel"/>
    <w:lvl w:ilvl="0">
      <w:lvlJc w:val="left"/>
      <w:lvlText w:val="%1."/>
      <w:numFmt w:val="decimal"/>
      <w:start w:val="7"/>
    </w:lvl>
  </w:abstractNum>
  <w:abstractNum w:abstractNumId="64">
    <w:nsid w:val="7055A5F5"/>
    <w:multiLevelType w:val="hybridMultilevel"/>
    <w:lvl w:ilvl="0">
      <w:lvlJc w:val="left"/>
      <w:lvlText w:val="%1."/>
      <w:numFmt w:val="decimal"/>
      <w:start w:val="8"/>
    </w:lvl>
  </w:abstractNum>
  <w:abstractNum w:abstractNumId="65">
    <w:nsid w:val="5FB8370B"/>
    <w:multiLevelType w:val="hybridMultilevel"/>
    <w:lvl w:ilvl="0">
      <w:lvlJc w:val="left"/>
      <w:lvlText w:val="%1."/>
      <w:numFmt w:val="lowerLetter"/>
      <w:start w:val="1"/>
    </w:lvl>
  </w:abstractNum>
  <w:abstractNum w:abstractNumId="66">
    <w:nsid w:val="50801EE1"/>
    <w:multiLevelType w:val="hybridMultilevel"/>
    <w:lvl w:ilvl="0">
      <w:lvlJc w:val="left"/>
      <w:lvlText w:val="%1."/>
      <w:numFmt w:val="decimal"/>
      <w:start w:val="10"/>
    </w:lvl>
  </w:abstractNum>
  <w:abstractNum w:abstractNumId="67">
    <w:nsid w:val="488AC1A"/>
    <w:multiLevelType w:val="hybridMultilevel"/>
    <w:lvl w:ilvl="0">
      <w:lvlJc w:val="left"/>
      <w:lvlText w:val="%1."/>
      <w:numFmt w:val="decimal"/>
      <w:start w:val="13"/>
    </w:lvl>
    <w:lvl w:ilvl="1">
      <w:lvlJc w:val="left"/>
      <w:lvlText w:val="*"/>
      <w:numFmt w:val="bullet"/>
      <w:start w:val="1"/>
    </w:lvl>
  </w:abstractNum>
  <w:abstractNum w:abstractNumId="68">
    <w:nsid w:val="5FB8011C"/>
    <w:multiLevelType w:val="hybridMultilevel"/>
    <w:lvl w:ilvl="0">
      <w:lvlJc w:val="left"/>
      <w:lvlText w:val="%1."/>
      <w:numFmt w:val="decimal"/>
      <w:start w:val="1"/>
    </w:lvl>
  </w:abstractNum>
  <w:abstractNum w:abstractNumId="69">
    <w:nsid w:val="6AA78F7F"/>
    <w:multiLevelType w:val="hybridMultilevel"/>
    <w:lvl w:ilvl="0">
      <w:lvlJc w:val="left"/>
      <w:lvlText w:val="(%1)"/>
      <w:numFmt w:val="lowerLetter"/>
      <w:start w:val="1"/>
    </w:lvl>
  </w:abstractNum>
  <w:abstractNum w:abstractNumId="70">
    <w:nsid w:val="7672BD23"/>
    <w:multiLevelType w:val="hybridMultilevel"/>
    <w:lvl w:ilvl="0">
      <w:lvlJc w:val="left"/>
      <w:lvlText w:val="%1."/>
      <w:numFmt w:val="decimal"/>
      <w:start w:val="2"/>
    </w:lvl>
  </w:abstractNum>
  <w:abstractNum w:abstractNumId="71">
    <w:nsid w:val="6FC75AF8"/>
    <w:multiLevelType w:val="hybridMultilevel"/>
    <w:lvl w:ilvl="0">
      <w:lvlJc w:val="left"/>
      <w:lvlText w:val="(%1)"/>
      <w:numFmt w:val="lowerLetter"/>
      <w:start w:val="1"/>
    </w:lvl>
    <w:lvl w:ilvl="1">
      <w:lvlJc w:val="left"/>
      <w:lvlText w:val="(%2)"/>
      <w:numFmt w:val="lowerLetter"/>
      <w:start w:val="9"/>
    </w:lvl>
  </w:abstractNum>
  <w:abstractNum w:abstractNumId="72">
    <w:nsid w:val="6A5F7029"/>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abstractNum>
  <w:abstractNum w:abstractNumId="73">
    <w:nsid w:val="7D5E18F8"/>
    <w:multiLevelType w:val="hybridMultilevel"/>
    <w:lvl w:ilvl="0">
      <w:lvlJc w:val="left"/>
      <w:lvlText w:val="%1"/>
      <w:numFmt w:val="upperLetter"/>
      <w:start w:val="1"/>
    </w:lvl>
    <w:lvl w:ilvl="1">
      <w:lvlJc w:val="left"/>
      <w:lvlText w:val="(%2)"/>
      <w:numFmt w:val="lowerRoman"/>
      <w:start w:val="3"/>
    </w:lvl>
    <w:lvl w:ilvl="2">
      <w:lvlJc w:val="left"/>
      <w:lvlText w:val="%3"/>
      <w:numFmt w:val="lowerRoman"/>
      <w:start w:val="1"/>
    </w:lvl>
  </w:abstractNum>
  <w:abstractNum w:abstractNumId="74">
    <w:nsid w:val="5F3534A4"/>
    <w:multiLevelType w:val="hybridMultilevel"/>
    <w:lvl w:ilvl="0">
      <w:lvlJc w:val="left"/>
      <w:lvlText w:val="(%1)"/>
      <w:numFmt w:val="upperLetter"/>
      <w:start w:val="3"/>
    </w:lvl>
    <w:lvl w:ilvl="1">
      <w:lvlJc w:val="left"/>
      <w:lvlText w:val="%2"/>
      <w:numFmt w:val="lowerRoman"/>
      <w:start w:val="1"/>
    </w:lvl>
    <w:lvl w:ilvl="2">
      <w:lvlJc w:val="left"/>
      <w:lvlText w:val="%3"/>
      <w:numFmt w:val="lowerRoman"/>
      <w:start w:val="1"/>
    </w:lvl>
  </w:abstractNum>
  <w:abstractNum w:abstractNumId="75">
    <w:nsid w:val="73A1821B"/>
    <w:multiLevelType w:val="hybridMultilevel"/>
    <w:lvl w:ilvl="0">
      <w:lvlJc w:val="left"/>
      <w:lvlText w:val="%1."/>
      <w:numFmt w:val="decimal"/>
      <w:start w:val="3"/>
    </w:lvl>
  </w:abstractNum>
  <w:abstractNum w:abstractNumId="76">
    <w:nsid w:val="7DE67713"/>
    <w:multiLevelType w:val="hybridMultilevel"/>
    <w:lvl w:ilvl="0">
      <w:lvlJc w:val="left"/>
      <w:lvlText w:val="(%1)"/>
      <w:numFmt w:val="lowerLetter"/>
      <w:start w:val="1"/>
    </w:lvl>
  </w:abstractNum>
  <w:abstractNum w:abstractNumId="77">
    <w:nsid w:val="555C55B5"/>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78">
    <w:nsid w:val="3FA62AC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Letter"/>
      <w:start w:val="22"/>
    </w:lvl>
  </w:abstractNum>
  <w:abstractNum w:abstractNumId="79">
    <w:nsid w:val="14FCE74E"/>
    <w:multiLevelType w:val="hybridMultilevel"/>
    <w:lvl w:ilvl="0">
      <w:lvlJc w:val="left"/>
      <w:lvlText w:val="%1."/>
      <w:numFmt w:val="decimal"/>
      <w:start w:val="4"/>
    </w:lvl>
    <w:lvl w:ilvl="1">
      <w:lvlJc w:val="left"/>
      <w:lvlText w:val="(%2)"/>
      <w:numFmt w:val="lowerLetter"/>
      <w:start w:val="1"/>
    </w:lvl>
  </w:abstractNum>
  <w:abstractNum w:abstractNumId="80">
    <w:nsid w:val="6A3DD3E8"/>
    <w:multiLevelType w:val="hybridMultilevel"/>
    <w:lvl w:ilvl="0">
      <w:lvlJc w:val="left"/>
      <w:lvlText w:val="%1"/>
      <w:numFmt w:val="lowerLetter"/>
      <w:start w:val="1"/>
    </w:lvl>
    <w:lvl w:ilvl="1">
      <w:lvlJc w:val="left"/>
      <w:lvlText w:val="(%2)"/>
      <w:numFmt w:val="lowerLetter"/>
      <w:start w:val="2"/>
    </w:lvl>
  </w:abstractNum>
  <w:abstractNum w:abstractNumId="81">
    <w:nsid w:val="71C91298"/>
    <w:multiLevelType w:val="hybridMultilevel"/>
    <w:lvl w:ilvl="0">
      <w:lvlJc w:val="left"/>
      <w:lvlText w:val="(%1)"/>
      <w:numFmt w:val="lowerLetter"/>
      <w:start w:val="35"/>
    </w:lvl>
    <w:lvl w:ilvl="1">
      <w:lvlJc w:val="left"/>
      <w:lvlText w:val="%2"/>
      <w:numFmt w:val="lowerLetter"/>
      <w:start w:val="1"/>
    </w:lvl>
  </w:abstractNum>
  <w:abstractNum w:abstractNumId="82">
    <w:nsid w:val="9DAF632"/>
    <w:multiLevelType w:val="hybridMultilevel"/>
    <w:lvl w:ilvl="0">
      <w:lvlJc w:val="left"/>
      <w:lvlText w:val="%1."/>
      <w:numFmt w:val="decimal"/>
      <w:start w:val="7"/>
    </w:lvl>
    <w:lvl w:ilvl="1">
      <w:lvlJc w:val="left"/>
      <w:lvlText w:val="(%2)"/>
      <w:numFmt w:val="lowerLetter"/>
      <w:start w:val="1"/>
    </w:lvl>
  </w:abstractNum>
  <w:abstractNum w:abstractNumId="83">
    <w:nsid w:val="53299938"/>
    <w:multiLevelType w:val="hybridMultilevel"/>
    <w:lvl w:ilvl="0">
      <w:lvlJc w:val="left"/>
      <w:lvlText w:val="%1"/>
      <w:numFmt w:val="decimal"/>
      <w:start w:val="1"/>
    </w:lvl>
    <w:lvl w:ilvl="1">
      <w:lvlJc w:val="left"/>
      <w:lvlText w:val="(%2)"/>
      <w:numFmt w:val="lowerLetter"/>
      <w:start w:val="3"/>
    </w:lvl>
  </w:abstractNum>
  <w:abstractNum w:abstractNumId="84">
    <w:nsid w:val="1FBFE8E0"/>
    <w:multiLevelType w:val="hybridMultilevel"/>
    <w:lvl w:ilvl="0">
      <w:lvlJc w:val="left"/>
      <w:lvlText w:val="%1."/>
      <w:numFmt w:val="decimal"/>
      <w:start w:val="8"/>
    </w:lvl>
    <w:lvl w:ilvl="1">
      <w:lvlJc w:val="left"/>
      <w:lvlText w:val="%2"/>
      <w:numFmt w:val="lowerLetter"/>
      <w:start w:val="1"/>
    </w:lvl>
  </w:abstractNum>
  <w:abstractNum w:abstractNumId="85">
    <w:nsid w:val="5092CA79"/>
    <w:multiLevelType w:val="hybridMultilevel"/>
    <w:lvl w:ilvl="0">
      <w:lvlJc w:val="left"/>
      <w:lvlText w:val="%1."/>
      <w:numFmt w:val="decimal"/>
      <w:start w:val="10"/>
    </w:lvl>
  </w:abstractNum>
  <w:abstractNum w:abstractNumId="86">
    <w:nsid w:val="1D545C4D"/>
    <w:multiLevelType w:val="hybridMultilevel"/>
    <w:lvl w:ilvl="0">
      <w:lvlJc w:val="left"/>
      <w:lvlText w:val="%1."/>
      <w:numFmt w:val="decimal"/>
      <w:start w:val="11"/>
    </w:lvl>
  </w:abstractNum>
  <w:abstractNum w:abstractNumId="87">
    <w:nsid w:val="59ADEA3D"/>
    <w:multiLevelType w:val="hybridMultilevel"/>
    <w:lvl w:ilvl="0">
      <w:lvlJc w:val="left"/>
      <w:lvlText w:val="(%1)"/>
      <w:numFmt w:val="lowerLetter"/>
      <w:start w:val="1"/>
    </w:lvl>
  </w:abstractNum>
  <w:abstractNum w:abstractNumId="88">
    <w:nsid w:val="288F1A34"/>
    <w:multiLevelType w:val="hybridMultilevel"/>
    <w:lvl w:ilvl="0">
      <w:lvlJc w:val="left"/>
      <w:lvlText w:val="%1."/>
      <w:numFmt w:val="decimal"/>
      <w:start w:val="12"/>
    </w:lvl>
  </w:abstractNum>
  <w:abstractNum w:abstractNumId="89">
    <w:nsid w:val="2A155DBC"/>
    <w:multiLevelType w:val="hybridMultilevel"/>
    <w:lvl w:ilvl="0">
      <w:lvlJc w:val="left"/>
      <w:lvlText w:val="(%1)"/>
      <w:numFmt w:val="lowerLetter"/>
      <w:start w:val="1"/>
    </w:lvl>
  </w:abstractNum>
  <w:abstractNum w:abstractNumId="90">
    <w:nsid w:val="1D9F6E5F"/>
    <w:multiLevelType w:val="hybridMultilevel"/>
    <w:lvl w:ilvl="0">
      <w:lvlJc w:val="left"/>
      <w:lvlText w:val="(%1)"/>
      <w:numFmt w:val="lowerLetter"/>
      <w:start w:val="2"/>
    </w:lvl>
  </w:abstractNum>
  <w:abstractNum w:abstractNumId="91">
    <w:nsid w:val="97E1B4E"/>
    <w:multiLevelType w:val="hybridMultilevel"/>
    <w:lvl w:ilvl="0">
      <w:lvlJc w:val="left"/>
      <w:lvlText w:val="%1."/>
      <w:numFmt w:val="decimal"/>
      <w:start w:val="13"/>
    </w:lvl>
  </w:abstractNum>
  <w:abstractNum w:abstractNumId="92">
    <w:nsid w:val="51088277"/>
    <w:multiLevelType w:val="hybridMultilevel"/>
    <w:lvl w:ilvl="0">
      <w:lvlJc w:val="left"/>
      <w:lvlText w:val="%1."/>
      <w:numFmt w:val="decimal"/>
      <w:start w:val="20"/>
    </w:lvl>
  </w:abstractNum>
  <w:abstractNum w:abstractNumId="93">
    <w:nsid w:val="1CA0C5FA"/>
    <w:multiLevelType w:val="hybridMultilevel"/>
    <w:lvl w:ilvl="0">
      <w:lvlJc w:val="left"/>
      <w:lvlText w:val="(%1)"/>
      <w:numFmt w:val="lowerRoman"/>
      <w:start w:val="4"/>
    </w:lvl>
    <w:lvl w:ilvl="1">
      <w:lvlJc w:val="left"/>
      <w:lvlText w:val="%2."/>
      <w:numFmt w:val="decimal"/>
      <w:start w:val="23"/>
    </w:lvl>
  </w:abstractNum>
  <w:abstractNum w:abstractNumId="94">
    <w:nsid w:val="53584BCB"/>
    <w:multiLevelType w:val="hybridMultilevel"/>
    <w:lvl w:ilvl="0">
      <w:lvlJc w:val="left"/>
      <w:lvlText w:val="%1."/>
      <w:numFmt w:val="decimal"/>
      <w:start w:val="24"/>
    </w:lvl>
  </w:abstractNum>
  <w:abstractNum w:abstractNumId="95">
    <w:nsid w:val="415E286C"/>
    <w:multiLevelType w:val="hybridMultilevel"/>
    <w:lvl w:ilvl="0">
      <w:lvlJc w:val="left"/>
      <w:lvlText w:val="%1."/>
      <w:numFmt w:val="decimal"/>
      <w:start w:val="1"/>
    </w:lvl>
    <w:lvl w:ilvl="1">
      <w:lvlJc w:val="left"/>
      <w:lvlText w:val="(%2)"/>
      <w:numFmt w:val="lowerLetter"/>
      <w:start w:val="1"/>
    </w:lvl>
  </w:abstractNum>
  <w:abstractNum w:abstractNumId="96">
    <w:nsid w:val="7C58FD05"/>
    <w:multiLevelType w:val="hybridMultilevel"/>
    <w:lvl w:ilvl="0">
      <w:lvlJc w:val="left"/>
      <w:lvlText w:val="%1"/>
      <w:numFmt w:val="decimal"/>
      <w:start w:val="1"/>
    </w:lvl>
    <w:lvl w:ilvl="1">
      <w:lvlJc w:val="left"/>
      <w:lvlText w:val="(%2)"/>
      <w:numFmt w:val="lowerLetter"/>
      <w:start w:val="4"/>
    </w:lvl>
  </w:abstractNum>
  <w:abstractNum w:abstractNumId="97">
    <w:nsid w:val="23D86AAC"/>
    <w:multiLevelType w:val="hybridMultilevel"/>
    <w:lvl w:ilvl="0">
      <w:lvlJc w:val="left"/>
      <w:lvlText w:val="%1."/>
      <w:numFmt w:val="decimal"/>
      <w:start w:val="3"/>
    </w:lvl>
    <w:lvl w:ilvl="1">
      <w:lvlJc w:val="left"/>
      <w:lvlText w:val="%2"/>
      <w:numFmt w:val="lowerLetter"/>
      <w:start w:val="1"/>
    </w:lvl>
  </w:abstractNum>
  <w:abstractNum w:abstractNumId="98">
    <w:nsid w:val="45E6D486"/>
    <w:multiLevelType w:val="hybridMultilevel"/>
    <w:lvl w:ilvl="0">
      <w:lvlJc w:val="left"/>
      <w:lvlText w:val="%1."/>
      <w:numFmt w:val="decimal"/>
      <w:start w:val="6"/>
    </w:lvl>
    <w:lvl w:ilvl="1">
      <w:lvlJc w:val="left"/>
      <w:lvlText w:val="(%2)"/>
      <w:numFmt w:val="decimal"/>
      <w:start w:val="1"/>
    </w:lvl>
    <w:lvl w:ilvl="2">
      <w:lvlJc w:val="left"/>
      <w:lvlText w:val="(%3)"/>
      <w:numFmt w:val="decimal"/>
      <w:start w:val="3"/>
    </w:lvl>
  </w:abstractNum>
  <w:abstractNum w:abstractNumId="99">
    <w:nsid w:val="5C10FE21"/>
    <w:multiLevelType w:val="hybridMultilevel"/>
    <w:lvl w:ilvl="0">
      <w:lvlJc w:val="left"/>
      <w:lvlText w:val="%1."/>
      <w:numFmt w:val="decimal"/>
      <w:start w:val="8"/>
    </w:lvl>
  </w:abstractNum>
  <w:abstractNum w:abstractNumId="100">
    <w:nsid w:val="E7FFA2B"/>
    <w:multiLevelType w:val="hybridMultilevel"/>
    <w:lvl w:ilvl="0">
      <w:lvlJc w:val="left"/>
      <w:lvlText w:val="%1."/>
      <w:numFmt w:val="decimal"/>
      <w:start w:val="1"/>
    </w:lvl>
  </w:abstractNum>
  <w:abstractNum w:abstractNumId="101">
    <w:nsid w:val="3C5991AA"/>
    <w:multiLevelType w:val="hybridMultilevel"/>
    <w:lvl w:ilvl="0">
      <w:lvlJc w:val="left"/>
      <w:lvlText w:val="%1."/>
      <w:numFmt w:val="decimal"/>
      <w:start w:val="4"/>
    </w:lvl>
    <w:lvl w:ilvl="1">
      <w:lvlJc w:val="left"/>
      <w:lvlText w:val="%2."/>
      <w:numFmt w:val="lowerLetter"/>
      <w:start w:val="1"/>
    </w:lvl>
  </w:abstractNum>
  <w:abstractNum w:abstractNumId="102">
    <w:nsid w:val="4BD8591A"/>
    <w:multiLevelType w:val="hybridMultilevel"/>
    <w:lvl w:ilvl="0">
      <w:lvlJc w:val="left"/>
      <w:lvlText w:val="%1."/>
      <w:numFmt w:val="decimal"/>
      <w:start w:val="7"/>
    </w:lvl>
    <w:lvl w:ilvl="1">
      <w:lvlJc w:val="left"/>
      <w:lvlText w:val="%2."/>
      <w:numFmt w:val="lowerLetter"/>
      <w:start w:val="1"/>
    </w:lvl>
  </w:abstractNum>
  <w:abstractNum w:abstractNumId="103">
    <w:nsid w:val="78DF6A55"/>
    <w:multiLevelType w:val="hybridMultilevel"/>
    <w:lvl w:ilvl="0">
      <w:lvlJc w:val="left"/>
      <w:lvlText w:val="%1."/>
      <w:numFmt w:val="decimal"/>
      <w:start w:val="11"/>
    </w:lvl>
  </w:abstractNum>
  <w:abstractNum w:abstractNumId="104">
    <w:nsid w:val="39B7AAA2"/>
    <w:multiLevelType w:val="hybridMultilevel"/>
    <w:lvl w:ilvl="0">
      <w:lvlJc w:val="left"/>
      <w:lvlText w:val="%1."/>
      <w:numFmt w:val="decimal"/>
      <w:start w:val="1"/>
    </w:lvl>
  </w:abstractNum>
  <w:abstractNum w:abstractNumId="105">
    <w:nsid w:val="2B0D8DBE"/>
    <w:multiLevelType w:val="hybridMultilevel"/>
    <w:lvl w:ilvl="0">
      <w:lvlJc w:val="left"/>
      <w:lvlText w:val="%1."/>
      <w:numFmt w:val="decimal"/>
      <w:start w:val="4"/>
    </w:lvl>
    <w:lvl w:ilvl="1">
      <w:lvlJc w:val="left"/>
      <w:lvlText w:val="%2."/>
      <w:numFmt w:val="lowerLetter"/>
      <w:start w:val="1"/>
    </w:lvl>
  </w:abstractNum>
  <w:abstractNum w:abstractNumId="106">
    <w:nsid w:val="6C80EC70"/>
    <w:multiLevelType w:val="hybridMultilevel"/>
    <w:lvl w:ilvl="0">
      <w:lvlJc w:val="left"/>
      <w:lvlText w:val="%1."/>
      <w:numFmt w:val="decimal"/>
      <w:start w:val="7"/>
    </w:lvl>
    <w:lvl w:ilvl="1">
      <w:lvlJc w:val="left"/>
      <w:lvlText w:val="%2."/>
      <w:numFmt w:val="lowerLetter"/>
      <w:start w:val="1"/>
    </w:lvl>
  </w:abstractNum>
  <w:abstractNum w:abstractNumId="107">
    <w:nsid w:val="379E21B5"/>
    <w:multiLevelType w:val="hybridMultilevel"/>
    <w:lvl w:ilvl="0">
      <w:lvlJc w:val="left"/>
      <w:lvlText w:val="%1."/>
      <w:numFmt w:val="decimal"/>
      <w:start w:val="11"/>
    </w:lvl>
  </w:abstractNum>
  <w:abstractNum w:abstractNumId="108">
    <w:nsid w:val="69E373"/>
    <w:multiLevelType w:val="hybridMultilevel"/>
    <w:lvl w:ilvl="0">
      <w:lvlJc w:val="left"/>
      <w:lvlText w:val="%1."/>
      <w:numFmt w:val="decimal"/>
      <w:start w:val="1"/>
    </w:lvl>
    <w:lvl w:ilvl="1">
      <w:lvlJc w:val="left"/>
      <w:lvlText w:val="%2."/>
      <w:numFmt w:val="lowerLetter"/>
      <w:start w:val="1"/>
    </w:lvl>
  </w:abstractNum>
  <w:abstractNum w:abstractNumId="109">
    <w:nsid w:val="2C27173B"/>
    <w:multiLevelType w:val="hybridMultilevel"/>
    <w:lvl w:ilvl="0">
      <w:lvlJc w:val="left"/>
      <w:lvlText w:val="%1."/>
      <w:numFmt w:val="decimal"/>
      <w:start w:val="1"/>
    </w:lvl>
    <w:lvl w:ilvl="1">
      <w:lvlJc w:val="left"/>
      <w:lvlText w:val="%2."/>
      <w:numFmt w:val="lowerLetter"/>
      <w:start w:val="1"/>
    </w:lvl>
  </w:abstractNum>
  <w:abstractNum w:abstractNumId="110">
    <w:nsid w:val="4C9B0904"/>
    <w:multiLevelType w:val="hybridMultilevel"/>
    <w:lvl w:ilvl="0">
      <w:lvlJc w:val="left"/>
      <w:lvlText w:val="%1."/>
      <w:numFmt w:val="decimal"/>
      <w:start w:val="1"/>
    </w:lvl>
    <w:lvl w:ilvl="1">
      <w:lvlJc w:val="left"/>
      <w:lvlText w:val="%2."/>
      <w:numFmt w:val="lowerLetter"/>
      <w:start w:val="1"/>
    </w:lvl>
  </w:abstractNum>
  <w:abstractNum w:abstractNumId="111">
    <w:nsid w:val="6AA7B75C"/>
    <w:multiLevelType w:val="hybridMultilevel"/>
    <w:lvl w:ilvl="0">
      <w:lvlJc w:val="left"/>
      <w:lvlText w:val="%1."/>
      <w:numFmt w:val="decimal"/>
      <w:start w:val="1"/>
    </w:lvl>
  </w:abstractNum>
  <w:abstractNum w:abstractNumId="112">
    <w:nsid w:val="1DF029D3"/>
    <w:multiLevelType w:val="hybridMultilevel"/>
    <w:lvl w:ilvl="0">
      <w:lvlJc w:val="left"/>
      <w:lvlText w:val="%1."/>
      <w:numFmt w:val="decimal"/>
      <w:start w:val="1"/>
    </w:lvl>
  </w:abstractNum>
  <w:abstractNum w:abstractNumId="113">
    <w:nsid w:val="5675FF36"/>
    <w:multiLevelType w:val="hybridMultilevel"/>
    <w:lvl w:ilvl="0">
      <w:lvlJc w:val="left"/>
      <w:lvlText w:val="%1."/>
      <w:numFmt w:val="decimal"/>
      <w:start w:val="1"/>
    </w:lvl>
  </w:abstractNum>
  <w:abstractNum w:abstractNumId="114">
    <w:nsid w:val="3DD15094"/>
    <w:multiLevelType w:val="hybridMultilevel"/>
    <w:lvl w:ilvl="0">
      <w:lvlJc w:val="left"/>
      <w:lvlText w:val="%1."/>
      <w:numFmt w:val="decimal"/>
      <w:start w:val="1"/>
    </w:lvl>
  </w:abstractNum>
  <w:abstractNum w:abstractNumId="115">
    <w:nsid w:val="3DB012B3"/>
    <w:multiLevelType w:val="hybridMultilevel"/>
    <w:lvl w:ilvl="0">
      <w:lvlJc w:val="left"/>
      <w:lvlText w:val="%1."/>
      <w:numFmt w:val="decimal"/>
      <w:start w:val="2"/>
    </w:lvl>
  </w:abstractNum>
  <w:abstractNum w:abstractNumId="116">
    <w:nsid w:val="2708C9AF"/>
    <w:multiLevelType w:val="hybridMultilevel"/>
    <w:lvl w:ilvl="0">
      <w:lvlJc w:val="left"/>
      <w:lvlText w:val="%1."/>
      <w:numFmt w:val="decimal"/>
      <w:start w:val="3"/>
    </w:lvl>
  </w:abstractNum>
  <w:abstractNum w:abstractNumId="117">
    <w:nsid w:val="5B25ACE2"/>
    <w:multiLevelType w:val="hybridMultilevel"/>
    <w:lvl w:ilvl="0">
      <w:lvlJc w:val="left"/>
      <w:lvlText w:val="%1."/>
      <w:numFmt w:val="decimal"/>
      <w:start w:val="4"/>
    </w:lvl>
  </w:abstractNum>
  <w:abstractNum w:abstractNumId="118">
    <w:nsid w:val="175DFCF0"/>
    <w:multiLevelType w:val="hybridMultilevel"/>
    <w:lvl w:ilvl="0">
      <w:lvlJc w:val="left"/>
      <w:lvlText w:val="%1."/>
      <w:numFmt w:val="decimal"/>
      <w:start w:val="5"/>
    </w:lvl>
  </w:abstractNum>
  <w:abstractNum w:abstractNumId="119">
    <w:nsid w:val="4F97E3E4"/>
    <w:multiLevelType w:val="hybridMultilevel"/>
    <w:lvl w:ilvl="0">
      <w:lvlJc w:val="left"/>
      <w:lvlText w:val="%1."/>
      <w:numFmt w:val="decimal"/>
      <w:start w:val="6"/>
    </w:lvl>
  </w:abstractNum>
  <w:abstractNum w:abstractNumId="120">
    <w:nsid w:val="53B0A9E"/>
    <w:multiLevelType w:val="hybridMultilevel"/>
    <w:lvl w:ilvl="0">
      <w:lvlJc w:val="left"/>
      <w:lvlText w:val="%1."/>
      <w:numFmt w:val="decimal"/>
      <w:start w:val="7"/>
    </w:lvl>
  </w:abstractNum>
  <w:abstractNum w:abstractNumId="121">
    <w:nsid w:val="34FD6B4F"/>
    <w:multiLevelType w:val="hybridMultilevel"/>
    <w:lvl w:ilvl="0">
      <w:lvlJc w:val="left"/>
      <w:lvlText w:val="%1."/>
      <w:numFmt w:val="decimal"/>
      <w:start w:val="8"/>
    </w:lvl>
  </w:abstractNum>
  <w:abstractNum w:abstractNumId="122">
    <w:nsid w:val="5915FF32"/>
    <w:multiLevelType w:val="hybridMultilevel"/>
    <w:lvl w:ilvl="0">
      <w:lvlJc w:val="left"/>
      <w:lvlText w:val="%1."/>
      <w:numFmt w:val="decimal"/>
      <w:start w:val="9"/>
    </w:lvl>
  </w:abstractNum>
  <w:abstractNum w:abstractNumId="123">
    <w:nsid w:val="56438D15"/>
    <w:multiLevelType w:val="hybridMultilevel"/>
    <w:lvl w:ilvl="0">
      <w:lvlJc w:val="left"/>
      <w:lvlText w:val="%1."/>
      <w:numFmt w:val="decimal"/>
      <w:start w:val="10"/>
    </w:lvl>
  </w:abstractNum>
  <w:abstractNum w:abstractNumId="124">
    <w:nsid w:val="519E3149"/>
    <w:multiLevelType w:val="hybridMultilevel"/>
    <w:lvl w:ilvl="0">
      <w:lvlJc w:val="left"/>
      <w:lvlText w:val="%1."/>
      <w:numFmt w:val="decimal"/>
      <w:start w:val="11"/>
    </w:lvl>
  </w:abstractNum>
  <w:abstractNum w:abstractNumId="125">
    <w:nsid w:val="2C6E4AFD"/>
    <w:multiLevelType w:val="hybridMultilevel"/>
    <w:lvl w:ilvl="0">
      <w:lvlJc w:val="left"/>
      <w:lvlText w:val="(%1)"/>
      <w:numFmt w:val="lowerLetter"/>
      <w:start w:val="1"/>
    </w:lvl>
  </w:abstractNum>
  <w:abstractNum w:abstractNumId="126">
    <w:nsid w:val="17A1B5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45" Type="http://schemas.openxmlformats.org/officeDocument/2006/relationships/hyperlink" Target="https://www.sec.gov/Archives/edgar/data/1639825/000163982519000018/exhibit31restatedcertifi.htm" TargetMode="External"/><Relationship Id="rId146" Type="http://schemas.openxmlformats.org/officeDocument/2006/relationships/hyperlink" Target="https://www.sec.gov/Archives/edgar/data/1639825/000163982524000041/pton-secondamendedandresta.htm" TargetMode="External"/><Relationship Id="rId147" Type="http://schemas.openxmlformats.org/officeDocument/2006/relationships/hyperlink" Target="https://www.sec.gov/Archives/edgar/data/1639825/000119312519242158/d738839dex41.htm" TargetMode="External"/><Relationship Id="rId148" Type="http://schemas.openxmlformats.org/officeDocument/2006/relationships/hyperlink" Target="https://www.sec.gov/Archives/edgar/data/1639825/000119312519230923/d738839dex42.htm" TargetMode="External"/><Relationship Id="rId149" Type="http://schemas.openxmlformats.org/officeDocument/2006/relationships/hyperlink" Target="https://www.sec.gov/Archives/edgar/data/1639825/000119312524147076/d703266dex41.htm" TargetMode="External"/><Relationship Id="rId150" Type="http://schemas.openxmlformats.org/officeDocument/2006/relationships/hyperlink" Target="https://www.sec.gov/Archives/edgar/data/1639825/000163982520000122/fy202010-kexhibit43des.htm" TargetMode="External"/><Relationship Id="rId151" Type="http://schemas.openxmlformats.org/officeDocument/2006/relationships/hyperlink" Target="https://www.sec.gov/Archives/edgar/data/1639825/000119312519230923/d738839dex101.htm" TargetMode="External"/><Relationship Id="rId152" Type="http://schemas.openxmlformats.org/officeDocument/2006/relationships/hyperlink" Target="https://www.sec.gov/Archives/edgar/data/1639825/000119312519230923/d738839dex102.htm" TargetMode="External"/><Relationship Id="rId153" Type="http://schemas.openxmlformats.org/officeDocument/2006/relationships/hyperlink" Target="https://www.sec.gov/Archives/edgar/data/1639825/000163982522000117/a2019equityincentiveplanex.htm" TargetMode="External"/><Relationship Id="rId156" Type="http://schemas.openxmlformats.org/officeDocument/2006/relationships/hyperlink" Target="https://www.sec.gov/Archives/edgar/data/1639825/000163982523000203/amendmenttothe2019plan2023.htm" TargetMode="External"/><Relationship Id="rId157" Type="http://schemas.openxmlformats.org/officeDocument/2006/relationships/hyperlink" Target="https://www.sec.gov/Archives/edgar/data/1639825/000119312519255141/d807881dex48.htm" TargetMode="External"/><Relationship Id="rId158" Type="http://schemas.openxmlformats.org/officeDocument/2006/relationships/hyperlink" Target="https://www.sec.gov/Archives/edgar/data/1639825/000163982520000122/fy202010-kexhibit108th.htm" TargetMode="External"/><Relationship Id="rId159" Type="http://schemas.openxmlformats.org/officeDocument/2006/relationships/hyperlink" Target="https://www.sec.gov/Archives/edgar/data/1639825/000163982522000014/peloton-mccarthyemployment.htm" TargetMode="External"/><Relationship Id="rId160" Type="http://schemas.openxmlformats.org/officeDocument/2006/relationships/hyperlink" Target="https://www.sec.gov/Archives/edgar/data/1639825/000119312522168349/d100730dex101.htm" TargetMode="External"/><Relationship Id="rId161" Type="http://schemas.openxmlformats.org/officeDocument/2006/relationships/hyperlink" Target="https://www.sec.gov/Archives/edgar/data/1639825/000163982523000132/exhibit109berlandofferlett.htm" TargetMode="External"/><Relationship Id="rId162" Type="http://schemas.openxmlformats.org/officeDocument/2006/relationships/hyperlink" Target="https://www.sec.gov/Archives/edgar/data/1639825/000163982523000132/exhibit1010cotterofferlett.htm" TargetMode="External"/><Relationship Id="rId163" Type="http://schemas.openxmlformats.org/officeDocument/2006/relationships/hyperlink" Target="https://www.sec.gov/Archives/edgar/data/1639825/000163982523000154/exhibit101form8-ka101923.htm" TargetMode="External"/><Relationship Id="rId164" Type="http://schemas.openxmlformats.org/officeDocument/2006/relationships/hyperlink" Target="https://www.sec.gov/Archives/edgar/data/1639825/000163982520000122/fy202010-kexhibit109se.htm" TargetMode="External"/><Relationship Id="rId165" Type="http://schemas.openxmlformats.org/officeDocument/2006/relationships/hyperlink" Target="https://www.sec.gov/Archives/edgar/data/1639825/000119312519242158/d738839dex109.htm" TargetMode="External"/><Relationship Id="rId168" Type="http://schemas.openxmlformats.org/officeDocument/2006/relationships/hyperlink" Target="https://www.sec.gov/Archives/edgar/data/1639825/000119312519242158/d738839dex1010.htm" TargetMode="External"/><Relationship Id="rId169" Type="http://schemas.openxmlformats.org/officeDocument/2006/relationships/hyperlink" Target="https://www.sec.gov/Archives/edgar/data/1639825/000119312524150397/d832347dex101.htm" TargetMode="External"/><Relationship Id="rId170" Type="http://schemas.openxmlformats.org/officeDocument/2006/relationships/hyperlink" Target="https://www.sec.gov/Archives/edgar/data/1639825/000163982523000132/exhibit191insidertradingpo.htm" TargetMode="External"/><Relationship Id="rId171" Type="http://schemas.openxmlformats.org/officeDocument/2006/relationships/hyperlink" Target="https://www.sec.gov/Archives/edgar/data/1639825/000119312519230923/d73883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2024-08-22T16:13:57Z</dcterms:created>
  <dcterms:modified xsi:type="dcterms:W3CDTF">2024-08-22T16:13:57Z</dcterms:modified>
</cp:coreProperties>
</file>