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333"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180" w:after="283"/>
        <w:jc w:val="center"/>
        <w:rPr>
          <w:rFonts w:ascii="Roboto;sans-serif" w:hAnsi="Roboto;sans-serif"/>
          <w:b/>
          <w:color w:val="000000"/>
          <w:sz w:val="36"/>
        </w:rPr>
      </w:pPr>
      <w:r>
        <w:rPr>
          <w:rFonts w:ascii="Roboto;sans-serif" w:hAnsi="Roboto;sans-serif"/>
          <w:b/>
          <w:color w:val="000000"/>
          <w:sz w:val="36"/>
        </w:rPr>
        <w:t>FORM 8-K</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200" w:after="283"/>
        <w:jc w:val="center"/>
        <w:rPr>
          <w:rFonts w:ascii="Roboto;sans-serif" w:hAnsi="Roboto;sans-serif"/>
          <w:b/>
          <w:color w:val="000000"/>
          <w:sz w:val="24"/>
        </w:rPr>
      </w:pPr>
      <w:r>
        <w:rPr>
          <w:rFonts w:ascii="Roboto;sans-serif" w:hAnsi="Roboto;sans-serif"/>
          <w:b/>
          <w:color w:val="000000"/>
          <w:sz w:val="24"/>
        </w:rPr>
        <w:t>CURRENT REPORT</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Pursuant to Section 13 or 15(d) of the</w:t>
      </w:r>
    </w:p>
    <w:p>
      <w:pPr>
        <w:pStyle w:val="TextBody"/>
        <w:bidi w:val="0"/>
        <w:spacing w:lineRule="auto" w:line="333" w:before="0" w:after="0"/>
        <w:jc w:val="center"/>
        <w:rPr>
          <w:rFonts w:ascii="Roboto;sans-serif" w:hAnsi="Roboto;sans-serif"/>
          <w:b/>
          <w:color w:val="000000"/>
          <w:sz w:val="24"/>
        </w:rPr>
      </w:pPr>
      <w:r>
        <w:rPr>
          <w:rFonts w:ascii="Roboto;sans-serif" w:hAnsi="Roboto;sans-serif"/>
          <w:b/>
          <w:color w:val="000000"/>
          <w:sz w:val="24"/>
        </w:rPr>
        <w:t>Securities Exchange Act of 1934</w:t>
      </w:r>
    </w:p>
    <w:p>
      <w:pPr>
        <w:pStyle w:val="TextBody"/>
        <w:bidi w:val="0"/>
        <w:spacing w:lineRule="auto" w:line="333" w:before="180" w:after="283"/>
        <w:jc w:val="center"/>
        <w:rPr>
          <w:rFonts w:ascii="Roboto;sans-serif" w:hAnsi="Roboto;sans-serif"/>
          <w:b/>
          <w:color w:val="000000"/>
          <w:sz w:val="20"/>
        </w:rPr>
      </w:pPr>
      <w:r>
        <w:rPr>
          <w:rFonts w:ascii="Roboto;sans-serif" w:hAnsi="Roboto;sans-serif"/>
          <w:b/>
          <w:color w:val="000000"/>
          <w:sz w:val="20"/>
        </w:rPr>
        <w:t>Date of Report (Date of earliest event reported): August 6, 2026</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44"/>
        </w:rPr>
      </w:pPr>
      <w:r>
        <w:rPr>
          <w:rFonts w:ascii="Roboto;sans-serif" w:hAnsi="Roboto;sans-serif"/>
          <w:b/>
          <w:color w:val="000000"/>
          <w:sz w:val="44"/>
        </w:rPr>
        <w:t>Peloton Interactive, Inc.</w:t>
      </w:r>
    </w:p>
    <w:p>
      <w:pPr>
        <w:pStyle w:val="TextBody"/>
        <w:bidi w:val="0"/>
        <w:spacing w:lineRule="auto" w:line="333" w:before="0" w:after="0"/>
        <w:jc w:val="center"/>
        <w:rPr>
          <w:rFonts w:ascii="Roboto;sans-serif" w:hAnsi="Roboto;sans-serif"/>
          <w:b/>
          <w:color w:val="000000"/>
          <w:sz w:val="14"/>
        </w:rPr>
      </w:pPr>
      <w:r>
        <w:rPr>
          <w:rFonts w:ascii="Roboto;sans-serif" w:hAnsi="Roboto;sans-serif"/>
          <w:b/>
          <w:color w:val="000000"/>
          <w:sz w:val="14"/>
        </w:rPr>
        <w:t>(Exact name of Registrant as Specified in Its Charter)</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tbl>
      <w:tblPr>
        <w:tblW w:w="7244" w:type="dxa"/>
        <w:jc w:val="center"/>
        <w:tblInd w:w="0" w:type="dxa"/>
        <w:tblLayout w:type="fixed"/>
        <w:tblCellMar>
          <w:top w:w="28" w:type="dxa"/>
          <w:left w:w="28" w:type="dxa"/>
          <w:bottom w:w="28" w:type="dxa"/>
          <w:right w:w="28" w:type="dxa"/>
        </w:tblCellMar>
      </w:tblPr>
      <w:tblGrid>
        <w:gridCol w:w="1256"/>
        <w:gridCol w:w="1103"/>
        <w:gridCol w:w="1105"/>
        <w:gridCol w:w="764"/>
        <w:gridCol w:w="764"/>
        <w:gridCol w:w="767"/>
        <w:gridCol w:w="435"/>
        <w:gridCol w:w="435"/>
        <w:gridCol w:w="615"/>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Delaware</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001-39058</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47-3533761</w:t>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Roboto;sans-serif" w:hAnsi="Roboto;sans-serif"/>
                <w:b/>
                <w:color w:val="000000"/>
                <w:sz w:val="14"/>
              </w:rPr>
            </w:pPr>
            <w:r>
              <w:rPr>
                <w:rFonts w:ascii="Roboto;sans-serif" w:hAnsi="Roboto;sans-serif"/>
                <w:b/>
                <w:color w:val="000000"/>
                <w:sz w:val="14"/>
              </w:rPr>
              <w:t>(State or Other Jurisdiction</w:t>
            </w:r>
          </w:p>
          <w:p>
            <w:pPr>
              <w:pStyle w:val="TableContents"/>
              <w:bidi w:val="0"/>
              <w:spacing w:lineRule="auto" w:line="288" w:before="0" w:after="40"/>
              <w:jc w:val="center"/>
              <w:rPr>
                <w:rFonts w:ascii="Roboto;sans-serif" w:hAnsi="Roboto;sans-serif"/>
                <w:b/>
                <w:color w:val="000000"/>
                <w:sz w:val="14"/>
              </w:rPr>
            </w:pPr>
            <w:r>
              <w:rPr>
                <w:rFonts w:ascii="Roboto;sans-serif" w:hAnsi="Roboto;sans-serif"/>
                <w:b/>
                <w:color w:val="000000"/>
                <w:sz w:val="14"/>
              </w:rPr>
              <w:t>of Incorporation)</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(Commission File Number)</w:t>
            </w:r>
          </w:p>
        </w:tc>
        <w:tc>
          <w:tcPr>
            <w:tcW w:w="1485"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Roboto;sans-serif" w:hAnsi="Roboto;sans-serif"/>
                <w:b/>
                <w:color w:val="000000"/>
                <w:sz w:val="14"/>
              </w:rPr>
            </w:pPr>
            <w:r>
              <w:rPr>
                <w:rFonts w:ascii="Roboto;sans-serif" w:hAnsi="Roboto;sans-serif"/>
                <w:b/>
                <w:color w:val="000000"/>
                <w:sz w:val="14"/>
              </w:rPr>
              <w:t>(IRS Employer</w:t>
            </w:r>
          </w:p>
          <w:p>
            <w:pPr>
              <w:pStyle w:val="TableContents"/>
              <w:bidi w:val="0"/>
              <w:spacing w:lineRule="auto" w:line="288" w:before="0" w:after="40"/>
              <w:jc w:val="center"/>
              <w:rPr>
                <w:rFonts w:ascii="Roboto;sans-serif" w:hAnsi="Roboto;sans-serif"/>
                <w:b/>
                <w:color w:val="000000"/>
                <w:sz w:val="14"/>
              </w:rPr>
            </w:pPr>
            <w:r>
              <w:rPr>
                <w:rFonts w:ascii="Roboto;sans-serif" w:hAnsi="Roboto;sans-serif"/>
                <w:b/>
                <w:color w:val="000000"/>
                <w:sz w:val="14"/>
              </w:rPr>
              <w:t>Identification No.)</w:t>
            </w:r>
          </w:p>
        </w:tc>
      </w:tr>
      <w:tr>
        <w:trPr/>
        <w:tc>
          <w:tcPr>
            <w:tcW w:w="3464"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29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85"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20"/>
              </w:rPr>
            </w:pPr>
            <w:r>
              <w:rPr>
                <w:rFonts w:ascii="Roboto;sans-serif" w:hAnsi="Roboto;sans-serif"/>
                <w:b/>
                <w:color w:val="000000"/>
                <w:sz w:val="20"/>
              </w:rPr>
              <w:t xml:space="preserve">441 Ninth Avenue, Sixth Floor </w:t>
            </w:r>
          </w:p>
          <w:p>
            <w:pPr>
              <w:pStyle w:val="TableContents"/>
              <w:bidi w:val="0"/>
              <w:spacing w:lineRule="auto" w:line="288" w:before="0" w:after="0"/>
              <w:jc w:val="center"/>
              <w:rPr>
                <w:rFonts w:ascii="Roboto;sans-serif" w:hAnsi="Roboto;sans-serif"/>
                <w:b/>
                <w:color w:val="000000"/>
                <w:sz w:val="20"/>
              </w:rPr>
            </w:pPr>
            <w:r>
              <w:rPr>
                <w:rFonts w:ascii="Roboto;sans-serif" w:hAnsi="Roboto;sans-serif"/>
                <w:b/>
                <w:color w:val="000000"/>
                <w:sz w:val="20"/>
              </w:rPr>
              <w:t xml:space="preserve">New York, New York </w:t>
            </w:r>
          </w:p>
        </w:tc>
        <w:tc>
          <w:tcPr>
            <w:tcW w:w="229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(Address of Principal Executive Offices)</w:t>
            </w:r>
          </w:p>
        </w:tc>
        <w:tc>
          <w:tcPr>
            <w:tcW w:w="229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5"/>
              </w:rPr>
            </w:pPr>
            <w:r>
              <w:rPr>
                <w:rFonts w:ascii="Roboto;sans-serif" w:hAnsi="Roboto;sans-serif"/>
                <w:b/>
                <w:color w:val="000000"/>
                <w:sz w:val="15"/>
              </w:rPr>
              <w:t>(Zip Code)</w:t>
            </w:r>
          </w:p>
        </w:tc>
      </w:tr>
    </w:tbl>
    <w:p>
      <w:pPr>
        <w:pStyle w:val="TextBody"/>
        <w:bidi w:val="0"/>
        <w:spacing w:lineRule="auto" w:line="333" w:before="240" w:after="283"/>
        <w:jc w:val="center"/>
        <w:rPr>
          <w:rFonts w:ascii="Roboto;sans-serif" w:hAnsi="Roboto;sans-serif"/>
          <w:b/>
          <w:color w:val="000000"/>
          <w:sz w:val="20"/>
        </w:rPr>
      </w:pPr>
      <w:r>
        <w:rPr>
          <w:rFonts w:ascii="Roboto;sans-serif" w:hAnsi="Roboto;sans-serif"/>
          <w:b/>
          <w:color w:val="000000"/>
          <w:sz w:val="20"/>
        </w:rPr>
        <w:t>Registrant’s Telephone Number, Including Area Code: (929) 567-0006</w:t>
      </w:r>
    </w:p>
    <w:p>
      <w:pPr>
        <w:pStyle w:val="TextBody"/>
        <w:bidi w:val="0"/>
        <w:spacing w:before="0" w:after="0"/>
        <w:jc w:val="center"/>
        <w:rPr/>
      </w:pPr>
      <w:r>
        <w:rPr/>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Not Applicable</w:t>
      </w:r>
    </w:p>
    <w:p>
      <w:pPr>
        <w:pStyle w:val="TextBody"/>
        <w:bidi w:val="0"/>
        <w:spacing w:lineRule="auto" w:line="333" w:before="0" w:after="0"/>
        <w:jc w:val="center"/>
        <w:rPr>
          <w:rFonts w:ascii="Roboto;sans-serif" w:hAnsi="Roboto;sans-serif"/>
          <w:b/>
          <w:color w:val="000000"/>
          <w:sz w:val="14"/>
        </w:rPr>
      </w:pPr>
      <w:r>
        <w:rPr>
          <w:rFonts w:ascii="Roboto;sans-serif" w:hAnsi="Roboto;sans-serif"/>
          <w:b/>
          <w:color w:val="000000"/>
          <w:sz w:val="14"/>
        </w:rPr>
        <w:t>(Former Name or Former Address, if Changed Since Last Report)</w:t>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_______________________________________________________</w:t>
      </w:r>
    </w:p>
    <w:p>
      <w:pPr>
        <w:pStyle w:val="TextBody"/>
        <w:bidi w:val="0"/>
        <w:spacing w:lineRule="auto" w:line="333" w:before="180" w:after="283"/>
        <w:jc w:val="left"/>
        <w:rPr>
          <w:rFonts w:ascii="Roboto;sans-serif" w:hAnsi="Roboto;sans-serif"/>
          <w:b w:val="false"/>
          <w:color w:val="000000"/>
          <w:sz w:val="20"/>
        </w:rPr>
      </w:pPr>
      <w:r>
        <w:rPr>
          <w:rFonts w:ascii="Roboto;sans-serif" w:hAnsi="Roboto;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Written communications pursuant to Rule 425 under the Securities Act (17 CFR 230.425)</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Soliciting material pursuant to Rule 14a-12 under the Exchange Act (17 CFR 240.14a-12)</w:t>
      </w:r>
    </w:p>
    <w:p>
      <w:pPr>
        <w:pStyle w:val="TextBody"/>
        <w:bidi w:val="0"/>
        <w:spacing w:lineRule="auto" w:line="333" w:before="180" w:after="283"/>
        <w:ind w:left="0" w:right="0" w:hanging="500"/>
        <w:jc w:val="left"/>
        <w:rPr/>
      </w:pPr>
      <w:r>
        <w:rPr>
          <w:color w:val="000000"/>
        </w:rPr>
        <w:t>☐    </w:t>
      </w:r>
      <w:r>
        <w:rPr>
          <w:rFonts w:ascii="Roboto;sans-serif" w:hAnsi="Roboto;sans-serif"/>
          <w:b w:val="false"/>
          <w:color w:val="000000"/>
          <w:sz w:val="20"/>
        </w:rPr>
        <w:t>Pre-commencement communications pursuant to Rule 14d-2(b) under the Exchange Act (17 CFR 240.14d-2(b))</w:t>
      </w:r>
    </w:p>
    <w:p>
      <w:pPr>
        <w:pStyle w:val="TextBody"/>
        <w:bidi w:val="0"/>
        <w:spacing w:lineRule="auto" w:line="333" w:before="120" w:after="283"/>
        <w:ind w:left="0" w:right="0" w:hanging="500"/>
        <w:jc w:val="left"/>
        <w:rPr/>
      </w:pPr>
      <w:r>
        <w:rPr>
          <w:color w:val="000000"/>
        </w:rPr>
        <w:t>☐    </w:t>
      </w:r>
      <w:r>
        <w:rPr>
          <w:rFonts w:ascii="Roboto;sans-serif" w:hAnsi="Roboto;sans-serif"/>
          <w:b w:val="false"/>
          <w:color w:val="000000"/>
          <w:sz w:val="20"/>
        </w:rPr>
        <w:t>Pre-commencement communications pursuant to Rule 13e-4(c) under the Exchange Act (17 CFR 240.13e-4(c))</w:t>
      </w:r>
    </w:p>
    <w:p>
      <w:pPr>
        <w:pStyle w:val="TextBody"/>
        <w:bidi w:val="0"/>
        <w:spacing w:lineRule="auto" w:line="288" w:before="120" w:after="260"/>
        <w:jc w:val="left"/>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871"/>
        <w:gridCol w:w="1546"/>
        <w:gridCol w:w="1561"/>
        <w:gridCol w:w="481"/>
        <w:gridCol w:w="481"/>
        <w:gridCol w:w="482"/>
        <w:gridCol w:w="1104"/>
        <w:gridCol w:w="1104"/>
        <w:gridCol w:w="1575"/>
      </w:tblGrid>
      <w:tr>
        <w:trPr/>
        <w:tc>
          <w:tcPr>
            <w:tcW w:w="187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97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Title of Each Class</w:t>
            </w:r>
          </w:p>
        </w:tc>
        <w:tc>
          <w:tcPr>
            <w:tcW w:w="144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w:t>
            </w:r>
          </w:p>
        </w:tc>
        <w:tc>
          <w:tcPr>
            <w:tcW w:w="3783"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97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Class A Common Stock, $0.000025 par value per share</w:t>
            </w:r>
          </w:p>
        </w:tc>
        <w:tc>
          <w:tcPr>
            <w:tcW w:w="14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PTON</w:t>
            </w:r>
          </w:p>
        </w:tc>
        <w:tc>
          <w:tcPr>
            <w:tcW w:w="3783"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The Nasdaq Stock Market LLC</w:t>
            </w:r>
          </w:p>
        </w:tc>
      </w:tr>
    </w:tbl>
    <w:p>
      <w:pPr>
        <w:pStyle w:val="TextBody"/>
        <w:bidi w:val="0"/>
        <w:spacing w:lineRule="auto" w:line="333" w:before="180" w:after="283"/>
        <w:jc w:val="left"/>
        <w:rPr>
          <w:rFonts w:ascii="Roboto;sans-serif" w:hAnsi="Roboto;sans-serif"/>
          <w:b w:val="false"/>
          <w:color w:val="000000"/>
          <w:sz w:val="20"/>
        </w:rPr>
      </w:pPr>
      <w:r>
        <w:rPr>
          <w:rFonts w:ascii="Roboto;sans-serif" w:hAnsi="Roboto;sans-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333" w:before="120" w:after="283"/>
        <w:jc w:val="left"/>
        <w:rPr/>
      </w:pPr>
      <w:r>
        <w:rPr>
          <w:rFonts w:ascii="Roboto;sans-serif" w:hAnsi="Roboto;sans-serif"/>
          <w:b w:val="false"/>
          <w:color w:val="000000"/>
          <w:sz w:val="20"/>
        </w:rPr>
        <w:t>Emerging growth company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180" w:after="283"/>
        <w:jc w:val="left"/>
        <w:rPr/>
      </w:pPr>
      <w:r>
        <w:rPr>
          <w:rFonts w:ascii="Roboto;sans-serif" w:hAnsi="Roboto;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Roboto;sans-serif" w:hAnsi="Roboto;sans-serif"/>
          <w:b/>
          <w:color w:val="000000"/>
          <w:sz w:val="20"/>
        </w:rPr>
      </w:pPr>
      <w:r>
        <w:rPr>
          <w:rFonts w:ascii="Roboto;sans-serif" w:hAnsi="Roboto;sans-serif"/>
          <w:b/>
          <w:color w:val="000000"/>
          <w:sz w:val="20"/>
        </w:rPr>
        <w:t>Item 2.02.    Results of Operations and Financial Condition.</w:t>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 xml:space="preserve">On August 6, 2026, Peloton Interactive, Inc. (“Peloton” or the “Company”) will hold a conference call regarding its financial results for the quarter and fiscal year ended June 30, 2026. </w:t>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Peloton also issued a press release announcing its financial results for the quarterly period and fiscal year ended June 30, 2026. A copy of the press release is furnished as Exhibit 99.1 to this Current Report on Form 8-K.</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Peloton is making reference to non-GAAP financial information in both the press release and the conference call. A reconciliation of GAAP to non-GAAP results is provided in the press release, as attached to this Current Report on Form 8-K.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Peloton uses its Investor Relations website (https://investor.onepeloton.com/investor-relations) and Press Newsroom (https://www.onepeloton.com/press) as means of disclosing material non-public information and for complying with its disclosure obligations under Regulation FD.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20"/>
        </w:rPr>
      </w:pPr>
      <w:r>
        <w:rPr>
          <w:rFonts w:ascii="Roboto;sans-serif" w:hAnsi="Roboto;sans-serif"/>
          <w:b w:val="false"/>
          <w:color w:val="000000"/>
          <w:sz w:val="20"/>
        </w:rPr>
        <w:t>The information furnished with Item 2.02 to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pPr>
      <w:r>
        <w:rPr/>
      </w:r>
    </w:p>
    <w:p>
      <w:pPr>
        <w:pStyle w:val="TextBody"/>
        <w:bidi w:val="0"/>
        <w:spacing w:lineRule="auto" w:line="268" w:before="0" w:after="0"/>
        <w:jc w:val="both"/>
        <w:rPr>
          <w:rFonts w:ascii="Roboto;sans-serif" w:hAnsi="Roboto;sans-serif"/>
          <w:b/>
          <w:color w:val="000000"/>
          <w:sz w:val="20"/>
        </w:rPr>
      </w:pPr>
      <w:r>
        <w:rPr>
          <w:rFonts w:ascii="Roboto;sans-serif" w:hAnsi="Roboto;sans-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(d) Exhibits.</w:t>
      </w:r>
    </w:p>
    <w:p>
      <w:pPr>
        <w:pStyle w:val="TextBody"/>
        <w:bidi w:val="0"/>
        <w:spacing w:before="0" w:after="0"/>
        <w:jc w:val="both"/>
        <w:rPr/>
      </w:pPr>
      <w:r>
        <w:rPr/>
      </w:r>
    </w:p>
    <w:tbl>
      <w:tblPr>
        <w:tblW w:w="8969" w:type="dxa"/>
        <w:jc w:val="left"/>
        <w:tblInd w:w="0" w:type="dxa"/>
        <w:tblLayout w:type="fixed"/>
        <w:tblCellMar>
          <w:top w:w="28" w:type="dxa"/>
          <w:left w:w="28" w:type="dxa"/>
          <w:bottom w:w="28" w:type="dxa"/>
          <w:right w:w="28" w:type="dxa"/>
        </w:tblCellMar>
      </w:tblPr>
      <w:tblGrid>
        <w:gridCol w:w="429"/>
        <w:gridCol w:w="376"/>
        <w:gridCol w:w="379"/>
        <w:gridCol w:w="2278"/>
        <w:gridCol w:w="2278"/>
        <w:gridCol w:w="3229"/>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Exhibit No.</w:t>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Description</w:t>
            </w:r>
          </w:p>
        </w:tc>
      </w:tr>
      <w:tr>
        <w:trPr/>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99.1</w:t>
            </w:r>
          </w:p>
        </w:tc>
        <w:tc>
          <w:tcPr>
            <w:tcW w:w="7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q4fy2026earningspressrelea.htm">
              <w:r>
                <w:rPr>
                  <w:rStyle w:val="InternetLink"/>
                  <w:rFonts w:ascii="Roboto;sans-serif" w:hAnsi="Roboto;sans-serif"/>
                  <w:b w:val="false"/>
                  <w:color w:val="000080"/>
                  <w:sz w:val="20"/>
                  <w:u w:val="single"/>
                </w:rPr>
                <w:t xml:space="preserve">Press Release, dated </w:t>
              </w:r>
            </w:hyperlink>
            <w:hyperlink w:anchor="q4fy2026earningspressrelea.htm">
              <w:r>
                <w:rPr>
                  <w:rStyle w:val="InternetLink"/>
                  <w:rFonts w:ascii="Roboto;sans-serif" w:hAnsi="Roboto;sans-serif"/>
                  <w:b w:val="false"/>
                  <w:color w:val="000080"/>
                  <w:sz w:val="20"/>
                  <w:u w:val="single"/>
                </w:rPr>
                <w:t>August 6</w:t>
              </w:r>
            </w:hyperlink>
            <w:hyperlink w:anchor="q4fy2026earningspressrelea.htm">
              <w:r>
                <w:rPr>
                  <w:rStyle w:val="InternetLink"/>
                  <w:rFonts w:ascii="Roboto;sans-serif" w:hAnsi="Roboto;sans-serif"/>
                  <w:b w:val="false"/>
                  <w:color w:val="000080"/>
                  <w:sz w:val="20"/>
                  <w:u w:val="single"/>
                </w:rPr>
                <w:t>, 2026</w:t>
              </w:r>
            </w:hyperlink>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104</w:t>
            </w:r>
          </w:p>
        </w:tc>
        <w:tc>
          <w:tcPr>
            <w:tcW w:w="7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Roboto;sans-serif" w:hAnsi="Roboto;sans-serif"/>
          <w:b/>
          <w:color w:val="000000"/>
          <w:sz w:val="20"/>
        </w:rPr>
      </w:pPr>
      <w:r>
        <w:rPr>
          <w:rFonts w:ascii="Roboto;sans-serif" w:hAnsi="Roboto;sans-serif"/>
          <w:b/>
          <w:color w:val="000000"/>
          <w:sz w:val="20"/>
        </w:rPr>
        <w:t>SIGNATURES</w:t>
      </w:r>
    </w:p>
    <w:p>
      <w:pPr>
        <w:pStyle w:val="TextBody"/>
        <w:bidi w:val="0"/>
        <w:spacing w:lineRule="auto" w:line="333" w:before="240" w:after="283"/>
        <w:jc w:val="left"/>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010" w:type="dxa"/>
        <w:jc w:val="left"/>
        <w:tblInd w:w="0" w:type="dxa"/>
        <w:tblLayout w:type="fixed"/>
        <w:tblCellMar>
          <w:top w:w="28" w:type="dxa"/>
          <w:left w:w="28" w:type="dxa"/>
          <w:bottom w:w="28" w:type="dxa"/>
          <w:right w:w="28" w:type="dxa"/>
        </w:tblCellMar>
      </w:tblPr>
      <w:tblGrid>
        <w:gridCol w:w="782"/>
        <w:gridCol w:w="685"/>
        <w:gridCol w:w="692"/>
        <w:gridCol w:w="519"/>
        <w:gridCol w:w="519"/>
        <w:gridCol w:w="519"/>
        <w:gridCol w:w="671"/>
        <w:gridCol w:w="671"/>
        <w:gridCol w:w="952"/>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PELOTON INTERACTIVE, INC.</w:t>
            </w:r>
          </w:p>
        </w:tc>
      </w:tr>
      <w:tr>
        <w:trPr/>
        <w:tc>
          <w:tcPr>
            <w:tcW w:w="2159"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1557"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2294" w:type="dxa"/>
            <w:gridSpan w:val="3"/>
            <w:tcBorders/>
            <w:tcMar>
              <w:top w:w="0" w:type="dxa"/>
              <w:left w:w="0" w:type="dxa"/>
              <w:bottom w:w="0" w:type="dxa"/>
              <w:right w:w="0" w:type="dxa"/>
            </w:tcMar>
            <w:vAlign w:val="center"/>
          </w:tcPr>
          <w:p>
            <w:pPr>
              <w:pStyle w:val="TableContents"/>
              <w:bidi w:val="0"/>
              <w:spacing w:before="40" w:after="40"/>
              <w:jc w:val="left"/>
              <w:rPr/>
            </w:pPr>
            <w:r>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Date: August 6, 2026</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 Siddharth Thacker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Siddharth Thacker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828800" cy="5810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828800" cy="581025"/>
                    </a:xfrm>
                    <a:prstGeom prst="rect">
                      <a:avLst/>
                    </a:prstGeom>
                  </pic:spPr>
                </pic:pic>
              </a:graphicData>
            </a:graphic>
          </wp:inline>
        </w:drawing>
      </w:r>
    </w:p>
    <w:p>
      <w:pPr>
        <w:pStyle w:val="TextBody"/>
        <w:bidi w:val="0"/>
        <w:spacing w:lineRule="auto" w:line="319" w:before="0" w:after="0"/>
        <w:jc w:val="center"/>
        <w:rPr>
          <w:rFonts w:ascii="Roboto;sans-serif" w:hAnsi="Roboto;sans-serif"/>
          <w:b/>
          <w:color w:val="000000"/>
          <w:sz w:val="20"/>
        </w:rPr>
      </w:pPr>
      <w:r>
        <w:rPr>
          <w:rFonts w:ascii="Roboto;sans-serif" w:hAnsi="Roboto;sans-serif"/>
          <w:b/>
          <w:color w:val="000000"/>
          <w:sz w:val="20"/>
        </w:rPr>
        <w:t xml:space="preserve">Peloton Announces Q4 &amp; FY2026 Financial Results </w:t>
      </w:r>
    </w:p>
    <w:p>
      <w:pPr>
        <w:pStyle w:val="TextBody"/>
        <w:bidi w:val="0"/>
        <w:spacing w:lineRule="auto" w:line="319" w:before="0" w:after="0"/>
        <w:jc w:val="center"/>
        <w:rPr>
          <w:rFonts w:ascii="Roboto;sans-serif" w:hAnsi="Roboto;sans-serif"/>
          <w:b/>
          <w:color w:val="000000"/>
          <w:sz w:val="20"/>
        </w:rPr>
      </w:pPr>
      <w:r>
        <w:rPr>
          <w:rFonts w:ascii="Roboto;sans-serif" w:hAnsi="Roboto;sans-serif"/>
          <w:b/>
          <w:color w:val="000000"/>
          <w:sz w:val="20"/>
        </w:rPr>
        <w:t xml:space="preserve">Delivered Year-over-Year Revenue Growth in Q4 and Exceeded Full Year FY26 Free Cash Flow Target </w:t>
      </w:r>
    </w:p>
    <w:p>
      <w:pPr>
        <w:pStyle w:val="TextBody"/>
        <w:bidi w:val="0"/>
        <w:spacing w:lineRule="auto" w:line="319" w:before="20" w:after="283"/>
        <w:jc w:val="center"/>
        <w:rPr>
          <w:rFonts w:ascii="Roboto;sans-serif" w:hAnsi="Roboto;sans-serif"/>
          <w:b w:val="false"/>
          <w:i/>
          <w:color w:val="000000"/>
          <w:sz w:val="18"/>
        </w:rPr>
      </w:pPr>
      <w:r>
        <w:rPr>
          <w:rFonts w:ascii="Roboto;sans-serif" w:hAnsi="Roboto;sans-serif"/>
          <w:b w:val="false"/>
          <w:i/>
          <w:color w:val="000000"/>
          <w:sz w:val="18"/>
        </w:rPr>
        <w:t xml:space="preserve">Full Year FY26 GAAP Net Cash Provided by Operating Activities was $388 million. Free Cash Flow* was $378 million, </w:t>
        <w:br/>
        <w:t>an increase of $54 million or 17% year-over-year.</w:t>
      </w:r>
    </w:p>
    <w:p>
      <w:pPr>
        <w:pStyle w:val="TextBody"/>
        <w:bidi w:val="0"/>
        <w:spacing w:lineRule="auto" w:line="319" w:before="20" w:after="283"/>
        <w:jc w:val="center"/>
        <w:rPr>
          <w:rFonts w:ascii="Roboto;sans-serif" w:hAnsi="Roboto;sans-serif"/>
          <w:b w:val="false"/>
          <w:i/>
          <w:color w:val="000000"/>
          <w:sz w:val="18"/>
        </w:rPr>
      </w:pPr>
      <w:r>
        <w:rPr>
          <w:rFonts w:ascii="Roboto;sans-serif" w:hAnsi="Roboto;sans-serif"/>
          <w:b w:val="false"/>
          <w:i/>
          <w:color w:val="000000"/>
          <w:sz w:val="18"/>
        </w:rPr>
        <w:t>Full Year FY26 GAAP Net Income was $63 million. Adjusted EBITDA* was $468 million, an increase of 16% year-over-year.</w:t>
      </w:r>
    </w:p>
    <w:p>
      <w:pPr>
        <w:pStyle w:val="TextBody"/>
        <w:bidi w:val="0"/>
        <w:spacing w:lineRule="auto" w:line="319" w:before="20" w:after="283"/>
        <w:jc w:val="center"/>
        <w:rPr>
          <w:rFonts w:ascii="Roboto;sans-serif" w:hAnsi="Roboto;sans-serif"/>
          <w:b w:val="false"/>
          <w:i/>
          <w:color w:val="000000"/>
          <w:sz w:val="18"/>
        </w:rPr>
      </w:pPr>
      <w:r>
        <w:rPr>
          <w:rFonts w:ascii="Roboto;sans-serif" w:hAnsi="Roboto;sans-serif"/>
          <w:b w:val="false"/>
          <w:i/>
          <w:color w:val="000000"/>
          <w:sz w:val="18"/>
        </w:rPr>
        <w:t>Total Debt was $1.3 billion. Net Debt* was $93 million, a decrease of $367 million or 80% year-over-year.</w:t>
      </w:r>
    </w:p>
    <w:p>
      <w:pPr>
        <w:pStyle w:val="TextBody"/>
        <w:bidi w:val="0"/>
        <w:spacing w:before="0" w:after="0"/>
        <w:jc w:val="center"/>
        <w:rPr/>
      </w:pPr>
      <w:r>
        <w:rPr/>
      </w:r>
    </w:p>
    <w:p>
      <w:pPr>
        <w:pStyle w:val="TextBody"/>
        <w:bidi w:val="0"/>
        <w:spacing w:lineRule="auto" w:line="319" w:before="0" w:after="0"/>
        <w:jc w:val="both"/>
        <w:rPr>
          <w:rFonts w:ascii="Roboto;sans-serif" w:hAnsi="Roboto;sans-serif"/>
          <w:b w:val="false"/>
          <w:color w:val="000000"/>
          <w:sz w:val="18"/>
        </w:rPr>
      </w:pPr>
      <w:r>
        <w:rPr>
          <w:rFonts w:ascii="Roboto;sans-serif" w:hAnsi="Roboto;sans-serif"/>
          <w:b w:val="false"/>
          <w:color w:val="000000"/>
          <w:sz w:val="18"/>
        </w:rPr>
        <w:t xml:space="preserve">NEW YORK, NY – August 6, 2026 – Peloton Interactive, Inc. today reported financial results for the quarter and fiscal year ended June 30, 2026. </w:t>
      </w:r>
    </w:p>
    <w:p>
      <w:pPr>
        <w:pStyle w:val="TextBody"/>
        <w:bidi w:val="0"/>
        <w:spacing w:before="0" w:after="0"/>
        <w:jc w:val="left"/>
        <w:rPr/>
      </w:pPr>
      <w:r>
        <w:rPr/>
      </w:r>
    </w:p>
    <w:p>
      <w:pPr>
        <w:pStyle w:val="TextBody"/>
        <w:bidi w:val="0"/>
        <w:spacing w:lineRule="auto" w:line="319" w:before="0" w:after="0"/>
        <w:jc w:val="left"/>
        <w:rPr>
          <w:rFonts w:ascii="Roboto;sans-serif" w:hAnsi="Roboto;sans-serif"/>
          <w:b/>
          <w:color w:val="000000"/>
          <w:sz w:val="20"/>
        </w:rPr>
      </w:pPr>
      <w:r>
        <w:rPr>
          <w:rFonts w:ascii="Roboto;sans-serif" w:hAnsi="Roboto;sans-serif"/>
          <w:b/>
          <w:color w:val="000000"/>
          <w:sz w:val="20"/>
        </w:rPr>
        <w:t>Q4 FY2026 Financial Highlights</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Total Revenue for Q4 was $608 million, an increase of $1 million year-over-year. Full Year FY26 Total Revenue was $2.446 billion, $6 million above our guidance range, primarily driven by outperformance in equipment sales across both Peloton and Precor brands.</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 xml:space="preserve">Ending Paid Connected Fitness Subscriptions were 2.553 million, a decrease of 247,000 or 8.8% year-over-year and within our guidance range. </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 xml:space="preserve">Total Gross Margin was 56.7% in Q4, and 52.6% for Full Year FY26, representing year-over-year increases of 260 basis points and 170 basis points, respectively, and in line with guidance. </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GAAP Net Income was $62 million in Q4 and $63 million for Full Year FY26. Adjusted EBITDA* was $142 million in Q4 and $468 million in Full Year FY26, an increase of $2 million and $65 million, respectively, or 16% year-over-year on a full year basis, which was negatively impacted by a $23.8 million nonrecurring accrued legal contingency in Q4 related to patent litigation.</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 xml:space="preserve">GAAP Net Cash Provided by Operating Activities was $91 million in Q4 and $388 million for Full Year FY26. Free Cash Flow* was $89 million for the quarter and $378 million for Full Year FY26, an increase of $54 million year-over-year on a full year basis. </w:t>
      </w:r>
    </w:p>
    <w:p>
      <w:pPr>
        <w:pStyle w:val="TextBody"/>
        <w:bidi w:val="0"/>
        <w:spacing w:before="0" w:after="0"/>
        <w:jc w:val="left"/>
        <w:rPr/>
      </w:pPr>
      <w:r>
        <w:rPr/>
      </w:r>
    </w:p>
    <w:p>
      <w:pPr>
        <w:pStyle w:val="TextBody"/>
        <w:bidi w:val="0"/>
        <w:spacing w:lineRule="auto" w:line="319" w:before="60" w:after="283"/>
        <w:jc w:val="both"/>
        <w:rPr>
          <w:color w:val="000000"/>
        </w:rPr>
      </w:pPr>
      <w:r>
        <w:rPr>
          <w:color w:val="000000"/>
        </w:rPr>
        <w:t>“</w:t>
      </w:r>
      <w:r>
        <w:rPr>
          <w:rFonts w:ascii="Roboto;sans-serif" w:hAnsi="Roboto;sans-serif"/>
          <w:b w:val="false"/>
          <w:color w:val="000000"/>
          <w:sz w:val="18"/>
        </w:rPr>
        <w:t>Fiscal 2026 was a defining milestone as Peloton delivered its first full year of net profitability driven by our improved revenue trajectory and substantial improvements in our cost structure” said Peter Stern, Peloton’s CEO and President. “While multi-year transformations take time, our financial discipline has fundamentally reshaped our business and grants us greater flexibility to invest in our core strengths of premium hardware, intelligent software, and human connection. We start the year with strong momentum across every part of our business as we remain focused on our evolution into a connected wellness platform.”</w:t>
      </w:r>
    </w:p>
    <w:p>
      <w:pPr>
        <w:pStyle w:val="TextBody"/>
        <w:bidi w:val="0"/>
        <w:spacing w:before="0" w:after="0"/>
        <w:jc w:val="both"/>
        <w:rPr/>
      </w:pPr>
      <w:r>
        <w:rPr/>
      </w:r>
    </w:p>
    <w:p>
      <w:pPr>
        <w:pStyle w:val="TextBody"/>
        <w:bidi w:val="0"/>
        <w:spacing w:lineRule="auto" w:line="319" w:before="0" w:after="0"/>
        <w:jc w:val="both"/>
        <w:rPr>
          <w:rFonts w:ascii="Roboto;sans-serif" w:hAnsi="Roboto;sans-serif"/>
          <w:b w:val="false"/>
          <w:color w:val="000000"/>
          <w:sz w:val="18"/>
        </w:rPr>
      </w:pPr>
      <w:r>
        <w:rPr>
          <w:rFonts w:ascii="Roboto;sans-serif" w:hAnsi="Roboto;sans-serif"/>
          <w:b w:val="false"/>
          <w:color w:val="000000"/>
          <w:sz w:val="18"/>
        </w:rPr>
        <w:t>Sid Thacker, Peloton’s Chief Financial Officer, added, “In my short time at Peloton, my confidence in the Company’s strategic direction and future has only grown. In fiscal 2026, the Company strengthened its financial foundation, delivered strong full year Adjusted EBITDA growth and significant Free Cash Flow. We enter the new fiscal year with the same commitment to financial discipline, and with a balance sheet and capital structure that provides us an enviable platform for investment in our future and to create sustained value for our shareholders.”</w:t>
      </w:r>
    </w:p>
    <w:p>
      <w:pPr>
        <w:pStyle w:val="TextBody"/>
        <w:bidi w:val="0"/>
        <w:spacing w:before="0" w:after="0"/>
        <w:jc w:val="left"/>
        <w:rPr/>
      </w:pPr>
      <w:r>
        <w:rPr/>
      </w:r>
    </w:p>
    <w:p>
      <w:pPr>
        <w:pStyle w:val="TextBody"/>
        <w:bidi w:val="0"/>
        <w:spacing w:lineRule="auto" w:line="319" w:before="0" w:after="0"/>
        <w:jc w:val="left"/>
        <w:rPr>
          <w:rFonts w:ascii="Roboto;sans-serif" w:hAnsi="Roboto;sans-serif"/>
          <w:b/>
          <w:color w:val="000000"/>
          <w:sz w:val="20"/>
        </w:rPr>
      </w:pPr>
      <w:r>
        <w:rPr>
          <w:rFonts w:ascii="Roboto;sans-serif" w:hAnsi="Roboto;sans-serif"/>
          <w:b/>
          <w:color w:val="000000"/>
          <w:sz w:val="20"/>
        </w:rPr>
        <w:t xml:space="preserve">Recent Business Highlights </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Exceeded our plan to deliver more than $100 million of run-rate cost savings by the end of FY26.</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Achieved positive Net Income and Operating Income on a full year basis in FY26, the first time in Peloton’s history.</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Commercial Business Unit Revenue grew double digits year-over-year in FY26.</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Expanded our global digital reach through our strategic partnership with Spotify.</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Completed the acquisition of Skōp, an early innovator in Connected Pilates that will enable us to create differentiated products and experiences that build on our industry-leading position in strength.</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Microstores outperformed internal sales goals, delivering an efficient in-person first party retail channel. We plan to double our microstore fleet in FY27.</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Launched the Pace Your Race Marathon Training Program and the Live Spring Cross-Training Plan, which had more than 850,000 completed workouts in Q4.</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62735"/>
                <wp:effectExtent l="0" t="0" r="0" b="0"/>
                <wp:wrapNone/>
                <wp:docPr id="6" name="Frame5"/>
                <a:graphic xmlns:a="http://schemas.openxmlformats.org/drawingml/2006/main">
                  <a:graphicData uri="http://schemas.microsoft.com/office/word/2010/wordprocessingShape">
                    <wps:wsp>
                      <wps:cNvSpPr txBox="1"/>
                      <wps:spPr>
                        <a:xfrm>
                          <a:off x="0" y="0"/>
                          <a:ext cx="6480175" cy="1562735"/>
                        </a:xfrm>
                        <a:prstGeom prst="rect"/>
                        <a:solidFill>
                          <a:srgbClr val="FFFFFF"/>
                        </a:solidFill>
                      </wps:spPr>
                      <wps:txbx>
                        <w:txbxContent>
                          <w:p>
                            <w:pPr>
                              <w:pStyle w:val="TextBody"/>
                              <w:bidi w:val="0"/>
                              <w:spacing w:before="60" w:after="283"/>
                              <w:jc w:val="both"/>
                              <w:rPr/>
                            </w:pPr>
                            <w:r>
                              <w:rPr/>
                            </w:r>
                            <w:r>
                              <w:br w:type="page"/>
                            </w:r>
                          </w:p>
                          <w:p>
                            <w:pPr>
                              <w:pStyle w:val="TextBody"/>
                              <w:bidi w:val="0"/>
                              <w:spacing w:before="0" w:after="0"/>
                              <w:jc w:val="both"/>
                              <w:rPr/>
                            </w:pPr>
                            <w:r>
                              <w:rPr/>
                            </w:r>
                          </w:p>
                          <w:p>
                            <w:pPr>
                              <w:pStyle w:val="TextBody"/>
                              <w:bidi w:val="0"/>
                              <w:spacing w:lineRule="auto" w:line="319" w:before="0" w:after="0"/>
                              <w:jc w:val="both"/>
                              <w:rPr>
                                <w:rFonts w:ascii="Roboto;sans-serif" w:hAnsi="Roboto;sans-serif"/>
                                <w:b w:val="false"/>
                                <w:color w:val="000000"/>
                                <w:sz w:val="14"/>
                              </w:rPr>
                            </w:pPr>
                            <w:r>
                              <w:rPr>
                                <w:rFonts w:ascii="Roboto;sans-serif" w:hAnsi="Roboto;sans-serif"/>
                                <w:b w:val="false"/>
                                <w:color w:val="000000"/>
                                <w:sz w:val="14"/>
                              </w:rPr>
                              <w:t>* For a reconciliation of all non-GAAP financial measures to their most directly comparable GAAP financial measure, and rationale for why we rely on these measures, please see the reconciliation tables below. We are not able to provide a reconciliation of these non-GAAP financial measures on a forward-looking basis without unreasonable efforts due to the inherent difficulties in forecasting certain amounts that affect Net income (loss), Adjusted EBITDA, Net cash provided by (used in) operating activities, and Free Cash Flow, as discussed in further detail in the Non-GAAP Financial Measures section below.</w:t>
                            </w:r>
                          </w:p>
                          <w:p>
                            <w:pPr>
                              <w:pStyle w:val="TextBody"/>
                              <w:bidi w:val="0"/>
                              <w:spacing w:before="0" w:after="0"/>
                              <w:jc w:val="left"/>
                              <w:rPr/>
                            </w:pPr>
                            <w:r>
                              <w:rPr/>
                            </w:r>
                          </w:p>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both"/>
                        <w:rPr/>
                      </w:pPr>
                      <w:r>
                        <w:rPr/>
                      </w:r>
                    </w:p>
                    <w:p>
                      <w:pPr>
                        <w:pStyle w:val="TextBody"/>
                        <w:bidi w:val="0"/>
                        <w:spacing w:before="0" w:after="0"/>
                        <w:jc w:val="both"/>
                        <w:rPr/>
                      </w:pPr>
                      <w:r>
                        <w:rPr/>
                      </w:r>
                    </w:p>
                    <w:p>
                      <w:pPr>
                        <w:pStyle w:val="TextBody"/>
                        <w:bidi w:val="0"/>
                        <w:spacing w:lineRule="auto" w:line="319" w:before="0" w:after="0"/>
                        <w:jc w:val="both"/>
                        <w:rPr>
                          <w:rFonts w:ascii="Roboto;sans-serif" w:hAnsi="Roboto;sans-serif"/>
                          <w:b w:val="false"/>
                          <w:color w:val="000000"/>
                          <w:sz w:val="14"/>
                        </w:rPr>
                      </w:pPr>
                      <w:r>
                        <w:rPr>
                          <w:rFonts w:ascii="Roboto;sans-serif" w:hAnsi="Roboto;sans-serif"/>
                          <w:b w:val="false"/>
                          <w:color w:val="000000"/>
                          <w:sz w:val="14"/>
                        </w:rPr>
                        <w:t>* For a reconciliation of all non-GAAP financial measures to their most directly comparable GAAP financial measure, and rationale for why we rely on these measures, please see the reconciliation tables below. We are not able to provide a reconciliation of these non-GAAP financial measures on a forward-looking basis without unreasonable efforts due to the inherent difficulties in forecasting certain amounts that affect Net income (loss), Adjusted EBITDA, Net cash provided by (used in) operating activities, and Free Cash Flow, as discussed in further detail in the Non-GAAP Financial Measures section below.</w:t>
                      </w:r>
                    </w:p>
                    <w:p>
                      <w:pPr>
                        <w:pStyle w:val="TextBody"/>
                        <w:bidi w:val="0"/>
                        <w:spacing w:before="0" w:after="0"/>
                        <w:jc w:val="left"/>
                        <w:rPr/>
                      </w:pPr>
                      <w:r>
                        <w:rPr/>
                      </w:r>
                    </w:p>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w:t>
                      </w:r>
                    </w:p>
                  </w:txbxContent>
                </v:textbox>
                <w10:wrap type="none"/>
              </v:rect>
            </w:pict>
          </mc:Fallback>
        </mc:AlternateContent>
      </w:r>
    </w:p>
    <w:p>
      <w:pPr>
        <w:pStyle w:val="TextBody"/>
        <w:bidi w:val="0"/>
        <w:spacing w:lineRule="auto" w:line="319" w:before="0" w:after="0"/>
        <w:jc w:val="left"/>
        <w:rPr>
          <w:rFonts w:ascii="Roboto;sans-serif" w:hAnsi="Roboto;sans-serif"/>
          <w:b/>
          <w:color w:val="000000"/>
          <w:sz w:val="20"/>
        </w:rPr>
      </w:pPr>
      <w:r>
        <w:rPr>
          <w:rFonts w:ascii="Roboto;sans-serif" w:hAnsi="Roboto;sans-serif"/>
          <w:b/>
          <w:color w:val="000000"/>
          <w:sz w:val="20"/>
        </w:rPr>
        <w:t xml:space="preserve">Outlook </w:t>
      </w:r>
    </w:p>
    <w:p>
      <w:pPr>
        <w:pStyle w:val="TextBody"/>
        <w:bidi w:val="0"/>
        <w:spacing w:lineRule="auto" w:line="319" w:before="0" w:after="0"/>
        <w:jc w:val="both"/>
        <w:rPr>
          <w:rFonts w:ascii="Roboto;sans-serif" w:hAnsi="Roboto;sans-serif"/>
          <w:b w:val="false"/>
          <w:color w:val="000000"/>
          <w:sz w:val="18"/>
        </w:rPr>
      </w:pPr>
      <w:r>
        <w:rPr>
          <w:rFonts w:ascii="Roboto;sans-serif" w:hAnsi="Roboto;sans-serif"/>
          <w:b w:val="false"/>
          <w:color w:val="000000"/>
          <w:sz w:val="18"/>
        </w:rPr>
        <w:t xml:space="preserve">Below is our outlook for Q1 and Full Year fiscal 2027. We intend to provide further details on our outlook during today’s earnings conference call. </w:t>
      </w:r>
    </w:p>
    <w:p>
      <w:pPr>
        <w:pStyle w:val="TextBody"/>
        <w:bidi w:val="0"/>
        <w:spacing w:before="0" w:after="0"/>
        <w:jc w:val="both"/>
        <w:rPr/>
      </w:pPr>
      <w:r>
        <w:rPr/>
      </w:r>
    </w:p>
    <w:p>
      <w:pPr>
        <w:pStyle w:val="TextBody"/>
        <w:bidi w:val="0"/>
        <w:spacing w:lineRule="auto" w:line="319" w:before="0" w:after="0"/>
        <w:jc w:val="both"/>
        <w:rPr>
          <w:rFonts w:ascii="Roboto;sans-serif" w:hAnsi="Roboto;sans-serif"/>
          <w:b/>
          <w:i/>
          <w:color w:val="000000"/>
          <w:sz w:val="18"/>
        </w:rPr>
      </w:pPr>
      <w:r>
        <w:rPr>
          <w:rFonts w:ascii="Roboto;sans-serif" w:hAnsi="Roboto;sans-serif"/>
          <w:b/>
          <w:i/>
          <w:color w:val="000000"/>
          <w:sz w:val="18"/>
        </w:rPr>
        <w:t>Q1 FY27 Outlook</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Total Revenue outlook of $545 million to $565 million represents an increase of $4 million or 0.8% year-over-year at the midpoint.</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 xml:space="preserve">Total Gross Margin outlook of approximately 57.0% reflects an increase of 550 basis points year-over-year. </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Adjusted EBITDA outlook of $135 million to $145 million represents an increase of $22 million or 18.4% year-over-year at the midpoint.</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Ending Paid Connected Fitness Subscriptions are expected to be in the range of 2.455 million to 2.475 million, representing a decrease of 267,000 or 9.8% year-over-year at the midpoint.</w:t>
      </w:r>
    </w:p>
    <w:tbl>
      <w:tblPr>
        <w:tblW w:w="10205" w:type="dxa"/>
        <w:jc w:val="left"/>
        <w:tblInd w:w="0" w:type="dxa"/>
        <w:tblLayout w:type="fixed"/>
        <w:tblCellMar>
          <w:top w:w="28" w:type="dxa"/>
          <w:left w:w="28" w:type="dxa"/>
          <w:bottom w:w="28" w:type="dxa"/>
          <w:right w:w="28" w:type="dxa"/>
        </w:tblCellMar>
      </w:tblPr>
      <w:tblGrid>
        <w:gridCol w:w="1254"/>
        <w:gridCol w:w="1013"/>
        <w:gridCol w:w="1015"/>
        <w:gridCol w:w="309"/>
        <w:gridCol w:w="291"/>
        <w:gridCol w:w="275"/>
        <w:gridCol w:w="138"/>
        <w:gridCol w:w="138"/>
        <w:gridCol w:w="138"/>
        <w:gridCol w:w="303"/>
        <w:gridCol w:w="287"/>
        <w:gridCol w:w="285"/>
        <w:gridCol w:w="109"/>
        <w:gridCol w:w="109"/>
        <w:gridCol w:w="109"/>
        <w:gridCol w:w="271"/>
        <w:gridCol w:w="271"/>
        <w:gridCol w:w="224"/>
        <w:gridCol w:w="157"/>
        <w:gridCol w:w="157"/>
        <w:gridCol w:w="157"/>
        <w:gridCol w:w="254"/>
        <w:gridCol w:w="254"/>
        <w:gridCol w:w="258"/>
        <w:gridCol w:w="109"/>
        <w:gridCol w:w="109"/>
        <w:gridCol w:w="109"/>
        <w:gridCol w:w="282"/>
        <w:gridCol w:w="232"/>
        <w:gridCol w:w="232"/>
        <w:gridCol w:w="204"/>
        <w:gridCol w:w="204"/>
        <w:gridCol w:w="204"/>
        <w:gridCol w:w="236"/>
        <w:gridCol w:w="204"/>
        <w:gridCol w:w="304"/>
      </w:tblGrid>
      <w:tr>
        <w:trPr/>
        <w:tc>
          <w:tcPr>
            <w:tcW w:w="125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Q1 FY27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 (Midpoint)</w:t>
            </w:r>
          </w:p>
        </w:tc>
      </w:tr>
      <w:tr>
        <w:trPr/>
        <w:tc>
          <w:tcPr>
            <w:tcW w:w="3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Financial Results (dollars in millions)</w:t>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Q1 FY26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Q4 FY26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Low</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Y/Y</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Q/Q</w:t>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$550.8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$607.7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$545.0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0.8%</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(8.7)%</w:t>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Margin</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51.5%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550 bps</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30 bps</w:t>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Adjusted EBITDA </w:t>
            </w:r>
            <w:r>
              <w:rPr>
                <w:rFonts w:ascii="Roboto;sans-serif" w:hAnsi="Roboto;sans-serif"/>
                <w:b w:val="false"/>
                <w:color w:val="000000"/>
                <w:sz w:val="12"/>
              </w:rPr>
              <w:t>(1)</w:t>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$118.3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$135.0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18.4%</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(1.6)%</w:t>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User Metrics (in millions)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Ending Paid Connected Fitness Subscriptions</w:t>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2.732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2.455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(9.8)%</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(3.5)%</w:t>
            </w:r>
          </w:p>
        </w:tc>
      </w:tr>
    </w:tbl>
    <w:p>
      <w:pPr>
        <w:pStyle w:val="TextBody"/>
        <w:bidi w:val="0"/>
        <w:spacing w:lineRule="auto" w:line="288" w:before="0" w:after="0"/>
        <w:jc w:val="both"/>
        <w:rPr>
          <w:rFonts w:ascii="Roboto;sans-serif" w:hAnsi="Roboto;sans-serif"/>
          <w:b w:val="false"/>
          <w:color w:val="000000"/>
          <w:sz w:val="12"/>
        </w:rPr>
      </w:pPr>
      <w:r>
        <w:rPr>
          <w:rFonts w:ascii="Roboto;sans-serif" w:hAnsi="Roboto;sans-serif"/>
          <w:b w:val="false"/>
          <w:color w:val="000000"/>
          <w:sz w:val="12"/>
        </w:rPr>
        <w:t>____________________________________</w:t>
      </w:r>
    </w:p>
    <w:p>
      <w:pPr>
        <w:pStyle w:val="TextBody"/>
        <w:bidi w:val="0"/>
        <w:spacing w:lineRule="auto" w:line="288" w:before="20" w:after="20"/>
        <w:jc w:val="both"/>
        <w:rPr/>
      </w:pPr>
      <w:r>
        <w:rPr>
          <w:rFonts w:ascii="Roboto;sans-serif" w:hAnsi="Roboto;sans-serif"/>
          <w:b w:val="false"/>
          <w:color w:val="000000"/>
          <w:sz w:val="14"/>
        </w:rPr>
        <w:t xml:space="preserve">(1) Please see the section titled “Non-GAAP Financial Measures—Adjusted EBITDA” for a reconciliation of Net income to Adjusted EBITDA for </w:t>
      </w:r>
      <w:r>
        <w:rPr>
          <w:rFonts w:ascii="Arial;sans-serif" w:hAnsi="Arial;sans-serif"/>
          <w:b w:val="false"/>
          <w:color w:val="000000"/>
          <w:sz w:val="14"/>
        </w:rPr>
        <w:t>Q1 FY26</w:t>
      </w:r>
      <w:r>
        <w:rPr>
          <w:color w:val="000000"/>
        </w:rPr>
        <w:t xml:space="preserve"> </w:t>
      </w:r>
      <w:r>
        <w:rPr>
          <w:rFonts w:ascii="Roboto;sans-serif" w:hAnsi="Roboto;sans-serif"/>
          <w:b w:val="false"/>
          <w:color w:val="000000"/>
          <w:sz w:val="14"/>
        </w:rPr>
        <w:t xml:space="preserve">and </w:t>
      </w:r>
      <w:r>
        <w:rPr>
          <w:rFonts w:ascii="Arial;sans-serif" w:hAnsi="Arial;sans-serif"/>
          <w:b w:val="false"/>
          <w:color w:val="000000"/>
          <w:sz w:val="14"/>
        </w:rPr>
        <w:t>Q4 FY26</w:t>
      </w:r>
      <w:r>
        <w:rPr>
          <w:color w:val="000000"/>
        </w:rPr>
        <w:t xml:space="preserve"> </w:t>
      </w:r>
      <w:r>
        <w:rPr>
          <w:rFonts w:ascii="Roboto;sans-serif" w:hAnsi="Roboto;sans-serif"/>
          <w:b w:val="false"/>
          <w:color w:val="000000"/>
          <w:sz w:val="14"/>
        </w:rPr>
        <w:t>and an explanation of why we consider Adjusted EBITDA to be a helpful measure for investors. A reconciliation of Adjusted EBITDA guidance to the most directly comparable GAAP financial measures cannot be provided without unreasonable efforts.</w:t>
      </w:r>
    </w:p>
    <w:p>
      <w:pPr>
        <w:pStyle w:val="TextBody"/>
        <w:bidi w:val="0"/>
        <w:spacing w:before="0" w:after="0"/>
        <w:jc w:val="both"/>
        <w:rPr/>
      </w:pPr>
      <w:r>
        <w:rPr/>
      </w:r>
    </w:p>
    <w:p>
      <w:pPr>
        <w:pStyle w:val="TextBody"/>
        <w:bidi w:val="0"/>
        <w:spacing w:lineRule="auto" w:line="319" w:before="0" w:after="0"/>
        <w:jc w:val="both"/>
        <w:rPr>
          <w:rFonts w:ascii="Roboto;sans-serif" w:hAnsi="Roboto;sans-serif"/>
          <w:b/>
          <w:i/>
          <w:color w:val="000000"/>
          <w:sz w:val="18"/>
        </w:rPr>
      </w:pPr>
      <w:r>
        <w:rPr>
          <w:rFonts w:ascii="Roboto;sans-serif" w:hAnsi="Roboto;sans-serif"/>
          <w:b/>
          <w:i/>
          <w:color w:val="000000"/>
          <w:sz w:val="18"/>
        </w:rPr>
        <w:t>Full Year FY27 Outlook</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Total Revenue outlook of $2.3 billion to $2.4 billion represents a decrease of $96 million or 3.9% year-over-year at the midpoint.</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 xml:space="preserve">Total Gross Margin outlook of approximately 54.0% reflects an increase of 140 basis points year-over-year. </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Adjusted EBITDA outlook of $475 million to $525 million represents an increase of $32 million or 6.8% year-over-year at the midpoint.</w:t>
      </w:r>
    </w:p>
    <w:p>
      <w:pPr>
        <w:pStyle w:val="TextBody"/>
        <w:bidi w:val="0"/>
        <w:spacing w:lineRule="auto" w:line="319" w:before="20" w:after="283"/>
        <w:ind w:left="0" w:right="0" w:hanging="360"/>
        <w:jc w:val="left"/>
        <w:rPr/>
      </w:pPr>
      <w:r>
        <w:rPr>
          <w:color w:val="000000"/>
        </w:rPr>
        <w:t>•</w:t>
      </w:r>
      <w:r>
        <w:rPr>
          <w:rFonts w:ascii="Roboto;sans-serif" w:hAnsi="Roboto;sans-serif"/>
          <w:b w:val="false"/>
          <w:color w:val="000000"/>
          <w:sz w:val="18"/>
        </w:rPr>
        <w:t>Free Cash Flow of at least $350 million, represents a minimum target for FY27.</w:t>
      </w:r>
    </w:p>
    <w:tbl>
      <w:tblPr>
        <w:tblW w:w="10205" w:type="dxa"/>
        <w:jc w:val="left"/>
        <w:tblInd w:w="0" w:type="dxa"/>
        <w:tblLayout w:type="fixed"/>
        <w:tblCellMar>
          <w:top w:w="28" w:type="dxa"/>
          <w:left w:w="28" w:type="dxa"/>
          <w:bottom w:w="28" w:type="dxa"/>
          <w:right w:w="28" w:type="dxa"/>
        </w:tblCellMar>
      </w:tblPr>
      <w:tblGrid>
        <w:gridCol w:w="1330"/>
        <w:gridCol w:w="1171"/>
        <w:gridCol w:w="1174"/>
        <w:gridCol w:w="442"/>
        <w:gridCol w:w="442"/>
        <w:gridCol w:w="444"/>
        <w:gridCol w:w="109"/>
        <w:gridCol w:w="109"/>
        <w:gridCol w:w="109"/>
        <w:gridCol w:w="314"/>
        <w:gridCol w:w="314"/>
        <w:gridCol w:w="318"/>
        <w:gridCol w:w="142"/>
        <w:gridCol w:w="142"/>
        <w:gridCol w:w="142"/>
        <w:gridCol w:w="314"/>
        <w:gridCol w:w="314"/>
        <w:gridCol w:w="318"/>
        <w:gridCol w:w="109"/>
        <w:gridCol w:w="109"/>
        <w:gridCol w:w="109"/>
        <w:gridCol w:w="651"/>
        <w:gridCol w:w="651"/>
        <w:gridCol w:w="928"/>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FY27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 (Midpoint)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Financial Results (dollars in millions)</w:t>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FY26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Low</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Y/Y</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$2,300.0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(3.9)%</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Margin</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140 bps</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Adjusted EBITDA </w:t>
            </w:r>
            <w:r>
              <w:rPr>
                <w:rFonts w:ascii="Roboto;sans-serif" w:hAnsi="Roboto;sans-serif"/>
                <w:b w:val="false"/>
                <w:color w:val="000000"/>
                <w:sz w:val="12"/>
              </w:rPr>
              <w:t>(1)</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$475.0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6.8%</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Free Cash Flow </w:t>
            </w:r>
            <w:r>
              <w:rPr>
                <w:rFonts w:ascii="Roboto;sans-serif" w:hAnsi="Roboto;sans-serif"/>
                <w:b w:val="false"/>
                <w:color w:val="000000"/>
                <w:sz w:val="12"/>
              </w:rPr>
              <w:t>(2)</w:t>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at least $350.0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2"/>
        </w:rPr>
      </w:pPr>
      <w:r>
        <w:rPr>
          <w:rFonts w:ascii="Roboto;sans-serif" w:hAnsi="Roboto;sans-serif"/>
          <w:b w:val="false"/>
          <w:color w:val="000000"/>
          <w:sz w:val="12"/>
        </w:rPr>
        <w:t>____________________________________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Please see the section titled “Non-GAAP Financial Measures—Adjusted EBITDA” for a reconciliation of Net income to Adjusted EBITDA for FY26 and an explanation of why we consider Adjusted EBITDA to be a helpful measure for investors. A reconciliation of Adjusted EBITDA guidance to the most directly comparable GAAP financial measures cannot be provided without unreasonable efforts.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Please see the section titled “Non-GAAP Financial Measures—Free Cash Flow” for a reconciliation of Net cash provided by operating activities to Free Cash Flow for FY26 and an explanation of why we consider Free Cash Flow to be a helpful measure for investors. A reconciliation of Free Cash Flow guidance to the most directly comparable GAAP financial measures cannot be provided without unreasonable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w:t>
                      </w:r>
                    </w:p>
                  </w:txbxContent>
                </v:textbox>
                <w10:wrap type="none"/>
              </v:rect>
            </w:pict>
          </mc:Fallback>
        </mc:AlternateContent>
      </w:r>
    </w:p>
    <w:p>
      <w:pPr>
        <w:pStyle w:val="TextBody"/>
        <w:bidi w:val="0"/>
        <w:spacing w:lineRule="auto" w:line="319" w:before="0" w:after="0"/>
        <w:jc w:val="left"/>
        <w:rPr>
          <w:rFonts w:ascii="Roboto;sans-serif" w:hAnsi="Roboto;sans-serif"/>
          <w:b/>
          <w:color w:val="000000"/>
          <w:sz w:val="20"/>
        </w:rPr>
      </w:pPr>
      <w:r>
        <w:rPr>
          <w:rFonts w:ascii="Roboto;sans-serif" w:hAnsi="Roboto;sans-serif"/>
          <w:b/>
          <w:color w:val="000000"/>
          <w:sz w:val="20"/>
        </w:rPr>
        <w:t>Q4 FY2026 Operating Metrics and Financial Summary</w:t>
      </w:r>
    </w:p>
    <w:tbl>
      <w:tblPr>
        <w:tblW w:w="10205" w:type="dxa"/>
        <w:jc w:val="left"/>
        <w:tblInd w:w="0" w:type="dxa"/>
        <w:tblLayout w:type="fixed"/>
        <w:tblCellMar>
          <w:top w:w="28" w:type="dxa"/>
          <w:left w:w="28" w:type="dxa"/>
          <w:bottom w:w="28" w:type="dxa"/>
          <w:right w:w="28" w:type="dxa"/>
        </w:tblCellMar>
      </w:tblPr>
      <w:tblGrid>
        <w:gridCol w:w="1437"/>
        <w:gridCol w:w="1027"/>
        <w:gridCol w:w="1037"/>
        <w:gridCol w:w="226"/>
        <w:gridCol w:w="706"/>
        <w:gridCol w:w="271"/>
        <w:gridCol w:w="109"/>
        <w:gridCol w:w="109"/>
        <w:gridCol w:w="109"/>
        <w:gridCol w:w="226"/>
        <w:gridCol w:w="706"/>
        <w:gridCol w:w="271"/>
        <w:gridCol w:w="109"/>
        <w:gridCol w:w="109"/>
        <w:gridCol w:w="109"/>
        <w:gridCol w:w="226"/>
        <w:gridCol w:w="706"/>
        <w:gridCol w:w="271"/>
        <w:gridCol w:w="109"/>
        <w:gridCol w:w="109"/>
        <w:gridCol w:w="109"/>
        <w:gridCol w:w="309"/>
        <w:gridCol w:w="258"/>
        <w:gridCol w:w="321"/>
        <w:gridCol w:w="109"/>
        <w:gridCol w:w="109"/>
        <w:gridCol w:w="109"/>
        <w:gridCol w:w="303"/>
        <w:gridCol w:w="234"/>
        <w:gridCol w:w="362"/>
      </w:tblGrid>
      <w:tr>
        <w:trPr/>
        <w:tc>
          <w:tcPr>
            <w:tcW w:w="143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User Metrics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Q4 FY25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Q3 FY26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Q4 FY26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Y/Y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Q/Q</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Members (in millions) </w:t>
            </w:r>
            <w:r>
              <w:rPr>
                <w:rFonts w:ascii="Roboto;sans-serif" w:hAnsi="Roboto;sans-serif"/>
                <w:b w:val="false"/>
                <w:color w:val="000000"/>
                <w:sz w:val="12"/>
              </w:rPr>
              <w:t>(1)</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Ending Paid Connected Fitness Subscriptions (in millions) </w:t>
            </w:r>
            <w:r>
              <w:rPr>
                <w:rFonts w:ascii="Roboto;sans-serif" w:hAnsi="Roboto;sans-serif"/>
                <w:b w:val="false"/>
                <w:color w:val="000000"/>
                <w:sz w:val="12"/>
              </w:rPr>
              <w:t>(1)</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Average Net Monthly Paid Connected Fitness Subscription Churn </w:t>
            </w:r>
            <w:r>
              <w:rPr>
                <w:rFonts w:ascii="Roboto;sans-serif" w:hAnsi="Roboto;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bps</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Ending Paid App Subscriptions (in millions) </w:t>
            </w:r>
            <w:r>
              <w:rPr>
                <w:rFonts w:ascii="Roboto;sans-serif" w:hAnsi="Roboto;sans-serif"/>
                <w:b w:val="false"/>
                <w:color w:val="000000"/>
                <w:sz w:val="12"/>
              </w:rPr>
              <w:t>(1)</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Financial Results (dollars in millions)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 Gross Profit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 bps</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 bps</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Subscription Contribution Margin </w:t>
            </w:r>
            <w:r>
              <w:rPr>
                <w:rFonts w:ascii="Roboto;sans-serif" w:hAnsi="Roboto;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bps</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480 bps</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Operating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Adjusted EBITDA </w:t>
            </w:r>
            <w:r>
              <w:rPr>
                <w:rFonts w:ascii="Roboto;sans-serif" w:hAnsi="Roboto;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Free Cash Flow</w:t>
            </w:r>
            <w:r>
              <w:rPr>
                <w:color w:val="000000"/>
              </w:rPr>
              <w:t xml:space="preserve"> </w:t>
            </w:r>
            <w:r>
              <w:rPr>
                <w:rFonts w:ascii="Roboto;sans-serif" w:hAnsi="Roboto;sans-serif"/>
                <w:b w:val="false"/>
                <w:color w:val="000000"/>
                <w:sz w:val="12"/>
              </w:rPr>
              <w:t>(2)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lineRule="auto" w:line="288" w:before="0" w:after="0"/>
        <w:jc w:val="both"/>
        <w:rPr>
          <w:rFonts w:ascii="Roboto;sans-serif" w:hAnsi="Roboto;sans-serif"/>
          <w:b w:val="false"/>
          <w:color w:val="000000"/>
          <w:sz w:val="12"/>
        </w:rPr>
      </w:pPr>
      <w:r>
        <w:rPr>
          <w:rFonts w:ascii="Roboto;sans-serif" w:hAnsi="Roboto;sans-serif"/>
          <w:b w:val="false"/>
          <w:color w:val="000000"/>
          <w:sz w:val="12"/>
        </w:rPr>
        <w:t>____________________________________</w:t>
      </w:r>
    </w:p>
    <w:p>
      <w:pPr>
        <w:pStyle w:val="TextBody"/>
        <w:bidi w:val="0"/>
        <w:spacing w:lineRule="auto" w:line="319" w:before="0" w:after="0"/>
        <w:jc w:val="both"/>
        <w:rPr>
          <w:rFonts w:ascii="Roboto;sans-serif" w:hAnsi="Roboto;sans-serif"/>
          <w:b w:val="false"/>
          <w:color w:val="000000"/>
          <w:sz w:val="14"/>
        </w:rPr>
      </w:pPr>
      <w:r>
        <w:rPr>
          <w:rFonts w:ascii="Roboto;sans-serif" w:hAnsi="Roboto;sans-serif"/>
          <w:b w:val="false"/>
          <w:color w:val="000000"/>
          <w:sz w:val="14"/>
        </w:rPr>
        <w:t>(1) For further information on these user metrics, please refer to the section titled “User Metrics Definitions.”</w:t>
      </w:r>
    </w:p>
    <w:p>
      <w:pPr>
        <w:pStyle w:val="TextBody"/>
        <w:bidi w:val="0"/>
        <w:spacing w:lineRule="auto" w:line="288" w:before="0" w:after="0"/>
        <w:jc w:val="both"/>
        <w:rPr>
          <w:rFonts w:ascii="Roboto;sans-serif" w:hAnsi="Roboto;sans-serif"/>
          <w:b w:val="false"/>
          <w:color w:val="000000"/>
          <w:sz w:val="14"/>
        </w:rPr>
      </w:pPr>
      <w:r>
        <w:rPr>
          <w:rFonts w:ascii="Roboto;sans-serif" w:hAnsi="Roboto;sans-serif"/>
          <w:b w:val="false"/>
          <w:color w:val="000000"/>
          <w:sz w:val="14"/>
        </w:rPr>
        <w:t>(2) For a reconciliation of each non-GAAP financial measure to the most directly comparable GAAP financial measure, please refer to the reconciliation tables in the section titled “Non-GAAP Financial Measures.”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w10:wrap type="none"/>
              </v:rect>
            </w:pict>
          </mc:Fallback>
        </mc:AlternateContent>
      </w:r>
    </w:p>
    <w:p>
      <w:pPr>
        <w:pStyle w:val="TextBody"/>
        <w:bidi w:val="0"/>
        <w:spacing w:lineRule="auto" w:line="417" w:before="0" w:after="0"/>
        <w:jc w:val="left"/>
        <w:rPr>
          <w:rFonts w:ascii="Roboto;sans-serif" w:hAnsi="Roboto;sans-serif"/>
          <w:b/>
          <w:color w:val="000000"/>
          <w:sz w:val="20"/>
        </w:rPr>
      </w:pPr>
      <w:r>
        <w:rPr>
          <w:rFonts w:ascii="Roboto;sans-serif" w:hAnsi="Roboto;sans-serif"/>
          <w:b/>
          <w:color w:val="000000"/>
          <w:sz w:val="20"/>
        </w:rPr>
        <w:t>Webcast and Conference Call Information</w:t>
      </w:r>
    </w:p>
    <w:p>
      <w:pPr>
        <w:pStyle w:val="TextBody"/>
        <w:bidi w:val="0"/>
        <w:spacing w:lineRule="auto" w:line="288" w:before="0" w:after="0"/>
        <w:jc w:val="both"/>
        <w:rPr/>
      </w:pPr>
      <w:r>
        <w:rPr>
          <w:rFonts w:ascii="Roboto;sans-serif" w:hAnsi="Roboto;sans-serif"/>
          <w:b w:val="false"/>
          <w:color w:val="000000"/>
          <w:sz w:val="18"/>
        </w:rPr>
        <w:t xml:space="preserve">We will host a live call at 8:30 a.m. ET on Thursday, August 6, 2026 to discuss our financial results. To avoid delays, we encourage participants to register at least 15 minutes before the start of the call. A live webcast of the call and our earnings presentation will be available at </w:t>
      </w:r>
      <w:r>
        <w:rPr>
          <w:rFonts w:ascii="Roboto;sans-serif" w:hAnsi="Roboto;sans-serif"/>
          <w:b w:val="false"/>
          <w:color w:val="3051F2"/>
          <w:sz w:val="18"/>
          <w:u w:val="single"/>
        </w:rPr>
        <w:t>https://investor.onepeloton.com/news-and-events/events</w:t>
      </w:r>
      <w:r>
        <w:rPr>
          <w:color w:val="000000"/>
        </w:rPr>
        <w:t xml:space="preserve"> </w:t>
      </w:r>
      <w:r>
        <w:rPr>
          <w:rFonts w:ascii="Roboto;sans-serif" w:hAnsi="Roboto;sans-serif"/>
          <w:b w:val="false"/>
          <w:color w:val="000000"/>
          <w:sz w:val="18"/>
        </w:rPr>
        <w:t>and a replay will be available on the investor relations page of our website for 30 days.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20"/>
        </w:rPr>
      </w:pPr>
      <w:r>
        <w:rPr>
          <w:rFonts w:ascii="Roboto;sans-serif" w:hAnsi="Roboto;sans-serif"/>
          <w:b/>
          <w:color w:val="000000"/>
          <w:sz w:val="20"/>
        </w:rPr>
        <w:t xml:space="preserve">Safe Harbor Statement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our expected financial results for the first quarter of and the full fiscal year 2027, our execution and timing of, and the expected benefits from, our restructuring initiatives and cost-saving measures, the cost savings and other efficiencies of expanding relationships with our third-party partners, details regarding and the timing of the launch of new products and services, our initiatives with retailer partners and our efforts to optimize our retail showroom footprint, the prices of our products and services,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bidi w:val="0"/>
        <w:spacing w:before="0" w:after="0"/>
        <w:jc w:val="both"/>
        <w:rPr/>
      </w:pPr>
      <w:r>
        <w:rPr/>
      </w:r>
    </w:p>
    <w:p>
      <w:pPr>
        <w:pStyle w:val="TextBody"/>
        <w:bidi w:val="0"/>
        <w:spacing w:lineRule="auto" w:line="288"/>
        <w:jc w:val="both"/>
        <w:rPr>
          <w:rFonts w:ascii="Roboto;sans-serif" w:hAnsi="Roboto;sans-serif"/>
          <w:b w:val="false"/>
          <w:color w:val="000000"/>
          <w:sz w:val="18"/>
        </w:rPr>
      </w:pPr>
      <w:r>
        <w:rPr>
          <w:rFonts w:ascii="Roboto;sans-serif" w:hAnsi="Roboto;sans-serif"/>
          <w:b w:val="false"/>
          <w:color w:val="000000"/>
          <w:sz w:val="18"/>
        </w:rPr>
        <w:t xml:space="preserve">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assumptions, and other important factors that could cause actual results to differ materially from those stated, including, without limitation: our ability to successfully execute our business strategy, including our commercial strategy; our ability to achieve and maintain future profitability and positive free cash flow; our ability to attract and maintain Subscribers; our ability to accurately forecast consumer demand of our products and services and adequately manage our inventory; our ability to achieve the expected benefits of our restructuring initiatives and other cost-saving measures, including our 2025 Restructuring Plan, which has been substantially implemented; our ability to effectively manage our growth and costs; our ability to anticipate consumer preferences and successfully develop and offer new products and services in a timely manner, and effectively manage the introduction of new or enhanced products and services; demand for our products and services, including any declines in sales of our Connected Fitness Products, and growth of the connected fitness and wellness markets; our ability to maintain the value and reputation of the Peloton and Precor brands; disruptions or failures of our information technology systems or websites, or those of third parties on whom we rely; our reliance on, and lack of control over, a limited number of suppliers, contract manufacturers, and logistics partners for our Connected Fitness Products; our ability to predict our long-term performance and changes to our revenue as our business matures; the effects of increased competition in our markets and our ability to compete effectively; our dependence on third-party licenses for use of music in our content; actual or perceived defects in, or safety of, our products, including any impact of product recalls, including our Original Series Bike and Bike+ seat post recalls, quality improvement or similar programs or legal or regulatory claims, proceedings, or investigations involving our products; increases in component costs, long lead times, supply shortages or other supply chain disruptions; accidents, safety incidents or workforce disruptions; seasonality or other fluctuations in our quarterly results; our ability to generate class content; risks related to acquisitions or dispositions and our ability to successfully operate and further integrate any such acquired companies into our operations and control environment, including our Commercial Business Unit; risks related to expansion into international markets, including political and economic instability of foreign markets; risks related to payment processing, cybersecurity, or data privacy; risks related to artificial intelligence (“AI”) and our integration of AI into our products, services and business operations, including risks related to flawed algorithms, intellectual property infringement, data privacy, and evolving regulatory requirements; risks related to our Peloton Apps and their ability to work with a range of mobile and streaming technologies, systems, networks, and standards; our ability to effectively price and market our Connected Fitness Products and subscriptions; any inaccuracies in, or failure to achieve, operational and business metrics or forecasts; our ability to maintain effective internal control over financial and management systems; impacts from warranty claims or product returns; our ability to maintain, protect, and enhance our intellectual property; our ability to comply with laws and regulations that currently apply or become applicable to our business both in the United States and internationally; risks related to changes in global trade policies, including our ability to mitigate the effects of tariffs and other non-tariff restrictions, such as taxes, quotas, local content rules, customs detentions and other protectionist measures, and our ability to obtain any tariff refunds or rebates; our reliance on third parties for computing, storage, processing, and similar services, as well as delivery and installation of our products; our ability to attract and retain highly skilled personnel, including key members of senior management, and maintain our culture; the impact of macroeconomic conditions, including inflation, changes in consumer spending, recession, and rising interest rates, on demand for our products and services; risks related to pending or future litigation, government investigations, and regulatory proceedings, including securities litigation, patent litigation, and product liability matters; risks related to our common stock and indebtedness; and those risks and uncertainties described in our Annual Report on Form 10-K, Quarterly Reports on Form 10-Q and Current Reports on Form 8-K filed with the Securities and Exchange Commission, as such risks and uncertainties may be updated in our filings with the Securities and Exchange Commission, which are available on the Investor Relations page of our website at https://investor.onepeloton.com/investor-relations and on the SEC website at www.sec.gov.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press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w10:wrap type="none"/>
              </v:rect>
            </w:pict>
          </mc:Fallback>
        </mc:AlternateConten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release, and we undertake no obligation to update any of these forward-looking statements for any reason after the date of this press release or to conform these statements to actual results or revised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w10:wrap type="none"/>
              </v:rect>
            </w:pict>
          </mc:Fallback>
        </mc:AlternateContent>
      </w:r>
    </w:p>
    <w:p>
      <w:pPr>
        <w:pStyle w:val="TextBody"/>
        <w:bidi w:val="0"/>
        <w:spacing w:lineRule="auto" w:line="417" w:before="0" w:after="0"/>
        <w:jc w:val="left"/>
        <w:rPr>
          <w:rFonts w:ascii="Roboto;sans-serif" w:hAnsi="Roboto;sans-serif"/>
          <w:b/>
          <w:color w:val="000000"/>
          <w:sz w:val="20"/>
        </w:rPr>
      </w:pPr>
      <w:r>
        <w:rPr>
          <w:rFonts w:ascii="Roboto;sans-serif" w:hAnsi="Roboto;sans-serif"/>
          <w:b/>
          <w:color w:val="000000"/>
          <w:sz w:val="20"/>
        </w:rPr>
        <w:t>Financial Tables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CONSOLIDATED BALANCE SHEETS</w:t>
      </w:r>
    </w:p>
    <w:p>
      <w:pPr>
        <w:pStyle w:val="TextBody"/>
        <w:bidi w:val="0"/>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50"/>
        <w:gridCol w:w="2136"/>
        <w:gridCol w:w="2103"/>
        <w:gridCol w:w="226"/>
        <w:gridCol w:w="886"/>
        <w:gridCol w:w="109"/>
        <w:gridCol w:w="109"/>
        <w:gridCol w:w="109"/>
        <w:gridCol w:w="109"/>
        <w:gridCol w:w="226"/>
        <w:gridCol w:w="886"/>
        <w:gridCol w:w="156"/>
      </w:tblGrid>
      <w:tr>
        <w:trPr/>
        <w:tc>
          <w:tcPr>
            <w:tcW w:w="3150"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89"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ASSETS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of current portion</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 of current portion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Stockholders’ deficit</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shares of Class A common stock authorized, 422,802,650 and 390,579,270 shares of Class A common stock issued and outstanding as of June 30, 2026 and June 30, 2025, respectively; 2,500,000,000 and 2,500,000,000 shares of Class B common stock authorized, 15,836,724 and 15,837,270 shares of Class B common stock issued and outstanding as of June 30, 2026 and June 30, 2025, respectively.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5,183.8 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(5,602.6)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2,125.3 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CONSOLIDATED STATEMENTS OF OPERATIONS AND COMPREHENSIVE INCOME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72"/>
        <w:gridCol w:w="869"/>
        <w:gridCol w:w="875"/>
        <w:gridCol w:w="331"/>
        <w:gridCol w:w="1035"/>
        <w:gridCol w:w="117"/>
        <w:gridCol w:w="117"/>
        <w:gridCol w:w="117"/>
        <w:gridCol w:w="117"/>
        <w:gridCol w:w="331"/>
        <w:gridCol w:w="1035"/>
        <w:gridCol w:w="117"/>
        <w:gridCol w:w="109"/>
        <w:gridCol w:w="109"/>
        <w:gridCol w:w="109"/>
        <w:gridCol w:w="331"/>
        <w:gridCol w:w="1035"/>
        <w:gridCol w:w="112"/>
        <w:gridCol w:w="112"/>
        <w:gridCol w:w="112"/>
        <w:gridCol w:w="112"/>
        <w:gridCol w:w="325"/>
        <w:gridCol w:w="1041"/>
        <w:gridCol w:w="165"/>
      </w:tblGrid>
      <w:tr>
        <w:trPr/>
        <w:tc>
          <w:tcPr>
            <w:tcW w:w="147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 June 30,</w:t>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817.1 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607.7 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2,490.8 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705.9 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278.8 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1,159.3 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1,222.5 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1,286.7 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1,268.3 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operating expenses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Income (loss) from operations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(134.5)</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Interest income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 (loss)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income (expense),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(loss) before income taxes</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income (loss) attributable to Class A and Class B common stockholders</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Earnings (loss) per share:</w:t>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Diluted</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Basic</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435,785,616 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402,356,586 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424,726,220 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390,037,997 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Diluted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521,150,924 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500,858,306 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436,218,643 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390,037,997 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 income:</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comprehensive (loss)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Comprehensive income (loss)</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27"/>
        <w:gridCol w:w="1757"/>
        <w:gridCol w:w="1762"/>
        <w:gridCol w:w="226"/>
        <w:gridCol w:w="886"/>
        <w:gridCol w:w="109"/>
        <w:gridCol w:w="109"/>
        <w:gridCol w:w="109"/>
        <w:gridCol w:w="109"/>
        <w:gridCol w:w="226"/>
        <w:gridCol w:w="886"/>
        <w:gridCol w:w="109"/>
        <w:gridCol w:w="109"/>
        <w:gridCol w:w="109"/>
        <w:gridCol w:w="109"/>
        <w:gridCol w:w="226"/>
        <w:gridCol w:w="763"/>
        <w:gridCol w:w="109"/>
        <w:gridCol w:w="109"/>
        <w:gridCol w:w="156"/>
      </w:tblGrid>
      <w:tr>
        <w:trPr/>
        <w:tc>
          <w:tcPr>
            <w:tcW w:w="222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Fiscal Year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Adjustments to reconcile Net income (loss) to Net cash provided by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sale of subsidiary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foreign currency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Gain on debt extinguishment of convertible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debt extinguishment of term loan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and customer deposits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 of Peloton Output Park</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Business combinations and asset acquisitions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sales of subsidiary and net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Payment of principal on convertible notes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issuance of convertible notes, net of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issuance of term loan, net of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purchase plan withholdings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employee stock plans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Taxes withheld and paid on employee stock awards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502"/>
        <w:gridCol w:w="2181"/>
        <w:gridCol w:w="2200"/>
        <w:gridCol w:w="226"/>
        <w:gridCol w:w="466"/>
        <w:gridCol w:w="109"/>
        <w:gridCol w:w="109"/>
        <w:gridCol w:w="109"/>
        <w:gridCol w:w="109"/>
        <w:gridCol w:w="226"/>
        <w:gridCol w:w="466"/>
        <w:gridCol w:w="109"/>
        <w:gridCol w:w="109"/>
        <w:gridCol w:w="109"/>
        <w:gridCol w:w="109"/>
        <w:gridCol w:w="226"/>
        <w:gridCol w:w="466"/>
        <w:gridCol w:w="109"/>
        <w:gridCol w:w="109"/>
        <w:gridCol w:w="156"/>
      </w:tblGrid>
      <w:tr>
        <w:trPr/>
        <w:tc>
          <w:tcPr>
            <w:tcW w:w="2502"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issuance costs recorded within 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Roboto;sans-serif" w:hAnsi="Roboto;sans-serif"/>
          <w:b/>
          <w:color w:val="000000"/>
          <w:sz w:val="20"/>
        </w:rPr>
      </w:pPr>
      <w:r>
        <w:rPr>
          <w:rFonts w:ascii="Roboto;sans-serif" w:hAnsi="Roboto;sans-serif"/>
          <w:b/>
          <w:color w:val="000000"/>
          <w:sz w:val="20"/>
        </w:rPr>
        <w:t>Non-GAAP Financial Measures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 These non-GAAP financial measures have limitations as analytical tools in that they do not reflect all of the amounts associated with our results of operations as determined in accordance with GAAP. Because of these limitations, Adjusted EBITDA, Subscription Contribution, Subscription Contribution Margin, Free Cash Flow, and Net Debt should be considered along with other operating and financial performance measures presented in accordance with GAAP.</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presentation of these non-GAAP financial measures is not intended to be considered in isolation or as a substitute for, or superior to, financial information prepared and presented in accordance with GAAP. Investors are encouraged to review the reconciliation of these non-GAAP financial measures to their most directly comparable GAAP financial measures. A reconciliation of the non-GAAP financial measures to such GAAP measures can be found below.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 reconciliation of the Company’s Adjusted EBITDA and Free Cash Flow guidance to the most directly comparable GAAP financial measures cannot be provided without unreasonable efforts and is not provided herein because of the inherent difficulty in forecasting and quantifying certain amounts that are necessary for such reconciliations, including net income (loss) and adjustments that are made for other expense (income), net, income tax expense (benefit), depreciation and amortization expense, stock-based compensation expense, restructuring expense, impairment expense, supplier settlements, product recall related matters, litigation and settlement expenses, and other adjustments reflected in our reconciliation of historical Adjusted EBITDA, the amounts of which could be material.</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 xml:space="preserve">Adjusted EBITDA </w:t>
      </w:r>
    </w:p>
    <w:p>
      <w:pPr>
        <w:pStyle w:val="TextBody"/>
        <w:bidi w:val="0"/>
        <w:spacing w:lineRule="auto" w:line="288" w:before="0" w:after="240"/>
        <w:jc w:val="both"/>
        <w:rPr>
          <w:rFonts w:ascii="Roboto;sans-serif" w:hAnsi="Roboto;sans-serif"/>
          <w:b w:val="false"/>
          <w:color w:val="050505"/>
          <w:sz w:val="18"/>
          <w:shd w:fill="FFFFFF" w:val="clear"/>
        </w:rPr>
      </w:pPr>
      <w:r>
        <w:rPr>
          <w:rFonts w:ascii="Roboto;sans-serif" w:hAnsi="Roboto;sans-serif"/>
          <w:b w:val="false"/>
          <w:color w:val="050505"/>
          <w:sz w:val="18"/>
          <w:shd w:fill="FFFFFF" w:val="clear"/>
        </w:rPr>
        <w:t>We calculate Adjusted EBITDA as net income (loss) adjusted to exclude: other expense (income), net; net (gains) losses on debt refinancing; income tax expense (benefit); depreciation and amortization expense; stock-based compensation expense; impairment expense; restructuring expense; product recall related matters; certain litigation and settlement expenses; supplier settlements; and other adjustment items that arise outside the ordinary course of our business.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and other income (expense), or the cash requirements necessary to service interest or principal payments on our debt, which reduces cash available to us; or (3) income taxes, which may represent a reduction in cash available to us;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w10:wrap type="none"/>
              </v:rect>
            </w:pict>
          </mc:Fallback>
        </mc:AlternateConten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acquisition-related costs, including transaction and integration costs;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and gains (losses) on disposals of fixed assets;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w:t>
      </w:r>
      <w:r>
        <w:rPr>
          <w:color w:val="050505"/>
        </w:rPr>
        <w:t xml:space="preserve"> </w:t>
      </w:r>
      <w:r>
        <w:rPr>
          <w:rFonts w:ascii="Roboto;sans-serif" w:hAnsi="Roboto;sans-serif"/>
          <w:b w:val="false"/>
          <w:color w:val="050505"/>
          <w:sz w:val="18"/>
        </w:rPr>
        <w:t>costs associated with the Restructuring Plans and similar initiatives;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supplier settlements that are outside of the ordinary course of business and are nonrecurring, infrequent or unusual based on factors such as the nature of the settlements, as well as our frequency and past practice of performing refinancing activities; and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income (loss),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949"/>
        <w:gridCol w:w="358"/>
        <w:gridCol w:w="361"/>
        <w:gridCol w:w="237"/>
        <w:gridCol w:w="741"/>
        <w:gridCol w:w="114"/>
        <w:gridCol w:w="109"/>
        <w:gridCol w:w="109"/>
        <w:gridCol w:w="109"/>
        <w:gridCol w:w="241"/>
        <w:gridCol w:w="755"/>
        <w:gridCol w:w="116"/>
        <w:gridCol w:w="109"/>
        <w:gridCol w:w="109"/>
        <w:gridCol w:w="109"/>
        <w:gridCol w:w="293"/>
        <w:gridCol w:w="919"/>
        <w:gridCol w:w="142"/>
        <w:gridCol w:w="109"/>
        <w:gridCol w:w="109"/>
        <w:gridCol w:w="109"/>
        <w:gridCol w:w="237"/>
        <w:gridCol w:w="741"/>
        <w:gridCol w:w="114"/>
        <w:gridCol w:w="109"/>
        <w:gridCol w:w="109"/>
        <w:gridCol w:w="109"/>
        <w:gridCol w:w="237"/>
        <w:gridCol w:w="741"/>
        <w:gridCol w:w="114"/>
        <w:gridCol w:w="109"/>
        <w:gridCol w:w="109"/>
        <w:gridCol w:w="109"/>
        <w:gridCol w:w="233"/>
        <w:gridCol w:w="757"/>
        <w:gridCol w:w="170"/>
      </w:tblGrid>
      <w:tr>
        <w:trPr/>
        <w:tc>
          <w:tcPr>
            <w:tcW w:w="94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Fiscal Year Ended</w:t>
            </w:r>
          </w:p>
        </w:tc>
      </w:tr>
      <w:tr>
        <w:trPr/>
        <w:tc>
          <w:tcPr>
            <w:tcW w:w="166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166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37"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142.3 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468.2 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403.6 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60"/>
        <w:jc w:val="both"/>
        <w:rPr>
          <w:rFonts w:ascii="Roboto;sans-serif" w:hAnsi="Roboto;sans-serif"/>
          <w:b/>
          <w:i/>
          <w:color w:val="000000"/>
          <w:sz w:val="18"/>
        </w:rPr>
      </w:pPr>
      <w:r>
        <w:rPr>
          <w:rFonts w:ascii="Roboto;sans-serif" w:hAnsi="Roboto;sans-serif"/>
          <w:b/>
          <w:i/>
          <w:color w:val="000000"/>
          <w:sz w:val="18"/>
        </w:rPr>
        <w:t>Subscription Contribution and Subscription Contribution Margin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Subscription Cost of revenue, adjusted to exclude depreciation and amortization and stock-based compensation expenses included within Subscription Cost of revenue. Subscription Contribution Margin is calculated by dividing Subscription Contribution by Subscription Revenue.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w10:wrap type="none"/>
              </v:rect>
            </w:pict>
          </mc:Fallback>
        </mc:AlternateConten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293"/>
        <w:gridCol w:w="1129"/>
        <w:gridCol w:w="1134"/>
        <w:gridCol w:w="254"/>
        <w:gridCol w:w="797"/>
        <w:gridCol w:w="305"/>
        <w:gridCol w:w="122"/>
        <w:gridCol w:w="122"/>
        <w:gridCol w:w="122"/>
        <w:gridCol w:w="254"/>
        <w:gridCol w:w="797"/>
        <w:gridCol w:w="305"/>
        <w:gridCol w:w="109"/>
        <w:gridCol w:w="109"/>
        <w:gridCol w:w="109"/>
        <w:gridCol w:w="586"/>
        <w:gridCol w:w="1831"/>
        <w:gridCol w:w="827"/>
      </w:tblGrid>
      <w:tr>
        <w:trPr/>
        <w:tc>
          <w:tcPr>
            <w:tcW w:w="12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35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r>
      <w:tr>
        <w:trPr/>
        <w:tc>
          <w:tcPr>
            <w:tcW w:w="35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r>
      <w:tr>
        <w:trPr/>
        <w:tc>
          <w:tcPr>
            <w:tcW w:w="355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6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436.6 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428.0 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Subscription Cost of revenue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115.2 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123.6 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321.4 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293.7 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304.3 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73.6 </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71.9 </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71.1 </w:t>
            </w:r>
          </w:p>
        </w:tc>
        <w:tc>
          <w:tcPr>
            <w:tcW w:w="8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8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333.2 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307.9 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318.3 </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76.3 </w:t>
            </w:r>
          </w:p>
        </w:tc>
        <w:tc>
          <w:tcPr>
            <w:tcW w:w="3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75.4 </w:t>
            </w:r>
          </w:p>
        </w:tc>
        <w:tc>
          <w:tcPr>
            <w:tcW w:w="3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74.4 </w:t>
            </w:r>
          </w:p>
        </w:tc>
        <w:tc>
          <w:tcPr>
            <w:tcW w:w="8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Free Cash Flow</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or principal repayments on our debt, which reduces cash available to us. Because of these limitations, Free Cash Flow should be considered along with other operating and financial performance measures presented in accordance with GAAP.</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provided by operating activities,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211"/>
        <w:gridCol w:w="994"/>
        <w:gridCol w:w="1000"/>
        <w:gridCol w:w="339"/>
        <w:gridCol w:w="880"/>
        <w:gridCol w:w="163"/>
        <w:gridCol w:w="163"/>
        <w:gridCol w:w="163"/>
        <w:gridCol w:w="163"/>
        <w:gridCol w:w="339"/>
        <w:gridCol w:w="1061"/>
        <w:gridCol w:w="163"/>
        <w:gridCol w:w="109"/>
        <w:gridCol w:w="109"/>
        <w:gridCol w:w="109"/>
        <w:gridCol w:w="325"/>
        <w:gridCol w:w="1015"/>
        <w:gridCol w:w="156"/>
        <w:gridCol w:w="109"/>
        <w:gridCol w:w="109"/>
        <w:gridCol w:w="109"/>
        <w:gridCol w:w="292"/>
        <w:gridCol w:w="915"/>
        <w:gridCol w:w="209"/>
      </w:tblGrid>
      <w:tr>
        <w:trPr/>
        <w:tc>
          <w:tcPr>
            <w:tcW w:w="12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and 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w:t>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2025</w:t>
            </w:r>
          </w:p>
        </w:tc>
      </w:tr>
      <w:tr>
        <w:trPr/>
        <w:tc>
          <w:tcPr>
            <w:tcW w:w="3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operating activities</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117.1 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377.6 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112.4 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w10:wrap type="none"/>
              </v:rect>
            </w:pict>
          </mc:Fallback>
        </mc:AlternateConten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Net Debt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define Net Debt as Total debt less Cash and cash equivalents. Total debt consists of the carrying amount of Current portion of debt, Convertible senior notes, net of current portion, and Term loan, net of current portion, on our Consolidated Balance Sheets, which includes unamortized debt discount and issuance costs. Net Debt reflects an additional way of viewing our liquidity that, we believe, when viewed with our GAAP results, provides management, investors, and other users of our financial information with a more complete understanding of factors and trends affecting our capital structure and balance sheet leverage.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Net Debt has limitations as an analytical tool and may vary from similarly titled measures used by other companies. Because of this, Net Debt should not be considered in isolation or as a substitute for an analysis of our financial measures prepared and presented in accordance with GAAP.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Net Debt to Total debt, the most comparable financial measure prepared in accordance with GAAP, for each of the periods indicated:</w:t>
      </w:r>
    </w:p>
    <w:tbl>
      <w:tblPr>
        <w:tblW w:w="6293" w:type="dxa"/>
        <w:jc w:val="left"/>
        <w:tblInd w:w="0" w:type="dxa"/>
        <w:tblLayout w:type="fixed"/>
        <w:tblCellMar>
          <w:top w:w="28" w:type="dxa"/>
          <w:left w:w="28" w:type="dxa"/>
          <w:bottom w:w="28" w:type="dxa"/>
          <w:right w:w="28" w:type="dxa"/>
        </w:tblCellMar>
      </w:tblPr>
      <w:tblGrid>
        <w:gridCol w:w="1409"/>
        <w:gridCol w:w="1235"/>
        <w:gridCol w:w="1241"/>
        <w:gridCol w:w="246"/>
        <w:gridCol w:w="640"/>
        <w:gridCol w:w="109"/>
        <w:gridCol w:w="109"/>
        <w:gridCol w:w="109"/>
        <w:gridCol w:w="109"/>
        <w:gridCol w:w="226"/>
        <w:gridCol w:w="706"/>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debt</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senior notes, net of current portion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 of current portion</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debt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1,498.9 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Cash and cash equivalents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Debt</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Gross Principal Debt Outstanding, Net of Cash and cash equivalents, Gross Leverage Ratio, and Net Leverage Ratio</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Gross principal debt outstanding consists of the gross principal amount outstanding on Total debt, which excludes unamortized debt discount and issuance costs. We define Gross principal debt outstanding, net of cash and cash equivalents as Gross principal debt outstanding less Cash and cash equivalents. This metric reflects an additional way of viewing our liquidity that, we believe, when viewed with our GAAP results, provides management, investors, and other users of our financial information with a more complete understanding of factors and trends affecting our capital structure and balance sheet leverage.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Gross Leverage Ratio is defined as Gross principal debt outstanding divided by Adjusted EBITDA for the trailing twelve months ended June 30, 2026 and 2025, respectively ("Trailing Twelve Month Adjusted EBITDA"). Our Net Leverage Ratio is defined as Gross principal debt outstanding, net of cash and cash equivalents divided by our Trailing Twelve Month Adjusted EBITDA. Trailing Twelve Month Adjusted EBITDA is computed by summing our reported Adjusted EBITDA for the trailing four fiscal quarters. We believe that our Gross Leverage Ratio and Net Leverage Ratio are useful measures to management and investors in understanding trends in our overall financial condition.</w:t>
      </w:r>
    </w:p>
    <w:p>
      <w:pPr>
        <w:pStyle w:val="TextBody"/>
        <w:bidi w:val="0"/>
        <w:spacing w:before="0" w:after="0"/>
        <w:jc w:val="both"/>
        <w:rPr/>
      </w:pPr>
      <w:r>
        <w:rPr/>
      </w:r>
    </w:p>
    <w:p>
      <w:pPr>
        <w:pStyle w:val="TextBody"/>
        <w:bidi w:val="0"/>
        <w:spacing w:lineRule="auto" w:line="288"/>
        <w:jc w:val="both"/>
        <w:rPr>
          <w:rFonts w:ascii="Roboto;sans-serif" w:hAnsi="Roboto;sans-serif"/>
          <w:b w:val="false"/>
          <w:color w:val="000000"/>
          <w:sz w:val="18"/>
        </w:rPr>
      </w:pPr>
      <w:r>
        <w:rPr>
          <w:rFonts w:ascii="Roboto;sans-serif" w:hAnsi="Roboto;sans-serif"/>
          <w:b w:val="false"/>
          <w:color w:val="000000"/>
          <w:sz w:val="18"/>
        </w:rPr>
        <w:t xml:space="preserve">These metrics have limitations as an analytical tool and may vary from similarly titled measures used by other companies. Because of this, they should not be considered in isolation or as a substitute for an analysis of our financial measures prepared and presented in accordance with GAAP.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w10:wrap type="none"/>
              </v:rect>
            </w:pict>
          </mc:Fallback>
        </mc:AlternateConten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income (loss), the most directly comparable financial measure prepared in accordance with GAAP, for each of the periods indicated, a reconciliation of Gross principal debt outstanding, net of cash and cash equivalents to Gross principal debt outstanding, the most comparable financial measure prepared in accordance with GAAP, for each of the periods indicated, and the computation of our Gross Leverage Ratio and Net Leverage Ratio: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22"/>
        <w:gridCol w:w="1940"/>
        <w:gridCol w:w="1954"/>
        <w:gridCol w:w="305"/>
        <w:gridCol w:w="1200"/>
        <w:gridCol w:w="285"/>
        <w:gridCol w:w="147"/>
        <w:gridCol w:w="147"/>
        <w:gridCol w:w="147"/>
        <w:gridCol w:w="305"/>
        <w:gridCol w:w="1200"/>
        <w:gridCol w:w="353"/>
      </w:tblGrid>
      <w:tr>
        <w:trPr/>
        <w:tc>
          <w:tcPr>
            <w:tcW w:w="222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Trailing Twelve Months Ended June 30,</w:t>
            </w:r>
          </w:p>
        </w:tc>
      </w:tr>
      <w:tr>
        <w:trPr/>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r>
      <w:tr>
        <w:trPr/>
        <w:tc>
          <w:tcPr>
            <w:tcW w:w="6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(dollars in millions)</w:t>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income (loss)</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97.6 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79.3 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(benefit) expense</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89.7 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r>
      <w:tr>
        <w:trPr/>
        <w:tc>
          <w:tcPr>
            <w:tcW w:w="6116"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858" w:type="dxa"/>
            <w:gridSpan w:val="3"/>
            <w:tcBorders/>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Adjusted EBITDA</w:t>
            </w:r>
            <w:r>
              <w:rPr>
                <w:color w:val="000000"/>
              </w:rPr>
              <w:t xml:space="preserve"> </w:t>
            </w:r>
            <w:r>
              <w:rPr>
                <w:rFonts w:ascii="Roboto;sans-serif" w:hAnsi="Roboto;sans-serif"/>
                <w:b w:val="false"/>
                <w:color w:val="000000"/>
                <w:sz w:val="12"/>
              </w:rPr>
              <w:t>(1)</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468.2 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403.6 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Gross principal debt outstanding</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1,330.0 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1,539.0 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Less: Cash and cash equivalents</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1,206.6 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1,039.5 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Gross principal debt outstanding, net of cash and cash equivalents</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123.4 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499.5 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Gross Leverage Ratio</w:t>
            </w:r>
            <w:r>
              <w:rPr>
                <w:color w:val="000000"/>
              </w:rPr>
              <w:t xml:space="preserve"> </w:t>
            </w:r>
            <w:r>
              <w:rPr>
                <w:rFonts w:ascii="Roboto;sans-serif" w:hAnsi="Roboto;sans-serif"/>
                <w:b w:val="false"/>
                <w:color w:val="000000"/>
                <w:sz w:val="12"/>
              </w:rPr>
              <w:t>(2)</w:t>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x</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x</w:t>
            </w:r>
          </w:p>
        </w:tc>
      </w:tr>
      <w:tr>
        <w:trPr/>
        <w:tc>
          <w:tcPr>
            <w:tcW w:w="6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Net Leverage Ratio</w:t>
            </w:r>
            <w:r>
              <w:rPr>
                <w:color w:val="000000"/>
              </w:rPr>
              <w:t xml:space="preserve"> </w:t>
            </w:r>
            <w:r>
              <w:rPr>
                <w:rFonts w:ascii="Roboto;sans-serif" w:hAnsi="Roboto;sans-serif"/>
                <w:b w:val="false"/>
                <w:color w:val="000000"/>
                <w:sz w:val="12"/>
              </w:rPr>
              <w:t>(2)</w:t>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x</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x</w:t>
            </w:r>
          </w:p>
        </w:tc>
      </w:tr>
    </w:tbl>
    <w:p>
      <w:pPr>
        <w:pStyle w:val="TextBody"/>
        <w:bidi w:val="0"/>
        <w:spacing w:lineRule="auto" w:line="288" w:before="0" w:after="60"/>
        <w:jc w:val="both"/>
        <w:rPr>
          <w:rFonts w:ascii="Roboto;sans-serif" w:hAnsi="Roboto;sans-serif"/>
          <w:b w:val="false"/>
          <w:color w:val="000000"/>
          <w:sz w:val="12"/>
        </w:rPr>
      </w:pPr>
      <w:r>
        <w:rPr>
          <w:rFonts w:ascii="Roboto;sans-serif" w:hAnsi="Roboto;sans-serif"/>
          <w:b w:val="false"/>
          <w:color w:val="000000"/>
          <w:sz w:val="12"/>
        </w:rPr>
        <w:t>____________________________________</w:t>
      </w:r>
    </w:p>
    <w:p>
      <w:pPr>
        <w:pStyle w:val="TextBody"/>
        <w:bidi w:val="0"/>
        <w:spacing w:lineRule="auto" w:line="319" w:before="0" w:after="60"/>
        <w:jc w:val="both"/>
        <w:rPr>
          <w:rFonts w:ascii="Roboto;sans-serif" w:hAnsi="Roboto;sans-serif"/>
          <w:b w:val="false"/>
          <w:color w:val="000000"/>
          <w:sz w:val="14"/>
        </w:rPr>
      </w:pPr>
      <w:r>
        <w:rPr>
          <w:rFonts w:ascii="Roboto;sans-serif" w:hAnsi="Roboto;sans-serif"/>
          <w:b w:val="false"/>
          <w:color w:val="000000"/>
          <w:sz w:val="14"/>
        </w:rPr>
        <w:t xml:space="preserve">(1) See section titled “Non-GAAP Financial Measures—Adjusted EBITDA” for further information on this non-GAAP financial measure. </w:t>
      </w:r>
    </w:p>
    <w:p>
      <w:pPr>
        <w:pStyle w:val="TextBody"/>
        <w:bidi w:val="0"/>
        <w:spacing w:lineRule="auto" w:line="319" w:before="0" w:after="60"/>
        <w:jc w:val="both"/>
        <w:rPr>
          <w:rFonts w:ascii="Roboto;sans-serif" w:hAnsi="Roboto;sans-serif"/>
          <w:b w:val="false"/>
          <w:color w:val="000000"/>
          <w:sz w:val="14"/>
        </w:rPr>
      </w:pPr>
      <w:r>
        <w:rPr>
          <w:rFonts w:ascii="Roboto;sans-serif" w:hAnsi="Roboto;sans-serif"/>
          <w:b w:val="false"/>
          <w:color w:val="000000"/>
          <w:sz w:val="14"/>
        </w:rPr>
        <w:t>(2) Gross Leverage Ratio is calculated as Gross principal debt outstanding divided by Adjusted EBITDA, and Net Leverage Ratio is calculated as Gross principal debt outstanding, net of cash and cash equivalents divided by Adjusted EBITDA.</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Roboto;sans-serif" w:hAnsi="Roboto;sans-serif"/>
          <w:b/>
          <w:color w:val="000000"/>
          <w:sz w:val="20"/>
        </w:rPr>
      </w:pPr>
      <w:r>
        <w:rPr>
          <w:rFonts w:ascii="Roboto;sans-serif" w:hAnsi="Roboto;sans-serif"/>
          <w:b/>
          <w:color w:val="000000"/>
          <w:sz w:val="20"/>
        </w:rPr>
        <w:t>User Metrics Definitions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Members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Members includes any individual who has a Peloton account through a Paid Connected Fitness Subscription or a Paid App Subscription, inclusive of the Peloton App+, App One, Strength+, and Breathwrk Memberships (the “Peloton Apps”), and engages in one or more workouts in the trailing 12-month period.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Ending Paid Connected Fitness Subscriptions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Average Net Monthly Paid Connected Fitness Subscription Churn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quarterly Average Net Monthly Paid Connected Fitness Subscription Churn metric averages the monthly Connected Fitness churn percentage across the three months of the reported quarter.</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w10:wrap type="none"/>
              </v:rect>
            </w:pict>
          </mc:Fallback>
        </mc:AlternateConten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Ending Paid App Subscriptions</w:t>
      </w:r>
    </w:p>
    <w:p>
      <w:pPr>
        <w:pStyle w:val="TextBody"/>
        <w:bidi w:val="0"/>
        <w:spacing w:lineRule="auto" w:line="288" w:before="0" w:after="240"/>
        <w:jc w:val="both"/>
        <w:rPr/>
      </w:pPr>
      <w:r>
        <w:rPr>
          <w:rFonts w:ascii="Roboto;sans-serif" w:hAnsi="Roboto;sans-serif"/>
          <w:b w:val="false"/>
          <w:color w:val="000000"/>
          <w:sz w:val="18"/>
        </w:rPr>
        <w:t xml:space="preserve">Ending Paid App Subscriptions includes all subscriptions to our Peloton Apps for which we are currently receiving payment </w:t>
      </w:r>
      <w:r>
        <w:rPr>
          <w:rFonts w:ascii="Roboto;sans-serif" w:hAnsi="Roboto;sans-serif"/>
          <w:b w:val="false"/>
          <w:color w:val="050505"/>
          <w:sz w:val="18"/>
        </w:rPr>
        <w:t>(a successful credit card billing or prepaid with subscription credits or waivers)</w:t>
      </w:r>
      <w:r>
        <w:rPr>
          <w:rFonts w:ascii="Roboto;sans-serif" w:hAnsi="Roboto;sans-serif"/>
          <w:b w:val="false"/>
          <w:color w:val="000000"/>
          <w:sz w:val="18"/>
        </w:rPr>
        <w:t>. Starting in fiscal 2026, we no longer report on Average Monthly Paid App Subscription Churn.</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7437</Words>
  <Characters>42184</Characters>
  <CharactersWithSpaces>48921</CharactersWithSpaces>
  <Paragraphs>1203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