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color w:val="000000"/>
          <w:sz w:val="20"/>
        </w:rPr>
      </w:pPr>
      <w:r>
        <w:rPr>
          <w:rFonts w:ascii="Roboto;sans-serif" w:hAnsi="Roboto;sans-serif"/>
          <w:b/>
          <w:color w:val="000000"/>
          <w:sz w:val="20"/>
        </w:rPr>
        <w:t xml:space="preserve">As filed with the Securities and Exchange Commission on August 6, 2026 </w:t>
      </w:r>
    </w:p>
    <w:p>
      <w:pPr>
        <w:pStyle w:val="TextBody"/>
        <w:bidi w:val="0"/>
        <w:spacing w:before="0" w:after="0"/>
        <w:jc w:val="center"/>
        <w:rPr/>
      </w:pPr>
      <w:r>
        <w:rPr/>
      </w:r>
    </w:p>
    <w:p>
      <w:pPr>
        <w:pStyle w:val="TextBody"/>
        <w:bidi w:val="0"/>
        <w:spacing w:lineRule="auto" w:line="240" w:before="0" w:after="0"/>
        <w:jc w:val="right"/>
        <w:rPr>
          <w:rFonts w:ascii="Roboto;sans-serif" w:hAnsi="Roboto;sans-serif"/>
          <w:b/>
          <w:color w:val="000000"/>
          <w:sz w:val="20"/>
        </w:rPr>
      </w:pPr>
      <w:r>
        <w:rPr>
          <w:rFonts w:ascii="Roboto;sans-serif" w:hAnsi="Roboto;sans-serif"/>
          <w:b/>
          <w:color w:val="000000"/>
          <w:sz w:val="20"/>
        </w:rPr>
        <w:t xml:space="preserve">Registration No. 333-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Roboto;sans-serif" w:hAnsi="Roboto;sans-serif"/>
          <w:b/>
          <w:color w:val="000000"/>
          <w:sz w:val="36"/>
        </w:rPr>
      </w:pPr>
      <w:r>
        <w:rPr>
          <w:rFonts w:ascii="Roboto;sans-serif" w:hAnsi="Roboto;sans-serif"/>
          <w:b/>
          <w:color w:val="000000"/>
          <w:sz w:val="36"/>
        </w:rPr>
        <w:t xml:space="preserve">UNITED STATES </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 xml:space="preserve">SECURITIES AND EXCHANGE COMMISSION </w:t>
      </w:r>
    </w:p>
    <w:p>
      <w:pPr>
        <w:pStyle w:val="TextBody"/>
        <w:bidi w:val="0"/>
        <w:spacing w:lineRule="auto" w:line="240" w:before="0" w:after="0"/>
        <w:jc w:val="center"/>
        <w:rPr>
          <w:rFonts w:ascii="Roboto;sans-serif" w:hAnsi="Roboto;sans-serif"/>
          <w:b/>
          <w:color w:val="000000"/>
          <w:sz w:val="24"/>
        </w:rPr>
      </w:pPr>
      <w:r>
        <w:rPr>
          <w:rFonts w:ascii="Roboto;sans-serif" w:hAnsi="Roboto;sans-serif"/>
          <w:b/>
          <w:color w:val="000000"/>
          <w:sz w:val="24"/>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Roboto;sans-serif" w:hAnsi="Roboto;sans-serif"/>
          <w:b/>
          <w:color w:val="000000"/>
          <w:sz w:val="36"/>
        </w:rPr>
      </w:pPr>
      <w:r>
        <w:rPr>
          <w:rFonts w:ascii="Roboto;sans-serif" w:hAnsi="Roboto;sans-serif"/>
          <w:b/>
          <w:color w:val="000000"/>
          <w:sz w:val="36"/>
        </w:rPr>
        <w:t xml:space="preserve">FORM S-8 </w:t>
      </w:r>
    </w:p>
    <w:p>
      <w:pPr>
        <w:pStyle w:val="TextBody"/>
        <w:bidi w:val="0"/>
        <w:spacing w:lineRule="auto" w:line="240" w:before="120" w:after="283"/>
        <w:jc w:val="center"/>
        <w:rPr>
          <w:rFonts w:ascii="Roboto;sans-serif" w:hAnsi="Roboto;sans-serif"/>
          <w:b/>
          <w:color w:val="000000"/>
          <w:sz w:val="28"/>
        </w:rPr>
      </w:pPr>
      <w:r>
        <w:rPr>
          <w:rFonts w:ascii="Roboto;sans-serif" w:hAnsi="Roboto;sans-serif"/>
          <w:b/>
          <w:color w:val="000000"/>
          <w:sz w:val="28"/>
        </w:rPr>
        <w:t xml:space="preserve">REGISTRATION STATEMENT UNDER THE SECURITIES ACT OF 1933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Roboto;sans-serif" w:hAnsi="Roboto;sans-serif"/>
          <w:b/>
          <w:color w:val="000000"/>
          <w:sz w:val="48"/>
        </w:rPr>
      </w:pPr>
      <w:r>
        <w:rPr>
          <w:rFonts w:ascii="Roboto;sans-serif" w:hAnsi="Roboto;sans-serif"/>
          <w:b/>
          <w:color w:val="000000"/>
          <w:sz w:val="48"/>
        </w:rPr>
        <w:t xml:space="preserve">Peloton Interactive, Inc. </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 xml:space="preserve">(Exact name of registrant as specified in its charter)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029" w:type="dxa"/>
        <w:jc w:val="left"/>
        <w:tblInd w:w="0" w:type="dxa"/>
        <w:tblLayout w:type="fixed"/>
        <w:tblCellMar>
          <w:top w:w="28" w:type="dxa"/>
          <w:left w:w="28" w:type="dxa"/>
          <w:bottom w:w="28" w:type="dxa"/>
          <w:right w:w="28" w:type="dxa"/>
        </w:tblCellMar>
      </w:tblPr>
      <w:tblGrid>
        <w:gridCol w:w="395"/>
        <w:gridCol w:w="349"/>
        <w:gridCol w:w="349"/>
        <w:gridCol w:w="349"/>
        <w:gridCol w:w="349"/>
        <w:gridCol w:w="349"/>
        <w:gridCol w:w="349"/>
        <w:gridCol w:w="349"/>
        <w:gridCol w:w="368"/>
        <w:gridCol w:w="109"/>
        <w:gridCol w:w="109"/>
        <w:gridCol w:w="109"/>
        <w:gridCol w:w="109"/>
        <w:gridCol w:w="109"/>
        <w:gridCol w:w="109"/>
        <w:gridCol w:w="109"/>
        <w:gridCol w:w="109"/>
        <w:gridCol w:w="109"/>
        <w:gridCol w:w="195"/>
        <w:gridCol w:w="195"/>
        <w:gridCol w:w="195"/>
        <w:gridCol w:w="195"/>
        <w:gridCol w:w="195"/>
        <w:gridCol w:w="195"/>
        <w:gridCol w:w="195"/>
        <w:gridCol w:w="195"/>
        <w:gridCol w:w="282"/>
      </w:tblGrid>
      <w:tr>
        <w:trPr/>
        <w:tc>
          <w:tcPr>
            <w:tcW w:w="3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47-3533761</w:t>
            </w:r>
          </w:p>
        </w:tc>
      </w:tr>
      <w:tr>
        <w:trPr/>
        <w:tc>
          <w:tcPr>
            <w:tcW w:w="3206" w:type="dxa"/>
            <w:gridSpan w:val="9"/>
            <w:tcBorders/>
            <w:tcMar>
              <w:top w:w="0" w:type="dxa"/>
              <w:left w:w="0" w:type="dxa"/>
              <w:bottom w:w="0" w:type="dxa"/>
              <w:right w:w="0" w:type="dxa"/>
            </w:tcMar>
            <w:vAlign w:val="center"/>
          </w:tcPr>
          <w:p>
            <w:pPr>
              <w:pStyle w:val="TableContents"/>
              <w:bidi w:val="0"/>
              <w:spacing w:lineRule="auto" w:line="240" w:before="75" w:after="283"/>
              <w:jc w:val="center"/>
              <w:rPr>
                <w:rFonts w:ascii="Roboto;sans-serif" w:hAnsi="Roboto;sans-serif"/>
                <w:b/>
                <w:color w:val="000000"/>
                <w:sz w:val="16"/>
              </w:rPr>
            </w:pPr>
            <w:r>
              <w:rPr>
                <w:rFonts w:ascii="Roboto;sans-serif" w:hAnsi="Roboto;sans-serif"/>
                <w:b/>
                <w:color w:val="000000"/>
                <w:sz w:val="16"/>
              </w:rPr>
              <w:t>(State or other jurisdiction</w:t>
            </w:r>
          </w:p>
          <w:p>
            <w:pPr>
              <w:pStyle w:val="TableContents"/>
              <w:bidi w:val="0"/>
              <w:spacing w:lineRule="auto" w:line="240" w:before="0" w:after="30"/>
              <w:jc w:val="center"/>
              <w:rPr>
                <w:rFonts w:ascii="Roboto;sans-serif" w:hAnsi="Roboto;sans-serif"/>
                <w:b/>
                <w:color w:val="000000"/>
                <w:sz w:val="16"/>
              </w:rPr>
            </w:pPr>
            <w:r>
              <w:rPr>
                <w:rFonts w:ascii="Roboto;sans-serif" w:hAnsi="Roboto;sans-serif"/>
                <w:b/>
                <w:color w:val="000000"/>
                <w:sz w:val="16"/>
              </w:rPr>
              <w:t>of 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75" w:after="283"/>
              <w:jc w:val="center"/>
              <w:rPr>
                <w:rFonts w:ascii="Roboto;sans-serif" w:hAnsi="Roboto;sans-serif"/>
                <w:b/>
                <w:color w:val="000000"/>
                <w:sz w:val="16"/>
              </w:rPr>
            </w:pPr>
            <w:r>
              <w:rPr>
                <w:rFonts w:ascii="Roboto;sans-serif" w:hAnsi="Roboto;sans-serif"/>
                <w:b/>
                <w:color w:val="000000"/>
                <w:sz w:val="16"/>
              </w:rPr>
              <w:t>(I.R.S. Employer</w:t>
            </w:r>
          </w:p>
          <w:p>
            <w:pPr>
              <w:pStyle w:val="TableContents"/>
              <w:bidi w:val="0"/>
              <w:spacing w:lineRule="auto" w:line="240" w:before="0" w:after="30"/>
              <w:jc w:val="center"/>
              <w:rPr>
                <w:rFonts w:ascii="Roboto;sans-serif" w:hAnsi="Roboto;sans-serif"/>
                <w:b/>
                <w:color w:val="000000"/>
                <w:sz w:val="16"/>
              </w:rPr>
            </w:pPr>
            <w:r>
              <w:rPr>
                <w:rFonts w:ascii="Roboto;sans-serif" w:hAnsi="Roboto;sans-serif"/>
                <w:b/>
                <w:color w:val="000000"/>
                <w:sz w:val="16"/>
              </w:rPr>
              <w:t>Identification No.)</w:t>
            </w:r>
          </w:p>
        </w:tc>
      </w:tr>
    </w:tbl>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441 Ninth Avenue, 6th Floor</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 10001</w:t>
      </w:r>
    </w:p>
    <w:p>
      <w:pPr>
        <w:pStyle w:val="TextBody"/>
        <w:bidi w:val="0"/>
        <w:spacing w:lineRule="auto" w:line="240" w:before="0" w:after="0"/>
        <w:jc w:val="center"/>
        <w:rPr>
          <w:rFonts w:ascii="Roboto;sans-serif" w:hAnsi="Roboto;sans-serif"/>
          <w:b/>
          <w:color w:val="000000"/>
          <w:sz w:val="16"/>
        </w:rPr>
      </w:pPr>
      <w:r>
        <w:rPr>
          <w:rFonts w:ascii="Roboto;sans-serif" w:hAnsi="Roboto;sans-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 xml:space="preserve">2019 Equity Incentive Plan </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 xml:space="preserve">2019 Employee Stock Purchase Plan </w:t>
      </w:r>
    </w:p>
    <w:p>
      <w:pPr>
        <w:pStyle w:val="TextBody"/>
        <w:bidi w:val="0"/>
        <w:spacing w:lineRule="auto" w:line="240" w:before="0" w:after="240"/>
        <w:jc w:val="center"/>
        <w:rPr>
          <w:rFonts w:ascii="Roboto;sans-serif" w:hAnsi="Roboto;sans-serif"/>
          <w:b/>
          <w:color w:val="000000"/>
          <w:sz w:val="16"/>
        </w:rPr>
      </w:pPr>
      <w:r>
        <w:rPr>
          <w:rFonts w:ascii="Roboto;sans-serif" w:hAnsi="Roboto;sans-serif"/>
          <w:b/>
          <w:color w:val="000000"/>
          <w:sz w:val="16"/>
        </w:rPr>
        <w:t>(Full title of the plans)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76" w:before="0" w:after="0"/>
        <w:jc w:val="center"/>
        <w:rPr/>
      </w:pPr>
      <w:r>
        <w:rPr>
          <w:rFonts w:ascii="Roboto;sans-serif" w:hAnsi="Roboto;sans-serif"/>
          <w:b/>
          <w:color w:val="000000"/>
          <w:sz w:val="20"/>
        </w:rPr>
        <w:t>Tammy Albarr</w:t>
      </w:r>
      <w:r>
        <w:rPr>
          <w:rFonts w:ascii="Roboto;sans-serif" w:hAnsi="Roboto;sans-serif"/>
          <w:b/>
          <w:color w:val="000000"/>
          <w:sz w:val="20"/>
          <w:shd w:fill="FFFFFF" w:val="clear"/>
        </w:rPr>
        <w:t>án</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Chief Legal Officer and Corporate Secretary</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441 Ninth Avenue, 6th Floor</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 10001</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extBody"/>
        <w:bidi w:val="0"/>
        <w:spacing w:lineRule="auto" w:line="240" w:before="0" w:after="0"/>
        <w:jc w:val="center"/>
        <w:rPr>
          <w:rFonts w:ascii="Roboto;sans-serif" w:hAnsi="Roboto;sans-serif"/>
          <w:b/>
          <w:color w:val="000000"/>
          <w:sz w:val="16"/>
        </w:rPr>
      </w:pPr>
      <w:r>
        <w:rPr>
          <w:rFonts w:ascii="Roboto;sans-serif" w:hAnsi="Roboto;sans-serif"/>
          <w:b/>
          <w:color w:val="000000"/>
          <w:sz w:val="16"/>
        </w:rPr>
        <w:t>(Name and address of agent for service)</w:t>
      </w:r>
    </w:p>
    <w:p>
      <w:pPr>
        <w:pStyle w:val="TextBody"/>
        <w:bidi w:val="0"/>
        <w:spacing w:lineRule="auto" w:line="240" w:before="0" w:after="0"/>
        <w:jc w:val="center"/>
        <w:rPr>
          <w:rFonts w:ascii="Roboto;sans-serif" w:hAnsi="Roboto;sans-serif"/>
          <w:b/>
          <w:color w:val="000000"/>
          <w:sz w:val="16"/>
        </w:rPr>
      </w:pPr>
      <w:r>
        <w:rPr>
          <w:rFonts w:ascii="Roboto;sans-serif" w:hAnsi="Roboto;sans-serif"/>
          <w:b/>
          <w:color w:val="000000"/>
          <w:sz w:val="16"/>
        </w:rPr>
        <w:t>(Telephone number, including area code, of agent for service)</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60" w:after="283"/>
        <w:jc w:val="center"/>
        <w:rPr>
          <w:rFonts w:ascii="Roboto;sans-serif" w:hAnsi="Roboto;sans-serif"/>
          <w:b/>
          <w:i/>
          <w:color w:val="000000"/>
          <w:sz w:val="20"/>
        </w:rPr>
      </w:pPr>
      <w:r>
        <w:rPr>
          <w:rFonts w:ascii="Roboto;sans-serif" w:hAnsi="Roboto;sans-serif"/>
          <w:b/>
          <w:i/>
          <w:color w:val="000000"/>
          <w:sz w:val="20"/>
        </w:rPr>
        <w:t>Please send copies of all communications to:</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129" w:type="dxa"/>
        <w:jc w:val="center"/>
        <w:tblInd w:w="0" w:type="dxa"/>
        <w:tblLayout w:type="fixed"/>
        <w:tblCellMar>
          <w:top w:w="28" w:type="dxa"/>
          <w:left w:w="28" w:type="dxa"/>
          <w:bottom w:w="28" w:type="dxa"/>
          <w:right w:w="28" w:type="dxa"/>
        </w:tblCellMar>
      </w:tblPr>
      <w:tblGrid>
        <w:gridCol w:w="510"/>
        <w:gridCol w:w="449"/>
        <w:gridCol w:w="449"/>
        <w:gridCol w:w="449"/>
        <w:gridCol w:w="449"/>
        <w:gridCol w:w="451"/>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Kerry S. Burke</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Covington &amp; Burling LLP</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One CityCenter</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850 Tenth Street, NW</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Washington, DC 20001</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(202) 662-6000</w:t>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40" w:before="160" w:after="283"/>
        <w:jc w:val="both"/>
        <w:rPr>
          <w:rFonts w:ascii="Roboto;sans-serif" w:hAnsi="Roboto;sans-serif"/>
          <w:b/>
          <w:color w:val="000000"/>
          <w:sz w:val="18"/>
        </w:rPr>
      </w:pPr>
      <w:r>
        <w:rPr>
          <w:rFonts w:ascii="Roboto;sans-serif" w:hAnsi="Roboto;sans-serif"/>
          <w:b/>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7724" w:type="dxa"/>
        <w:jc w:val="left"/>
        <w:tblInd w:w="0" w:type="dxa"/>
        <w:tblLayout w:type="fixed"/>
        <w:tblCellMar>
          <w:top w:w="28" w:type="dxa"/>
          <w:left w:w="28" w:type="dxa"/>
          <w:bottom w:w="28" w:type="dxa"/>
          <w:right w:w="28" w:type="dxa"/>
        </w:tblCellMar>
      </w:tblPr>
      <w:tblGrid>
        <w:gridCol w:w="265"/>
        <w:gridCol w:w="234"/>
        <w:gridCol w:w="234"/>
        <w:gridCol w:w="234"/>
        <w:gridCol w:w="234"/>
        <w:gridCol w:w="234"/>
        <w:gridCol w:w="234"/>
        <w:gridCol w:w="234"/>
        <w:gridCol w:w="23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88"/>
        <w:gridCol w:w="288"/>
        <w:gridCol w:w="288"/>
        <w:gridCol w:w="288"/>
        <w:gridCol w:w="288"/>
        <w:gridCol w:w="288"/>
        <w:gridCol w:w="288"/>
        <w:gridCol w:w="288"/>
        <w:gridCol w:w="291"/>
        <w:gridCol w:w="109"/>
        <w:gridCol w:w="109"/>
        <w:gridCol w:w="109"/>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Large 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Accelerated filer</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Smaller reporting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1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Emerging growth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EXPLANATORY NOTE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Roboto;sans-serif" w:hAnsi="Roboto;sans-serif"/>
          <w:b w:val="false"/>
          <w:color w:val="000000"/>
          <w:sz w:val="20"/>
        </w:rPr>
        <w:t>Pursuant to General Instruction E of Form S-8, Peloton Interactive, Inc. (the “</w:t>
      </w:r>
      <w:r>
        <w:rPr>
          <w:rFonts w:ascii="Roboto;sans-serif" w:hAnsi="Roboto;sans-serif"/>
          <w:b/>
          <w:i/>
          <w:color w:val="000000"/>
          <w:sz w:val="20"/>
        </w:rPr>
        <w:t>Registrant</w:t>
      </w:r>
      <w:r>
        <w:rPr>
          <w:color w:val="000000"/>
        </w:rPr>
        <w:t>”</w:t>
      </w:r>
      <w:r>
        <w:rPr>
          <w:rFonts w:ascii="Roboto;sans-serif" w:hAnsi="Roboto;sans-serif"/>
          <w:b w:val="false"/>
          <w:color w:val="000000"/>
          <w:sz w:val="20"/>
        </w:rPr>
        <w:t>) is filing this Registration Statement with the Securities and Exchange Commission (the “</w:t>
      </w:r>
      <w:r>
        <w:rPr>
          <w:rFonts w:ascii="Roboto;sans-serif" w:hAnsi="Roboto;sans-serif"/>
          <w:b/>
          <w:i/>
          <w:color w:val="000000"/>
          <w:sz w:val="20"/>
        </w:rPr>
        <w:t>Commission</w:t>
      </w:r>
      <w:r>
        <w:rPr>
          <w:color w:val="000000"/>
        </w:rPr>
        <w:t>”</w:t>
      </w:r>
      <w:r>
        <w:rPr>
          <w:rFonts w:ascii="Roboto;sans-serif" w:hAnsi="Roboto;sans-serif"/>
          <w:b w:val="false"/>
          <w:color w:val="000000"/>
          <w:sz w:val="20"/>
        </w:rPr>
        <w:t>) to register an aggregate of 26,318,361 additional shares of Class A common stock (“</w:t>
      </w:r>
      <w:r>
        <w:rPr>
          <w:rFonts w:ascii="Roboto;sans-serif" w:hAnsi="Roboto;sans-serif"/>
          <w:b/>
          <w:i/>
          <w:color w:val="000000"/>
          <w:sz w:val="20"/>
        </w:rPr>
        <w:t>Shares</w:t>
      </w:r>
      <w:r>
        <w:rPr>
          <w:color w:val="000000"/>
        </w:rPr>
        <w:t>”</w:t>
      </w:r>
      <w:r>
        <w:rPr>
          <w:rFonts w:ascii="Roboto;sans-serif" w:hAnsi="Roboto;sans-serif"/>
          <w:b w:val="false"/>
          <w:color w:val="000000"/>
          <w:sz w:val="20"/>
        </w:rPr>
        <w:t>), consisting of (i) 21,931,968 additional Shares under the Registrant’s 2019 Equity Incentive Plan (the “</w:t>
      </w:r>
      <w:r>
        <w:rPr>
          <w:rFonts w:ascii="Roboto;sans-serif" w:hAnsi="Roboto;sans-serif"/>
          <w:b/>
          <w:i/>
          <w:color w:val="000000"/>
          <w:sz w:val="20"/>
        </w:rPr>
        <w:t>2019 Plan</w:t>
      </w:r>
      <w:r>
        <w:rPr>
          <w:color w:val="000000"/>
        </w:rPr>
        <w:t>”</w:t>
      </w:r>
      <w:r>
        <w:rPr>
          <w:rFonts w:ascii="Roboto;sans-serif" w:hAnsi="Roboto;sans-serif"/>
          <w:b w:val="false"/>
          <w:color w:val="000000"/>
          <w:sz w:val="20"/>
        </w:rPr>
        <w:t>), and (ii) 4,386,393</w:t>
      </w:r>
      <w:r>
        <w:rPr>
          <w:color w:val="000000"/>
        </w:rPr>
        <w:t xml:space="preserve"> </w:t>
      </w:r>
      <w:r>
        <w:rPr>
          <w:rFonts w:ascii="Roboto;sans-serif" w:hAnsi="Roboto;sans-serif"/>
          <w:b w:val="false"/>
          <w:color w:val="000000"/>
          <w:sz w:val="20"/>
        </w:rPr>
        <w:t>additional Shares under the Registrant’s 2019 Employee Stock Purchase Plan (the “</w:t>
      </w:r>
      <w:r>
        <w:rPr>
          <w:rFonts w:ascii="Roboto;sans-serif" w:hAnsi="Roboto;sans-serif"/>
          <w:b/>
          <w:i/>
          <w:color w:val="000000"/>
          <w:sz w:val="20"/>
        </w:rPr>
        <w:t>2019 ESPP</w:t>
      </w:r>
      <w:r>
        <w:rPr>
          <w:color w:val="000000"/>
        </w:rPr>
        <w:t>”</w:t>
      </w:r>
      <w:r>
        <w:rPr>
          <w:rFonts w:ascii="Roboto;sans-serif" w:hAnsi="Roboto;sans-serif"/>
          <w:b w:val="false"/>
          <w:color w:val="000000"/>
          <w:sz w:val="20"/>
        </w:rPr>
        <w:t xml:space="preserve">), pursuant to the provisions of the 2019 Plan and the 2019 ESPP, respectively, providing for an automatic annual increase in the number of Shares reserved for issuance under each such plan.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Roboto;sans-serif" w:hAnsi="Roboto;sans-serif"/>
          <w:b w:val="false"/>
          <w:color w:val="000000"/>
          <w:sz w:val="20"/>
        </w:rPr>
      </w:pPr>
      <w:r>
        <w:rPr>
          <w:rFonts w:ascii="Roboto;sans-serif" w:hAnsi="Roboto;sans-serif"/>
          <w:b w:val="false"/>
          <w:color w:val="000000"/>
          <w:sz w:val="20"/>
        </w:rPr>
        <w:t>Pursuant to General Instruction E of Form S-8, this Registration Statement hereby incorporates by reference the contents of the Registrant’s previous registration statements on Form S-8 filed with the Commission on August 7, 2025 (File No. 333-289378), August 22, 2024 (File No. 333-281725), February 1, 2024 (File No. 333-276818), August 23, 2023 (File No. 333-274173), September 7, 2022 (File No. 333-267306), August 27, 2021 (File No. 333-259099), September 11, 2020 (File No. 333-248724) and September 26, 2019 (File No. 333-233941) to the extent not modified or superseded hereby or by any subsequently filed document, which is incorporated by reference herein or therein.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PART II</w:t>
      </w:r>
    </w:p>
    <w:p>
      <w:pPr>
        <w:pStyle w:val="TextBody"/>
        <w:bidi w:val="0"/>
        <w:spacing w:lineRule="auto" w:line="240" w:before="0" w:after="0"/>
        <w:jc w:val="center"/>
        <w:rPr>
          <w:rFonts w:ascii="Roboto;sans-serif" w:hAnsi="Roboto;sans-serif"/>
          <w:b/>
          <w:color w:val="000000"/>
          <w:sz w:val="22"/>
        </w:rPr>
      </w:pPr>
      <w:r>
        <w:rPr>
          <w:rFonts w:ascii="Roboto;sans-serif" w:hAnsi="Roboto;sans-serif"/>
          <w:b/>
          <w:color w:val="000000"/>
          <w:sz w:val="22"/>
        </w:rPr>
        <w:t>Information Required in the Registration Statement</w:t>
      </w:r>
    </w:p>
    <w:p>
      <w:pPr>
        <w:pStyle w:val="TextBody"/>
        <w:bidi w:val="0"/>
        <w:spacing w:before="0" w:after="0"/>
        <w:jc w:val="center"/>
        <w:rPr/>
      </w:pPr>
      <w:r>
        <w:rPr/>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Item 3. Incorporation of Documents By Reference.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Roboto;sans-serif" w:hAnsi="Roboto;sans-serif"/>
          <w:b w:val="false"/>
          <w:color w:val="000000"/>
          <w:sz w:val="20"/>
        </w:rPr>
        <w:t>The following documents filed by the Registrant with the Commission pursuant to the Securities Exchange Act of 1934, as amended (the “</w:t>
      </w:r>
      <w:r>
        <w:rPr>
          <w:rFonts w:ascii="Roboto;sans-serif" w:hAnsi="Roboto;sans-serif"/>
          <w:b/>
          <w:i/>
          <w:color w:val="000000"/>
          <w:sz w:val="20"/>
        </w:rPr>
        <w:t>Exchange Act</w:t>
      </w:r>
      <w:r>
        <w:rPr>
          <w:color w:val="000000"/>
        </w:rPr>
        <w:t>”</w:t>
      </w:r>
      <w:r>
        <w:rPr>
          <w:rFonts w:ascii="Roboto;sans-serif" w:hAnsi="Roboto;sans-serif"/>
          <w:b w:val="false"/>
          <w:color w:val="000000"/>
          <w:sz w:val="20"/>
        </w:rPr>
        <w:t>), are incorporated herein by reference:</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rFonts w:ascii="Roboto;sans-serif" w:hAnsi="Roboto;sans-serif"/>
          <w:b w:val="false"/>
          <w:color w:val="000000"/>
          <w:sz w:val="20"/>
        </w:rPr>
      </w:pPr>
      <w:r>
        <w:rPr>
          <w:rFonts w:ascii="Roboto;sans-serif" w:hAnsi="Roboto;sans-serif"/>
          <w:b w:val="false"/>
          <w:color w:val="000000"/>
          <w:sz w:val="20"/>
        </w:rPr>
        <w:t>(a)the Registrant’s Annual Report on Form 10-K for the fiscal year ended June 30, 2026, filed with the Commission on August 6, 2026; and</w:t>
      </w:r>
    </w:p>
    <w:p>
      <w:pPr>
        <w:pStyle w:val="TextBody"/>
        <w:bidi w:val="0"/>
        <w:spacing w:before="0" w:after="0"/>
        <w:jc w:val="left"/>
        <w:rPr/>
      </w:pPr>
      <w:r>
        <w:rPr/>
      </w:r>
    </w:p>
    <w:p>
      <w:pPr>
        <w:pStyle w:val="TextBody"/>
        <w:bidi w:val="0"/>
        <w:spacing w:lineRule="auto" w:line="240" w:before="0" w:after="0"/>
        <w:ind w:left="0" w:right="0" w:hanging="360"/>
        <w:jc w:val="both"/>
        <w:rPr>
          <w:rFonts w:ascii="Roboto;sans-serif" w:hAnsi="Roboto;sans-serif"/>
          <w:b w:val="false"/>
          <w:color w:val="000000"/>
          <w:sz w:val="20"/>
        </w:rPr>
      </w:pPr>
      <w:r>
        <w:rPr>
          <w:rFonts w:ascii="Roboto;sans-serif" w:hAnsi="Roboto;sans-serif"/>
          <w:b w:val="false"/>
          <w:color w:val="000000"/>
          <w:sz w:val="20"/>
        </w:rPr>
        <w:t>(b)the description of the Registrant’s Class A common stock contained in Exhibit 4.3 to the Registrant’s Annual Report on Form 10-K for the fiscal year ended June 30, 2020, filed with the Commission on September 11, 2020, including any amendments or reports filed for the purpose of updating such description.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Roboto;sans-serif" w:hAnsi="Roboto;sans-serif"/>
          <w:b w:val="false"/>
          <w:color w:val="000000"/>
          <w:sz w:val="20"/>
        </w:rPr>
      </w:pPr>
      <w:r>
        <w:rPr>
          <w:rFonts w:ascii="Roboto;sans-serif" w:hAnsi="Roboto;sans-serif"/>
          <w:b w:val="false"/>
          <w:color w:val="000000"/>
          <w:sz w:val="20"/>
        </w:rPr>
        <w:t>All documents filed by the Registrant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jc w:val="left"/>
        <w:rPr/>
      </w:pPr>
      <w:r>
        <w:rPr/>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 xml:space="preserve">Item 8. Exhibits. </w:t>
      </w:r>
    </w:p>
    <w:p>
      <w:pPr>
        <w:pStyle w:val="TextBody"/>
        <w:bidi w:val="0"/>
        <w:spacing w:before="0" w:after="0"/>
        <w:jc w:val="left"/>
        <w:rPr/>
      </w:pPr>
      <w:r>
        <w:rPr/>
      </w:r>
    </w:p>
    <w:p>
      <w:pPr>
        <w:pStyle w:val="TextBody"/>
        <w:bidi w:val="0"/>
        <w:spacing w:lineRule="auto" w:line="240" w:before="120" w:after="283"/>
        <w:ind w:left="0" w:right="0" w:firstLine="720"/>
        <w:jc w:val="left"/>
        <w:rPr>
          <w:rFonts w:ascii="Roboto;sans-serif" w:hAnsi="Roboto;sans-serif"/>
          <w:b w:val="false"/>
          <w:color w:val="000000"/>
          <w:sz w:val="20"/>
        </w:rPr>
      </w:pPr>
      <w:r>
        <w:rPr>
          <w:rFonts w:ascii="Roboto;sans-serif" w:hAnsi="Roboto;sans-serif"/>
          <w:b w:val="false"/>
          <w:color w:val="000000"/>
          <w:sz w:val="20"/>
        </w:rPr>
        <w:t>The following exhibits are filed herewith or incorporated by reference:</w:t>
      </w:r>
    </w:p>
    <w:p>
      <w:pPr>
        <w:pStyle w:val="TextBody"/>
        <w:bidi w:val="0"/>
        <w:spacing w:before="120" w:after="283"/>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32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10"/>
        <w:gridCol w:w="210"/>
        <w:gridCol w:w="183"/>
        <w:gridCol w:w="131"/>
        <w:gridCol w:w="131"/>
        <w:gridCol w:w="131"/>
        <w:gridCol w:w="131"/>
        <w:gridCol w:w="131"/>
        <w:gridCol w:w="13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6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Incorporated by Reference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 Description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Form</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File No.</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Filing Date</w:t>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Filed Herewith</w:t>
            </w:r>
          </w:p>
        </w:tc>
      </w:tr>
      <w:tr>
        <w:trPr/>
        <w:tc>
          <w:tcPr>
            <w:tcW w:w="99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2">
              <w:r>
                <w:rPr>
                  <w:rStyle w:val="InternetLink"/>
                  <w:rFonts w:ascii="Roboto;sans-serif" w:hAnsi="Roboto;sans-serif"/>
                  <w:b w:val="false"/>
                  <w:color w:val="0000FF"/>
                  <w:sz w:val="20"/>
                  <w:u w:val="single"/>
                </w:rPr>
                <w:t>Restated Certificate of Incorporation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10-Q</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11/6/2019</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3">
              <w:r>
                <w:rPr>
                  <w:rStyle w:val="InternetLink"/>
                  <w:rFonts w:ascii="Roboto;sans-serif" w:hAnsi="Roboto;sans-serif"/>
                  <w:b w:val="false"/>
                  <w:color w:val="0000FF"/>
                  <w:sz w:val="20"/>
                  <w:u w:val="single"/>
                </w:rPr>
                <w:t>Second Amended and Restated Bylaws.</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8-K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4/08/2024</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4">
              <w:r>
                <w:rPr>
                  <w:rStyle w:val="InternetLink"/>
                  <w:rFonts w:ascii="Roboto;sans-serif" w:hAnsi="Roboto;sans-serif"/>
                  <w:b w:val="false"/>
                  <w:color w:val="0000FF"/>
                  <w:sz w:val="20"/>
                  <w:u w:val="single"/>
                </w:rPr>
                <w:t>Form of Class A Common Stock Certificate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S-1/A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333-233482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9/10/2019</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5.1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51-ptonxformsx8xaug.htm">
              <w:r>
                <w:rPr>
                  <w:rStyle w:val="InternetLink"/>
                  <w:rFonts w:ascii="Roboto;sans-serif" w:hAnsi="Roboto;sans-serif"/>
                  <w:b w:val="false"/>
                  <w:color w:val="0000FF"/>
                  <w:sz w:val="20"/>
                  <w:u w:val="single"/>
                </w:rPr>
                <w:t>Opinion of Covington &amp; Burling LLP.</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exhibit231-eysx8consent2026.htm">
              <w:r>
                <w:rPr>
                  <w:rStyle w:val="InternetLink"/>
                  <w:rFonts w:ascii="Roboto;sans-serif" w:hAnsi="Roboto;sans-serif"/>
                  <w:b w:val="false"/>
                  <w:color w:val="0000FF"/>
                  <w:sz w:val="20"/>
                  <w:u w:val="single"/>
                </w:rPr>
                <w:t>Consent of Ernst &amp; Young LLP, independent registered public accounting firm.</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23.2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exhibit51-ptonxformsx8xaug.htm">
              <w:r>
                <w:rPr>
                  <w:rStyle w:val="InternetLink"/>
                  <w:rFonts w:ascii="Roboto;sans-serif" w:hAnsi="Roboto;sans-serif"/>
                  <w:b w:val="false"/>
                  <w:color w:val="0000FF"/>
                  <w:sz w:val="20"/>
                  <w:u w:val="single"/>
                </w:rPr>
                <w:t>Consent of Covington &amp; Burling LLP (included in Exhibit 5.1).</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idc0af9be02a84052a8f5b04a395a8b2a_4">
              <w:r>
                <w:rPr>
                  <w:rStyle w:val="InternetLink"/>
                  <w:rFonts w:ascii="Roboto;sans-serif" w:hAnsi="Roboto;sans-serif"/>
                  <w:b w:val="false"/>
                  <w:color w:val="0000FF"/>
                  <w:sz w:val="20"/>
                  <w:u w:val="single"/>
                </w:rPr>
                <w:t>Power of Attorney (included on the signature page of this Registration Statement).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99.1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Roboto;sans-serif" w:hAnsi="Roboto;sans-serif"/>
                  <w:b w:val="false"/>
                  <w:color w:val="0000FF"/>
                  <w:sz w:val="20"/>
                  <w:u w:val="single"/>
                </w:rPr>
                <w:t>2019 Equity Incentive Plan and forms of award agreements thereunder.</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09/7/2022</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99.2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6">
              <w:r>
                <w:rPr>
                  <w:rStyle w:val="InternetLink"/>
                  <w:rFonts w:ascii="Roboto;sans-serif" w:hAnsi="Roboto;sans-serif"/>
                  <w:b w:val="false"/>
                  <w:color w:val="0000FF"/>
                  <w:sz w:val="20"/>
                  <w:u w:val="single"/>
                </w:rPr>
                <w:t>Amendment to the Peloton Interactive, Inc. 2019 Equity Incentive Plan.</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8-K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12/12/2023</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99.3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7">
              <w:r>
                <w:rPr>
                  <w:rStyle w:val="InternetLink"/>
                  <w:rFonts w:ascii="Roboto;sans-serif" w:hAnsi="Roboto;sans-serif"/>
                  <w:b w:val="false"/>
                  <w:color w:val="0000FF"/>
                  <w:sz w:val="20"/>
                  <w:u w:val="single"/>
                </w:rPr>
                <w:t>2019 Employee Stock Purchase Plan and form of subscription agreement thereunder.</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S-8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333-233941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09/26/2019</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107</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exfilingfees.htm">
              <w:r>
                <w:rPr>
                  <w:rStyle w:val="InternetLink"/>
                  <w:rFonts w:ascii="Roboto;sans-serif" w:hAnsi="Roboto;sans-serif"/>
                  <w:b w:val="false"/>
                  <w:color w:val="0000FF"/>
                  <w:sz w:val="20"/>
                  <w:u w:val="single"/>
                </w:rPr>
                <w:t>Filing fee table.</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 xml:space="preserve">SIGNATURES </w:t>
      </w:r>
    </w:p>
    <w:p>
      <w:pPr>
        <w:pStyle w:val="TextBody"/>
        <w:bidi w:val="0"/>
        <w:spacing w:lineRule="auto" w:line="240" w:before="240" w:after="283"/>
        <w:ind w:left="0" w:right="0" w:firstLine="72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6th day of August 2026.</w:t>
      </w:r>
    </w:p>
    <w:p>
      <w:pPr>
        <w:pStyle w:val="TextBody"/>
        <w:bidi w:val="0"/>
        <w:spacing w:before="240" w:after="283"/>
        <w:ind w:left="0" w:right="0" w:firstLine="720"/>
        <w:jc w:val="both"/>
        <w:rPr/>
      </w:pPr>
      <w:r>
        <w:rPr/>
      </w:r>
    </w:p>
    <w:tbl>
      <w:tblPr>
        <w:tblW w:w="70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75"/>
        <w:gridCol w:w="275"/>
        <w:gridCol w:w="275"/>
        <w:gridCol w:w="275"/>
        <w:gridCol w:w="275"/>
        <w:gridCol w:w="275"/>
        <w:gridCol w:w="275"/>
        <w:gridCol w:w="275"/>
        <w:gridCol w:w="275"/>
        <w:gridCol w:w="275"/>
        <w:gridCol w:w="275"/>
        <w:gridCol w:w="275"/>
        <w:gridCol w:w="275"/>
        <w:gridCol w:w="275"/>
        <w:gridCol w:w="275"/>
        <w:gridCol w:w="275"/>
        <w:gridCol w:w="275"/>
        <w:gridCol w:w="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2"/>
              </w:rPr>
            </w:pPr>
            <w:r>
              <w:rPr>
                <w:rFonts w:ascii="Roboto;sans-serif" w:hAnsi="Roboto;sans-serif"/>
                <w:b/>
                <w:color w:val="000000"/>
                <w:sz w:val="22"/>
              </w:rPr>
              <w:t>PELOTON INTERACTIVE, INC.</w:t>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Tammy Albarrán</w:t>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2"/>
              </w:rPr>
            </w:pPr>
            <w:r>
              <w:rPr>
                <w:rFonts w:ascii="Roboto;sans-serif" w:hAnsi="Roboto;sans-serif"/>
                <w:b w:val="false"/>
                <w:color w:val="000000"/>
                <w:sz w:val="22"/>
              </w:rPr>
              <w:t>Tammy Albarrán</w:t>
            </w:r>
          </w:p>
          <w:p>
            <w:pPr>
              <w:pStyle w:val="TableContents"/>
              <w:bidi w:val="0"/>
              <w:spacing w:lineRule="auto" w:line="240" w:before="0" w:after="0"/>
              <w:jc w:val="left"/>
              <w:rPr>
                <w:rFonts w:ascii="Roboto;sans-serif" w:hAnsi="Roboto;sans-serif"/>
                <w:b w:val="false"/>
                <w:color w:val="000000"/>
                <w:sz w:val="22"/>
              </w:rPr>
            </w:pPr>
            <w:r>
              <w:rPr>
                <w:rFonts w:ascii="Roboto;sans-serif" w:hAnsi="Roboto;sans-serif"/>
                <w:b w:val="false"/>
                <w:color w:val="000000"/>
                <w:sz w:val="22"/>
              </w:rPr>
              <w:t>Chief Legal Officer and Corporate Secretary</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 xml:space="preserve">POWER OF ATTORNEY </w:t>
      </w:r>
    </w:p>
    <w:p>
      <w:pPr>
        <w:pStyle w:val="TextBody"/>
        <w:bidi w:val="0"/>
        <w:spacing w:lineRule="auto" w:line="240" w:before="240" w:after="283"/>
        <w:ind w:left="0" w:right="0" w:firstLine="720"/>
        <w:jc w:val="both"/>
        <w:rPr>
          <w:rFonts w:ascii="Roboto;sans-serif" w:hAnsi="Roboto;sans-serif"/>
          <w:b w:val="false"/>
          <w:color w:val="000000"/>
          <w:sz w:val="20"/>
        </w:rPr>
      </w:pPr>
      <w:r>
        <w:rPr>
          <w:rFonts w:ascii="Roboto;sans-serif" w:hAnsi="Roboto;sans-serif"/>
          <w:b w:val="false"/>
          <w:color w:val="000000"/>
          <w:sz w:val="20"/>
        </w:rPr>
        <w:t xml:space="preserve">KNOW ALL PERSONS BY THESE PRESENTS, that each person whose signature appears below hereby severally constitutes and appoints the Company’s Chief Financial Officer, currently Siddharth Thacker, and the Company’s Chief Legal Officer, currently Tammy Albarrán, and each of them, as his or her true and lawful attorney-in-fact and agent with the full power of substitution and resubstitution, for him or her in any and all capacities, to sign any and all amendments to this Registration Statement (including post-effective amendments to this Registration Statement on Form S-8) and all documents relating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or advisable to be done in connection therewith, as fully for all intents and purposes as he or she might or could do in person, hereby ratifying and confirming all that said attorneys-in-fact and agents, or his or her substitutes, may lawfully do or cause to be done by virtue hereof. </w:t>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Pursuant to the requirements of the Securities Act of 1933, this Registration Statement has been signed by the following persons in the capacities and on the date indicated.</w:t>
      </w:r>
    </w:p>
    <w:p>
      <w:pPr>
        <w:pStyle w:val="TextBody"/>
        <w:bidi w:val="0"/>
        <w:spacing w:before="0" w:after="0"/>
        <w:jc w:val="left"/>
        <w:rPr/>
      </w:pPr>
      <w:r>
        <w:rPr/>
      </w:r>
    </w:p>
    <w:p>
      <w:pPr>
        <w:pStyle w:val="TextBody"/>
        <w:bidi w:val="0"/>
        <w:spacing w:before="0" w:after="0"/>
        <w:jc w:val="left"/>
        <w:rPr/>
      </w:pPr>
      <w:r>
        <w:rPr/>
        <w:drawing>
          <wp:inline distT="0" distB="0" distL="0" distR="0">
            <wp:extent cx="5943600" cy="19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8"/>
                    <a:stretch>
                      <a:fillRect/>
                    </a:stretch>
                  </pic:blipFill>
                  <pic:spPr bwMode="auto">
                    <a:xfrm>
                      <a:off x="0" y="0"/>
                      <a:ext cx="5943600" cy="190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1"/>
        <w:gridCol w:w="246"/>
        <w:gridCol w:w="246"/>
        <w:gridCol w:w="246"/>
        <w:gridCol w:w="246"/>
        <w:gridCol w:w="246"/>
        <w:gridCol w:w="246"/>
        <w:gridCol w:w="246"/>
        <w:gridCol w:w="246"/>
        <w:gridCol w:w="109"/>
        <w:gridCol w:w="109"/>
        <w:gridCol w:w="109"/>
        <w:gridCol w:w="109"/>
        <w:gridCol w:w="109"/>
        <w:gridCol w:w="109"/>
        <w:gridCol w:w="391"/>
        <w:gridCol w:w="375"/>
        <w:gridCol w:w="375"/>
        <w:gridCol w:w="375"/>
        <w:gridCol w:w="375"/>
        <w:gridCol w:w="375"/>
        <w:gridCol w:w="375"/>
        <w:gridCol w:w="375"/>
        <w:gridCol w:w="375"/>
        <w:gridCol w:w="375"/>
        <w:gridCol w:w="375"/>
        <w:gridCol w:w="375"/>
        <w:gridCol w:w="145"/>
        <w:gridCol w:w="145"/>
        <w:gridCol w:w="145"/>
        <w:gridCol w:w="145"/>
        <w:gridCol w:w="145"/>
        <w:gridCol w:w="145"/>
        <w:gridCol w:w="145"/>
        <w:gridCol w:w="145"/>
        <w:gridCol w:w="145"/>
        <w:gridCol w:w="145"/>
        <w:gridCol w:w="145"/>
        <w:gridCol w:w="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15" w:type="dxa"/>
            <w:gridSpan w:val="18"/>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2"/>
              </w:rPr>
            </w:pPr>
            <w:r>
              <w:rPr>
                <w:rFonts w:ascii="Roboto;sans-serif" w:hAnsi="Roboto;sans-serif"/>
                <w:b/>
                <w:color w:val="000000"/>
                <w:sz w:val="22"/>
              </w:rPr>
              <w:t>Signature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2"/>
              </w:rPr>
            </w:pPr>
            <w:r>
              <w:rPr>
                <w:rFonts w:ascii="Roboto;sans-serif" w:hAnsi="Roboto;sans-serif"/>
                <w:b/>
                <w:color w:val="000000"/>
                <w:sz w:val="22"/>
              </w:rPr>
              <w:t>Title</w:t>
            </w:r>
          </w:p>
        </w:tc>
        <w:tc>
          <w:tcPr>
            <w:tcW w:w="1820" w:type="dxa"/>
            <w:gridSpan w:val="12"/>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2"/>
              </w:rPr>
            </w:pPr>
            <w:r>
              <w:rPr>
                <w:rFonts w:ascii="Roboto;sans-serif" w:hAnsi="Roboto;sans-serif"/>
                <w:b/>
                <w:color w:val="000000"/>
                <w:sz w:val="22"/>
              </w:rPr>
              <w:t>Date</w:t>
            </w:r>
          </w:p>
        </w:tc>
      </w:tr>
      <w:tr>
        <w:trPr/>
        <w:tc>
          <w:tcPr>
            <w:tcW w:w="996"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2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Peter Stern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lineRule="auto" w:line="240" w:before="75" w:after="30"/>
              <w:jc w:val="center"/>
              <w:rPr/>
            </w:pPr>
            <w:r>
              <w:rPr>
                <w:rFonts w:ascii="Roboto;sans-serif" w:hAnsi="Roboto;sans-serif"/>
                <w:b w:val="false"/>
                <w:color w:val="000000"/>
                <w:sz w:val="22"/>
              </w:rPr>
              <w:t>President, Chief Executive Officer and Director</w:t>
              <w:br/>
              <w:t>(</w:t>
            </w:r>
            <w:r>
              <w:rPr>
                <w:rFonts w:ascii="Roboto;sans-serif" w:hAnsi="Roboto;sans-serif"/>
                <w:b w:val="false"/>
                <w:i/>
                <w:color w:val="000000"/>
                <w:sz w:val="22"/>
              </w:rPr>
              <w:t>Principal Executive Officer</w:t>
            </w:r>
            <w:r>
              <w:rPr>
                <w:rFonts w:ascii="Roboto;sans-serif" w:hAnsi="Roboto;sans-serif"/>
                <w:b w:val="false"/>
                <w:color w:val="000000"/>
                <w:sz w:val="22"/>
              </w:rPr>
              <w:t>)</w:t>
            </w:r>
          </w:p>
        </w:tc>
        <w:tc>
          <w:tcPr>
            <w:tcW w:w="18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321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Peter Stern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2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Siddharth Thacker</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lineRule="auto" w:line="240" w:before="75" w:after="30"/>
              <w:jc w:val="center"/>
              <w:rPr/>
            </w:pPr>
            <w:r>
              <w:rPr>
                <w:rFonts w:ascii="Roboto;sans-serif" w:hAnsi="Roboto;sans-serif"/>
                <w:b w:val="false"/>
                <w:color w:val="000000"/>
                <w:sz w:val="22"/>
              </w:rPr>
              <w:t>Chief Financial Officer</w:t>
              <w:br/>
              <w:t>(</w:t>
            </w:r>
            <w:r>
              <w:rPr>
                <w:rFonts w:ascii="Roboto;sans-serif" w:hAnsi="Roboto;sans-serif"/>
                <w:b w:val="false"/>
                <w:i/>
                <w:color w:val="000000"/>
                <w:sz w:val="22"/>
              </w:rPr>
              <w:t>Principal Financial Officer</w:t>
            </w:r>
            <w:r>
              <w:rPr>
                <w:rFonts w:ascii="Roboto;sans-serif" w:hAnsi="Roboto;sans-serif"/>
                <w:b w:val="false"/>
                <w:color w:val="000000"/>
                <w:sz w:val="22"/>
              </w:rPr>
              <w:t>)</w:t>
            </w:r>
          </w:p>
        </w:tc>
        <w:tc>
          <w:tcPr>
            <w:tcW w:w="18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321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Siddharth Thacker</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2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Saqib Baig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lineRule="auto" w:line="240" w:before="75" w:after="30"/>
              <w:jc w:val="center"/>
              <w:rPr/>
            </w:pPr>
            <w:r>
              <w:rPr>
                <w:rFonts w:ascii="Roboto;sans-serif" w:hAnsi="Roboto;sans-serif"/>
                <w:b w:val="false"/>
                <w:color w:val="000000"/>
                <w:sz w:val="22"/>
              </w:rPr>
              <w:t>Chief Accounting Officer</w:t>
              <w:br/>
              <w:t>(</w:t>
            </w:r>
            <w:r>
              <w:rPr>
                <w:rFonts w:ascii="Roboto;sans-serif" w:hAnsi="Roboto;sans-serif"/>
                <w:b w:val="false"/>
                <w:i/>
                <w:color w:val="000000"/>
                <w:sz w:val="22"/>
              </w:rPr>
              <w:t>Principal Accounting Officer</w:t>
            </w:r>
            <w:r>
              <w:rPr>
                <w:rFonts w:ascii="Roboto;sans-serif" w:hAnsi="Roboto;sans-serif"/>
                <w:b w:val="false"/>
                <w:color w:val="000000"/>
                <w:sz w:val="22"/>
              </w:rPr>
              <w:t>)</w:t>
            </w:r>
          </w:p>
        </w:tc>
        <w:tc>
          <w:tcPr>
            <w:tcW w:w="18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321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Saqib Baig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2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Karen Boone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8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321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Karen Boone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2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Chris Bruzzo</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8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59"/>
        <w:gridCol w:w="359"/>
        <w:gridCol w:w="359"/>
        <w:gridCol w:w="359"/>
        <w:gridCol w:w="359"/>
        <w:gridCol w:w="359"/>
        <w:gridCol w:w="359"/>
        <w:gridCol w:w="359"/>
        <w:gridCol w:w="36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gridCol w:w="155"/>
        <w:gridCol w:w="155"/>
        <w:gridCol w:w="155"/>
        <w:gridCol w:w="155"/>
        <w:gridCol w:w="155"/>
        <w:gridCol w:w="155"/>
        <w:gridCol w:w="155"/>
        <w:gridCol w:w="155"/>
        <w:gridCol w:w="155"/>
        <w:gridCol w:w="155"/>
        <w:gridCol w:w="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23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Chris Bruzzo</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Tara Comonte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9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423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Tara Comonte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Jay Hoag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9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423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Jay Hoag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Angel L. Mendez</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9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423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Angel L. Mendez</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Pamela Thomas-Graham</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9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6, 2026</w:t>
            </w:r>
          </w:p>
        </w:tc>
      </w:tr>
      <w:tr>
        <w:trPr/>
        <w:tc>
          <w:tcPr>
            <w:tcW w:w="423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Pamela Thomas-Graham</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Roboto;sans-serif" w:hAnsi="Roboto;sans-serif"/>
          <w:b/>
          <w:color w:val="000000"/>
          <w:sz w:val="20"/>
        </w:rPr>
      </w:pPr>
      <w:r>
        <w:rPr>
          <w:rFonts w:ascii="Roboto;sans-serif" w:hAnsi="Roboto;sans-serif"/>
          <w:b/>
          <w:color w:val="000000"/>
          <w:sz w:val="20"/>
        </w:rPr>
        <w:t>Exhibit 107</w:t>
      </w:r>
    </w:p>
    <w:p>
      <w:pPr>
        <w:pStyle w:val="TextBody"/>
        <w:bidi w:val="0"/>
        <w:spacing w:before="0" w:after="0"/>
        <w:jc w:val="right"/>
        <w:rPr/>
      </w:pPr>
      <w:r>
        <w:rPr/>
      </w:r>
    </w:p>
    <w:p>
      <w:pPr>
        <w:pStyle w:val="TextBody"/>
        <w:bidi w:val="0"/>
        <w:spacing w:lineRule="auto" w:line="240" w:before="0" w:after="0"/>
        <w:jc w:val="center"/>
        <w:rPr>
          <w:rFonts w:ascii="Roboto;sans-serif" w:hAnsi="Roboto;sans-serif"/>
          <w:b/>
          <w:color w:val="000000"/>
          <w:sz w:val="28"/>
        </w:rPr>
      </w:pPr>
      <w:r>
        <w:rPr>
          <w:rFonts w:ascii="Roboto;sans-serif" w:hAnsi="Roboto;sans-serif"/>
          <w:b/>
          <w:color w:val="000000"/>
          <w:sz w:val="28"/>
        </w:rPr>
        <w:t>CALCULATION OF FILING FEE TABLE</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8"/>
        </w:rPr>
      </w:pPr>
      <w:r>
        <w:rPr>
          <w:rFonts w:ascii="Roboto;sans-serif" w:hAnsi="Roboto;sans-serif"/>
          <w:b/>
          <w:color w:val="000000"/>
          <w:sz w:val="28"/>
        </w:rPr>
        <w:t>FORM S-8</w:t>
      </w:r>
    </w:p>
    <w:p>
      <w:pPr>
        <w:pStyle w:val="TextBody"/>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(Form Type)</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8"/>
        </w:rPr>
      </w:pPr>
      <w:r>
        <w:rPr>
          <w:rFonts w:ascii="Roboto;sans-serif" w:hAnsi="Roboto;sans-serif"/>
          <w:b/>
          <w:color w:val="000000"/>
          <w:sz w:val="28"/>
        </w:rPr>
        <w:t>Peloton Interactive, Inc.</w:t>
      </w:r>
    </w:p>
    <w:p>
      <w:pPr>
        <w:pStyle w:val="TextBody"/>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4"/>
          <w:u w:val="single"/>
        </w:rPr>
      </w:pPr>
      <w:r>
        <w:rPr>
          <w:rFonts w:ascii="Roboto;sans-serif" w:hAnsi="Roboto;sans-serif"/>
          <w:b/>
          <w:color w:val="000000"/>
          <w:sz w:val="24"/>
          <w:u w:val="single"/>
        </w:rPr>
        <w:t>Table 1: Newly Registered Securities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15"/>
        <w:gridCol w:w="301"/>
        <w:gridCol w:w="305"/>
        <w:gridCol w:w="295"/>
        <w:gridCol w:w="295"/>
        <w:gridCol w:w="296"/>
        <w:gridCol w:w="334"/>
        <w:gridCol w:w="334"/>
        <w:gridCol w:w="335"/>
        <w:gridCol w:w="394"/>
        <w:gridCol w:w="394"/>
        <w:gridCol w:w="396"/>
        <w:gridCol w:w="376"/>
        <w:gridCol w:w="376"/>
        <w:gridCol w:w="377"/>
        <w:gridCol w:w="370"/>
        <w:gridCol w:w="370"/>
        <w:gridCol w:w="371"/>
        <w:gridCol w:w="555"/>
        <w:gridCol w:w="381"/>
        <w:gridCol w:w="382"/>
        <w:gridCol w:w="399"/>
        <w:gridCol w:w="399"/>
        <w:gridCol w:w="403"/>
        <w:gridCol w:w="392"/>
        <w:gridCol w:w="392"/>
        <w:gridCol w:w="568"/>
      </w:tblGrid>
      <w:tr>
        <w:trPr/>
        <w:tc>
          <w:tcPr>
            <w:tcW w:w="4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16"/>
              </w:rPr>
            </w:pPr>
            <w:r>
              <w:rPr>
                <w:rFonts w:ascii="Roboto;sans-serif" w:hAnsi="Roboto;sans-serif"/>
                <w:b/>
                <w:color w:val="000000"/>
                <w:sz w:val="16"/>
              </w:rPr>
              <w:t>Plan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Security Type</w:t>
            </w:r>
          </w:p>
        </w:tc>
        <w:tc>
          <w:tcPr>
            <w:tcW w:w="1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Security Class Title</w:t>
            </w:r>
          </w:p>
        </w:tc>
        <w:tc>
          <w:tcPr>
            <w:tcW w:w="1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Fee Calculation Rule</w:t>
            </w:r>
          </w:p>
        </w:tc>
        <w:tc>
          <w:tcPr>
            <w:tcW w:w="11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center"/>
              <w:rPr/>
            </w:pPr>
            <w:r>
              <w:rPr>
                <w:rFonts w:ascii="Roboto;sans-serif" w:hAnsi="Roboto;sans-serif"/>
                <w:b/>
                <w:color w:val="000000"/>
                <w:sz w:val="16"/>
              </w:rPr>
              <w:t xml:space="preserve">Amount Registered </w:t>
            </w:r>
            <w:r>
              <w:rPr>
                <w:rFonts w:ascii="Roboto;sans-serif" w:hAnsi="Roboto;sans-serif"/>
                <w:b w:val="false"/>
                <w:color w:val="000000"/>
                <w:sz w:val="10"/>
              </w:rPr>
              <w:t>(1)</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center"/>
              <w:rPr/>
            </w:pPr>
            <w:r>
              <w:rPr>
                <w:rFonts w:ascii="Roboto;sans-serif" w:hAnsi="Roboto;sans-serif"/>
                <w:b/>
                <w:color w:val="000000"/>
                <w:sz w:val="16"/>
              </w:rPr>
              <w:t xml:space="preserve">Proposed Maximum Offering Price Per Share </w:t>
            </w:r>
            <w:r>
              <w:rPr>
                <w:rFonts w:ascii="Roboto;sans-serif" w:hAnsi="Roboto;sans-serif"/>
                <w:b w:val="false"/>
                <w:color w:val="000000"/>
                <w:sz w:val="10"/>
              </w:rPr>
              <w:t>(2)</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Maximum Aggregate Offering Price</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Fee Rate</w:t>
            </w:r>
          </w:p>
        </w:tc>
        <w:tc>
          <w:tcPr>
            <w:tcW w:w="13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Amount of Registration Fee</w:t>
            </w:r>
          </w:p>
        </w:tc>
      </w:tr>
      <w:tr>
        <w:trPr/>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2019</w:t>
            </w:r>
          </w:p>
          <w:p>
            <w:pPr>
              <w:pStyle w:val="TableContents"/>
              <w:bidi w:val="0"/>
              <w:spacing w:lineRule="auto" w:line="240" w:before="0" w:after="20"/>
              <w:jc w:val="left"/>
              <w:rPr>
                <w:rFonts w:ascii="Roboto;sans-serif" w:hAnsi="Roboto;sans-serif"/>
                <w:b w:val="false"/>
                <w:color w:val="000000"/>
                <w:sz w:val="16"/>
              </w:rPr>
            </w:pPr>
            <w:r>
              <w:rPr>
                <w:rFonts w:ascii="Roboto;sans-serif" w:hAnsi="Roboto;sans-serif"/>
                <w:b w:val="false"/>
                <w:color w:val="000000"/>
                <w:sz w:val="16"/>
              </w:rPr>
              <w:t xml:space="preserve">Equity Incentive Plan </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w:t>
            </w:r>
          </w:p>
        </w:tc>
        <w:tc>
          <w:tcPr>
            <w:tcW w:w="1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Class A common stock, $0.000025 par value per share</w:t>
            </w:r>
          </w:p>
        </w:tc>
        <w:tc>
          <w:tcPr>
            <w:tcW w:w="1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Other</w:t>
            </w:r>
          </w:p>
        </w:tc>
        <w:tc>
          <w:tcPr>
            <w:tcW w:w="11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center"/>
              <w:rPr/>
            </w:pPr>
            <w:r>
              <w:rPr>
                <w:rFonts w:ascii="Roboto;sans-serif" w:hAnsi="Roboto;sans-serif"/>
                <w:b w:val="false"/>
                <w:color w:val="000000"/>
                <w:sz w:val="16"/>
              </w:rPr>
              <w:t xml:space="preserve">21,931,968 </w:t>
            </w:r>
            <w:r>
              <w:rPr>
                <w:rFonts w:ascii="Roboto;sans-serif" w:hAnsi="Roboto;sans-serif"/>
                <w:b w:val="false"/>
                <w:color w:val="000000"/>
                <w:sz w:val="10"/>
              </w:rPr>
              <w:t>(3)</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$6.335</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$138,939,018</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$0.00013810</w:t>
            </w:r>
          </w:p>
        </w:tc>
        <w:tc>
          <w:tcPr>
            <w:tcW w:w="13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$19,188</w:t>
            </w:r>
          </w:p>
        </w:tc>
      </w:tr>
      <w:tr>
        <w:trPr/>
        <w:tc>
          <w:tcPr>
            <w:tcW w:w="10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2019</w:t>
            </w:r>
          </w:p>
          <w:p>
            <w:pPr>
              <w:pStyle w:val="TableContents"/>
              <w:bidi w:val="0"/>
              <w:spacing w:lineRule="auto" w:line="240" w:before="0" w:after="20"/>
              <w:jc w:val="left"/>
              <w:rPr>
                <w:rFonts w:ascii="Roboto;sans-serif" w:hAnsi="Roboto;sans-serif"/>
                <w:b w:val="false"/>
                <w:color w:val="000000"/>
                <w:sz w:val="16"/>
              </w:rPr>
            </w:pPr>
            <w:r>
              <w:rPr>
                <w:rFonts w:ascii="Roboto;sans-serif" w:hAnsi="Roboto;sans-serif"/>
                <w:b w:val="false"/>
                <w:color w:val="000000"/>
                <w:sz w:val="16"/>
              </w:rPr>
              <w:t>Employee Stock Purchase Plan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w:t>
            </w:r>
          </w:p>
        </w:tc>
        <w:tc>
          <w:tcPr>
            <w:tcW w:w="10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Class A common stock, $0.000025 par value per share</w:t>
            </w:r>
          </w:p>
        </w:tc>
        <w:tc>
          <w:tcPr>
            <w:tcW w:w="11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Other</w:t>
            </w:r>
          </w:p>
        </w:tc>
        <w:tc>
          <w:tcPr>
            <w:tcW w:w="11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23" w:after="20"/>
              <w:jc w:val="center"/>
              <w:rPr/>
            </w:pPr>
            <w:r>
              <w:rPr>
                <w:rFonts w:ascii="Roboto;sans-serif" w:hAnsi="Roboto;sans-serif"/>
                <w:b w:val="false"/>
                <w:color w:val="000000"/>
                <w:sz w:val="16"/>
              </w:rPr>
              <w:t xml:space="preserve">4,386,393 </w:t>
            </w:r>
            <w:r>
              <w:rPr>
                <w:rFonts w:ascii="Roboto;sans-serif" w:hAnsi="Roboto;sans-serif"/>
                <w:b w:val="false"/>
                <w:color w:val="000000"/>
                <w:sz w:val="10"/>
              </w:rPr>
              <w:t>(4)</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$5.385</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$23,620,726</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$0.00013810</w:t>
            </w:r>
          </w:p>
        </w:tc>
        <w:tc>
          <w:tcPr>
            <w:tcW w:w="13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$3,263</w:t>
            </w:r>
          </w:p>
        </w:tc>
      </w:tr>
      <w:tr>
        <w:trPr/>
        <w:tc>
          <w:tcPr>
            <w:tcW w:w="102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2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Offering Amounts</w:t>
            </w:r>
          </w:p>
        </w:tc>
        <w:tc>
          <w:tcPr>
            <w:tcW w:w="11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$162,559,745</w:t>
            </w:r>
          </w:p>
        </w:tc>
        <w:tc>
          <w:tcPr>
            <w:tcW w:w="12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$22,451</w:t>
            </w:r>
          </w:p>
        </w:tc>
      </w:tr>
      <w:tr>
        <w:trPr/>
        <w:tc>
          <w:tcPr>
            <w:tcW w:w="102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2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3" w:after="20"/>
              <w:jc w:val="left"/>
              <w:rPr/>
            </w:pPr>
            <w:r>
              <w:rPr>
                <w:rFonts w:ascii="Roboto;sans-serif" w:hAnsi="Roboto;sans-serif"/>
                <w:b/>
                <w:color w:val="000000"/>
                <w:sz w:val="16"/>
              </w:rPr>
              <w:t xml:space="preserve">Total Fee Offsets </w:t>
            </w:r>
            <w:r>
              <w:rPr>
                <w:rFonts w:ascii="Roboto;sans-serif" w:hAnsi="Roboto;sans-serif"/>
                <w:b w:val="false"/>
                <w:color w:val="000000"/>
                <w:sz w:val="10"/>
              </w:rPr>
              <w:t>(5)</w:t>
            </w:r>
          </w:p>
        </w:tc>
        <w:tc>
          <w:tcPr>
            <w:tcW w:w="11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w:t>
            </w:r>
          </w:p>
        </w:tc>
      </w:tr>
      <w:tr>
        <w:trPr/>
        <w:tc>
          <w:tcPr>
            <w:tcW w:w="10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02"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Fee Due</w:t>
            </w:r>
          </w:p>
        </w:tc>
        <w:tc>
          <w:tcPr>
            <w:tcW w:w="111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$22,451</w:t>
            </w:r>
          </w:p>
        </w:tc>
      </w:tr>
    </w:tbl>
    <w:p>
      <w:pPr>
        <w:pStyle w:val="TextBody"/>
        <w:bidi w:val="0"/>
        <w:spacing w:before="0" w:after="0"/>
        <w:jc w:val="center"/>
        <w:rPr/>
      </w:pPr>
      <w:r>
        <w:rPr/>
      </w:r>
    </w:p>
    <w:p>
      <w:pPr>
        <w:pStyle w:val="TextBody"/>
        <w:bidi w:val="0"/>
        <w:spacing w:lineRule="auto" w:line="240" w:before="0" w:after="0"/>
        <w:ind w:left="0" w:right="0" w:hanging="270"/>
        <w:jc w:val="both"/>
        <w:rPr/>
      </w:pPr>
      <w:r>
        <w:rPr>
          <w:rFonts w:ascii="Roboto;sans-serif" w:hAnsi="Roboto;sans-serif"/>
          <w:b w:val="false"/>
          <w:color w:val="000000"/>
          <w:sz w:val="16"/>
        </w:rPr>
        <w:t>(1) Pursuant to Rule 416(a) under the Securities Act of 1933, as amended (the “</w:t>
      </w:r>
      <w:r>
        <w:rPr>
          <w:rFonts w:ascii="Roboto;sans-serif" w:hAnsi="Roboto;sans-serif"/>
          <w:b/>
          <w:i/>
          <w:color w:val="000000"/>
          <w:sz w:val="16"/>
        </w:rPr>
        <w:t>Securities Act</w:t>
      </w:r>
      <w:r>
        <w:rPr>
          <w:color w:val="000000"/>
        </w:rPr>
        <w:t>”</w:t>
      </w:r>
      <w:r>
        <w:rPr>
          <w:rFonts w:ascii="Roboto;sans-serif" w:hAnsi="Roboto;sans-serif"/>
          <w:b w:val="false"/>
          <w:color w:val="000000"/>
          <w:sz w:val="16"/>
        </w:rPr>
        <w:t>), this Registration Statement shall also cover any additional shares of Class A common stock (“</w:t>
      </w:r>
      <w:r>
        <w:rPr>
          <w:rFonts w:ascii="Roboto;sans-serif" w:hAnsi="Roboto;sans-serif"/>
          <w:b/>
          <w:i/>
          <w:color w:val="000000"/>
          <w:sz w:val="16"/>
        </w:rPr>
        <w:t>Shares</w:t>
      </w:r>
      <w:r>
        <w:rPr>
          <w:color w:val="000000"/>
        </w:rPr>
        <w:t>”</w:t>
      </w:r>
      <w:r>
        <w:rPr>
          <w:rFonts w:ascii="Roboto;sans-serif" w:hAnsi="Roboto;sans-serif"/>
          <w:b w:val="false"/>
          <w:color w:val="000000"/>
          <w:sz w:val="16"/>
        </w:rPr>
        <w:t>) that may, from time to time, be offered or issued under the 2019 Equity Incentive Plan (the “</w:t>
      </w:r>
      <w:r>
        <w:rPr>
          <w:rFonts w:ascii="Roboto;sans-serif" w:hAnsi="Roboto;sans-serif"/>
          <w:b/>
          <w:i/>
          <w:color w:val="000000"/>
          <w:sz w:val="16"/>
        </w:rPr>
        <w:t>2019 Plan</w:t>
      </w:r>
      <w:r>
        <w:rPr>
          <w:color w:val="000000"/>
        </w:rPr>
        <w:t>”</w:t>
      </w:r>
      <w:r>
        <w:rPr>
          <w:rFonts w:ascii="Roboto;sans-serif" w:hAnsi="Roboto;sans-serif"/>
          <w:b w:val="false"/>
          <w:color w:val="000000"/>
          <w:sz w:val="16"/>
        </w:rPr>
        <w:t>) of Peloton Interactive, Inc. (the “</w:t>
      </w:r>
      <w:r>
        <w:rPr>
          <w:rFonts w:ascii="Roboto;sans-serif" w:hAnsi="Roboto;sans-serif"/>
          <w:b/>
          <w:i/>
          <w:color w:val="000000"/>
          <w:sz w:val="16"/>
        </w:rPr>
        <w:t>Registrant</w:t>
      </w:r>
      <w:r>
        <w:rPr>
          <w:color w:val="000000"/>
        </w:rPr>
        <w:t>”</w:t>
      </w:r>
      <w:r>
        <w:rPr>
          <w:rFonts w:ascii="Roboto;sans-serif" w:hAnsi="Roboto;sans-serif"/>
          <w:b w:val="false"/>
          <w:color w:val="000000"/>
          <w:sz w:val="16"/>
        </w:rPr>
        <w:t>) and the 2019 Employee Stock Purchase Plan (the “</w:t>
      </w:r>
      <w:r>
        <w:rPr>
          <w:rFonts w:ascii="Roboto;sans-serif" w:hAnsi="Roboto;sans-serif"/>
          <w:b/>
          <w:i/>
          <w:color w:val="000000"/>
          <w:sz w:val="16"/>
        </w:rPr>
        <w:t>2019 ESPP</w:t>
      </w:r>
      <w:r>
        <w:rPr>
          <w:color w:val="000000"/>
        </w:rPr>
        <w:t xml:space="preserve">” </w:t>
      </w:r>
      <w:r>
        <w:rPr>
          <w:rFonts w:ascii="Roboto;sans-serif" w:hAnsi="Roboto;sans-serif"/>
          <w:b w:val="false"/>
          <w:color w:val="000000"/>
          <w:sz w:val="16"/>
        </w:rPr>
        <w:t>and together with the 2019 Plan, the “</w:t>
      </w:r>
      <w:r>
        <w:rPr>
          <w:rFonts w:ascii="Roboto;sans-serif" w:hAnsi="Roboto;sans-serif"/>
          <w:b/>
          <w:i/>
          <w:color w:val="000000"/>
          <w:sz w:val="16"/>
        </w:rPr>
        <w:t>Plans</w:t>
      </w:r>
      <w:r>
        <w:rPr>
          <w:color w:val="000000"/>
        </w:rPr>
        <w:t>”</w:t>
      </w:r>
      <w:r>
        <w:rPr>
          <w:rFonts w:ascii="Roboto;sans-serif" w:hAnsi="Roboto;sans-serif"/>
          <w:b w:val="false"/>
          <w:color w:val="000000"/>
          <w:sz w:val="16"/>
        </w:rPr>
        <w:t>) of the Registrant to prevent dilution resulting from stock splits, stock dividends or similar transactions. In addition, pursuant to Rule 416(c) under the Securities Act, this registration statement also covers an indeterminate amount of interests to be offered or sold pursuant to the Plans.</w:t>
      </w:r>
    </w:p>
    <w:p>
      <w:pPr>
        <w:pStyle w:val="TextBody"/>
        <w:bidi w:val="0"/>
        <w:spacing w:before="0" w:after="0"/>
        <w:ind w:left="0" w:right="0" w:hanging="270"/>
        <w:jc w:val="both"/>
        <w:rPr/>
      </w:pPr>
      <w:r>
        <w:rPr/>
      </w:r>
    </w:p>
    <w:p>
      <w:pPr>
        <w:pStyle w:val="TextBody"/>
        <w:bidi w:val="0"/>
        <w:spacing w:lineRule="auto" w:line="240"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(2) For purposes of computing the registration fee only. Pursuant to Rule 457(c) and 457(h) of the Securities Act, the Proposed Maximum Offering Price Per Share with respect to the Plans is based upon the average of the high and low prices of the Registrant’s Class A common stock, as reported on The Nasdaq Global Select Market on July 31, 2026, which date is within five business days prior to the filing of this Registration Statement. Under the 2019 ESPP, the purchase price of a Share is equal to 85% of the fair market value of the Registrant’s Class A common stock on the offering date or the purchase date, whichever is less.</w:t>
      </w:r>
    </w:p>
    <w:p>
      <w:pPr>
        <w:pStyle w:val="TextBody"/>
        <w:bidi w:val="0"/>
        <w:spacing w:before="0" w:after="0"/>
        <w:ind w:left="0" w:right="0" w:hanging="270"/>
        <w:jc w:val="both"/>
        <w:rPr/>
      </w:pPr>
      <w:r>
        <w:rPr/>
      </w:r>
    </w:p>
    <w:p>
      <w:pPr>
        <w:pStyle w:val="TextBody"/>
        <w:bidi w:val="0"/>
        <w:spacing w:lineRule="auto" w:line="240"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(3) Represents additional Shares reserved for issuance under the 2019 Plan resulting from the automatic annual increase on July 1, 2026 in the number of authorized Shares reserved and available for issuance under the 2019 Plan pursuant to the terms of the 2019 Plan. </w:t>
      </w:r>
    </w:p>
    <w:p>
      <w:pPr>
        <w:pStyle w:val="TextBody"/>
        <w:bidi w:val="0"/>
        <w:spacing w:before="0" w:after="0"/>
        <w:ind w:left="0" w:right="0" w:hanging="270"/>
        <w:jc w:val="both"/>
        <w:rPr/>
      </w:pPr>
      <w:r>
        <w:rPr/>
      </w:r>
    </w:p>
    <w:p>
      <w:pPr>
        <w:pStyle w:val="TextBody"/>
        <w:bidi w:val="0"/>
        <w:spacing w:lineRule="auto" w:line="240"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(4) Represents additional Shares reserved for issuance under the 2019 ESPP resulting from the automatic annual increase on July 1, 2026 in the number of authorized Shares reserved and available for issuance under the 2019 ESPP pursuant to the terms of the 2019 ESPP.</w:t>
      </w:r>
    </w:p>
    <w:p>
      <w:pPr>
        <w:pStyle w:val="TextBody"/>
        <w:bidi w:val="0"/>
        <w:spacing w:before="0" w:after="0"/>
        <w:ind w:left="0" w:right="0" w:hanging="270"/>
        <w:jc w:val="both"/>
        <w:rPr/>
      </w:pPr>
      <w:r>
        <w:rPr/>
      </w:r>
    </w:p>
    <w:p>
      <w:pPr>
        <w:pStyle w:val="TextBody"/>
        <w:bidi w:val="0"/>
        <w:spacing w:lineRule="auto" w:line="24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(5) The Registrant does not have any fee offsets.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5943600" cy="82867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9"/>
                    <a:stretch>
                      <a:fillRect/>
                    </a:stretch>
                  </pic:blipFill>
                  <pic:spPr bwMode="auto">
                    <a:xfrm>
                      <a:off x="0" y="0"/>
                      <a:ext cx="5943600" cy="828675"/>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Peloton Interactive,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441 Ninth Avenue, 6th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 10001</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acted as counsel to Peloton Interactive, Inc., a Delaware corporation (the “Company”), and are rendering this opinion in connection with the registration by the Company under the Securities Act of 1933 (the “Act”) of the offer and sale of an aggregate of 26,318,361 shares of the Company’s Class A common stock, par value $0.000025 per share (the “Shares”), consisting of (i) 21,931,968 additional Shares issuable under the Company’s 2019 Equity Incentive Plan, as amended (the “2019 Plan”), and (ii) 4,386,393 additional Shares issuable under the Company’s 2019 Employee Stock Purchase Plan (the “2019 ESPP” and, together with the 2019 Plan, the “Plans”), pursuant to the registration statement on Form S-8 filed with the Securities and Exchange Commission on the date hereof (the “Registration Statement”).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reviewed the Registration Statement, the Plans, the Restated Certificate of Incorporation of the Company, and the Second Amended and Restated Bylaws of the Company. We have also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relied as to certain matters on information obtained from public officials, officers of the Company and other sources believed by us to be responsible.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upon the foregoing, we are of the opinion that the Shares have been duly authorized and, the Shares, when duly issued and sold as contemplated in the Registration Statement and in accordance with the terms of the relevant Plan, will be validly issued, fully paid and nonassessable.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members of the bar of the District of Columbia. We do not express any opinion herein on any laws other than the Delaware General Corporation Law and reported judicial decisions interpreting such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as Exhibit 5.1 to the Registration Statement. In giving such consent, we do not thereby admit that we are in the category of persons whose consent is required under Section 7 of the Act.</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Covington &amp; Burling LLP</w:t>
      </w:r>
    </w:p>
    <w:p>
      <w:pPr>
        <w:pStyle w:val="TextBody"/>
        <w:bidi w:val="0"/>
        <w:spacing w:before="0" w:after="16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477" w:before="0" w:after="120"/>
        <w:jc w:val="center"/>
        <w:rPr>
          <w:rFonts w:ascii="Arial;sans-serif" w:hAnsi="Arial;sans-serif"/>
          <w:b w:val="false"/>
          <w:color w:val="333333"/>
          <w:sz w:val="21"/>
        </w:rPr>
      </w:pPr>
      <w:r>
        <w:rPr>
          <w:rFonts w:ascii="Arial;sans-serif" w:hAnsi="Arial;sans-serif"/>
          <w:b w:val="false"/>
          <w:color w:val="333333"/>
          <w:sz w:val="21"/>
        </w:rPr>
        <w:t>Consent of Independent Registered Public Accounting Firm</w:t>
      </w:r>
    </w:p>
    <w:p>
      <w:pPr>
        <w:pStyle w:val="TextBody"/>
        <w:bidi w:val="0"/>
        <w:spacing w:lineRule="auto" w:line="477" w:before="0" w:after="225"/>
        <w:jc w:val="left"/>
        <w:rPr/>
      </w:pPr>
      <w:r>
        <w:rPr>
          <w:rFonts w:ascii="Arial;sans-serif" w:hAnsi="Arial;sans-serif"/>
          <w:b w:val="false"/>
          <w:color w:val="333333"/>
          <w:sz w:val="21"/>
        </w:rPr>
        <w:t xml:space="preserve">We consent to the incorporation by reference in the Registration Statement on Form S-8 pertaining to the 2019 Equity Incentive Plan and 2019 Employee Stock Purchase Plan of Peloton Interactive, Inc. of our reports dated </w:t>
      </w:r>
      <w:r>
        <w:rPr>
          <w:rFonts w:ascii="Arial;sans-serif" w:hAnsi="Arial;sans-serif"/>
          <w:b w:val="false"/>
          <w:color w:val="000000"/>
          <w:sz w:val="21"/>
        </w:rPr>
        <w:t>August 6, 2026</w:t>
      </w:r>
      <w:r>
        <w:rPr>
          <w:rFonts w:ascii="Arial;sans-serif" w:hAnsi="Arial;sans-serif"/>
          <w:b w:val="false"/>
          <w:color w:val="333333"/>
          <w:sz w:val="21"/>
        </w:rPr>
        <w:t xml:space="preserve">, with respect to the consolidated financial statements of Peloton Interactive, Inc. and the effectiveness of internal control over financial reporting of Peloton Interactive, Inc. included in its Annual Report (Form 10-K) for the year ended </w:t>
      </w:r>
      <w:r>
        <w:rPr>
          <w:rFonts w:ascii="Arial;sans-serif" w:hAnsi="Arial;sans-serif"/>
          <w:b w:val="false"/>
          <w:color w:val="000000"/>
          <w:sz w:val="21"/>
        </w:rPr>
        <w:t>June 30, 2026</w:t>
      </w:r>
      <w:r>
        <w:rPr>
          <w:rFonts w:ascii="Arial;sans-serif" w:hAnsi="Arial;sans-serif"/>
          <w:b w:val="false"/>
          <w:color w:val="333333"/>
          <w:sz w:val="21"/>
        </w:rPr>
        <w:t>, filed with the Securities and Exchange Commission.</w:t>
      </w:r>
    </w:p>
    <w:p>
      <w:pPr>
        <w:pStyle w:val="TextBody"/>
        <w:bidi w:val="0"/>
        <w:spacing w:lineRule="auto" w:line="556" w:before="120" w:after="360"/>
        <w:ind w:left="0" w:right="0" w:firstLine="420"/>
        <w:jc w:val="left"/>
        <w:rPr>
          <w:rFonts w:ascii="Arial;sans-serif" w:hAnsi="Arial;sans-serif"/>
          <w:b w:val="false"/>
          <w:color w:val="333333"/>
          <w:sz w:val="21"/>
          <w:shd w:fill="FFFFFF" w:val="clear"/>
        </w:rPr>
      </w:pPr>
      <w:r>
        <w:rPr>
          <w:rFonts w:ascii="Arial;sans-serif" w:hAnsi="Arial;sans-serif"/>
          <w:b w:val="false"/>
          <w:color w:val="333333"/>
          <w:sz w:val="21"/>
          <w:shd w:fill="FFFFFF" w:val="clear"/>
        </w:rPr>
        <w:t>/s/ Ernst &amp; Young LLP</w:t>
      </w:r>
    </w:p>
    <w:p>
      <w:pPr>
        <w:pStyle w:val="TextBody"/>
        <w:bidi w:val="0"/>
        <w:spacing w:lineRule="auto" w:line="556" w:before="120" w:after="360"/>
        <w:ind w:left="0" w:right="0" w:firstLine="420"/>
        <w:jc w:val="left"/>
        <w:rPr>
          <w:rFonts w:ascii="Arial;sans-serif" w:hAnsi="Arial;sans-serif"/>
          <w:b w:val="false"/>
          <w:color w:val="333333"/>
          <w:sz w:val="21"/>
          <w:shd w:fill="FFFFFF" w:val="clear"/>
        </w:rPr>
      </w:pPr>
      <w:r>
        <w:rPr>
          <w:rFonts w:ascii="Arial;sans-serif" w:hAnsi="Arial;sans-serif"/>
          <w:b w:val="false"/>
          <w:color w:val="333333"/>
          <w:sz w:val="21"/>
          <w:shd w:fill="FFFFFF" w:val="clear"/>
        </w:rPr>
        <w:t>New York, New York</w:t>
      </w:r>
    </w:p>
    <w:p>
      <w:pPr>
        <w:pStyle w:val="TextBody"/>
        <w:bidi w:val="0"/>
        <w:spacing w:lineRule="auto" w:line="240"/>
        <w:ind w:left="0" w:right="0" w:firstLine="720"/>
        <w:jc w:val="left"/>
        <w:rPr>
          <w:rFonts w:ascii="Arial;sans-serif" w:hAnsi="Arial;sans-serif"/>
          <w:b w:val="false"/>
          <w:color w:val="000000"/>
          <w:sz w:val="21"/>
        </w:rPr>
      </w:pPr>
      <w:r>
        <w:rPr>
          <w:rFonts w:ascii="Arial;sans-serif" w:hAnsi="Arial;sans-serif"/>
          <w:b w:val="false"/>
          <w:color w:val="000000"/>
          <w:sz w:val="21"/>
        </w:rPr>
        <w:t>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Archives/edgar/data/1639825/000163982524000041/pton-secondamendedandresta.htm" TargetMode="External"/><Relationship Id="rId4" Type="http://schemas.openxmlformats.org/officeDocument/2006/relationships/hyperlink" Target="https://www.sec.gov/Archives/edgar/data/1639825/000119312519242158/d738839dex41.htm" TargetMode="External"/><Relationship Id="rId5" Type="http://schemas.openxmlformats.org/officeDocument/2006/relationships/hyperlink" Target="https://www.sec.gov/Archives/edgar/data/1639825/000163982522000117/a2019equityincentiveplanex.htm" TargetMode="External"/><Relationship Id="rId6" Type="http://schemas.openxmlformats.org/officeDocument/2006/relationships/hyperlink" Target="https://www.sec.gov/Archives/edgar/data/1639825/000163982523000203/amendmenttothe2019plan2023.htm" TargetMode="External"/><Relationship Id="rId7" Type="http://schemas.openxmlformats.org/officeDocument/2006/relationships/hyperlink" Target="https://www.sec.gov/Archives/edgar/data/1639825/000119312519255141/d807881dex48.htm" TargetMode="Externa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2256</Words>
  <Characters>12127</Characters>
  <CharactersWithSpaces>14159</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