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38404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3840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40480" cy="8255"/>
                    </a:xfrm>
                    <a:prstGeom prst="rect">
                      <a:avLst/>
                    </a:prstGeom>
                    <a:noFill/>
                  </pic:spPr>
                </pic:pic>
              </a:graphicData>
            </a:graphic>
          </wp:anchor>
        </w:drawing>
        <w:t>UNITED STATES</w:t>
      </w: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40" w:hanging="377"/>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59" w:lineRule="exact"/>
        <w:rPr>
          <w:sz w:val="24"/>
          <w:szCs w:val="24"/>
          <w:color w:val="auto"/>
        </w:rPr>
      </w:pPr>
    </w:p>
    <w:p>
      <w:pPr>
        <w:ind w:left="540" w:hanging="377"/>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001-39058</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Peloton Interactive, Inc.</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48895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01" w:lineRule="exact"/>
        <w:rPr>
          <w:sz w:val="24"/>
          <w:szCs w:val="24"/>
          <w:color w:val="auto"/>
        </w:rPr>
      </w:pPr>
    </w:p>
    <w:tbl>
      <w:tblPr>
        <w:tblLayout w:type="fixed"/>
        <w:tblInd w:w="1120" w:type="dxa"/>
        <w:tblCellMar>
          <w:top w:w="0" w:type="dxa"/>
          <w:left w:w="0" w:type="dxa"/>
          <w:bottom w:w="0" w:type="dxa"/>
          <w:right w:w="0" w:type="dxa"/>
        </w:tblCellMar>
      </w:tblPr>
      <w:tr>
        <w:trPr>
          <w:trHeight w:val="239"/>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rPr>
              <w:t>Delaware</w:t>
            </w:r>
          </w:p>
        </w:tc>
        <w:tc>
          <w:tcPr>
            <w:tcW w:w="560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r>
      <w:tr>
        <w:trPr>
          <w:trHeight w:val="193"/>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(State or other jurisdiction of</w:t>
            </w:r>
          </w:p>
        </w:tc>
        <w:tc>
          <w:tcPr>
            <w:tcW w:w="5600" w:type="dxa"/>
            <w:vAlign w:val="bottom"/>
          </w:tcPr>
          <w:p>
            <w:pPr>
              <w:jc w:val="center"/>
              <w:ind w:left="4380"/>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incorporation or organization)</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Identification No.)</w:t>
            </w:r>
          </w:p>
        </w:tc>
      </w:tr>
      <w:tr>
        <w:trPr>
          <w:trHeight w:val="246"/>
        </w:trPr>
        <w:tc>
          <w:tcPr>
            <w:tcW w:w="2680" w:type="dxa"/>
            <w:vAlign w:val="bottom"/>
          </w:tcPr>
          <w:p>
            <w:pPr>
              <w:jc w:val="center"/>
              <w:ind w:right="59"/>
              <w:spacing w:after="0"/>
              <w:rPr>
                <w:sz w:val="20"/>
                <w:szCs w:val="20"/>
                <w:color w:val="auto"/>
              </w:rPr>
            </w:pPr>
            <w:r>
              <w:rPr>
                <w:rFonts w:ascii="Arial" w:cs="Arial" w:eastAsia="Arial" w:hAnsi="Arial"/>
                <w:sz w:val="18"/>
                <w:szCs w:val="18"/>
                <w:b w:val="1"/>
                <w:bCs w:val="1"/>
                <w:color w:val="auto"/>
                <w:w w:val="99"/>
              </w:rPr>
              <w:t>441 Ninth Avenue, Sixth Floor</w:t>
            </w:r>
          </w:p>
        </w:tc>
        <w:tc>
          <w:tcPr>
            <w:tcW w:w="5600" w:type="dxa"/>
            <w:vAlign w:val="bottom"/>
          </w:tcPr>
          <w:p>
            <w:pPr>
              <w:jc w:val="right"/>
              <w:ind w:right="240"/>
              <w:spacing w:after="0"/>
              <w:rPr>
                <w:sz w:val="20"/>
                <w:szCs w:val="20"/>
                <w:color w:val="auto"/>
              </w:rPr>
            </w:pPr>
            <w:r>
              <w:rPr>
                <w:rFonts w:ascii="Arial" w:cs="Arial" w:eastAsia="Arial" w:hAnsi="Arial"/>
                <w:sz w:val="18"/>
                <w:szCs w:val="18"/>
                <w:b w:val="1"/>
                <w:bCs w:val="1"/>
                <w:color w:val="auto"/>
              </w:rPr>
              <w:t>10001</w:t>
            </w:r>
          </w:p>
        </w:tc>
      </w:tr>
      <w:tr>
        <w:trPr>
          <w:trHeight w:val="239"/>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w w:val="98"/>
              </w:rPr>
              <w:t>New York, New York</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(Zip Code)</w:t>
            </w:r>
          </w:p>
        </w:tc>
      </w:tr>
      <w:tr>
        <w:trPr>
          <w:trHeight w:val="190"/>
        </w:trPr>
        <w:tc>
          <w:tcPr>
            <w:tcW w:w="2680" w:type="dxa"/>
            <w:vAlign w:val="bottom"/>
          </w:tcPr>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tc>
        <w:tc>
          <w:tcPr>
            <w:tcW w:w="5600" w:type="dxa"/>
            <w:vAlign w:val="bottom"/>
          </w:tcPr>
          <w:p>
            <w:pPr>
              <w:spacing w:after="0"/>
              <w:rPr>
                <w:sz w:val="16"/>
                <w:szCs w:val="16"/>
                <w:color w:val="auto"/>
              </w:rPr>
            </w:pPr>
          </w:p>
        </w:tc>
      </w:tr>
      <w:tr>
        <w:trPr>
          <w:trHeight w:val="192"/>
        </w:trPr>
        <w:tc>
          <w:tcPr>
            <w:tcW w:w="2680" w:type="dxa"/>
            <w:vAlign w:val="bottom"/>
          </w:tcPr>
          <w:p>
            <w:pPr>
              <w:spacing w:after="0"/>
              <w:rPr>
                <w:sz w:val="16"/>
                <w:szCs w:val="16"/>
                <w:color w:val="auto"/>
              </w:rPr>
            </w:pPr>
          </w:p>
        </w:tc>
        <w:tc>
          <w:tcPr>
            <w:tcW w:w="5600" w:type="dxa"/>
            <w:vAlign w:val="bottom"/>
          </w:tcPr>
          <w:p>
            <w:pPr>
              <w:jc w:val="right"/>
              <w:ind w:right="3080"/>
              <w:spacing w:after="0" w:line="192" w:lineRule="exact"/>
              <w:rPr>
                <w:sz w:val="20"/>
                <w:szCs w:val="20"/>
                <w:color w:val="auto"/>
              </w:rPr>
            </w:pPr>
            <w:r>
              <w:rPr>
                <w:rFonts w:ascii="Arial" w:cs="Arial" w:eastAsia="Arial" w:hAnsi="Arial"/>
                <w:sz w:val="18"/>
                <w:szCs w:val="18"/>
                <w:b w:val="1"/>
                <w:bCs w:val="1"/>
                <w:color w:val="auto"/>
              </w:rPr>
              <w:t>(917) 671-9198</w:t>
            </w:r>
          </w:p>
        </w:tc>
      </w:tr>
      <w:tr>
        <w:trPr>
          <w:trHeight w:val="186"/>
        </w:trPr>
        <w:tc>
          <w:tcPr>
            <w:tcW w:w="2680" w:type="dxa"/>
            <w:vAlign w:val="bottom"/>
          </w:tcPr>
          <w:p>
            <w:pPr>
              <w:spacing w:after="0"/>
              <w:rPr>
                <w:sz w:val="16"/>
                <w:szCs w:val="16"/>
                <w:color w:val="auto"/>
              </w:rPr>
            </w:pPr>
          </w:p>
        </w:tc>
        <w:tc>
          <w:tcPr>
            <w:tcW w:w="5600" w:type="dxa"/>
            <w:vAlign w:val="bottom"/>
          </w:tcPr>
          <w:p>
            <w:pPr>
              <w:jc w:val="center"/>
              <w:ind w:right="1860"/>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41910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 w:lineRule="exact"/>
        <w:rPr>
          <w:sz w:val="24"/>
          <w:szCs w:val="24"/>
          <w:color w:val="auto"/>
        </w:rPr>
      </w:pPr>
    </w:p>
    <w:tbl>
      <w:tblPr>
        <w:tblLayout w:type="fixed"/>
        <w:tblInd w:w="650" w:type="dxa"/>
        <w:tblCellMar>
          <w:top w:w="0" w:type="dxa"/>
          <w:left w:w="0" w:type="dxa"/>
          <w:bottom w:w="0" w:type="dxa"/>
          <w:right w:w="0" w:type="dxa"/>
        </w:tblCellMar>
      </w:tblPr>
      <w:tr>
        <w:trPr>
          <w:trHeight w:val="310"/>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182"/>
        </w:trPr>
        <w:tc>
          <w:tcPr>
            <w:tcW w:w="346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Class A common stock, $0.000025 par</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PTON</w:t>
            </w: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36"/>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20" w:type="dxa"/>
            <w:vAlign w:val="bottom"/>
            <w:tcBorders>
              <w:right w:val="single" w:sz="8" w:color="auto"/>
            </w:tcBorders>
            <w:vMerge w:val="continue"/>
          </w:tcPr>
          <w:p>
            <w:pPr>
              <w:spacing w:after="0"/>
              <w:rPr>
                <w:sz w:val="11"/>
                <w:szCs w:val="11"/>
                <w:color w:val="auto"/>
              </w:rPr>
            </w:pPr>
          </w:p>
        </w:tc>
        <w:tc>
          <w:tcPr>
            <w:tcW w:w="4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4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4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10" w:lineRule="exact"/>
        <w:rPr>
          <w:sz w:val="24"/>
          <w:szCs w:val="24"/>
          <w:color w:val="auto"/>
        </w:rPr>
      </w:pPr>
    </w:p>
    <w:p>
      <w:pPr>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305" w:lineRule="exact"/>
        <w:rPr>
          <w:sz w:val="24"/>
          <w:szCs w:val="24"/>
          <w:color w:val="auto"/>
        </w:rPr>
      </w:pPr>
    </w:p>
    <w:p>
      <w:pPr>
        <w:ind w:right="20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305" w:lineRule="exact"/>
        <w:rPr>
          <w:sz w:val="24"/>
          <w:szCs w:val="24"/>
          <w:color w:val="auto"/>
        </w:rPr>
      </w:pPr>
    </w:p>
    <w:p>
      <w:pPr>
        <w:ind w:right="280"/>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1680" w:type="dxa"/>
        <w:tblCellMar>
          <w:top w:w="0" w:type="dxa"/>
          <w:left w:w="0" w:type="dxa"/>
          <w:bottom w:w="0" w:type="dxa"/>
          <w:right w:w="0" w:type="dxa"/>
        </w:tblCellMar>
      </w:tblPr>
      <w:tr>
        <w:trPr>
          <w:trHeight w:val="257"/>
        </w:trPr>
        <w:tc>
          <w:tcPr>
            <w:tcW w:w="2200" w:type="dxa"/>
            <w:vAlign w:val="bottom"/>
          </w:tcPr>
          <w:p>
            <w:pPr>
              <w:jc w:val="center"/>
              <w:ind w:right="330"/>
              <w:spacing w:after="0"/>
              <w:rPr>
                <w:sz w:val="20"/>
                <w:szCs w:val="20"/>
                <w:color w:val="auto"/>
              </w:rPr>
            </w:pPr>
            <w:r>
              <w:rPr>
                <w:rFonts w:ascii="Arial" w:cs="Arial" w:eastAsia="Arial" w:hAnsi="Arial"/>
                <w:sz w:val="18"/>
                <w:szCs w:val="18"/>
                <w:color w:val="auto"/>
                <w:w w:val="99"/>
              </w:rPr>
              <w:t>Large 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200" w:type="dxa"/>
            <w:vAlign w:val="bottom"/>
          </w:tcPr>
          <w:p>
            <w:pPr>
              <w:jc w:val="center"/>
              <w:ind w:right="370"/>
              <w:spacing w:after="0"/>
              <w:rPr>
                <w:sz w:val="20"/>
                <w:szCs w:val="20"/>
                <w:color w:val="auto"/>
              </w:rPr>
            </w:pPr>
            <w:r>
              <w:rPr>
                <w:rFonts w:ascii="Arial" w:cs="Arial" w:eastAsia="Arial" w:hAnsi="Arial"/>
                <w:sz w:val="18"/>
                <w:szCs w:val="18"/>
                <w:color w:val="auto"/>
                <w:w w:val="99"/>
              </w:rPr>
              <w:t>Non-accelerated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357" w:lineRule="exact"/>
        <w:rPr>
          <w:sz w:val="24"/>
          <w:szCs w:val="24"/>
          <w:color w:val="auto"/>
        </w:rPr>
      </w:pPr>
    </w:p>
    <w:p>
      <w:pPr>
        <w:ind w:right="140"/>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392" w:lineRule="exact"/>
        <w:rPr>
          <w:sz w:val="24"/>
          <w:szCs w:val="24"/>
          <w:color w:val="auto"/>
        </w:rPr>
      </w:pPr>
    </w:p>
    <w:p>
      <w:pPr>
        <w:spacing w:after="0" w:line="207" w:lineRule="exact"/>
        <w:tabs>
          <w:tab w:leader="none" w:pos="9220" w:val="left"/>
          <w:tab w:leader="none" w:pos="100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highlight w:val="black"/>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highlight w:val="black"/>
        </w:rPr>
        <w:t>☒</w:t>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right="300"/>
        <w:spacing w:after="0" w:line="227" w:lineRule="auto"/>
        <w:rPr>
          <w:sz w:val="20"/>
          <w:szCs w:val="20"/>
          <w:color w:val="auto"/>
        </w:rPr>
      </w:pPr>
      <w:r>
        <w:rPr>
          <w:rFonts w:ascii="Arial" w:cs="Arial" w:eastAsia="Arial" w:hAnsi="Arial"/>
          <w:sz w:val="18"/>
          <w:szCs w:val="18"/>
          <w:color w:val="auto"/>
        </w:rPr>
        <w:t>As of October 31, 2022, the number of shares of the registrant’s Class A common stock outstanding was 313,517,712 and the number of shares of the registrant’s Class B common stock outstanding was 26,536,209.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749300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338"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Special Note Regarding Forward Looking Statements</w:t>
      </w:r>
    </w:p>
    <w:p>
      <w:pPr>
        <w:spacing w:after="0" w:line="1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Part I. Financial Information</w:t>
      </w:r>
    </w:p>
    <w:p>
      <w:pPr>
        <w:spacing w:after="0" w:line="5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1.</w:t>
      </w:r>
      <w:r>
        <w:rPr>
          <w:sz w:val="20"/>
          <w:szCs w:val="20"/>
          <w:color w:val="auto"/>
        </w:rPr>
        <w:tab/>
      </w:r>
      <w:r>
        <w:rPr>
          <w:rFonts w:ascii="Arial" w:cs="Arial" w:eastAsia="Arial" w:hAnsi="Arial"/>
          <w:sz w:val="16"/>
          <w:szCs w:val="16"/>
          <w:u w:val="single" w:color="auto"/>
          <w:color w:val="0000FF"/>
        </w:rPr>
        <w:t>Financial Statements</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Condensed Consolidated Balance Sheets as of September 30, 2022 (unaudited) and June 30, 2022</w:t>
      </w:r>
    </w:p>
    <w:p>
      <w:pPr>
        <w:spacing w:after="0" w:line="32" w:lineRule="exact"/>
        <w:rPr>
          <w:sz w:val="20"/>
          <w:szCs w:val="20"/>
          <w:color w:val="auto"/>
        </w:rPr>
      </w:pPr>
    </w:p>
    <w:p>
      <w:pPr>
        <w:ind w:left="880"/>
        <w:spacing w:after="0" w:line="232" w:lineRule="auto"/>
        <w:rPr>
          <w:sz w:val="20"/>
          <w:szCs w:val="20"/>
          <w:color w:val="auto"/>
        </w:rPr>
      </w:pPr>
      <w:r>
        <w:rPr>
          <w:rFonts w:ascii="Arial" w:cs="Arial" w:eastAsia="Arial" w:hAnsi="Arial"/>
          <w:sz w:val="16"/>
          <w:szCs w:val="16"/>
          <w:u w:val="single" w:color="auto"/>
          <w:color w:val="0000FF"/>
        </w:rPr>
        <w:t>Condensed Consolidated Statements of Operations and Comprehensive Loss for the Three Months Ended September 30, 2022 and 2021 (unaudited)</w:t>
      </w:r>
    </w:p>
    <w:p>
      <w:pPr>
        <w:spacing w:after="0" w:line="22"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Condensed Consolidated Statements of Cash Flows for the Three Months Ended September 30, 2022 and 2021 (unaudited)</w:t>
      </w:r>
    </w:p>
    <w:p>
      <w:pPr>
        <w:spacing w:after="0" w:line="32" w:lineRule="exact"/>
        <w:rPr>
          <w:sz w:val="20"/>
          <w:szCs w:val="20"/>
          <w:color w:val="auto"/>
        </w:rPr>
      </w:pPr>
    </w:p>
    <w:p>
      <w:pPr>
        <w:ind w:left="880" w:right="500"/>
        <w:spacing w:after="0" w:line="232" w:lineRule="auto"/>
        <w:rPr>
          <w:sz w:val="20"/>
          <w:szCs w:val="20"/>
          <w:color w:val="auto"/>
        </w:rPr>
      </w:pPr>
      <w:r>
        <w:rPr>
          <w:rFonts w:ascii="Arial" w:cs="Arial" w:eastAsia="Arial" w:hAnsi="Arial"/>
          <w:sz w:val="16"/>
          <w:szCs w:val="16"/>
          <w:u w:val="single" w:color="auto"/>
          <w:color w:val="0000FF"/>
        </w:rPr>
        <w:t>Condensed Consolidated Statements of Stockholders' Equity for the Three Months Ended September 30, 2022 and 2021 (unaudited)</w:t>
      </w:r>
    </w:p>
    <w:p>
      <w:pPr>
        <w:spacing w:after="0" w:line="22"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Notes to Condensed Consolidated Financial Statements (unaudited)</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2.</w:t>
      </w:r>
      <w:r>
        <w:rPr>
          <w:sz w:val="20"/>
          <w:szCs w:val="20"/>
          <w:color w:val="auto"/>
        </w:rPr>
        <w:tab/>
      </w:r>
      <w:r>
        <w:rPr>
          <w:rFonts w:ascii="Arial" w:cs="Arial" w:eastAsia="Arial" w:hAnsi="Arial"/>
          <w:sz w:val="16"/>
          <w:szCs w:val="16"/>
          <w:u w:val="single" w:color="auto"/>
          <w:color w:val="0000FF"/>
        </w:rPr>
        <w:t>Management’s Discussion and Analysis of Financial Condition and Results of Operations</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282"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32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3</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4</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4</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5</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5</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7</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8</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23</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38</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38</w:t>
      </w:r>
    </w:p>
    <w:p>
      <w:pPr>
        <w:spacing w:after="0" w:line="493" w:lineRule="exact"/>
        <w:rPr>
          <w:sz w:val="20"/>
          <w:szCs w:val="20"/>
          <w:color w:val="auto"/>
        </w:rPr>
      </w:pPr>
    </w:p>
    <w:p>
      <w:pPr>
        <w:sectPr>
          <w:pgSz w:w="11900" w:h="16838" w:orient="portrait"/>
          <w:cols w:equalWidth="0" w:num="2">
            <w:col w:w="10040" w:space="540"/>
            <w:col w:w="66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1.</w:t>
            </w:r>
          </w:p>
        </w:tc>
        <w:tc>
          <w:tcPr>
            <w:tcW w:w="140" w:type="dxa"/>
            <w:vAlign w:val="bottom"/>
          </w:tcPr>
          <w:p>
            <w:pPr>
              <w:spacing w:after="0"/>
              <w:rPr>
                <w:sz w:val="16"/>
                <w:szCs w:val="16"/>
                <w:color w:val="auto"/>
              </w:rPr>
            </w:pP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Legal Proceedings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40</w:t>
            </w:r>
          </w:p>
        </w:tc>
        <w:tc>
          <w:tcPr>
            <w:tcW w:w="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1A.</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Risk Factors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40</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140" w:type="dxa"/>
            <w:vAlign w:val="bottom"/>
          </w:tcPr>
          <w:p>
            <w:pPr>
              <w:spacing w:after="0"/>
              <w:rPr>
                <w:sz w:val="17"/>
                <w:szCs w:val="17"/>
                <w:color w:val="auto"/>
              </w:rPr>
            </w:pP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Unregistered Sales of Equity Securities and Use of Proceeds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41</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Defaults Upon Senior Securities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41</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4.</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Mine Safety Disclosures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41</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8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Other Information</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41</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560" w:type="dxa"/>
            <w:vAlign w:val="bottom"/>
            <w:gridSpan w:val="5"/>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6.</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Exhibits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42</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60" w:type="dxa"/>
            <w:vAlign w:val="bottom"/>
            <w:gridSpan w:val="7"/>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680" w:type="dxa"/>
            <w:vAlign w:val="bottom"/>
            <w:gridSpan w:val="13"/>
          </w:tcPr>
          <w:p>
            <w:pPr>
              <w:spacing w:after="0"/>
              <w:rPr>
                <w:sz w:val="20"/>
                <w:szCs w:val="20"/>
                <w:color w:val="auto"/>
              </w:rPr>
            </w:pPr>
            <w:r>
              <w:rPr>
                <w:rFonts w:ascii="Arial" w:cs="Arial" w:eastAsia="Arial" w:hAnsi="Arial"/>
                <w:sz w:val="16"/>
                <w:szCs w:val="16"/>
                <w:color w:val="0000FF"/>
              </w:rPr>
              <w:t>SIGNATURES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43</w:t>
            </w:r>
          </w:p>
        </w:tc>
        <w:tc>
          <w:tcPr>
            <w:tcW w:w="360" w:type="dxa"/>
            <w:vAlign w:val="bottom"/>
          </w:tcPr>
          <w:p>
            <w:pPr>
              <w:spacing w:after="0"/>
              <w:rPr>
                <w:sz w:val="24"/>
                <w:szCs w:val="24"/>
                <w:color w:val="auto"/>
              </w:rPr>
            </w:pPr>
          </w:p>
        </w:tc>
      </w:tr>
      <w:tr>
        <w:trPr>
          <w:trHeight w:val="945"/>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77"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without limitation, statements regarding our execution of and timing of and the expected benefits from our restructuring initiatives and cost-saving measures, the cost savings and other efficiencies of expanding relationships with our third party partners, details regarding and the timing of the launch of new products and services, our new initiatives with retailer partners and our efforts to optimize our retail store footprint, the prices of our products and services in the future,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spacing w:after="0" w:line="22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and maintain future profitability;</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maintain Subscribers;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accurately forecast consumer demand of our products and services and adequately maintain our inventory;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and achieve the expected benefits of our restructuring initiatives and other cost-saving measures;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effectively manage our growth;</w:t>
      </w:r>
    </w:p>
    <w:p>
      <w:pPr>
        <w:spacing w:after="0" w:line="248" w:lineRule="exact"/>
        <w:rPr>
          <w:rFonts w:ascii="Arial" w:cs="Arial" w:eastAsia="Arial" w:hAnsi="Arial"/>
          <w:sz w:val="16"/>
          <w:szCs w:val="16"/>
          <w:color w:val="auto"/>
        </w:rPr>
      </w:pPr>
    </w:p>
    <w:p>
      <w:pPr>
        <w:ind w:left="660" w:right="480" w:hanging="328"/>
        <w:spacing w:after="0" w:line="242"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anticipate consumer preferences and successfully develop and offer new products and services in a timely manner, or effectively manage the introduction of new or enhanced products and services;</w:t>
      </w:r>
    </w:p>
    <w:p>
      <w:pPr>
        <w:spacing w:after="0" w:line="23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demand for our products and services and growth of the connected fitness products industry;</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limited number of suppliers, contract manufacturers, and logistics partners for our Connected Fitness Products (as defined below);</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and lack of control over suppliers, contract manufacturers and logistics partners for our Connected Fitness Products;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predict our long-term performance and declines in our revenue growth as our business matures;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declines in sales of our Bike and Bike+;</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direct and indirect impacts to our business and financial performance from the COVID-19 pandemic;</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third-party licenses for use of music in our content;</w:t>
      </w:r>
    </w:p>
    <w:p>
      <w:pPr>
        <w:spacing w:after="0" w:line="261"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actual or perceived defects in, or safety of, our products, including any impact of product recalls or legal or regulatory claims, proceedings or investigations involving our products;</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261"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stay in compliance with laws and regulations that currently apply or become applicable to our business both in the United States and internationally; and</w:t>
      </w:r>
    </w:p>
    <w:p>
      <w:pPr>
        <w:spacing w:after="0" w:line="222" w:lineRule="exact"/>
        <w:rPr>
          <w:rFonts w:ascii="Arial" w:cs="Arial" w:eastAsia="Arial" w:hAnsi="Arial"/>
          <w:sz w:val="16"/>
          <w:szCs w:val="16"/>
          <w:color w:val="auto"/>
        </w:rPr>
      </w:pPr>
    </w:p>
    <w:p>
      <w:pPr>
        <w:ind w:left="660" w:right="140" w:hanging="328"/>
        <w:spacing w:after="0" w:line="262"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those risks and uncertainties described in the section titled “Management’s Discussion and Analysis of Financial Condition and Results of Operations” in Part I, Item 2, and the sections titled “Risk Factors” in Part I, Item 1A and “Management’s Discussion and Analysis of Financial Condition and Results of Operations” in Part II, Item 7 in our Annual Report on Form 10-K for the fiscal year ended June 30, 2022, as such factors may be updated in our filings with the Securities and Exchange Commission (the “SEC”).</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sectPr>
          <w:pgSz w:w="11900" w:h="16838" w:orient="portrait"/>
          <w:cols w:equalWidth="0" w:num="1">
            <w:col w:w="11240"/>
          </w:cols>
          <w:pgMar w:left="320" w:top="603" w:right="339" w:bottom="168" w:gutter="0" w:footer="0" w:header="0"/>
        </w:sectPr>
      </w:pPr>
    </w:p>
    <w:bookmarkStart w:id="3" w:name="page4"/>
    <w:bookmarkEnd w:id="3"/>
    <w:p>
      <w:pPr>
        <w:spacing w:after="0" w:line="260" w:lineRule="auto"/>
        <w:rPr>
          <w:sz w:val="20"/>
          <w:szCs w:val="20"/>
          <w:color w:val="auto"/>
        </w:rPr>
      </w:pPr>
      <w:r>
        <w:rPr>
          <w:rFonts w:ascii="Arial" w:cs="Arial" w:eastAsia="Arial" w:hAnsi="Arial"/>
          <w:sz w:val="16"/>
          <w:szCs w:val="16"/>
          <w:color w:val="auto"/>
        </w:rPr>
        <w:t>In this Quarterly Report on Form 10-Q, the words “we,” “us,” “our,” and "Peloton" refer to Peloton Interactive, Inc. and its wholly owned subsidiaries, unless the context requires otherwise.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8"/>
                <w:szCs w:val="18"/>
                <w:color w:val="auto"/>
              </w:rPr>
            </w:pPr>
          </w:p>
        </w:tc>
        <w:tc>
          <w:tcPr>
            <w:tcW w:w="1420" w:type="dxa"/>
            <w:vAlign w:val="bottom"/>
          </w:tcPr>
          <w:p>
            <w:pPr>
              <w:jc w:val="right"/>
              <w:ind w:right="479"/>
              <w:spacing w:after="0"/>
              <w:rPr>
                <w:sz w:val="20"/>
                <w:szCs w:val="20"/>
                <w:color w:val="auto"/>
              </w:rPr>
            </w:pPr>
            <w:r>
              <w:rPr>
                <w:rFonts w:ascii="Arial" w:cs="Arial" w:eastAsia="Arial" w:hAnsi="Arial"/>
                <w:sz w:val="16"/>
                <w:szCs w:val="16"/>
                <w:b w:val="1"/>
                <w:bCs w:val="1"/>
                <w:color w:val="auto"/>
              </w:rPr>
              <w:t>June 30,</w:t>
            </w:r>
          </w:p>
        </w:tc>
      </w:tr>
      <w:tr>
        <w:trPr>
          <w:trHeight w:val="260"/>
        </w:trPr>
        <w:tc>
          <w:tcPr>
            <w:tcW w:w="75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r>
      <w:tr>
        <w:trPr>
          <w:trHeight w:val="212"/>
        </w:trPr>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center"/>
              <w:ind w:right="139"/>
              <w:spacing w:after="0"/>
              <w:rPr>
                <w:sz w:val="20"/>
                <w:szCs w:val="20"/>
                <w:color w:val="auto"/>
              </w:rPr>
            </w:pPr>
            <w:r>
              <w:rPr>
                <w:rFonts w:ascii="Arial" w:cs="Arial" w:eastAsia="Arial" w:hAnsi="Arial"/>
                <w:sz w:val="16"/>
                <w:szCs w:val="16"/>
                <w:b w:val="1"/>
                <w:bCs w:val="1"/>
                <w:color w:val="auto"/>
              </w:rPr>
              <w:t>(unaudited)</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1,253.9</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81.9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1,104.5</w:t>
            </w:r>
          </w:p>
        </w:tc>
      </w:tr>
      <w:tr>
        <w:trPr>
          <w:trHeight w:val="213"/>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w:t>
            </w:r>
          </w:p>
        </w:tc>
      </w:tr>
      <w:tr>
        <w:trPr>
          <w:trHeight w:val="210"/>
        </w:trPr>
        <w:tc>
          <w:tcPr>
            <w:tcW w:w="75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2,292.9</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2,634.6</w:t>
            </w:r>
          </w:p>
        </w:tc>
      </w:tr>
      <w:tr>
        <w:trPr>
          <w:trHeight w:val="210"/>
        </w:trPr>
        <w:tc>
          <w:tcPr>
            <w:tcW w:w="75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495.9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610.9</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616.1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662.5</w:t>
            </w: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13"/>
        </w:trPr>
        <w:tc>
          <w:tcPr>
            <w:tcW w:w="754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3,592.5</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4,028.5</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797.4</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Deferred revenue and customer deposits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197.4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201.1</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 and other bank borrowings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89.8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86.4</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9"/>
        </w:trPr>
        <w:tc>
          <w:tcPr>
            <w:tcW w:w="754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1,105.5</w:t>
            </w:r>
          </w:p>
        </w:tc>
      </w:tr>
      <w:tr>
        <w:trPr>
          <w:trHeight w:val="21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0% Convertible senior notes, net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864.0</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Term loan,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690.1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690.0</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725.4</w:t>
            </w:r>
          </w:p>
        </w:tc>
      </w:tr>
      <w:tr>
        <w:trPr>
          <w:trHeight w:val="21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w:t>
            </w:r>
          </w:p>
        </w:tc>
      </w:tr>
      <w:tr>
        <w:trPr>
          <w:trHeight w:val="213"/>
        </w:trPr>
        <w:tc>
          <w:tcPr>
            <w:tcW w:w="75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3,334.0</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3,435.6</w:t>
            </w:r>
          </w:p>
        </w:tc>
      </w:tr>
      <w:tr>
        <w:trPr>
          <w:trHeight w:val="193"/>
        </w:trPr>
        <w:tc>
          <w:tcPr>
            <w:tcW w:w="754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77"/>
        </w:trPr>
        <w:tc>
          <w:tcPr>
            <w:tcW w:w="7540" w:type="dxa"/>
            <w:vAlign w:val="bottom"/>
          </w:tcPr>
          <w:p>
            <w:pPr>
              <w:ind w:left="360"/>
              <w:spacing w:after="0" w:line="178" w:lineRule="exact"/>
              <w:rPr>
                <w:sz w:val="20"/>
                <w:szCs w:val="20"/>
                <w:color w:val="auto"/>
              </w:rPr>
            </w:pPr>
            <w:r>
              <w:rPr>
                <w:rFonts w:ascii="Arial" w:cs="Arial" w:eastAsia="Arial" w:hAnsi="Arial"/>
                <w:sz w:val="16"/>
                <w:szCs w:val="16"/>
                <w:color w:val="auto"/>
              </w:rPr>
              <w:t>Common stock, $0.000025 par value; 2,500,000,000 and 2,500,000,000 Class A shares authorized,</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2"/>
        </w:trPr>
        <w:tc>
          <w:tcPr>
            <w:tcW w:w="7540" w:type="dxa"/>
            <w:vAlign w:val="bottom"/>
          </w:tcPr>
          <w:p>
            <w:pPr>
              <w:ind w:left="360"/>
              <w:spacing w:after="0" w:line="162" w:lineRule="exact"/>
              <w:rPr>
                <w:sz w:val="20"/>
                <w:szCs w:val="20"/>
                <w:color w:val="auto"/>
              </w:rPr>
            </w:pPr>
            <w:r>
              <w:rPr>
                <w:rFonts w:ascii="Arial" w:cs="Arial" w:eastAsia="Arial" w:hAnsi="Arial"/>
                <w:sz w:val="16"/>
                <w:szCs w:val="16"/>
                <w:color w:val="auto"/>
              </w:rPr>
              <w:t>311,105,668 and 308,241,938 shares issued and outstanding as of September 30, 2022 and</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7540" w:type="dxa"/>
            <w:vAlign w:val="bottom"/>
          </w:tcPr>
          <w:p>
            <w:pPr>
              <w:ind w:left="360"/>
              <w:spacing w:after="0" w:line="162" w:lineRule="exact"/>
              <w:rPr>
                <w:sz w:val="20"/>
                <w:szCs w:val="20"/>
                <w:color w:val="auto"/>
              </w:rPr>
            </w:pPr>
            <w:r>
              <w:rPr>
                <w:rFonts w:ascii="Arial" w:cs="Arial" w:eastAsia="Arial" w:hAnsi="Arial"/>
                <w:sz w:val="16"/>
                <w:szCs w:val="16"/>
                <w:color w:val="auto"/>
              </w:rPr>
              <w:t>June 30, 2022, respectively; 2,500,000,000 and 2,500,000,000 Class B shares authorized,</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7540" w:type="dxa"/>
            <w:vAlign w:val="bottom"/>
          </w:tcPr>
          <w:p>
            <w:pPr>
              <w:ind w:left="360"/>
              <w:spacing w:after="0" w:line="162" w:lineRule="exact"/>
              <w:rPr>
                <w:sz w:val="20"/>
                <w:szCs w:val="20"/>
                <w:color w:val="auto"/>
              </w:rPr>
            </w:pPr>
            <w:r>
              <w:rPr>
                <w:rFonts w:ascii="Arial" w:cs="Arial" w:eastAsia="Arial" w:hAnsi="Arial"/>
                <w:sz w:val="16"/>
                <w:szCs w:val="16"/>
                <w:color w:val="auto"/>
              </w:rPr>
              <w:t>28,733,963 and 30,032,078 shares issued and outstanding as of September 30, 2022 and June 30,</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8"/>
        </w:trPr>
        <w:tc>
          <w:tcPr>
            <w:tcW w:w="7540" w:type="dxa"/>
            <w:vAlign w:val="bottom"/>
          </w:tcPr>
          <w:p>
            <w:pPr>
              <w:ind w:left="360"/>
              <w:spacing w:after="0"/>
              <w:rPr>
                <w:sz w:val="20"/>
                <w:szCs w:val="20"/>
                <w:color w:val="auto"/>
              </w:rPr>
            </w:pPr>
            <w:r>
              <w:rPr>
                <w:rFonts w:ascii="Arial" w:cs="Arial" w:eastAsia="Arial" w:hAnsi="Arial"/>
                <w:sz w:val="16"/>
                <w:szCs w:val="16"/>
                <w:color w:val="auto"/>
              </w:rPr>
              <w:t>2022, respectively.</w:t>
            </w:r>
          </w:p>
        </w:tc>
        <w:tc>
          <w:tcPr>
            <w:tcW w:w="220" w:type="dxa"/>
            <w:vAlign w:val="bottom"/>
          </w:tcPr>
          <w:p>
            <w:pPr>
              <w:spacing w:after="0"/>
              <w:rPr>
                <w:sz w:val="17"/>
                <w:szCs w:val="17"/>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4,291.3</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(4,078.6)</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(3,710.6)</w:t>
            </w:r>
          </w:p>
        </w:tc>
      </w:tr>
      <w:tr>
        <w:trPr>
          <w:trHeight w:val="210"/>
        </w:trPr>
        <w:tc>
          <w:tcPr>
            <w:tcW w:w="754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258.5</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592.9</w:t>
            </w:r>
          </w:p>
        </w:tc>
      </w:tr>
      <w:tr>
        <w:trPr>
          <w:trHeight w:val="235"/>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3,592.5</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4,028.5</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204.2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501.0</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304.1</w:t>
            </w:r>
          </w:p>
        </w:tc>
      </w:tr>
      <w:tr>
        <w:trPr>
          <w:trHeight w:val="210"/>
        </w:trPr>
        <w:tc>
          <w:tcPr>
            <w:tcW w:w="76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805.2</w:t>
            </w:r>
          </w:p>
        </w:tc>
      </w:tr>
      <w:tr>
        <w:trPr>
          <w:trHeight w:val="199"/>
        </w:trPr>
        <w:tc>
          <w:tcPr>
            <w:tcW w:w="7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440.7</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r>
      <w:tr>
        <w:trPr>
          <w:trHeight w:val="210"/>
        </w:trPr>
        <w:tc>
          <w:tcPr>
            <w:tcW w:w="76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 of revenue</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542.2</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240.4</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Impairment expense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expense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Supplier settlements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622.7</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(359.7)</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Foreign exchange losses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9"/>
        </w:trPr>
        <w:tc>
          <w:tcPr>
            <w:tcW w:w="76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other expense, net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6"/>
                <w:szCs w:val="16"/>
                <w:color w:val="auto"/>
              </w:rPr>
              <w:t>Net loss attributable to Class A and Class B common stockholders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(376.0)</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6"/>
                <w:szCs w:val="16"/>
                <w:color w:val="auto"/>
              </w:rPr>
              <w:t>Weighted-average Class A and Class B common shares outstanding, basic and diluted</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339,011,157</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301,161,474</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Other comprehensive (loss) income:</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Net unrealized losses on marketable securities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Derivative adjustments: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unrealized loss on hedging derivatives</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Reclassification for derivative adjustments included in Net loss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 (loss)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(377.1)</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60"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Three Months Ended 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Net loss</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(408.5)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(376.0)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premium from marketable securities</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Impairment expense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Excess and obsolete inventory reserve adjustments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foreign currency adjustments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receivable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Inventories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(332.4)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Other assets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payable and accrued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Customer deposits and deferred revenue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Operating lease liabilities,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Other liabilities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used in operating activities</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(561.0)</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Maturities of marketable securities</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 expenditures, including software</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(used in) provided by investing activities</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repayment of Term Loan</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Proceeds from employee stock purchase plan withholdings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Principal repayments of finance leases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financing activities</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1,135.7</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600" w:type="dxa"/>
            <w:vAlign w:val="bottom"/>
            <w:tcBorders>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6"/>
                <w:szCs w:val="16"/>
                <w:color w:val="auto"/>
              </w:rPr>
              <w:t>Supplemental Disclosures of Non-Cash Investing and Financing Information:</w:t>
            </w:r>
          </w:p>
        </w:tc>
        <w:tc>
          <w:tcPr>
            <w:tcW w:w="1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00" w:type="dxa"/>
            <w:vAlign w:val="bottom"/>
          </w:tcPr>
          <w:p>
            <w:pPr>
              <w:ind w:left="360"/>
              <w:spacing w:after="0"/>
              <w:rPr>
                <w:sz w:val="20"/>
                <w:szCs w:val="20"/>
                <w:color w:val="auto"/>
              </w:rPr>
            </w:pPr>
            <w:r>
              <w:rPr>
                <w:rFonts w:ascii="Arial" w:cs="Arial" w:eastAsia="Arial" w:hAnsi="Arial"/>
                <w:sz w:val="16"/>
                <w:szCs w:val="16"/>
                <w:color w:val="auto"/>
              </w:rPr>
              <w:t>Accrued and unpaid capital expenditures, including software</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6"/>
                <w:szCs w:val="16"/>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Stock-based compensation capitalized for software development costs</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2240" w:type="dxa"/>
            <w:vAlign w:val="bottom"/>
            <w:gridSpan w:val="5"/>
            <w:vMerge w:val="restart"/>
          </w:tcPr>
          <w:p>
            <w:pPr>
              <w:jc w:val="center"/>
              <w:ind w:right="120"/>
              <w:spacing w:after="0"/>
              <w:rPr>
                <w:sz w:val="20"/>
                <w:szCs w:val="20"/>
                <w:color w:val="auto"/>
              </w:rPr>
            </w:pPr>
            <w:r>
              <w:rPr>
                <w:rFonts w:ascii="Arial" w:cs="Arial" w:eastAsia="Arial" w:hAnsi="Arial"/>
                <w:sz w:val="16"/>
                <w:szCs w:val="16"/>
                <w:b w:val="1"/>
                <w:bCs w:val="1"/>
                <w:color w:val="auto"/>
              </w:rPr>
              <w:t>Class A and Class B</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224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4"/>
                <w:szCs w:val="4"/>
                <w:color w:val="auto"/>
              </w:rPr>
            </w:pPr>
          </w:p>
        </w:tc>
        <w:tc>
          <w:tcPr>
            <w:tcW w:w="124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08"/>
        </w:trPr>
        <w:tc>
          <w:tcPr>
            <w:tcW w:w="4080" w:type="dxa"/>
            <w:vAlign w:val="bottom"/>
          </w:tcPr>
          <w:p>
            <w:pPr>
              <w:spacing w:after="0"/>
              <w:rPr>
                <w:sz w:val="9"/>
                <w:szCs w:val="9"/>
                <w:color w:val="auto"/>
              </w:rPr>
            </w:pPr>
          </w:p>
        </w:tc>
        <w:tc>
          <w:tcPr>
            <w:tcW w:w="216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080" w:type="dxa"/>
            <w:vAlign w:val="bottom"/>
          </w:tcPr>
          <w:p>
            <w:pPr>
              <w:spacing w:after="0"/>
              <w:rPr>
                <w:sz w:val="9"/>
                <w:szCs w:val="9"/>
                <w:color w:val="auto"/>
              </w:rPr>
            </w:pPr>
          </w:p>
        </w:tc>
        <w:tc>
          <w:tcPr>
            <w:tcW w:w="21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180"/>
              <w:spacing w:after="0" w:line="162" w:lineRule="exact"/>
              <w:rPr>
                <w:sz w:val="20"/>
                <w:szCs w:val="20"/>
                <w:color w:val="auto"/>
              </w:rPr>
            </w:pPr>
            <w:r>
              <w:rPr>
                <w:rFonts w:ascii="Arial" w:cs="Arial" w:eastAsia="Arial" w:hAnsi="Arial"/>
                <w:sz w:val="16"/>
                <w:szCs w:val="16"/>
                <w:b w:val="1"/>
                <w:bCs w:val="1"/>
                <w:color w:val="auto"/>
              </w:rPr>
              <w:t>Paid-In</w:t>
            </w:r>
          </w:p>
        </w:tc>
        <w:tc>
          <w:tcPr>
            <w:tcW w:w="134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rPr>
              <w:t>Comprehensive</w:t>
            </w:r>
          </w:p>
        </w:tc>
        <w:tc>
          <w:tcPr>
            <w:tcW w:w="118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9"/>
                <w:szCs w:val="9"/>
                <w:color w:val="auto"/>
              </w:rPr>
            </w:pPr>
          </w:p>
        </w:tc>
        <w:tc>
          <w:tcPr>
            <w:tcW w:w="940" w:type="dxa"/>
            <w:vAlign w:val="bottom"/>
            <w:vMerge w:val="restart"/>
          </w:tcPr>
          <w:p>
            <w:pPr>
              <w:jc w:val="center"/>
              <w:ind w:right="99"/>
              <w:spacing w:after="0" w:line="162" w:lineRule="exact"/>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35"/>
        </w:trPr>
        <w:tc>
          <w:tcPr>
            <w:tcW w:w="4080" w:type="dxa"/>
            <w:vAlign w:val="bottom"/>
          </w:tcPr>
          <w:p>
            <w:pPr>
              <w:spacing w:after="0"/>
              <w:rPr>
                <w:sz w:val="3"/>
                <w:szCs w:val="3"/>
                <w:color w:val="auto"/>
              </w:rPr>
            </w:pPr>
          </w:p>
        </w:tc>
        <w:tc>
          <w:tcPr>
            <w:tcW w:w="10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Shares</w:t>
            </w:r>
          </w:p>
        </w:tc>
        <w:tc>
          <w:tcPr>
            <w:tcW w:w="8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8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40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Income</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June 30, 2021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1,754.1</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Activity related to stock-based compensation</w:t>
            </w: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180"/>
        </w:trPr>
        <w:tc>
          <w:tcPr>
            <w:tcW w:w="408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Issuance of common stock under employee stock</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plan</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Other comprehensive income</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(376.0)</w:t>
            </w:r>
          </w:p>
        </w:tc>
        <w:tc>
          <w:tcPr>
            <w:tcW w:w="0" w:type="dxa"/>
            <w:vAlign w:val="bottom"/>
          </w:tcPr>
          <w:p>
            <w:pPr>
              <w:spacing w:after="0"/>
              <w:rPr>
                <w:sz w:val="1"/>
                <w:szCs w:val="1"/>
                <w:color w:val="auto"/>
              </w:rPr>
            </w:pPr>
          </w:p>
        </w:tc>
      </w:tr>
      <w:tr>
        <w:trPr>
          <w:trHeight w:val="213"/>
        </w:trPr>
        <w:tc>
          <w:tcPr>
            <w:tcW w:w="4080" w:type="dxa"/>
            <w:vAlign w:val="bottom"/>
          </w:tcPr>
          <w:p>
            <w:pPr>
              <w:spacing w:after="0"/>
              <w:rPr>
                <w:sz w:val="20"/>
                <w:szCs w:val="20"/>
                <w:color w:val="auto"/>
              </w:rPr>
            </w:pPr>
            <w:r>
              <w:rPr>
                <w:rFonts w:ascii="Arial" w:cs="Arial" w:eastAsia="Arial" w:hAnsi="Arial"/>
                <w:sz w:val="16"/>
                <w:szCs w:val="16"/>
                <w:b w:val="1"/>
                <w:bCs w:val="1"/>
                <w:color w:val="auto"/>
              </w:rPr>
              <w:t>Balance - September 30, 2021</w:t>
            </w:r>
          </w:p>
        </w:tc>
        <w:tc>
          <w:tcPr>
            <w:tcW w:w="1020" w:type="dxa"/>
            <w:vAlign w:val="bottom"/>
          </w:tcPr>
          <w:p>
            <w:pPr>
              <w:jc w:val="right"/>
              <w:spacing w:after="0"/>
              <w:rPr>
                <w:sz w:val="20"/>
                <w:szCs w:val="20"/>
                <w:color w:val="auto"/>
              </w:rPr>
            </w:pPr>
            <w:r>
              <w:rPr>
                <w:rFonts w:ascii="Arial" w:cs="Arial" w:eastAsia="Arial" w:hAnsi="Arial"/>
                <w:sz w:val="16"/>
                <w:szCs w:val="16"/>
                <w:color w:val="auto"/>
              </w:rPr>
              <w:t>302.8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2,748.6</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(1,258.</w:t>
            </w:r>
            <w:r>
              <w:rPr>
                <w:rFonts w:ascii="Arial" w:cs="Arial" w:eastAsia="Arial" w:hAnsi="Arial"/>
                <w:sz w:val="16"/>
                <w:szCs w:val="16"/>
                <w:u w:val="single" w:color="auto"/>
                <w:color w:val="auto"/>
              </w:rPr>
              <w:t>8)</w:t>
            </w: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1,506.9</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80" w:type="dxa"/>
            <w:vAlign w:val="bottom"/>
          </w:tcPr>
          <w:p>
            <w:pPr>
              <w:spacing w:after="0"/>
              <w:rPr>
                <w:sz w:val="20"/>
                <w:szCs w:val="20"/>
                <w:color w:val="auto"/>
              </w:rPr>
            </w:pPr>
            <w:r>
              <w:rPr>
                <w:rFonts w:ascii="Arial" w:cs="Arial" w:eastAsia="Arial" w:hAnsi="Arial"/>
                <w:sz w:val="16"/>
                <w:szCs w:val="16"/>
                <w:b w:val="1"/>
                <w:bCs w:val="1"/>
                <w:color w:val="auto"/>
              </w:rPr>
              <w:t>Balance - June 30, 2022</w:t>
            </w:r>
          </w:p>
        </w:tc>
        <w:tc>
          <w:tcPr>
            <w:tcW w:w="1020" w:type="dxa"/>
            <w:vAlign w:val="bottom"/>
          </w:tcPr>
          <w:p>
            <w:pPr>
              <w:jc w:val="right"/>
              <w:spacing w:after="0"/>
              <w:rPr>
                <w:sz w:val="20"/>
                <w:szCs w:val="20"/>
                <w:color w:val="auto"/>
              </w:rPr>
            </w:pPr>
            <w:r>
              <w:rPr>
                <w:rFonts w:ascii="Arial" w:cs="Arial" w:eastAsia="Arial" w:hAnsi="Arial"/>
                <w:sz w:val="16"/>
                <w:szCs w:val="16"/>
                <w:color w:val="auto"/>
              </w:rPr>
              <w:t>338.3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4,291.3</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(3,710.6)</w:t>
            </w: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592.9</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Activity related to stock-based compensation</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0" w:type="dxa"/>
            <w:vAlign w:val="bottom"/>
          </w:tcPr>
          <w:p>
            <w:pPr>
              <w:spacing w:after="0"/>
              <w:rPr>
                <w:sz w:val="1"/>
                <w:szCs w:val="1"/>
                <w:color w:val="auto"/>
              </w:rPr>
            </w:pPr>
          </w:p>
        </w:tc>
      </w:tr>
      <w:tr>
        <w:trPr>
          <w:trHeight w:val="177"/>
        </w:trPr>
        <w:tc>
          <w:tcPr>
            <w:tcW w:w="4080" w:type="dxa"/>
            <w:vAlign w:val="bottom"/>
          </w:tcPr>
          <w:p>
            <w:pPr>
              <w:ind w:left="220"/>
              <w:spacing w:after="0" w:line="178" w:lineRule="exact"/>
              <w:rPr>
                <w:sz w:val="20"/>
                <w:szCs w:val="20"/>
                <w:color w:val="auto"/>
              </w:rPr>
            </w:pPr>
            <w:r>
              <w:rPr>
                <w:rFonts w:ascii="Arial" w:cs="Arial" w:eastAsia="Arial" w:hAnsi="Arial"/>
                <w:sz w:val="16"/>
                <w:szCs w:val="16"/>
                <w:color w:val="auto"/>
              </w:rPr>
              <w:t>Issuance of common stock under employee stock</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20"/>
              <w:spacing w:after="0"/>
              <w:rPr>
                <w:sz w:val="20"/>
                <w:szCs w:val="20"/>
                <w:color w:val="auto"/>
              </w:rPr>
            </w:pPr>
            <w:r>
              <w:rPr>
                <w:rFonts w:ascii="Arial" w:cs="Arial" w:eastAsia="Arial" w:hAnsi="Arial"/>
                <w:sz w:val="16"/>
                <w:szCs w:val="16"/>
                <w:color w:val="auto"/>
              </w:rPr>
              <w:t>purchase plan</w:t>
            </w:r>
          </w:p>
        </w:tc>
        <w:tc>
          <w:tcPr>
            <w:tcW w:w="102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Cumulative effect of adopting ASU 2020-06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Other comprehensive loss</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0" w:type="dxa"/>
            <w:vAlign w:val="bottom"/>
          </w:tcPr>
          <w:p>
            <w:pPr>
              <w:spacing w:after="0"/>
              <w:rPr>
                <w:sz w:val="1"/>
                <w:szCs w:val="1"/>
                <w:color w:val="auto"/>
              </w:rPr>
            </w:pPr>
          </w:p>
        </w:tc>
      </w:tr>
      <w:tr>
        <w:trPr>
          <w:trHeight w:val="213"/>
        </w:trPr>
        <w:tc>
          <w:tcPr>
            <w:tcW w:w="4080" w:type="dxa"/>
            <w:vAlign w:val="bottom"/>
          </w:tcPr>
          <w:p>
            <w:pPr>
              <w:spacing w:after="0"/>
              <w:rPr>
                <w:sz w:val="20"/>
                <w:szCs w:val="20"/>
                <w:color w:val="auto"/>
              </w:rPr>
            </w:pPr>
            <w:r>
              <w:rPr>
                <w:rFonts w:ascii="Arial" w:cs="Arial" w:eastAsia="Arial" w:hAnsi="Arial"/>
                <w:sz w:val="16"/>
                <w:szCs w:val="16"/>
                <w:b w:val="1"/>
                <w:bCs w:val="1"/>
                <w:color w:val="auto"/>
              </w:rPr>
              <w:t>Balance - September 30, 2022</w:t>
            </w:r>
          </w:p>
        </w:tc>
        <w:tc>
          <w:tcPr>
            <w:tcW w:w="1020" w:type="dxa"/>
            <w:vAlign w:val="bottom"/>
          </w:tcPr>
          <w:p>
            <w:pPr>
              <w:jc w:val="right"/>
              <w:spacing w:after="0"/>
              <w:rPr>
                <w:sz w:val="20"/>
                <w:szCs w:val="20"/>
                <w:color w:val="auto"/>
              </w:rPr>
            </w:pPr>
            <w:r>
              <w:rPr>
                <w:rFonts w:ascii="Arial" w:cs="Arial" w:eastAsia="Arial" w:hAnsi="Arial"/>
                <w:sz w:val="16"/>
                <w:szCs w:val="16"/>
                <w:color w:val="auto"/>
              </w:rPr>
              <w:t>339.8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4,320.0</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(4,078.</w:t>
            </w:r>
            <w:r>
              <w:rPr>
                <w:rFonts w:ascii="Arial" w:cs="Arial" w:eastAsia="Arial" w:hAnsi="Arial"/>
                <w:sz w:val="16"/>
                <w:szCs w:val="16"/>
                <w:u w:val="single" w:color="auto"/>
                <w:color w:val="auto"/>
              </w:rPr>
              <w:t>6)</w:t>
            </w: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258.5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18"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Peloton Interactive, Inc. (“Peloton” or the “Company”) is the largest interactive fitness platform in the world with a loyal community of Members, which we define as any individual who has a Peloton account through a paid Connected Fitness Subscription (“All-Access Membership”) or a paid Peloton Digital Subscription.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Members to be the best versions of themselves.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2022,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of the SEC. Therefore, these interim condensed consolidated financial statements should be read in conjunction with the consolidated financial statements and notes included in the Company's Annual Report on Form 10-K for the fiscal year ended June 30, 2022 (the "Form 10-K"). However, the Company believes that the disclosures provided herein are adequate to prevent the information presented from being misleading.</w:t>
      </w:r>
    </w:p>
    <w:p>
      <w:pPr>
        <w:spacing w:after="0" w:line="198" w:lineRule="exact"/>
        <w:rPr>
          <w:sz w:val="20"/>
          <w:szCs w:val="20"/>
          <w:color w:val="auto"/>
        </w:rPr>
      </w:pPr>
    </w:p>
    <w:p>
      <w:pPr>
        <w:ind w:right="480"/>
        <w:spacing w:after="0" w:line="278"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All significant intercompany balances and transactions have been eliminated in consolidation.</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months ended September 30, 2022 are not necessarily indicative of the results to be expected for any subsequent quarter, the fiscal year ending June 30, 2023, or any other period.</w:t>
      </w:r>
    </w:p>
    <w:p>
      <w:pPr>
        <w:spacing w:after="0" w:line="23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4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Certain immaterial amounts presented in the condensed consolidated statement of operations and comprehensive loss for the three months ended September 30, 2021 have been reclassified to conform to the current year presentation.</w:t>
      </w:r>
    </w:p>
    <w:p>
      <w:pPr>
        <w:spacing w:after="0" w:line="22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Except as described elsewhere in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under the section titled </w:t>
      </w:r>
      <w:r>
        <w:rPr>
          <w:rFonts w:ascii="Arial" w:cs="Arial" w:eastAsia="Arial" w:hAnsi="Arial"/>
          <w:sz w:val="16"/>
          <w:szCs w:val="16"/>
          <w:i w:val="1"/>
          <w:iCs w:val="1"/>
          <w:color w:val="auto"/>
        </w:rPr>
        <w:t>“Recently Issued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Pronouncements,” </w:t>
      </w:r>
      <w:r>
        <w:rPr>
          <w:rFonts w:ascii="Arial" w:cs="Arial" w:eastAsia="Arial" w:hAnsi="Arial"/>
          <w:sz w:val="16"/>
          <w:szCs w:val="16"/>
          <w:color w:val="auto"/>
        </w:rPr>
        <w:t>there have been no material changes to the Company’s significant accounting policies as described in the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the realizability of inventory, content costs for past use reserve, fair value measurements, the incremental borrowing rate associated with lease liabilities, impairment of long-lived and intangible assets, useful lives of long lived assets, including property and equipment and finite lived intangible assets, product warranty, goodwill, accounting for income taxes, stock-based compensation expense, transaction price estimates, the fair values of assets acquired and liabilities assumed in business combinations and asset acquisitions, contingent consideration, and commitments and contingencies. Actual results may differ from these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Recently Adopted</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2020-06</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 Contracts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in Entity’s Own Equity (Subtopic 815-40): Accounting for Convertible Instruments and Contracts in an Entity’s Own Equity</w:t>
      </w:r>
      <w:r>
        <w:rPr>
          <w:rFonts w:ascii="Arial" w:cs="Arial" w:eastAsia="Arial" w:hAnsi="Arial"/>
          <w:sz w:val="16"/>
          <w:szCs w:val="16"/>
          <w:color w:val="auto"/>
        </w:rPr>
        <w:t>. The guidance will simplify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for convertible instruments by reducing the number of accounting models for convertible debt instruments and convertible preferred stock, thereby limiting the accounting results in fewer embedded conversion features being separately recognized from the host contract as compared with current GAAP. Convertible instruments that continue to be subject to separation models are (1)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In addition, the guidance eliminates the treasury stock method to calculate diluted earnings per share for convertible instruments and requires the use of the if-converted method. ASU 2020-06 will be effective for public companies for fiscal years beginning after December 15, 2021, including interim periods within those fiscal years. Early adoption is permitted, but no earlier than fiscal years beginning after December 15, 2020, including interim periods within those fiscal years. The Company adopted the standard, effective July 1, 2022, using the modified retrospective transition method. Adoption of the new standard resulted in a reduction to Additional paid-in capital of $160.1 million to remove the equity component separately recorded for the conversion features associated with the Notes (as defined in </w:t>
      </w:r>
      <w:r>
        <w:rPr>
          <w:rFonts w:ascii="Arial" w:cs="Arial" w:eastAsia="Arial" w:hAnsi="Arial"/>
          <w:sz w:val="16"/>
          <w:szCs w:val="16"/>
          <w:i w:val="1"/>
          <w:iCs w:val="1"/>
          <w:color w:val="auto"/>
        </w:rPr>
        <w:t>Note 5 - Fair Value Measurements</w:t>
      </w:r>
      <w:r>
        <w:rPr>
          <w:rFonts w:ascii="Arial" w:cs="Arial" w:eastAsia="Arial" w:hAnsi="Arial"/>
          <w:sz w:val="16"/>
          <w:szCs w:val="16"/>
          <w:color w:val="auto"/>
        </w:rPr>
        <w:t>), an increase of $119.6 million in the carrying value of its Notes to reflect the full principal amount of the Notes outstanding net of issuance costs, and a decrease to Accumulated deficit of $40.5 million.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2021-08</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In October 2021, the Financial Accounting Standards Board issued ASU 2021-08, </w:t>
      </w:r>
      <w:r>
        <w:rPr>
          <w:rFonts w:ascii="Arial" w:cs="Arial" w:eastAsia="Arial" w:hAnsi="Arial"/>
          <w:sz w:val="16"/>
          <w:szCs w:val="16"/>
          <w:i w:val="1"/>
          <w:iCs w:val="1"/>
          <w:color w:val="auto"/>
        </w:rPr>
        <w:t>Business Combinations (Topic 805): Accounting for Contract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 Liabilities from Contracts with Customers. </w:t>
      </w:r>
      <w:r>
        <w:rPr>
          <w:rFonts w:ascii="Arial" w:cs="Arial" w:eastAsia="Arial" w:hAnsi="Arial"/>
          <w:sz w:val="16"/>
          <w:szCs w:val="16"/>
          <w:color w:val="auto"/>
        </w:rPr>
        <w:t>The guidance requires that an acquirer recognize and measure contract assets and liabilities acquired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business combination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standard is effective for annual periods beginning after December 15, 2022, including interim periods therein, with early adoption permitted, and should be applied prospectively to acquisitions occurring on or after the effective date. The Company will continue to evaluate the impact of this guidance, which will depend on the contract assets and liabilities acquired in future business combinations.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Company’s primary source of revenue is from sales of its Connected Fitness Products and associated recurring Subscription revenues.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48"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incentives, and rebates to commercial distributors as a reduction of the transaction price. Certain contracts include consideration payable that is accounted for as a payment for distinct goods or services. The Company estimates its liability for product returns and concessions based on historical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0" w:name="page11"/>
    <w:bookmarkEnd w:id="10"/>
    <w:p>
      <w:pPr>
        <w:jc w:val="both"/>
        <w:spacing w:after="0" w:line="262" w:lineRule="auto"/>
        <w:rPr>
          <w:sz w:val="20"/>
          <w:szCs w:val="20"/>
          <w:color w:val="auto"/>
        </w:rPr>
      </w:pPr>
      <w:r>
        <w:rPr>
          <w:rFonts w:ascii="Arial" w:cs="Arial" w:eastAsia="Arial" w:hAnsi="Arial"/>
          <w:sz w:val="16"/>
          <w:szCs w:val="16"/>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applies the practical expedient as per ASC 606-10-50-14 and does not disclose information related to remaining performance obligations due to their original expected terms being one year or less.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expenses sales commissions on its Connected Fitness Products when incurred because the amortization period would have been less than one year. These costs are recorded in Sales and marketing in the Company’s Condensed Consolidated Statements of Operations and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Connected Fitness Products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Connected Fitness Products include the Company’s portfolio of Connected Fitness Products and related accessories, Precor branded fitness products, delivery and installation services, Peloton branded apparel, extended warranty agreements, and commercial service contracts. The Company recognizes Connected Fitness Product revenue net of sales returns and discounts when the product has been delivered to the customer, except for extended warranty revenue that is recognized over the warranty period and service revenue that is recognized over the term of the service contract. The Company allows customers to return Peloton branded Connected Fitness Products within thirty days of purchase, as stated in its return policy.</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Condensed Consolidated Statements of Operations and Comprehensive Loss.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subscriptions provide unlimited access to content in its library of live and on-demand fitness classes. The Company’s subscriptions are offered on a month-to-month basis.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Amounts paid for subscription fees, net of refunds are included within Deferred revenue and customer deposits on the Company’s Condensed Consolidated Balance Sheets and recognized ratably over the subscription term. The Company records payment processing fees for its monthly subscription charges within cost of Subscription revenue in the Company’s Condensed Consolidated Statements of Operations and Comprehensive Loss.</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Sales tax collected from customers and remitted to governmental authorities is not included in revenue and is reflected as a liability on the Company’s Condensed Consolidated Balance Sheets.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Standard Product Warranty</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for a period of one year covering the touchscreen and most original Bike, Bike+, Tread, Tread+, and Guide components from the date of original delivery. The Company has the obligation, at its option, to either repair or replace the defective product. At the time revenue is recognized, an estimate of future warranty costs are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both in-house and by contract manufacturers, and in certain cases, the Company may have recourse to such contract manufacturers.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accrual for our estimated future product warranty obligation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00" w:type="dxa"/>
            <w:vAlign w:val="bottom"/>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10"/>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Provision for warranty accrual</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claims</w:t>
            </w:r>
          </w:p>
        </w:tc>
        <w:tc>
          <w:tcPr>
            <w:tcW w:w="1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r>
      <w:tr>
        <w:trPr>
          <w:trHeight w:val="20"/>
        </w:trPr>
        <w:tc>
          <w:tcPr>
            <w:tcW w:w="7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ranging from 12 to 36 months.</w:t>
      </w:r>
    </w:p>
    <w:p>
      <w:pPr>
        <w:spacing w:after="0" w:line="24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Extended warranty revenue is recognized on a gross basis as the Company has a continuing obligation to perform over the service period. Extended warranty revenue is recognized ratably over the extended warranty coverage period and is included in Connected Fitness Product revenue in the Condensed Consolidated Statements of Operations and Comprehensive Loss.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63"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The Company’s revenue from contracts with customers disaggregated by major product lines, excluding sales-based taxes, are included in </w:t>
      </w:r>
      <w:r>
        <w:rPr>
          <w:rFonts w:ascii="Arial" w:cs="Arial" w:eastAsia="Arial" w:hAnsi="Arial"/>
          <w:sz w:val="16"/>
          <w:szCs w:val="16"/>
          <w:i w:val="1"/>
          <w:iCs w:val="1"/>
          <w:color w:val="auto"/>
        </w:rPr>
        <w:t>Note 12 -</w:t>
      </w:r>
      <w:r>
        <w:rPr>
          <w:rFonts w:ascii="Arial" w:cs="Arial" w:eastAsia="Arial" w:hAnsi="Arial"/>
          <w:sz w:val="16"/>
          <w:szCs w:val="16"/>
          <w:color w:val="auto"/>
        </w:rPr>
        <w:t xml:space="preserve"> </w:t>
      </w:r>
      <w:r>
        <w:rPr>
          <w:rFonts w:ascii="Arial" w:cs="Arial" w:eastAsia="Arial" w:hAnsi="Arial"/>
          <w:sz w:val="16"/>
          <w:szCs w:val="16"/>
          <w:i w:val="1"/>
          <w:iCs w:val="1"/>
          <w:color w:val="auto"/>
        </w:rPr>
        <w:t>Segment Information</w:t>
      </w:r>
      <w:r>
        <w:rPr>
          <w:rFonts w:ascii="Arial" w:cs="Arial" w:eastAsia="Arial" w:hAnsi="Arial"/>
          <w:sz w:val="16"/>
          <w:szCs w:val="16"/>
          <w:color w:val="auto"/>
        </w:rPr>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Arial" w:cs="Arial" w:eastAsia="Arial" w:hAnsi="Arial"/>
                <w:sz w:val="16"/>
                <w:szCs w:val="16"/>
                <w:color w:val="auto"/>
              </w:rPr>
              <w:t>The Company’s revenue disaggregated by geographic region, were as follows:</w:t>
            </w: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448"/>
        </w:trPr>
        <w:tc>
          <w:tcPr>
            <w:tcW w:w="7600" w:type="dxa"/>
            <w:vAlign w:val="bottom"/>
          </w:tcPr>
          <w:p>
            <w:pPr>
              <w:spacing w:after="0"/>
              <w:rPr>
                <w:sz w:val="24"/>
                <w:szCs w:val="24"/>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09"/>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7"/>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 America</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728.8</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r>
      <w:tr>
        <w:trPr>
          <w:trHeight w:val="237"/>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revenue attributable to the United States was $545.1 million and $696.1 million, or 88% and 86% of Total revenue, for the three months ended September 30, 2022 and 2021,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Deposits and Deferred Revenue</w:t>
      </w:r>
    </w:p>
    <w:p>
      <w:pPr>
        <w:spacing w:after="0" w:line="7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 of September 30, 2022 and June 30, 2022, customer deposits of $105.9 million and $109.2 million, respectively, and deferred revenue of $91.4 million and $91.9 million, respectively, were included in Deferred revenue and customer deposits on the Company’s Condensed Consolidated Balance Sheets.</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the three months ended September 30, 2022 and 2021, the Company recognized revenue of $88.1 million and $72.6 million, respectively, that was included in the deferred revenue balance as of June 30, 2022 and 2021, respectively.</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Restructuring</w:t>
      </w:r>
    </w:p>
    <w:p>
      <w:pPr>
        <w:spacing w:after="0" w:line="2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February 2022, we announced and began implementing a restructuring plan to realign the Company’s operational focus to support its multi-year growth, scale the business, and improve costs (the “Restructuring Plan”). The Restructuring Plan originally included: (i) reducing the Company’s headcount; (ii) closing several assembly and manufacturing plants, including the completion and subsequent sale of the shell facility for the Company’s previously planned Peloton Output Park; (iii) closing and consolidating several distribution facilities; and (iv) shifting to third-party logistics providers in most locations. The Company expects the Restructuring Plan to be substantially completed by the end of fiscal 2024.</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July 2022, August 2022 and October 2022, the Company took actions to update the Restructuring Plan. On July 12, 2022, the Company announced it is exiting all owned-manufacturing operations and expanding its current relationship with Taiwanese manufacturer Rexon Industrial Corp. Additionally, on August 12, 2022, the Company announced the decision to perform the following restructuring activities: (i) fully transition its North American Field Operations to third-party providers, including the significant reduction of its delivery workforce teams; (ii) eliminate a significant number of roles on the North America Member Support team and exit its real-estate footprints in its Plano and Tempe locations; and (iii) reduce its North America retail showroom presence. On October 6, 2022, the Company announced approximately 500 global team member positions have been eliminated.</w:t>
      </w:r>
    </w:p>
    <w:p>
      <w:pPr>
        <w:spacing w:after="0" w:line="24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a result of the Restructuring Plan, the Company incurred the following charges, of which Asset write-downs and write-offs are included within Impairment expense in the Condensed Consolidated Statements of Operations and Comprehensive Loss. The remaining charges incurred due to the restructuring plan are included within Restructuring expense in the Condensed Consolidated Statements of Operations and Comprehensive Loss: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9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September 30, 2022</w:t>
            </w:r>
          </w:p>
        </w:tc>
      </w:tr>
      <w:tr>
        <w:trPr>
          <w:trHeight w:val="210"/>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Cash restructuring charges:</w:t>
            </w:r>
          </w:p>
        </w:tc>
        <w:tc>
          <w:tcPr>
            <w:tcW w:w="100" w:type="dxa"/>
            <w:vAlign w:val="bottom"/>
          </w:tcPr>
          <w:p>
            <w:pPr>
              <w:spacing w:after="0"/>
              <w:rPr>
                <w:sz w:val="18"/>
                <w:szCs w:val="18"/>
                <w:color w:val="auto"/>
              </w:rPr>
            </w:pPr>
          </w:p>
        </w:tc>
        <w:tc>
          <w:tcPr>
            <w:tcW w:w="1660" w:type="dxa"/>
            <w:vAlign w:val="bottom"/>
          </w:tcPr>
          <w:p>
            <w:pPr>
              <w:jc w:val="center"/>
              <w:ind w:right="19"/>
              <w:spacing w:after="0"/>
              <w:rPr>
                <w:sz w:val="20"/>
                <w:szCs w:val="20"/>
                <w:color w:val="auto"/>
              </w:rPr>
            </w:pPr>
            <w:r>
              <w:rPr>
                <w:rFonts w:ascii="Arial" w:cs="Arial" w:eastAsia="Arial" w:hAnsi="Arial"/>
                <w:sz w:val="16"/>
                <w:szCs w:val="16"/>
                <w:b w:val="1"/>
                <w:bCs w:val="1"/>
                <w:color w:val="auto"/>
              </w:rPr>
              <w:t>(in millions)</w:t>
            </w: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and other personnel costs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Professional fees and other related charges</w:t>
            </w: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10"/>
        </w:trPr>
        <w:tc>
          <w:tcPr>
            <w:tcW w:w="9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cash charges</w:t>
            </w:r>
          </w:p>
        </w:tc>
        <w:tc>
          <w:tcPr>
            <w:tcW w:w="1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53"/>
        </w:trPr>
        <w:tc>
          <w:tcPr>
            <w:tcW w:w="9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charges:</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Asset write-downs and write-offs</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62.9</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r>
      <w:tr>
        <w:trPr>
          <w:trHeight w:val="210"/>
        </w:trPr>
        <w:tc>
          <w:tcPr>
            <w:tcW w:w="9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non-cash charges</w:t>
            </w: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w:t>
            </w:r>
          </w:p>
        </w:tc>
      </w:tr>
      <w:tr>
        <w:trPr>
          <w:trHeight w:val="253"/>
        </w:trPr>
        <w:tc>
          <w:tcPr>
            <w:tcW w:w="94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spacing w:after="0"/>
              <w:rPr>
                <w:sz w:val="22"/>
                <w:szCs w:val="22"/>
                <w:color w:val="auto"/>
              </w:rPr>
            </w:pPr>
          </w:p>
        </w:tc>
      </w:tr>
      <w:tr>
        <w:trPr>
          <w:trHeight w:val="209"/>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w:t>
            </w:r>
          </w:p>
        </w:tc>
      </w:tr>
      <w:tr>
        <w:trPr>
          <w:trHeight w:val="21"/>
        </w:trPr>
        <w:tc>
          <w:tcPr>
            <w:tcW w:w="9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connection with the Restructuring Plan, the Company committed to the closures of certain warehouse and retail locations, the discontinuation of manufacturing in North America, and the wind down of certain software implementation and development projects. Due to the actions taken, the Company tested certain long-lived assets (asset groups) for recoverability by comparing the carrying values of the asset groups to estimates of their future undiscounted cash flows, which were generally the liquidation value, or for operating lease right-of-use assets, income from a sublease arrangement. Based on the results of the recoverability tests, the Company determined that during the three months ended September 30, 2022</w:t>
      </w:r>
      <w:r>
        <w:rPr>
          <w:rFonts w:ascii="Arial" w:cs="Arial" w:eastAsia="Arial" w:hAnsi="Arial"/>
          <w:sz w:val="17"/>
          <w:szCs w:val="17"/>
          <w:color w:val="auto"/>
        </w:rPr>
        <w:t>,</w:t>
      </w:r>
      <w:r>
        <w:rPr>
          <w:rFonts w:ascii="Arial" w:cs="Arial" w:eastAsia="Arial" w:hAnsi="Arial"/>
          <w:sz w:val="16"/>
          <w:szCs w:val="16"/>
          <w:color w:val="auto"/>
        </w:rPr>
        <w:t xml:space="preserve">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roll-forward of cash restructuring-related liabilities, which is included within Accounts payable and accrued expenses in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Balance Sheets,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8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Professional fees and</w:t>
            </w:r>
          </w:p>
        </w:tc>
        <w:tc>
          <w:tcPr>
            <w:tcW w:w="400" w:type="dxa"/>
            <w:vAlign w:val="bottom"/>
          </w:tcPr>
          <w:p>
            <w:pPr>
              <w:spacing w:after="0"/>
              <w:rPr>
                <w:sz w:val="16"/>
                <w:szCs w:val="16"/>
                <w:color w:val="auto"/>
              </w:rPr>
            </w:pPr>
          </w:p>
        </w:tc>
        <w:tc>
          <w:tcPr>
            <w:tcW w:w="136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other related charges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96"/>
              </w:rPr>
              <w:t>10.9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96"/>
              </w:rPr>
              <w:t>10.9</w:t>
            </w:r>
          </w:p>
        </w:tc>
        <w:tc>
          <w:tcPr>
            <w:tcW w:w="0" w:type="dxa"/>
            <w:vAlign w:val="bottom"/>
          </w:tcPr>
          <w:p>
            <w:pPr>
              <w:spacing w:after="0"/>
              <w:rPr>
                <w:sz w:val="1"/>
                <w:szCs w:val="1"/>
                <w:color w:val="auto"/>
              </w:rPr>
            </w:pPr>
          </w:p>
        </w:tc>
      </w:tr>
      <w:tr>
        <w:trPr>
          <w:trHeight w:val="213"/>
        </w:trPr>
        <w:tc>
          <w:tcPr>
            <w:tcW w:w="5780" w:type="dxa"/>
            <w:vAlign w:val="bottom"/>
          </w:tcPr>
          <w:p>
            <w:pPr>
              <w:ind w:left="14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18"/>
                <w:szCs w:val="18"/>
                <w:color w:val="auto"/>
              </w:rPr>
            </w:pPr>
          </w:p>
        </w:tc>
        <w:tc>
          <w:tcPr>
            <w:tcW w:w="1580" w:type="dxa"/>
            <w:vAlign w:val="bottom"/>
          </w:tcPr>
          <w:p>
            <w:pPr>
              <w:jc w:val="center"/>
              <w:ind w:left="1039"/>
              <w:spacing w:after="0"/>
              <w:rPr>
                <w:sz w:val="20"/>
                <w:szCs w:val="20"/>
                <w:color w:val="auto"/>
              </w:rPr>
            </w:pPr>
            <w:r>
              <w:rPr>
                <w:rFonts w:ascii="Arial" w:cs="Arial" w:eastAsia="Arial" w:hAnsi="Arial"/>
                <w:sz w:val="16"/>
                <w:szCs w:val="16"/>
                <w:color w:val="auto"/>
                <w:w w:val="96"/>
              </w:rPr>
              <w:t>27.0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ind w:left="819"/>
              <w:spacing w:after="0"/>
              <w:rPr>
                <w:sz w:val="20"/>
                <w:szCs w:val="20"/>
                <w:color w:val="auto"/>
              </w:rPr>
            </w:pPr>
            <w:r>
              <w:rPr>
                <w:rFonts w:ascii="Arial" w:cs="Arial" w:eastAsia="Arial" w:hAnsi="Arial"/>
                <w:sz w:val="16"/>
                <w:szCs w:val="16"/>
                <w:color w:val="auto"/>
                <w:w w:val="96"/>
              </w:rPr>
              <w:t>30.1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ind w:left="1039"/>
              <w:spacing w:after="0"/>
              <w:rPr>
                <w:sz w:val="20"/>
                <w:szCs w:val="20"/>
                <w:color w:val="auto"/>
              </w:rPr>
            </w:pPr>
            <w:r>
              <w:rPr>
                <w:rFonts w:ascii="Arial" w:cs="Arial" w:eastAsia="Arial" w:hAnsi="Arial"/>
                <w:sz w:val="16"/>
                <w:szCs w:val="16"/>
                <w:color w:val="auto"/>
              </w:rPr>
              <w:t>(22.4)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September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center"/>
              <w:ind w:left="1039"/>
              <w:spacing w:after="0"/>
              <w:rPr>
                <w:sz w:val="20"/>
                <w:szCs w:val="20"/>
                <w:color w:val="auto"/>
              </w:rPr>
            </w:pPr>
            <w:r>
              <w:rPr>
                <w:rFonts w:ascii="Arial" w:cs="Arial" w:eastAsia="Arial" w:hAnsi="Arial"/>
                <w:sz w:val="16"/>
                <w:szCs w:val="16"/>
                <w:color w:val="auto"/>
                <w:w w:val="96"/>
              </w:rPr>
              <w:t>15.5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w w:val="96"/>
              </w:rPr>
              <w:t>17.1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addition to the above charges, the Company incurred approximately $1.9 million of capital expenditures related to Peloton Output Park during the three months ended September 30, 2022.</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the Restructuring Plan, the Company estimates that it will incur additional cash charges of approximately $70 million, primarily composed of severance and other exit costs, in fiscal year 2023 and beyond. Additionally, the Company expects to recognize additional non-cash charges of approximately $70 million, primarily composed of asset impairment and stock-based compensation charges, in fiscal year 2023 in connection with the Restructuring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Fair Value Measurements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 of Other Financial Instruments</w:t>
      </w:r>
    </w:p>
    <w:p>
      <w:pPr>
        <w:spacing w:after="0" w:line="6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following tables present the estimated fair values of the Company’s financial instruments that are not recorded at fair value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center"/>
              <w:ind w:right="599"/>
              <w:spacing w:after="0"/>
              <w:rPr>
                <w:sz w:val="20"/>
                <w:szCs w:val="20"/>
                <w:color w:val="auto"/>
              </w:rPr>
            </w:pPr>
            <w:r>
              <w:rPr>
                <w:rFonts w:ascii="Arial" w:cs="Arial" w:eastAsia="Arial" w:hAnsi="Arial"/>
                <w:sz w:val="16"/>
                <w:szCs w:val="16"/>
                <w:b w:val="1"/>
                <w:bCs w:val="1"/>
                <w:color w:val="auto"/>
              </w:rPr>
              <w:t>As of September 30, 2022</w:t>
            </w:r>
          </w:p>
        </w:tc>
        <w:tc>
          <w:tcPr>
            <w:tcW w:w="1100" w:type="dxa"/>
            <w:vAlign w:val="bottom"/>
            <w:tcBorders>
              <w:bottom w:val="single" w:sz="8" w:color="auto"/>
            </w:tcBorders>
          </w:tcPr>
          <w:p>
            <w:pPr>
              <w:spacing w:after="0"/>
              <w:rPr>
                <w:sz w:val="18"/>
                <w:szCs w:val="18"/>
                <w:color w:val="auto"/>
              </w:rPr>
            </w:pPr>
          </w:p>
        </w:tc>
      </w:tr>
      <w:tr>
        <w:trPr>
          <w:trHeight w:val="212"/>
        </w:trPr>
        <w:tc>
          <w:tcPr>
            <w:tcW w:w="5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Level 1</w:t>
            </w: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3</w:t>
            </w: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9"/>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0% Convertible Senior Notes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w:t>
            </w:r>
          </w:p>
        </w:tc>
      </w:tr>
      <w:tr>
        <w:trPr>
          <w:trHeight w:val="790"/>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right"/>
              <w:ind w:right="1299"/>
              <w:spacing w:after="0"/>
              <w:rPr>
                <w:sz w:val="20"/>
                <w:szCs w:val="20"/>
                <w:color w:val="auto"/>
              </w:rPr>
            </w:pPr>
            <w:r>
              <w:rPr>
                <w:rFonts w:ascii="Arial" w:cs="Arial" w:eastAsia="Arial" w:hAnsi="Arial"/>
                <w:sz w:val="16"/>
                <w:szCs w:val="16"/>
                <w:color w:val="auto"/>
              </w:rPr>
              <w:t>12</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21"/>
        </w:trPr>
        <w:tc>
          <w:tcPr>
            <w:tcW w:w="5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center"/>
              <w:ind w:right="579"/>
              <w:spacing w:after="0"/>
              <w:rPr>
                <w:sz w:val="20"/>
                <w:szCs w:val="20"/>
                <w:color w:val="auto"/>
              </w:rPr>
            </w:pPr>
            <w:r>
              <w:rPr>
                <w:rFonts w:ascii="Arial" w:cs="Arial" w:eastAsia="Arial" w:hAnsi="Arial"/>
                <w:sz w:val="16"/>
                <w:szCs w:val="16"/>
                <w:b w:val="1"/>
                <w:bCs w:val="1"/>
                <w:color w:val="auto"/>
              </w:rPr>
              <w:t>As of June 30, 2022</w:t>
            </w:r>
          </w:p>
        </w:tc>
        <w:tc>
          <w:tcPr>
            <w:tcW w:w="1100" w:type="dxa"/>
            <w:vAlign w:val="bottom"/>
            <w:tcBorders>
              <w:bottom w:val="single" w:sz="8" w:color="auto"/>
            </w:tcBorders>
          </w:tcPr>
          <w:p>
            <w:pPr>
              <w:spacing w:after="0"/>
              <w:rPr>
                <w:sz w:val="18"/>
                <w:szCs w:val="18"/>
                <w:color w:val="auto"/>
              </w:rPr>
            </w:pPr>
          </w:p>
        </w:tc>
      </w:tr>
      <w:tr>
        <w:trPr>
          <w:trHeight w:val="212"/>
        </w:trPr>
        <w:tc>
          <w:tcPr>
            <w:tcW w:w="5320" w:type="dxa"/>
            <w:vAlign w:val="bottom"/>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3</w:t>
            </w: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9"/>
        </w:trPr>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0% Convertible Senior Notes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632.2</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632.2</w:t>
            </w:r>
          </w:p>
        </w:tc>
      </w:tr>
    </w:tbl>
    <w:p>
      <w:pPr>
        <w:spacing w:after="0" w:line="31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the 0% Convertible Senior Notes due February 15, 2026 (the “Notes”) is determined based on the closing price on the last trading day of the reporting period.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the Term Loan approximates the fair value as the Term Loan as of September 30,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b w:val="1"/>
                <w:bCs w:val="1"/>
                <w:color w:val="auto"/>
              </w:rPr>
              <w:t>6. Inventories</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05"/>
        </w:trPr>
        <w:tc>
          <w:tcPr>
            <w:tcW w:w="7600" w:type="dxa"/>
            <w:vAlign w:val="bottom"/>
          </w:tcPr>
          <w:p>
            <w:pPr>
              <w:spacing w:after="0"/>
              <w:rPr>
                <w:sz w:val="20"/>
                <w:szCs w:val="20"/>
                <w:color w:val="auto"/>
              </w:rPr>
            </w:pPr>
            <w:r>
              <w:rPr>
                <w:rFonts w:ascii="Arial" w:cs="Arial" w:eastAsia="Arial" w:hAnsi="Arial"/>
                <w:sz w:val="16"/>
                <w:szCs w:val="16"/>
                <w:color w:val="auto"/>
              </w:rPr>
              <w:t>Inventories were as follows: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6"/>
        </w:trPr>
        <w:tc>
          <w:tcPr>
            <w:tcW w:w="7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2022</w:t>
            </w:r>
          </w:p>
        </w:tc>
      </w:tr>
      <w:tr>
        <w:trPr>
          <w:trHeight w:val="212"/>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2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76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Finished products</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1,283.7</w:t>
            </w: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1,273.1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1,389.9</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Reserves</w:t>
            </w:r>
          </w:p>
        </w:tc>
        <w:tc>
          <w:tcPr>
            <w:tcW w:w="1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(285.4)</w:t>
            </w:r>
          </w:p>
        </w:tc>
      </w:tr>
      <w:tr>
        <w:trPr>
          <w:trHeight w:val="212"/>
        </w:trPr>
        <w:tc>
          <w:tcPr>
            <w:tcW w:w="7600" w:type="dxa"/>
            <w:vAlign w:val="bottom"/>
          </w:tcPr>
          <w:p>
            <w:pPr>
              <w:ind w:left="240"/>
              <w:spacing w:after="0"/>
              <w:rPr>
                <w:sz w:val="20"/>
                <w:szCs w:val="20"/>
                <w:color w:val="auto"/>
              </w:rPr>
            </w:pPr>
            <w:r>
              <w:rPr>
                <w:rFonts w:ascii="Arial" w:cs="Arial" w:eastAsia="Arial" w:hAnsi="Arial"/>
                <w:sz w:val="16"/>
                <w:szCs w:val="16"/>
                <w:color w:val="auto"/>
              </w:rPr>
              <w:t>Total inventories,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1,104.5</w:t>
            </w:r>
          </w:p>
        </w:tc>
      </w:tr>
      <w:tr>
        <w:trPr>
          <w:trHeight w:val="21"/>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65" w:lineRule="exact"/>
        <w:rPr>
          <w:sz w:val="20"/>
          <w:szCs w:val="20"/>
          <w:color w:val="auto"/>
        </w:rPr>
      </w:pPr>
    </w:p>
    <w:p>
      <w:pPr>
        <w:ind w:right="60" w:firstLine="8"/>
        <w:spacing w:after="0" w:line="242" w:lineRule="auto"/>
        <w:tabs>
          <w:tab w:leader="none" w:pos="189"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$46.9 million and $36.4 million of finished goods inventory in transit, products owned by the Company that have not yet been received at a Company distribution center, as of September 30, 2022 and June 30, 2022, respectively.</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periodically assesses and adjusts the value of inventory for estimated excess and obsolete inventory based upon estimates of future demand and market conditions, as well as damaged or otherwise impaired goods. The Company recorded inventory reserves as of September 30, 2022 primarily in the amounts of $124.9 million related to excess accessories and apparel inventory that the Company does not expect to sell above its current carrying value, $88.3 million related primarily to returned Connected Fitness Products that the Company does not expect to sell, and $41.9 million in reserves for component parts that the Company estimated would have no future use.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Debt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and the Indenture</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February 2021, the Company issued $1.0 billion aggregate principal amount of the Notes in a private offering, including the exercise in full of the over-allotment option granted to the initial purchasers of $125.0 million. The Notes were issued pursuant to an Indenture (the “Indenture”) between the Company and U.S. Bank National Association, as trustee. The Notes are senior unsecured obligations of the Company and do not bear regular interest, and the principal amount of the Notes does not accrete. The net proceeds from this offering were approximately $977.2 million, after deducting the initial purchasers' discounts and commissions and the Company’s offering expenses.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Each $1,000 principal amount of the Notes is initially convertible into 4.1800 shares of the Company’s Class A common stock, $0.000025 par value per share (“Class A Common Stock”), which is equivalent to an initial conversion price of approximately $239.23 per share. The conversion rate is subject to customary adjustments under certain circumstances in accordance with the terms of the Indenture. In addition, if certain corporate events that constitute a make-whole fundamental change occur, then the conversion rate will, in certain circumstances, be increased for a specified period of time.</w:t>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Notes will mature on February 15, 2026, unless earlier converted, redeemed, or repurchased. The Notes will be convertible at the option of the holders at certain times and upon the occurrence of certain events in the future.</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or after August 15, 2025, until the close of business on the second scheduled trading day immediately preceding the maturity date, holders may convert all or any portion of their Notes, in multiples of $1,000 principal amount, at the option of the holder regardless of the foregoing circumstances.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Indenture. It is the Company’s current intent to settle the principal amount of the Notes with cash.</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 may redeem for cash all or any portion of the Notes, at its option, on or after February 20, 2024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w:t>
      </w:r>
    </w:p>
    <w:p>
      <w:pPr>
        <w:sectPr>
          <w:pgSz w:w="11900" w:h="16838" w:orient="portrait"/>
          <w:cols w:equalWidth="0" w:num="1">
            <w:col w:w="11240"/>
          </w:cols>
          <w:pgMar w:left="320" w:top="648" w:right="339" w:bottom="144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14" w:name="page15"/>
    <w:bookmarkEnd w:id="14"/>
    <w:p>
      <w:pPr>
        <w:jc w:val="both"/>
        <w:spacing w:after="0" w:line="260" w:lineRule="auto"/>
        <w:rPr>
          <w:sz w:val="20"/>
          <w:szCs w:val="20"/>
          <w:color w:val="auto"/>
        </w:rPr>
      </w:pPr>
      <w:r>
        <w:rPr>
          <w:rFonts w:ascii="Arial" w:cs="Arial" w:eastAsia="Arial" w:hAnsi="Arial"/>
          <w:sz w:val="16"/>
          <w:szCs w:val="16"/>
          <w:color w:val="auto"/>
        </w:rPr>
        <w:t>Notes to be redeemed, plus any accrued and unpaid special interest, if any, to, but excluding, the redemption date. No sinking fund is provided for the Notes, which means that the Company is not required to redeem or retire the Notes periodically.</w:t>
      </w: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Upon the occurrence of a fundamental change (as defined in the Indenture), subject to certain conditions, holders may require the Company to repurchase all or a portion of the Notes for cash at a price equal to 100% of the principal amount of the Notes to be repurchased, plus any accrued and unpaid special interest, if any, to, but excluding, the fundamental change repurchase date.</w:t>
      </w:r>
    </w:p>
    <w:p>
      <w:pPr>
        <w:spacing w:after="0" w:line="22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Arial" w:cs="Arial" w:eastAsia="Arial" w:hAnsi="Arial"/>
                <w:sz w:val="16"/>
                <w:szCs w:val="16"/>
                <w:color w:val="auto"/>
              </w:rPr>
              <w:t>The net carrying amount of the liability component of the Notes was as follows:</w:t>
            </w:r>
          </w:p>
        </w:tc>
        <w:tc>
          <w:tcPr>
            <w:tcW w:w="1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7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September 30, 2022</w:t>
            </w:r>
          </w:p>
        </w:tc>
        <w:tc>
          <w:tcPr>
            <w:tcW w:w="0" w:type="dxa"/>
            <w:vAlign w:val="bottom"/>
          </w:tcPr>
          <w:p>
            <w:pPr>
              <w:spacing w:after="0"/>
              <w:rPr>
                <w:sz w:val="1"/>
                <w:szCs w:val="1"/>
                <w:color w:val="auto"/>
              </w:rPr>
            </w:pPr>
          </w:p>
        </w:tc>
      </w:tr>
      <w:tr>
        <w:trPr>
          <w:trHeight w:val="212"/>
        </w:trPr>
        <w:tc>
          <w:tcPr>
            <w:tcW w:w="7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right="1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Unamortized debt discount</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issuance costs</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carrying amount</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984.6</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6"/>
                <w:szCs w:val="16"/>
                <w:color w:val="auto"/>
              </w:rPr>
              <w:t>The following table sets forth the interest expense recognized related to the Notes:</w:t>
            </w: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76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600" w:type="dxa"/>
            <w:vAlign w:val="bottom"/>
          </w:tcPr>
          <w:p>
            <w:pPr>
              <w:spacing w:after="0"/>
              <w:rPr>
                <w:sz w:val="24"/>
                <w:szCs w:val="24"/>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2"/>
        </w:trPr>
        <w:tc>
          <w:tcPr>
            <w:tcW w:w="7600" w:type="dxa"/>
            <w:vAlign w:val="bottom"/>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Amortization of debt discount</w:t>
            </w:r>
            <w:r>
              <w:rPr>
                <w:rFonts w:ascii="Arial" w:cs="Arial" w:eastAsia="Arial" w:hAnsi="Arial"/>
                <w:sz w:val="21"/>
                <w:szCs w:val="21"/>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 related to the Notes</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8"/>
        <w:spacing w:after="0" w:line="251" w:lineRule="auto"/>
        <w:tabs>
          <w:tab w:leader="none" w:pos="202"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The decrease in total interest expense during the three months ended September 30, 2022 was due to the derecognition of the unamortized debt discount, partially offset by the increase in the amortization of issuance costs previously recognized in equity. These changes were the result of the Company’s adoption of ASU No. 2020-06, as of July 1, 2022, as described in </w:t>
      </w:r>
      <w:r>
        <w:rPr>
          <w:rFonts w:ascii="Arial" w:cs="Arial" w:eastAsia="Arial" w:hAnsi="Arial"/>
          <w:sz w:val="13"/>
          <w:szCs w:val="13"/>
          <w:i w:val="1"/>
          <w:iCs w:val="1"/>
          <w:color w:val="auto"/>
        </w:rPr>
        <w:t>Note 2 - Summary of</w:t>
      </w:r>
      <w:r>
        <w:rPr>
          <w:rFonts w:ascii="Arial" w:cs="Arial" w:eastAsia="Arial" w:hAnsi="Arial"/>
          <w:sz w:val="13"/>
          <w:szCs w:val="13"/>
          <w:color w:val="auto"/>
        </w:rPr>
        <w:t xml:space="preserve"> </w:t>
      </w:r>
      <w:r>
        <w:rPr>
          <w:rFonts w:ascii="Arial" w:cs="Arial" w:eastAsia="Arial" w:hAnsi="Arial"/>
          <w:sz w:val="13"/>
          <w:szCs w:val="13"/>
          <w:i w:val="1"/>
          <w:iCs w:val="1"/>
          <w:color w:val="auto"/>
        </w:rPr>
        <w:t>Significant Accounting Policies</w:t>
      </w:r>
      <w:r>
        <w:rPr>
          <w:rFonts w:ascii="Arial" w:cs="Arial" w:eastAsia="Arial" w:hAnsi="Arial"/>
          <w:sz w:val="13"/>
          <w:szCs w:val="13"/>
          <w:color w:val="auto"/>
        </w:rPr>
        <w:t>,</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Capped Call Transactions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offering of the Notes, the Company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the Company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accounting purposes, the Capped Call Transactions are separate transactions, and are not part of the terms of the Notes. The net cost of $81.3 million incurred to purchase the Capped Call Transactions was recorded as a reduction to Additional paid-in capital on the Company’s Condensed Consolidated Balance Sheets.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Second Amended and Restated Credit Agreement</w:t>
      </w:r>
    </w:p>
    <w:p>
      <w:pPr>
        <w:spacing w:after="0" w:line="7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2019, the Company entered into an amended and restated revolving credit agreement as amended, modified or supplemented prior to entrance into the Second Amended and Restated Credit Agreement (as defined below). The Amended and Restated Credit Agreement provided for a $500.0 million secured revolving credit facility, including up to the lesser of $250.0 million and the aggregate unused amount of the facility for the issuance of letters of credit.</w:t>
      </w:r>
    </w:p>
    <w:p>
      <w:pPr>
        <w:spacing w:after="0" w:line="22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Amended and Restated Credit Agreement also permitted the incurrence of indebtedness to permit the Capped Call Transactions and issuance of the Notes.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6"/>
          <w:szCs w:val="16"/>
          <w:color w:val="auto"/>
        </w:rPr>
        <w:t>On May 25, 2022, the Company entered into an Amendment and Restatement Agreement to the Second Amended and Restated Credit Agreement (and as amended, restated or otherwise modified from time to time, the “Second Amended and Restated Credit Agreement”) with JPMorgan Chase Bank, N.A., as administrative agent, and certain banks and financial institutions party thereto as lenders and issuing banks. Pursuant to the Second Amended and Restated Credit Agreement, the Company amended and restated the Amended and Restated Credit Agreement.</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Second Amended and Restated Credit Agreement provides for a $750.0 million term loan facility (the “Term Loan”), which will be due and payable on May 25, 2027 or, if greater than $200.0 million of the Notes are outstanding on November 16, 2025 (the “Springing Maturity Condition”), November 16, 2025 (the “Springing Maturity Date”). The Term Loan amortizes in quarterly installments of 0.25%, payable at the end of each fiscal quarter and on the maturity date.</w:t>
      </w: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Second Amended and Restated Credit Agreement also provides for a $500.0 million revolving credit facility (the “Revolving Facility”), $35.0 million of which will mature on June 20, 2024 (the “Non-Consenting Commitments”), with the rest ($465.0 million) maturing on December 10, 2026 (the “Consenting Commitments”) or if the Springing Maturity Condition is met and the Term Loan is outstanding on such date, the Springing Maturity Date. The key terms of the Revolving Facility remain substantially unchanged from those set forth in the Amended and Restated Credit Agreement, including requiring compliance with a total level of liquidity of not less than $250.0 million and maintaining a minimum total four-quarter revenue level of $3.0 billion (which are replaced with a covenant to maintain a minimum debt to adjusted EBITDA ratio upon our meeting a specified adjusted EBITDA threshold).</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Term Loan bears interest at a rate equal to, at our option, either at the Alternate Base Rate plus 5.50% per annum or the Adjusted Term SOFR Rate plus 6.5% per annum. Each such margin will increase one time by 0.50% per annum if the Company chooses not to obtain a public rating for the Term Loan from S&amp;P Global Ratings or Moody’s Investors Services, Inc. on or prior to November 25, 2022. Any borrowing at the Alternate Base Rate is subject to a 1.00% floor and a term loan borrowed at the Adjusted Term SOFR Rate is subject to a 0.50% floor and any revolving loan borrowed at the Adjusted Term SOFR Rate is subject to a 0.00% floor.</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During the three months ended September 30, 2022 and 2021, the Company incurred total commitment fees of $0.4 million and $0.3 million, respectively, which are included in Interest expense in the Condensed Consolidated Statements of Operations and Comprehensive Loss.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September 30, 2022, the Company had drawn the full amount of the Term Loan and we had not drawn on the Revolving Facility, and we had $748.1 million of total outstanding borrowings under the Second Amended and Restated Credit Agreement.</w:t>
      </w:r>
    </w:p>
    <w:p>
      <w:pPr>
        <w:spacing w:after="0" w:line="236"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In connection with the execution of the Second Amended and Restated Credit Agreement, the Company incurred debt issuance costs of $1.1 million which are capitalized and presented as Other assets on the Company’s Condensed Consolidated Balance Sheets. These costs are being amortized to interest expense using the effective interest method over the term of the Second Amended and Restated Credit Agreement.</w:t>
      </w:r>
    </w:p>
    <w:p>
      <w:pPr>
        <w:spacing w:after="0" w:line="221" w:lineRule="exact"/>
        <w:rPr>
          <w:sz w:val="20"/>
          <w:szCs w:val="20"/>
          <w:color w:val="auto"/>
        </w:rPr>
      </w:pPr>
    </w:p>
    <w:p>
      <w:pPr>
        <w:jc w:val="both"/>
        <w:ind w:right="40"/>
        <w:spacing w:after="0" w:line="262" w:lineRule="auto"/>
        <w:rPr>
          <w:sz w:val="20"/>
          <w:szCs w:val="20"/>
          <w:color w:val="auto"/>
        </w:rPr>
      </w:pPr>
      <w:r>
        <w:rPr>
          <w:rFonts w:ascii="Arial" w:cs="Arial" w:eastAsia="Arial" w:hAnsi="Arial"/>
          <w:sz w:val="16"/>
          <w:szCs w:val="16"/>
          <w:color w:val="auto"/>
        </w:rPr>
        <w:t>As of September 30, 2022, the Company was in compliance with the covenants under the Second Amended and Restated Credit Agreement. The Company is required to pledge or otherwise restrict a portion of cash and cash equivalents as collateral for standby letters of credit. As of September 30, 2022, we had outstanding letters of credit totaling $82.6 million, of which $77.8 million is classified as Restricted cash on the Condensed Consolidated Balance Sheet.</w:t>
      </w:r>
    </w:p>
    <w:p>
      <w:pPr>
        <w:spacing w:after="0" w:line="221" w:lineRule="exact"/>
        <w:rPr>
          <w:sz w:val="20"/>
          <w:szCs w:val="20"/>
          <w:color w:val="auto"/>
        </w:rPr>
      </w:pPr>
    </w:p>
    <w:p>
      <w:pPr>
        <w:jc w:val="both"/>
        <w:ind w:right="220"/>
        <w:spacing w:after="0" w:line="262" w:lineRule="auto"/>
        <w:rPr>
          <w:sz w:val="20"/>
          <w:szCs w:val="20"/>
          <w:color w:val="auto"/>
        </w:rPr>
      </w:pPr>
      <w:r>
        <w:rPr>
          <w:rFonts w:ascii="Arial" w:cs="Arial" w:eastAsia="Arial" w:hAnsi="Arial"/>
          <w:sz w:val="16"/>
          <w:szCs w:val="16"/>
          <w:color w:val="auto"/>
        </w:rPr>
        <w:t>Our proceeds in connection with the Term Loan were $696.4 million, net of discount of $33.8 million and issuance costs of $19.8 million. Both the discount and issuance costs are being amortized to interest expense over the term of the Term Loan using the effective interest rate method. The effective interest rate was 10.2%.</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Arial" w:cs="Arial" w:eastAsia="Arial" w:hAnsi="Arial"/>
                <w:sz w:val="16"/>
                <w:szCs w:val="16"/>
                <w:color w:val="auto"/>
              </w:rPr>
              <w:t>The net carrying amount of the Term Loan was as follows: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7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212"/>
        </w:trPr>
        <w:tc>
          <w:tcPr>
            <w:tcW w:w="76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5"/>
          </w:tcPr>
          <w:p>
            <w:pPr>
              <w:jc w:val="center"/>
              <w:ind w:right="5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Principal payments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discount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The following table sets forth the interest expense recognized related to the Term Loan: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7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500" w:type="dxa"/>
            <w:vAlign w:val="bottom"/>
            <w:tcBorders>
              <w:bottom w:val="single" w:sz="8" w:color="auto"/>
            </w:tcBorders>
            <w:gridSpan w:val="5"/>
          </w:tcPr>
          <w:p>
            <w:pPr>
              <w:jc w:val="center"/>
              <w:ind w:right="3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2"/>
        </w:trPr>
        <w:tc>
          <w:tcPr>
            <w:tcW w:w="7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 expense related to the Term Loan</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Commitments and Contingencies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minimum guarantee royalty payments associated under certain music license agreements.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Company's minimum annual guarantee payments under music license agreements for the next three years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Future Minimum</w:t>
            </w:r>
          </w:p>
        </w:tc>
      </w:tr>
      <w:tr>
        <w:trPr>
          <w:trHeight w:val="215"/>
        </w:trPr>
        <w:tc>
          <w:tcPr>
            <w:tcW w:w="9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r>
      <w:tr>
        <w:trPr>
          <w:trHeight w:val="210"/>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125.5</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r>
      <w:tr>
        <w:trPr>
          <w:trHeight w:val="213"/>
        </w:trPr>
        <w:tc>
          <w:tcPr>
            <w:tcW w:w="9480" w:type="dxa"/>
            <w:vAlign w:val="bottom"/>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w:t>
            </w: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Content Costs for Past Use Reserve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 secure the rights to stream music on the Peloton platform, the Company must obtain licenses from, and pay royalties to, copyright owners of both sound recordings and musical compositions. The licensors have the right to audit our royalty calculations and routinely exercise those rights. The Company has entered into negotiations with various music rights holders, to pay for any and all uses of musical compositions and sound recordings to date and, at the same time, enter into go-forward license agreements for the use of music in the future.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Prior to the execution of go-forward music license agreements, the Company estimates and records expenses inclusive of estimated content costs for past use as well as normal and recurring music royalty expenses. The Company includes both of these components in its reserve. As of September 30, 2022 and 2021, the Company recorded reserves of $10.3 million and $10.8 million, respectively, included in Accounts payable and accrued expenses in the accompanying Condensed Consolidated Balance Sheets.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Recall Return Reserves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050505"/>
        </w:rPr>
        <w:t xml:space="preserve">On May 5, 2021, the Company announced separate, voluntary recalls of its Tread+ and Tread products in collaboration with the </w:t>
      </w:r>
      <w:r>
        <w:rPr>
          <w:rFonts w:ascii="Arial" w:cs="Arial" w:eastAsia="Arial" w:hAnsi="Arial"/>
          <w:sz w:val="16"/>
          <w:szCs w:val="16"/>
          <w:color w:val="000000"/>
        </w:rPr>
        <w:t>U.S. Consumer Product</w:t>
      </w:r>
      <w:r>
        <w:rPr>
          <w:rFonts w:ascii="Arial" w:cs="Arial" w:eastAsia="Arial" w:hAnsi="Arial"/>
          <w:sz w:val="16"/>
          <w:szCs w:val="16"/>
          <w:color w:val="050505"/>
        </w:rPr>
        <w:t xml:space="preserve"> </w:t>
      </w:r>
      <w:r>
        <w:rPr>
          <w:rFonts w:ascii="Arial" w:cs="Arial" w:eastAsia="Arial" w:hAnsi="Arial"/>
          <w:sz w:val="16"/>
          <w:szCs w:val="16"/>
          <w:color w:val="000000"/>
        </w:rPr>
        <w:t>Safety Commission ("</w:t>
      </w:r>
      <w:r>
        <w:rPr>
          <w:rFonts w:ascii="Arial" w:cs="Arial" w:eastAsia="Arial" w:hAnsi="Arial"/>
          <w:sz w:val="16"/>
          <w:szCs w:val="16"/>
          <w:color w:val="050505"/>
        </w:rPr>
        <w:t>CPSC") and halted sales of these products to work on product enhancements. On October 18, 2022, the CPSC and the Company</w:t>
      </w:r>
      <w:r>
        <w:rPr>
          <w:rFonts w:ascii="Arial" w:cs="Arial" w:eastAsia="Arial" w:hAnsi="Arial"/>
          <w:sz w:val="16"/>
          <w:szCs w:val="16"/>
          <w:color w:val="000000"/>
        </w:rPr>
        <w:t xml:space="preserve"> </w:t>
      </w:r>
      <w:r>
        <w:rPr>
          <w:rFonts w:ascii="Arial" w:cs="Arial" w:eastAsia="Arial" w:hAnsi="Arial"/>
          <w:sz w:val="16"/>
          <w:szCs w:val="16"/>
          <w:color w:val="050505"/>
        </w:rPr>
        <w:t>jointly announced that consumers now have more time to get a full refund if they wish to return their recalled Tread+. With the extension of the full refund period by one additional year, to November 6, 2023, the Company expects that more Members will opt for a full refund, and has accordingly increased the Company’s return reserve. The Company accrued for a reduction to Connected Fitness Products revenue for actual and estimated future returns of $26.5 million and $11.4 million for the three months ended September 30, 2022 and 2021, respectively, and a return reserve of $57.9 million and $31.1 million, respectively, was included within Accounts payable and accrued expenses in the accompanying Condensed Consolidated Balance Sheets related to the impacts of the Tread+ recall. The estimated returns reserve is primarily based on historical and expected product returns. The Company recorded costs associated with inventory write-downs and logistics costs of $2.5 million and $0.5 million for the three months ended September 30, 2022 and 2021, respectively, in Connected Fitness Products cost of revenue.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i w:val="1"/>
          <w:iCs w:val="1"/>
          <w:color w:val="auto"/>
        </w:rPr>
        <w:t>Commitments to Suppliers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utilizes contract manufacturers to build its products and accessories. These contract manufacturers acquire components and build products based on demand forecast information the Company supplies, which typically covers a rolling 12-month period. Consistent with industry practice, the Company acquires inventories from such manufacturers through blanket purchase orders against which orders are applied based on projected demand information and availability of goods. Such purchase commitments typically cover the Company’s forecasted product and manufacturing requirements for periods that range a number of months. In certain instances, these agreements allow the Company the option to cancel, reschedule, and/or adjust our requirements based on its business needs for a period of time before the order is due to be fulfilled. While the Company’s purchase orders are legally cancellable in many situations, there are some that are not cancellable in the event of a demand plan change or other circumstances, such as where the supplier has procured unique, Peloton-specific designs, and/or specific non-cancellable, non-returnable components based on our provided forecasts.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Through the date of this filing, the Company’s commitments to contract with third-party manufacturers for their inventory on-hand and component purchase commitments related to the manufacture of Peloton products were estimated to be approximately $332.0 million.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and Regulatory Proceedings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or may become, a party to legal and regulatory proceedings with respect to a variety of matters in the ordinary course of business.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For example, we received reports of a number of injuries associated with our Tread+ product, one of which led to the death of a child. As a result of those reported Tread+ incidents, in April 2021, the CPSC unilaterally issued a warning to consumers about the safety hazards associated with the Tread+. While we do not agree with all of the assertions in the CPSC’s warning, in May 2021 we initiated a voluntary recall of our Tread+ product in collaboration with the CPSC. The CPSC is currently investigating the matter, and in August 2022 the CPSC notified us that the agency staff believes we failed to meet our statutory obligations under the Consumer Product Safety Act and intends to recommend that the CPSC impose civil monetary penalties. While we disagree with the agency staff, we are engaged in ongoing confidential discussions with the CPSC. In addition, shortly after the May 2021 recalls, the U.S. Department of Justice (the “DOJ”) and the Department of Homeland Security (the “DHS”) subpoenaed us for documents and other information related to our statutory obligations under the Consumer Product Safety Act and is continuing to investigate the matter. The SEC is also investigating our public disclosures concerning the recall, as well as other matters. In addition to the regulatory investigations, we are presently subject to class action litigation and private personal injury claims related to these perceived defects in the Tread+ and incidents reported to result from its use.</w:t>
      </w:r>
    </w:p>
    <w:p>
      <w:pPr>
        <w:spacing w:after="0" w:line="23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 xml:space="preserve">Additionally on April 29, 2021, Ashley Wilson filed a putative securities class action lawsuit against the Company and certain of its officers, captioned Wilson v. Peloton Interactive, Inc., et al., Case No. 1:21-cv-02369-CBA-PK, in the United States District Court for the Eastern District of New York (the "Wilson Action"), and on May 24, 2021, Leigh Drori filed a related putative securities class action lawsuit, captioned Drori v. Peloton Interactive, Inc., et al., Case No. 1:21-cv-02925-CBA-PK, also in the United States District Court for the Eastern District of New York (the “Drori Action”). On November 16, 2021, the district judge consolidated the Wilson and Drori Actions under the caption </w:t>
      </w:r>
      <w:r>
        <w:rPr>
          <w:rFonts w:ascii="Arial" w:cs="Arial" w:eastAsia="Arial" w:hAnsi="Arial"/>
          <w:sz w:val="16"/>
          <w:szCs w:val="16"/>
          <w:i w:val="1"/>
          <w:iCs w:val="1"/>
          <w:color w:val="auto"/>
        </w:rPr>
        <w:t>In re Peloton Interactive, Inc. Securities Litigation</w:t>
      </w:r>
      <w:r>
        <w:rPr>
          <w:rFonts w:ascii="Arial" w:cs="Arial" w:eastAsia="Arial" w:hAnsi="Arial"/>
          <w:sz w:val="16"/>
          <w:szCs w:val="16"/>
          <w:color w:val="auto"/>
        </w:rPr>
        <w:t>, Master File No. 21-cv-02369-CBA-PK, and appointed Richard Neswick as lead plaintiff. On January 21, 2022, lead plaintiff filed an amended consolidated complaint in the action purportedly on behalf of a class consisting of those individuals who purchased or otherwise acquired our common stock between September 11, 2020 and May 5, 2021. Lead plaintiff alleges that the Company and certain of its officers made false or misleading statements in violation of Sections 10(b) and 20(a) of the Exchange Act of 1934 (“Exchange Act”) regarding the Company’s Tread and Tread+ products and the safety of those products. Defendants served their motion to dismiss the amended consolidated complaint on March 7, 2022, and briefing was complete on April 26, 2022. A hearing on the motion to dismiss was held on June 8, 2022. The court has not yet ruled on the motion to dismiss.</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On May 20, 2021, Alan Chu filed a verified shareholder derivative action lawsuit purportedly on behalf of the Company against certain of the Company’s executive officers and the members of the Board of Directors, captioned Chu v. Foley, et al., Case No. 1:21-cv-02862, in the United States District Court for the Eastern District of New York (the “Chu Action”). Plaintiff Chu alleges breaches of fiduciary duties, unjust enrichment, abuse of control, gross mismanagement, waste, and violations of Section 14(a) of the Exchange Act, as well as a claim for contribution under Sections 10(b) and 21D of the Exchange Act against the Company’s Chief Executive Officer and Chief Financial Officer. On August 13, 2021 and August 19, 2021, two related verified shareholder derivative complaints were filed, captioned Genack v. Foley, et al., Case No. 1:21-cv-04583 and Liu v. Foley, et al., Case No. 1:21-cv-04687, also purportedly on behalf of the Company, in the United States District Court for the Eastern District of New York. On October 13, 2021, the parties in the three putative derivative actions filed a stipulation seeking to consolidate the actions, and agreeing to a schedule for plaintiffs to file motions to be appointed lead plaintiff. On October 26, 2021, the court entered the stipulation consolidating the three actions under the caption </w:t>
      </w:r>
      <w:r>
        <w:rPr>
          <w:rFonts w:ascii="Arial" w:cs="Arial" w:eastAsia="Arial" w:hAnsi="Arial"/>
          <w:sz w:val="16"/>
          <w:szCs w:val="16"/>
          <w:i w:val="1"/>
          <w:iCs w:val="1"/>
          <w:color w:val="auto"/>
        </w:rPr>
        <w:t>In re Peloton Interactive, Inc. 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Litigation</w:t>
      </w:r>
      <w:r>
        <w:rPr>
          <w:rFonts w:ascii="Arial" w:cs="Arial" w:eastAsia="Arial" w:hAnsi="Arial"/>
          <w:sz w:val="16"/>
          <w:szCs w:val="16"/>
          <w:color w:val="auto"/>
        </w:rPr>
        <w:t>, Master File No. 21-cv-02862-CBA-PK. On November 23, 2021, Anthony Franchi filed a shareholder derivative action in the United States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Court for the Eastern District of New York against certain of the Company’s executive officers and members of the board of directors captioned </w:t>
      </w:r>
      <w:r>
        <w:rPr>
          <w:rFonts w:ascii="Arial" w:cs="Arial" w:eastAsia="Arial" w:hAnsi="Arial"/>
          <w:sz w:val="16"/>
          <w:szCs w:val="16"/>
          <w:i w:val="1"/>
          <w:iCs w:val="1"/>
          <w:color w:val="auto"/>
        </w:rPr>
        <w:t>Franchi v.</w:t>
      </w:r>
      <w:r>
        <w:rPr>
          <w:rFonts w:ascii="Arial" w:cs="Arial" w:eastAsia="Arial" w:hAnsi="Arial"/>
          <w:sz w:val="16"/>
          <w:szCs w:val="16"/>
          <w:color w:val="auto"/>
        </w:rPr>
        <w:t xml:space="preserve"> </w:t>
      </w:r>
      <w:r>
        <w:rPr>
          <w:rFonts w:ascii="Arial" w:cs="Arial" w:eastAsia="Arial" w:hAnsi="Arial"/>
          <w:sz w:val="16"/>
          <w:szCs w:val="16"/>
          <w:i w:val="1"/>
          <w:iCs w:val="1"/>
          <w:color w:val="auto"/>
        </w:rPr>
        <w:t>Blachford, et al.</w:t>
      </w:r>
      <w:r>
        <w:rPr>
          <w:rFonts w:ascii="Arial" w:cs="Arial" w:eastAsia="Arial" w:hAnsi="Arial"/>
          <w:sz w:val="16"/>
          <w:szCs w:val="16"/>
          <w:color w:val="auto"/>
        </w:rPr>
        <w:t>, Case No. CV 21-06544 (the “Franchi Action”), which alleges breaches of fiduciary duty, unjust enrichment, and violations of Sections 14(a)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20(a) of the Exchange Act. On January 24, 2022, the court entered a stipulation consolidating the Franchi Action into </w:t>
      </w:r>
      <w:r>
        <w:rPr>
          <w:rFonts w:ascii="Arial" w:cs="Arial" w:eastAsia="Arial" w:hAnsi="Arial"/>
          <w:sz w:val="16"/>
          <w:szCs w:val="16"/>
          <w:i w:val="1"/>
          <w:iCs w:val="1"/>
          <w:color w:val="auto"/>
        </w:rPr>
        <w:t>In re Peloton Interactive, Inc.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 Litigation </w:t>
      </w:r>
      <w:r>
        <w:rPr>
          <w:rFonts w:ascii="Arial" w:cs="Arial" w:eastAsia="Arial" w:hAnsi="Arial"/>
          <w:sz w:val="16"/>
          <w:szCs w:val="16"/>
          <w:color w:val="auto"/>
        </w:rPr>
        <w:t>and appointed each plaintiff a co-lead plaintiff. On February 3, 2022, the parties filed a stipulation to stay the consolidated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 which the Court entered on February 11, 2022.</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On November 18, 2021, the City of Hialeah Employees’ Retirement System filed a putative securities class action lawsuit against the Company and certain of its officers in the United States District Court for the Southern District of New York, captioned </w:t>
      </w:r>
      <w:r>
        <w:rPr>
          <w:rFonts w:ascii="Arial" w:cs="Arial" w:eastAsia="Arial" w:hAnsi="Arial"/>
          <w:sz w:val="16"/>
          <w:szCs w:val="16"/>
          <w:i w:val="1"/>
          <w:iCs w:val="1"/>
          <w:color w:val="auto"/>
        </w:rPr>
        <w:t>City of Hialeah Employees’ Retirement System v. Peloton</w:t>
      </w:r>
      <w:r>
        <w:rPr>
          <w:rFonts w:ascii="Arial" w:cs="Arial" w:eastAsia="Arial" w:hAnsi="Arial"/>
          <w:sz w:val="16"/>
          <w:szCs w:val="16"/>
          <w:color w:val="auto"/>
        </w:rPr>
        <w:t xml:space="preserve"> </w:t>
      </w:r>
      <w:r>
        <w:rPr>
          <w:rFonts w:ascii="Arial" w:cs="Arial" w:eastAsia="Arial" w:hAnsi="Arial"/>
          <w:sz w:val="16"/>
          <w:szCs w:val="16"/>
          <w:i w:val="1"/>
          <w:iCs w:val="1"/>
          <w:color w:val="auto"/>
        </w:rPr>
        <w:t>Interactive, Inc.</w:t>
      </w:r>
      <w:r>
        <w:rPr>
          <w:rFonts w:ascii="Arial" w:cs="Arial" w:eastAsia="Arial" w:hAnsi="Arial"/>
          <w:sz w:val="16"/>
          <w:szCs w:val="16"/>
          <w:color w:val="auto"/>
        </w:rPr>
        <w:t>, Case No. 21-cv-09582-ALC (the “Hialeah Action”), and on December 2, 2021, Anastasia Deulina filed a related putative securities class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action against the same defendants also in the United States District Court for the Southern District of New York captioned </w:t>
      </w:r>
      <w:r>
        <w:rPr>
          <w:rFonts w:ascii="Arial" w:cs="Arial" w:eastAsia="Arial" w:hAnsi="Arial"/>
          <w:sz w:val="16"/>
          <w:szCs w:val="16"/>
          <w:i w:val="1"/>
          <w:iCs w:val="1"/>
          <w:color w:val="auto"/>
        </w:rPr>
        <w:t>Deulina v. Peloton Interactive,</w:t>
      </w:r>
      <w:r>
        <w:rPr>
          <w:rFonts w:ascii="Arial" w:cs="Arial" w:eastAsia="Arial" w:hAnsi="Arial"/>
          <w:sz w:val="16"/>
          <w:szCs w:val="16"/>
          <w:color w:val="auto"/>
        </w:rPr>
        <w:t xml:space="preserve"> </w:t>
      </w:r>
      <w:r>
        <w:rPr>
          <w:rFonts w:ascii="Arial" w:cs="Arial" w:eastAsia="Arial" w:hAnsi="Arial"/>
          <w:sz w:val="16"/>
          <w:szCs w:val="16"/>
          <w:i w:val="1"/>
          <w:iCs w:val="1"/>
          <w:color w:val="auto"/>
        </w:rPr>
        <w:t>Inc.</w:t>
      </w:r>
      <w:r>
        <w:rPr>
          <w:rFonts w:ascii="Arial" w:cs="Arial" w:eastAsia="Arial" w:hAnsi="Arial"/>
          <w:sz w:val="16"/>
          <w:szCs w:val="16"/>
          <w:color w:val="auto"/>
        </w:rPr>
        <w:t>, Case No. 21-cv-10266-ALC (the “Deulina Action”). On May 5, 2022, the Court consolidated the Hialeah and Deulina Actions and appointed Robeco</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Growth Funds SICAV – Robeco Global Consumer Trends as lead plaintiff. Lead</w:t>
      </w:r>
    </w:p>
    <w:p>
      <w:pPr>
        <w:sectPr>
          <w:pgSz w:w="11900" w:h="16838" w:orient="portrait"/>
          <w:cols w:equalWidth="0" w:num="1">
            <w:col w:w="11240"/>
          </w:cols>
          <w:pgMar w:left="320" w:top="891" w:right="339" w:bottom="1440" w:gutter="0" w:footer="0" w:header="0"/>
        </w:sect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8" w:name="page19"/>
    <w:bookmarkEnd w:id="18"/>
    <w:p>
      <w:pPr>
        <w:jc w:val="both"/>
        <w:spacing w:after="0" w:line="257" w:lineRule="auto"/>
        <w:rPr>
          <w:sz w:val="20"/>
          <w:szCs w:val="20"/>
          <w:color w:val="auto"/>
        </w:rPr>
      </w:pPr>
      <w:r>
        <w:rPr>
          <w:rFonts w:ascii="Arial" w:cs="Arial" w:eastAsia="Arial" w:hAnsi="Arial"/>
          <w:sz w:val="16"/>
          <w:szCs w:val="16"/>
          <w:color w:val="auto"/>
        </w:rPr>
        <w:t>plaintiff filed its amended complaint on June 25, 2022, purportedly on behalf of a class of individuals who purchased or otherwise acquired the Company’s common stock between February 5, 2021 and November 4, 2021, alleging that the Company and certain of its officers made false or misleading statements about demand for the Company’s products and engaged in improper trading in violation of Sections 10(b), 20(a), and 20A of the Exchange Act. Defendants filed their motion to dismiss on August 22, 2022, and briefing will be completed by November 3, 2022.</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In April 2021, DISH Technologies L.L.C., and Sling TV L.L.C. (“DISH”) filed a complaint in the United States District Court for the Eastern District of</w:t>
      </w:r>
    </w:p>
    <w:p>
      <w:pPr>
        <w:spacing w:after="0" w:line="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Texas. DISH, and, along with DISH DBS Corporation, also filed a complaint in the United States International Trade Commission (“ITC”) under Section 337 of the Tariff Act of 1930 against the Company, along with ICON Health &amp; Fitness, Inc. (now iFIT Inc. f/k/a Icon Health &amp; Fitness, Inc.), FreeMotion Fitness, Inc., NordicTrack, Inc., lululemon athletica, inc., and Curiouser Products Inc. d/b/a MIRROR. The complaints allege infringement of various patents related to fitness devices containing internet-streaming enabled video displays. In the ITC matter, on September 9, 2022 an Initial Determination was issued recommending that the ITC enter an exclusion order and cease and desist against Peloton’s Bike, Bike+, Tread and Tread+ products (and others that operate similarly) on the basis that those products infringed all four asserted patents of DISH. Peloton has filed a Petition for Review of that determination to the ITC. The ITC currently has 60 days from the date of Initial Determination to determine whether to review the Initial Determination and until January 9, 2023 to make a final determination on a remedy. In the Eastern District of Texas complaint, DISH is seeking an order permanently enjoining the Company from infringing the asserted patents, an award of damages for the infringement of the asserted patents, and an award of damages for lost sales. The ITC investigation is ongoing and the Texas litigation remains stayed pending resolution to the ITC investigation.</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dispute the allegations in the above-referenced matters, intend to defend the matters vigorously, and believe that the claims are without merit. Some of our legal and regulatory proceedings, such as the above-referenced matters and litigation that centers around intellectual property claims, may be based on complex claims involving substantial uncertainties and unascertainable damages. Accordingly, except where otherwise indicated, it is not possible to determine the probability of loss or estimate damages for any of the above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Equity-Based Compensation</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 On July 1, 2022, the number of shares of Class A Common Stock available for issuance under the 2019 Plan was automatically increased according to its terms by 16,913,700 shares. As of September 30, 2022, 49,846,256 shares of Class A Common Stock are available for future award under the 2019 Plan.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sets forth the stock option activity under the 2015 Plan and 2019 Plan: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3"/>
                <w:szCs w:val="13"/>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Weighted-</w:t>
            </w:r>
          </w:p>
        </w:tc>
        <w:tc>
          <w:tcPr>
            <w:tcW w:w="15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Average</w:t>
            </w:r>
          </w:p>
        </w:tc>
        <w:tc>
          <w:tcPr>
            <w:tcW w:w="15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 Term</w:t>
            </w: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 Options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millions)</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61,815,926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836,831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 or expired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(2,288,786)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45.63</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September 30,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59,985,940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Vested and Exercisable— September 30, 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39,404,776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14.39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9"/>
        </w:trPr>
        <w:tc>
          <w:tcPr>
            <w:tcW w:w="5320" w:type="dxa"/>
            <w:vAlign w:val="bottom"/>
          </w:tcPr>
          <w:p>
            <w:pPr>
              <w:spacing w:after="0"/>
              <w:rPr>
                <w:sz w:val="24"/>
                <w:szCs w:val="24"/>
                <w:color w:val="auto"/>
              </w:rPr>
            </w:pPr>
          </w:p>
        </w:tc>
        <w:tc>
          <w:tcPr>
            <w:tcW w:w="1400" w:type="dxa"/>
            <w:vAlign w:val="bottom"/>
          </w:tcPr>
          <w:p>
            <w:pPr>
              <w:jc w:val="right"/>
              <w:ind w:right="9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3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7620" w:type="dxa"/>
            <w:vAlign w:val="bottom"/>
          </w:tcPr>
          <w:p>
            <w:pPr>
              <w:spacing w:after="0"/>
              <w:rPr>
                <w:sz w:val="20"/>
                <w:szCs w:val="20"/>
                <w:color w:val="auto"/>
              </w:rPr>
            </w:pPr>
            <w:r>
              <w:rPr>
                <w:rFonts w:ascii="Arial" w:cs="Arial" w:eastAsia="Arial" w:hAnsi="Arial"/>
                <w:sz w:val="16"/>
                <w:szCs w:val="16"/>
                <w:color w:val="auto"/>
              </w:rPr>
              <w:t>Unvested option activity is as follows:</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620" w:type="dxa"/>
            <w:vAlign w:val="bottom"/>
          </w:tcPr>
          <w:p>
            <w:pPr>
              <w:spacing w:after="0"/>
              <w:rPr>
                <w:sz w:val="15"/>
                <w:szCs w:val="15"/>
                <w:color w:val="auto"/>
              </w:rPr>
            </w:pPr>
          </w:p>
        </w:tc>
        <w:tc>
          <w:tcPr>
            <w:tcW w:w="176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ind w:right="99"/>
              <w:spacing w:after="0" w:line="181"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 June 30, 2022</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25,347,235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836,831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(3,877,388)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 or expired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(1,725,514)</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3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September 30,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20,581,164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aggregate intrinsic value of options outstanding and vested and exercisable was calculated as the difference between the exercise price of the options and the fair value of the Company’s common stock as of September 30, 2022. The fair value of the common stock is the closing stock price of the Company's Class A Common Stock as reported on The Nasdaq Global Select Market. The aggregate intrinsic value of exercised options was $3.1 million and $176.4 million for the three months ended September 30, 2022 and 2021, respectively.</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July 1, 2022, the Compensation Committee approved a one-time repricing of stock option awards that had been granted to date under the 2019 Plan. The repricing impacted stock options held by all employees who remained employed through July 25, 2022. The repricing did not apply to our U.S.-based hourly employees (or employees with equivalent roles in non-U.S. locations) or our C-level executives. The original exercise prices of the repriced stock options ranged from $12.94 to $146.79 per share for the 2,138 total grantees. Each stock option was repriced to have a per share exercise price of $9.13, which was the closing price of the Company’s Class A Common Stock on July 1, 2022. There were no changes to the number of shares, the vesting schedule or the expiration date of the repriced stock options. Incremental stock-based compensation expense resulting from the repricing was $21.9 million in the aggregate. Approximately $4.7 million was recognized immediately during the three months ended September 30, 2022, for vested options, with the remainder to be recognized over the remaining weighted-average vesting term of approximately 2.9 years.</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three months ended September 30, 2022 and 2021, the weighted-average grant date fair value per option was $6.74 and $45.45, respectively. The fair value of each option was estimated at the grant date using the Black-Scholes method with the following assumptions: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60" w:type="dxa"/>
            <w:vAlign w:val="bottom"/>
            <w:tcBorders>
              <w:bottom w:val="single" w:sz="8" w:color="CCEEFF"/>
            </w:tcBorders>
          </w:tcPr>
          <w:p>
            <w:pPr>
              <w:spacing w:after="0"/>
              <w:rPr>
                <w:sz w:val="18"/>
                <w:szCs w:val="18"/>
                <w:color w:val="auto"/>
              </w:rPr>
            </w:pPr>
          </w:p>
        </w:tc>
        <w:tc>
          <w:tcPr>
            <w:tcW w:w="3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Three Months Ended September 30, 2022</w:t>
            </w:r>
          </w:p>
        </w:tc>
      </w:tr>
      <w:tr>
        <w:trPr>
          <w:trHeight w:val="212"/>
        </w:trPr>
        <w:tc>
          <w:tcPr>
            <w:tcW w:w="75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Weighted average risk-free interest rate </w:t>
            </w:r>
            <w:r>
              <w:rPr>
                <w:rFonts w:ascii="Arial" w:cs="Arial" w:eastAsia="Arial" w:hAnsi="Arial"/>
                <w:sz w:val="21"/>
                <w:szCs w:val="21"/>
                <w:color w:val="auto"/>
                <w:vertAlign w:val="superscript"/>
              </w:rPr>
              <w:t>(1)</w:t>
            </w:r>
          </w:p>
        </w:tc>
        <w:tc>
          <w:tcPr>
            <w:tcW w:w="3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36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9"/>
        </w:trPr>
        <w:tc>
          <w:tcPr>
            <w:tcW w:w="75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Weighted average expected volatility </w:t>
            </w:r>
            <w:r>
              <w:rPr>
                <w:rFonts w:ascii="Arial" w:cs="Arial" w:eastAsia="Arial" w:hAnsi="Arial"/>
                <w:sz w:val="21"/>
                <w:szCs w:val="21"/>
                <w:color w:val="auto"/>
                <w:vertAlign w:val="superscript"/>
              </w:rPr>
              <w:t>(2)</w:t>
            </w:r>
          </w:p>
        </w:tc>
        <w:tc>
          <w:tcPr>
            <w:tcW w:w="3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79.9 %</w:t>
            </w: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680" w:type="dxa"/>
            <w:vAlign w:val="bottom"/>
          </w:tcPr>
          <w:p>
            <w:pPr>
              <w:jc w:val="right"/>
              <w:ind w:right="119"/>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65"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Based on U.S. Treasury yield curve in effect at the time of grant.</w:t>
      </w:r>
    </w:p>
    <w:p>
      <w:pPr>
        <w:spacing w:after="0" w:line="53" w:lineRule="exact"/>
        <w:rPr>
          <w:rFonts w:ascii="Arial" w:cs="Arial" w:eastAsia="Arial" w:hAnsi="Arial"/>
          <w:sz w:val="13"/>
          <w:szCs w:val="13"/>
          <w:color w:val="auto"/>
        </w:rPr>
      </w:pPr>
    </w:p>
    <w:p>
      <w:pPr>
        <w:ind w:right="200" w:firstLine="8"/>
        <w:spacing w:after="0" w:line="242" w:lineRule="auto"/>
        <w:tabs>
          <w:tab w:leader="none" w:pos="189" w:val="left"/>
        </w:tabs>
        <w:numPr>
          <w:ilvl w:val="0"/>
          <w:numId w:val="7"/>
        </w:numPr>
        <w:rPr>
          <w:rFonts w:ascii="Arial" w:cs="Arial" w:eastAsia="Arial" w:hAnsi="Arial"/>
          <w:sz w:val="13"/>
          <w:szCs w:val="13"/>
          <w:color w:val="auto"/>
        </w:rPr>
      </w:pPr>
      <w:r>
        <w:rPr>
          <w:rFonts w:ascii="Arial" w:cs="Arial" w:eastAsia="Arial" w:hAnsi="Arial"/>
          <w:sz w:val="13"/>
          <w:szCs w:val="13"/>
          <w:color w:val="auto"/>
        </w:rPr>
        <w:t>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and Restricted Stock Units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restricted stock and restricted stock units: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2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9"/>
        </w:trPr>
        <w:tc>
          <w:tcPr>
            <w:tcW w:w="7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1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2022</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8,977,705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w:t>
            </w: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13,126,319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(891,569)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50.26</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(1,486,768)</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35.63</w:t>
            </w:r>
          </w:p>
        </w:tc>
        <w:tc>
          <w:tcPr>
            <w:tcW w:w="0" w:type="dxa"/>
            <w:vAlign w:val="bottom"/>
          </w:tcPr>
          <w:p>
            <w:pPr>
              <w:spacing w:after="0"/>
              <w:rPr>
                <w:sz w:val="1"/>
                <w:szCs w:val="1"/>
                <w:color w:val="auto"/>
              </w:rPr>
            </w:pPr>
          </w:p>
        </w:tc>
      </w:tr>
      <w:tr>
        <w:trPr>
          <w:trHeight w:val="23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September 30,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19,725,687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August 2019, the Board of Directors adopted, and in September 2019, the Company's stockholders approved, the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0" w:name="page21"/>
    <w:bookmarkEnd w:id="20"/>
    <w:p>
      <w:pPr>
        <w:jc w:val="both"/>
        <w:spacing w:after="0" w:line="262" w:lineRule="auto"/>
        <w:rPr>
          <w:sz w:val="20"/>
          <w:szCs w:val="20"/>
          <w:color w:val="auto"/>
        </w:rPr>
      </w:pPr>
      <w:r>
        <w:rPr>
          <w:rFonts w:ascii="Arial" w:cs="Arial" w:eastAsia="Arial" w:hAnsi="Arial"/>
          <w:sz w:val="16"/>
          <w:szCs w:val="16"/>
          <w:color w:val="auto"/>
        </w:rPr>
        <w:t>number as may be determined by the Board of Directors or applicable committee in its sole discretion. On July 1, 2022, the number of shares of Class A Common Stock available for issuance under the ESPP was automatically increased according to its terms by 3,382,740 shares. As of September 30, 2022, a total of 13,145,078 shares of Class A Common Stock was available for sale to employees under the ESPP.</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Unless otherwise determined by the Board of Directors, each offering period will consist of four six-month purchase periods, provided that the initial offering period commenced on the Effective Date and ended on August 31, 2021, and the initial purchase period ended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will automatically be enrolled in the subsequent offering period (“ESPP reset”), resulting in a modification under ASC 718.</w:t>
      </w:r>
    </w:p>
    <w:p>
      <w:pPr>
        <w:spacing w:after="0" w:line="24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 During the three months ended September 30, 2022, there were ESPP resets that resulted in total modification charges of $2.7 million, which are recognized over the new two-year offering period ending August 30, 2024.</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ESPP offering periods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Borders>
              <w:bottom w:val="single" w:sz="8" w:color="CCEEFF"/>
            </w:tcBorders>
          </w:tcPr>
          <w:p>
            <w:pPr>
              <w:spacing w:after="0"/>
              <w:rPr>
                <w:sz w:val="18"/>
                <w:szCs w:val="18"/>
                <w:color w:val="auto"/>
              </w:rPr>
            </w:pPr>
          </w:p>
        </w:tc>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Three Months Ended September 30, 2022</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risk-free interest rate</w:t>
            </w: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0.6%</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3600" w:type="dxa"/>
            <w:vAlign w:val="bottom"/>
          </w:tcPr>
          <w:p>
            <w:pPr>
              <w:jc w:val="center"/>
              <w:spacing w:after="0"/>
              <w:rPr>
                <w:sz w:val="20"/>
                <w:szCs w:val="20"/>
                <w:color w:val="auto"/>
              </w:rPr>
            </w:pPr>
            <w:r>
              <w:rPr>
                <w:rFonts w:ascii="Arial" w:cs="Arial" w:eastAsia="Arial" w:hAnsi="Arial"/>
                <w:sz w:val="16"/>
                <w:szCs w:val="16"/>
                <w:color w:val="auto"/>
                <w:w w:val="98"/>
              </w:rPr>
              <w:t>1.3</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expected volatility</w:t>
            </w: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85.7%</w:t>
            </w: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34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expected term assumptions were based on each offering period's respective purchase date. The expected volatility was derived from the blended average of historical stock volatilities of several unrelated public companies that the Company considers to be comparable to its business over a period equivalent to the expected terms of the stock options and the historical volatility of the Company's stock price. Beginning in the fiscal quarter ended March 31, 2022, the expected volatility is based on the historical volatility of the Company’s stock price.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three months ended September 30, 2022 and 2021, the Company recorded Stock-based compensation expense associated with the ESPP of $7.6 million and $3.6 million, respectively.</w:t>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offering period that ended on August 31, 2022, employees purchased 386,121 shares of Class A common stock at a weighted-average price of $8.66 under the ESPP. As of September 30, 2022, total unrecognized compensation cost related to the ESPP was $20.3 million, which will be amortized over a weighted-average remaining period of 1.9 years.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7360" w:type="dxa"/>
            <w:vAlign w:val="bottom"/>
          </w:tcPr>
          <w:p>
            <w:pPr>
              <w:spacing w:after="0"/>
              <w:rPr>
                <w:sz w:val="18"/>
                <w:szCs w:val="18"/>
                <w:color w:val="auto"/>
              </w:rPr>
            </w:pPr>
          </w:p>
        </w:tc>
        <w:tc>
          <w:tcPr>
            <w:tcW w:w="352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360" w:type="dxa"/>
            <w:vAlign w:val="bottom"/>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r>
      <w:tr>
        <w:trPr>
          <w:trHeight w:val="197"/>
        </w:trPr>
        <w:tc>
          <w:tcPr>
            <w:tcW w:w="7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17"/>
                <w:szCs w:val="17"/>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736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7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0"/>
        </w:trPr>
        <w:tc>
          <w:tcPr>
            <w:tcW w:w="736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expense</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7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stock-based compensation expense</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As of September 30, 2022, the Company had $744.1 million of unrecognized stock-based compensation expense related to unvested stock-based awards that is expected to be recognized over a weighted-average period of 2.8 years.</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21" w:name="page22"/>
    <w:bookmarkEnd w:id="21"/>
    <w:p>
      <w:pPr>
        <w:jc w:val="both"/>
        <w:spacing w:after="0" w:line="254" w:lineRule="auto"/>
        <w:rPr>
          <w:sz w:val="20"/>
          <w:szCs w:val="20"/>
          <w:color w:val="auto"/>
        </w:rPr>
      </w:pPr>
      <w:r>
        <w:rPr>
          <w:rFonts w:ascii="Arial" w:cs="Arial" w:eastAsia="Arial" w:hAnsi="Arial"/>
          <w:sz w:val="16"/>
          <w:szCs w:val="16"/>
          <w:color w:val="auto"/>
        </w:rPr>
        <w:t>In the three months ended September 30, 2022, six employees of the Company who were eligible to participate in the Company’s Severance and Change in Control Plan (the “Severance Plan”) terminated employment. Certain modifications were made to equity awards, including, in certain instances, the post-termination period during which an employee may exercise outstanding stock options was extended from 90 days to one year (or the option expiration date, if earlier), and extended vesting was tied to certain consulting services that were deemed to be non-substantive. In one instance, the post-termination period during which an employee may exercise outstanding stock options was extended from 90 days to approximately 2.8 years. As a result of these modifications, the Company recognized incremental Stock-based compensation expense of $43.4 million within Restructuring expense in the Condensed Consolidated Statements of Operations and Comprehensive Loss.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recorded a provision from income taxes of $0.8 million and $2.4 million for the three months ended September 30, 2022 and 2021, respectively. Furthermore, the Company's effective tax rates were (0.20)% and (0.63)% for the three months ended September 30, 2022 and 2021, respectively. The income tax provision and the effective tax rate are primarily driven by state and international taxes.</w:t>
      </w:r>
    </w:p>
    <w:p>
      <w:pPr>
        <w:spacing w:after="0" w:line="221"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The Company maintains a valuation allowance on the majority of its deferred tax assets as it has concluded that it is more likely than not that the deferred assets will not be utilized.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b w:val="1"/>
                <w:bCs w:val="1"/>
                <w:color w:val="auto"/>
              </w:rPr>
              <w:t>11. Net Loss Per Share</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05"/>
        </w:trPr>
        <w:tc>
          <w:tcPr>
            <w:tcW w:w="7600" w:type="dxa"/>
            <w:vAlign w:val="bottom"/>
          </w:tcPr>
          <w:p>
            <w:pPr>
              <w:spacing w:after="0"/>
              <w:rPr>
                <w:sz w:val="20"/>
                <w:szCs w:val="20"/>
                <w:color w:val="auto"/>
              </w:rPr>
            </w:pPr>
            <w:r>
              <w:rPr>
                <w:rFonts w:ascii="Arial" w:cs="Arial" w:eastAsia="Arial" w:hAnsi="Arial"/>
                <w:sz w:val="16"/>
                <w:szCs w:val="16"/>
                <w:color w:val="auto"/>
              </w:rPr>
              <w:t>The computation of loss per share is as follows:</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62"/>
        </w:trPr>
        <w:tc>
          <w:tcPr>
            <w:tcW w:w="7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09"/>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 in millions except per share amounts)</w:t>
            </w:r>
          </w:p>
        </w:tc>
      </w:tr>
      <w:tr>
        <w:trPr>
          <w:trHeight w:val="214"/>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loss per share:</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r>
      <w:tr>
        <w:trPr>
          <w:trHeight w:val="212"/>
        </w:trPr>
        <w:tc>
          <w:tcPr>
            <w:tcW w:w="7600" w:type="dxa"/>
            <w:vAlign w:val="bottom"/>
          </w:tcPr>
          <w:p>
            <w:pPr>
              <w:ind w:left="240"/>
              <w:spacing w:after="0"/>
              <w:rPr>
                <w:sz w:val="20"/>
                <w:szCs w:val="20"/>
                <w:color w:val="auto"/>
              </w:rPr>
            </w:pPr>
            <w:r>
              <w:rPr>
                <w:rFonts w:ascii="Arial" w:cs="Arial" w:eastAsia="Arial" w:hAnsi="Arial"/>
                <w:sz w:val="16"/>
                <w:szCs w:val="16"/>
                <w:color w:val="auto"/>
              </w:rPr>
              <w:t>Net loss attributable to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(376.0)</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Shares used in computation:</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13"/>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339,011,157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301,161,474</w:t>
            </w:r>
          </w:p>
        </w:tc>
      </w:tr>
      <w:tr>
        <w:trPr>
          <w:trHeight w:val="238"/>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 and diluted loss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loss per share are the same for each class of common stock because they are entitled to the same liquidation and dividend rights.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Pr>
          <w:p>
            <w:pPr>
              <w:spacing w:after="0"/>
              <w:rPr>
                <w:sz w:val="18"/>
                <w:szCs w:val="18"/>
                <w:color w:val="auto"/>
              </w:rPr>
            </w:pPr>
          </w:p>
        </w:tc>
        <w:tc>
          <w:tcPr>
            <w:tcW w:w="36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options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15,944,915</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50,865,988</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1760" w:type="dxa"/>
            <w:vAlign w:val="bottom"/>
          </w:tcPr>
          <w:p>
            <w:pPr>
              <w:jc w:val="right"/>
              <w:spacing w:after="0"/>
              <w:rPr>
                <w:sz w:val="20"/>
                <w:szCs w:val="20"/>
                <w:color w:val="auto"/>
              </w:rPr>
            </w:pPr>
            <w:r>
              <w:rPr>
                <w:rFonts w:ascii="Arial" w:cs="Arial" w:eastAsia="Arial" w:hAnsi="Arial"/>
                <w:sz w:val="16"/>
                <w:szCs w:val="16"/>
                <w:color w:val="auto"/>
              </w:rPr>
              <w:t>133,396</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400,860</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estimated to be purchased under ESPP</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113,479</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the Notes</w:t>
      </w:r>
    </w:p>
    <w:p>
      <w:pPr>
        <w:spacing w:after="0" w:line="79"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Company expects to settle the principal amount of the Notes in cash upon conversion, and therefore, the Company uses the if-converted method for calculating any potential dilutive effect of the conversion option on diluted net income per share, if applicable. The conversion option will have a dilutive impact on net income per share of Common Stock when the average market price per share of the Company's Class A Common Stock for a given period exceeds the conversion price of the Notes of $239.23 per share. During the three months ended September 30, 2022, the weighted average price per share of the Company's Class A Common Stock was below the conversion price of the Notes.</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denominator for basic and diluted loss per share does not include any effect from the Capped Call Transactions the Company entered into concurrently with the issuance of the Notes as this effect would be anti-dilutive. In the event of conversion of the Notes, if shares are delivered to the Company under the Capped Call Transactions, they will offset the dilutive effect of the shares that the Company would issue under the Notes.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Segment Information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2" w:name="page23"/>
    <w:bookmarkEnd w:id="22"/>
    <w:p>
      <w:pPr>
        <w:jc w:val="both"/>
        <w:ind w:right="20"/>
        <w:spacing w:after="0" w:line="260" w:lineRule="auto"/>
        <w:rPr>
          <w:sz w:val="20"/>
          <w:szCs w:val="20"/>
          <w:color w:val="auto"/>
        </w:rPr>
      </w:pPr>
      <w:r>
        <w:rPr>
          <w:rFonts w:ascii="Arial" w:cs="Arial" w:eastAsia="Arial" w:hAnsi="Arial"/>
          <w:sz w:val="16"/>
          <w:szCs w:val="16"/>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Connected Fitness Products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09"/>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204.2</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501.0</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440.7</w:t>
            </w:r>
          </w:p>
        </w:tc>
      </w:tr>
      <w:tr>
        <w:trPr>
          <w:trHeight w:val="212"/>
        </w:trPr>
        <w:tc>
          <w:tcPr>
            <w:tcW w:w="76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Subscription:</w:t>
            </w:r>
          </w:p>
        </w:tc>
        <w:tc>
          <w:tcPr>
            <w:tcW w:w="1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412.3</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304.1</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r>
      <w:tr>
        <w:trPr>
          <w:trHeight w:val="212"/>
        </w:trPr>
        <w:tc>
          <w:tcPr>
            <w:tcW w:w="76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Consolidated:</w:t>
            </w:r>
          </w:p>
        </w:tc>
        <w:tc>
          <w:tcPr>
            <w:tcW w:w="1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616.5</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805.2</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542.2</w:t>
            </w:r>
          </w:p>
        </w:tc>
      </w:tr>
      <w:tr>
        <w:trPr>
          <w:trHeight w:val="213"/>
        </w:trPr>
        <w:tc>
          <w:tcPr>
            <w:tcW w:w="76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w:t>
            </w:r>
          </w:p>
        </w:tc>
      </w:tr>
      <w:tr>
        <w:trPr>
          <w:trHeight w:val="20"/>
        </w:trPr>
        <w:tc>
          <w:tcPr>
            <w:tcW w:w="7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79"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Loss before provision for income tax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09"/>
        </w:trPr>
        <w:tc>
          <w:tcPr>
            <w:tcW w:w="7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Gross Profit</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(284.1)</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(97.7)</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2022, filed with the SEC on September 7, 2022 (“Form 10-K”). As discussed in the section titled "Special Note Regarding Forward 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Part I, Item 1A of our Form 10-K.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25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Peloton is the largest interactive fitness platform in the world with a loyal community of 6.7 million Members as of September 30, 2022.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All-Access Membership, or a paid Peloton App subscription.</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Our Connected Fitness Product portfolio includes the Peloton Bike, Bike+, Tread, Tread+, and our first connected strength product, Peloton Guide. Our revenue is generated primarily from recurring Subscription revenue and the sale of our Connected Fitness Products. We have historically experienced significant growth in sales of our Connected Fitness Products, which, when combined with our low Average Net Monthly Connected Fitness Churn has led to significant growth in Connected Fitness Subscriptions.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Our financial profile has been characterized by strong retention, recurring revenue, and efficient customer acquisition. Our low Average Net Monthly Connected Fitness Churn, together with our high Subscription Contribution Margin, yields an attractive lifetime value (LTV) for our Connected Fitness Subscriptions well in excess of our customer acquisition cost (CAC). Maintaining an attractive LTV/CAC ratio is a primary goal of our customer acquisition strategy.</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First Quarter Fiscal 2023 Update and Recent Developments</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050505"/>
        </w:rPr>
        <w:t xml:space="preserve">As we have previously disclosed, forecasting for our business during and following the COVID-19 pandemic, particularly in its more recent stages, has proven to be very challenging. While we have been able to grow more than we anticipated just two years ago, fluctuations in demand and supply that we have been navigating during this time period led us to grow our operations beyond what we believe is currently best suited to our business. Although our belief in the positive long-term outlook for Connected Fitness remains unchanged, the long-term cost demands of our business require us to recalibrate our near-term expectations. Additionally, while demand for our Connected Fitness Products has continued to strongly outpace pre-pandemic levels, we have had significant difficulty in forecasting near-term consumer demand and, as a result, our expected near-term operating performance. </w:t>
      </w:r>
      <w:r>
        <w:rPr>
          <w:rFonts w:ascii="Arial" w:cs="Arial" w:eastAsia="Arial" w:hAnsi="Arial"/>
          <w:sz w:val="16"/>
          <w:szCs w:val="16"/>
          <w:color w:val="000000"/>
        </w:rPr>
        <w:t>See</w:t>
      </w:r>
      <w:r>
        <w:rPr>
          <w:rFonts w:ascii="Arial" w:cs="Arial" w:eastAsia="Arial" w:hAnsi="Arial"/>
          <w:sz w:val="16"/>
          <w:szCs w:val="16"/>
          <w:color w:val="050505"/>
        </w:rPr>
        <w:t xml:space="preserve"> </w:t>
      </w:r>
      <w:r>
        <w:rPr>
          <w:rFonts w:ascii="Arial" w:cs="Arial" w:eastAsia="Arial" w:hAnsi="Arial"/>
          <w:sz w:val="16"/>
          <w:szCs w:val="16"/>
          <w:i w:val="1"/>
          <w:iCs w:val="1"/>
          <w:color w:val="000000"/>
        </w:rPr>
        <w:t>“Risk Factors—Risks</w:t>
      </w:r>
      <w:r>
        <w:rPr>
          <w:rFonts w:ascii="Arial" w:cs="Arial" w:eastAsia="Arial" w:hAnsi="Arial"/>
          <w:sz w:val="16"/>
          <w:szCs w:val="16"/>
          <w:color w:val="050505"/>
        </w:rPr>
        <w:t xml:space="preserve"> </w:t>
      </w:r>
      <w:r>
        <w:rPr>
          <w:rFonts w:ascii="Arial" w:cs="Arial" w:eastAsia="Arial" w:hAnsi="Arial"/>
          <w:sz w:val="16"/>
          <w:szCs w:val="16"/>
          <w:i w:val="1"/>
          <w:iCs w:val="1"/>
          <w:color w:val="000000"/>
        </w:rPr>
        <w:t>Related to Our Business—Our operating results have been, and could in the future be, adversely affected if we are unable to accurately forecast consumer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demand for our products and services and adequately manage our inventory</w:t>
      </w:r>
      <w:r>
        <w:rPr>
          <w:rFonts w:ascii="Arial" w:cs="Arial" w:eastAsia="Arial" w:hAnsi="Arial"/>
          <w:sz w:val="16"/>
          <w:szCs w:val="16"/>
          <w:color w:val="auto"/>
        </w:rPr>
        <w:t>”</w:t>
      </w:r>
      <w:r>
        <w:rPr>
          <w:rFonts w:ascii="Arial" w:cs="Arial" w:eastAsia="Arial" w:hAnsi="Arial"/>
          <w:sz w:val="16"/>
          <w:szCs w:val="16"/>
          <w:i w:val="1"/>
          <w:iCs w:val="1"/>
          <w:color w:val="auto"/>
        </w:rPr>
        <w:t xml:space="preserve"> in our Form 10-K.</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Restructuring Plan</w:t>
      </w:r>
    </w:p>
    <w:p>
      <w:pPr>
        <w:spacing w:after="0" w:line="5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February 2022, we announced and began implementing a restructuring plan to realign our operational focus to support our multi-year growth, scale the business, and improve costs (the “Restructuring Plan”). The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2024.</w:t>
      </w:r>
    </w:p>
    <w:p>
      <w:pPr>
        <w:spacing w:after="0" w:line="22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July 2022, August 2022 and October 2022, we took actions to update the Restructuring Plan. On July 12, 2022, we announced we are exiting all owned-manufacturing operations and our expansion of our current relationship with Taiwanese manufacturer Rexon Industrial Corp. Additionally, on August 12, 2022, we announced our decision to perform the following additional restructuring activities: (i) fully transition our North American Field Operations to third-party providers, including the significant reduction of our delivery workforce teams; (ii) eliminate a significant number of roles on the North America Member Support team and exit our real-estate footprints in our Plano and Tempe locations; and (iii) reduce our North America retail showroom presence. On October 6, 2022, we announced approximately 500 global team member positions have been eliminated..</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Total charges related to the Restructuring Plan were $169.8 million for the three months ended September 30, 2022, consisting of cash charges of $27.0 million for severance and other personnel and $3.1 million for professional fees and other related charges, and non-cash charges of $62.9 million related to non-inventory asset write-downs and write-offs, and $76.8 million for stock-based compensation expense.</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the Restructuring Plan, the Company estimates that it will incur additional cash charges of approximately $70 million, primarily composed of severance and other exit costs in fiscal year 2023 and beyond. Additionally, the Company expects to recognize additional non-cash charges of approximately $70 million, primarily composed of asset impairment and stock-based compensation charges in fiscal year 2023 in connection with the Restructuring Plan.</w:t>
      </w:r>
    </w:p>
    <w:p>
      <w:pPr>
        <w:spacing w:after="0" w:line="200" w:lineRule="exact"/>
        <w:rPr>
          <w:sz w:val="20"/>
          <w:szCs w:val="20"/>
          <w:color w:val="auto"/>
        </w:rPr>
      </w:pPr>
    </w:p>
    <w:p>
      <w:pPr>
        <w:spacing w:after="0" w:line="21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We may not be able to fully realize the cost savings and benefits initially anticipated from the Restructuring Plan, and the expected costs may be greater than expected. See </w:t>
      </w:r>
      <w:r>
        <w:rPr>
          <w:rFonts w:ascii="Arial" w:cs="Arial" w:eastAsia="Arial" w:hAnsi="Arial"/>
          <w:sz w:val="16"/>
          <w:szCs w:val="16"/>
          <w:i w:val="1"/>
          <w:iCs w:val="1"/>
          <w:color w:val="auto"/>
        </w:rPr>
        <w:t>“Risk Factors—Risks Related to Our Business—We may not successfully execute or achieve the expected benefits of our</w:t>
      </w:r>
    </w:p>
    <w:p>
      <w:pPr>
        <w:sectPr>
          <w:pgSz w:w="11900" w:h="16838" w:orient="portrait"/>
          <w:cols w:equalWidth="0" w:num="1">
            <w:col w:w="11240"/>
          </w:cols>
          <w:pgMar w:left="320" w:top="607" w:right="339" w:bottom="1440"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4" w:name="page25"/>
    <w:bookmarkEnd w:id="24"/>
    <w:p>
      <w:pPr>
        <w:jc w:val="both"/>
        <w:spacing w:after="0" w:line="281" w:lineRule="auto"/>
        <w:rPr>
          <w:sz w:val="20"/>
          <w:szCs w:val="20"/>
          <w:color w:val="auto"/>
        </w:rPr>
      </w:pPr>
      <w:r>
        <w:rPr>
          <w:rFonts w:ascii="Arial" w:cs="Arial" w:eastAsia="Arial" w:hAnsi="Arial"/>
          <w:sz w:val="16"/>
          <w:szCs w:val="16"/>
          <w:i w:val="1"/>
          <w:iCs w:val="1"/>
          <w:color w:val="auto"/>
        </w:rPr>
        <w:t>restructuring 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w:t>
      </w:r>
      <w:r>
        <w:rPr>
          <w:rFonts w:ascii="Arial" w:cs="Arial" w:eastAsia="Arial" w:hAnsi="Arial"/>
          <w:sz w:val="16"/>
          <w:szCs w:val="16"/>
          <w:i w:val="1"/>
          <w:iCs w:val="1"/>
          <w:color w:val="auto"/>
        </w:rPr>
        <w:t xml:space="preserve"> in our Form 10-K.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Product and Content Highlights</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050505"/>
        </w:rPr>
        <w:t>On September 20, 2022, we announced the launch of Peloton Row. Row combines the innovative software, premium hardware design, and exclusive content that make up the signature Peloton experience, providing Members with a unique low-impact, full-body cardio and strength workout. Currently available through our online store and in 71 U.S. Peloton showrooms, we look forward to expanding Row's availability to additional U.S. Peloton showrooms in the near future and internationally over time. Veteran Peloton instructors Matt Wilpers and Adrian Williams are joined by former U.S. Olympic Team rower Alex Karwoski, former Ohio State University rower and coach Ash Pryor, and Katie Wang, who will lead Row Bootcamp offerings.</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050505"/>
        </w:rPr>
        <w:t>In the first quarter of fiscal year 2023, we were able to deliver on our promise of an always-improving experience for Peloton Members. Peloton Tread Members now have the option for an even smoother workout with Auto-Incline, and can dial in the perfect workout with mile splits and the ability to set Goals in a Just Run workout. We also launched Tread Talkback to empower blind and low vision Members to use the Tread independently.</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050505"/>
        </w:rPr>
        <w:t>We also introduced the much-requested Rep Counting to Guide Members, enabling them to see target reps for a given move in class, record the weight they are using, and automatically track their total weight lifted over time for the ultimate in effortless strength training. We also invested in the cross-platform member experience, including personalizing the home-screen and post-class recommendations and improving Lanebreak with additional filtering options and entry-points.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050505"/>
        </w:rPr>
        <w:t>On October 3, 2022, we announced our industry-first partnership with Hilton, which will become the first hospitality brand to feature Peloton bikes across its entire hotel portfolio. The partnership also includes offering Hilton Honors members free access to special Peloton offers, including a 90-dial trial subscription to the Peloton App, as well as preferred pricing on select Peloton connected fitness products.</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050505"/>
        </w:rPr>
        <w:t>On October 13, 2022, Amazon announced that Peloton was one of the best sellers among the Top 100 Deals for Amazon's Prime Early Access sale. Expanding our third-party retail strategy, Peloton products will soon be available through over 100 DICK's Sporting Goods retail locations and through DICKS.com.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Product Recall Update</w:t>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 xml:space="preserve">On May 5, 2021, we announced separate, voluntary recalls of each of our Tread+ and Tread products in collaboration with the CPSC and halted sales of these products to work on product enhancements. Members were notified that they could return their Tread or Tread+ for a full refund, or wait until a solution is available. Tread+ owners were also given the option to have Peloton move their Tread+ to a different location within their home. We announced a repair for the Tread in August 2021, shortly before resuming sales. We continue to work on potential hardware enhancements for Tread+, which remains recalled. </w:t>
      </w:r>
      <w:r>
        <w:rPr>
          <w:rFonts w:ascii="Arial" w:cs="Arial" w:eastAsia="Arial" w:hAnsi="Arial"/>
          <w:sz w:val="16"/>
          <w:szCs w:val="16"/>
          <w:color w:val="000000"/>
        </w:rPr>
        <w:t xml:space="preserve">More recently, in August 2022, we were notified by the CPSC that the agency staff believes we failed to meet our statutory obligations under the Consumer Product Safety Act and intends to seek civil monetary penalties. While we disagree with the agency staff, we are engaged in ongoing confidential discussions with the CPSC. </w:t>
      </w:r>
      <w:r>
        <w:rPr>
          <w:rFonts w:ascii="Arial" w:cs="Arial" w:eastAsia="Arial" w:hAnsi="Arial"/>
          <w:sz w:val="16"/>
          <w:szCs w:val="16"/>
          <w:color w:val="050505"/>
        </w:rPr>
        <w:t>On October 18, 2022, we announced a one- year extension of the full refund period for our Tread+ if consumers wish to return</w:t>
      </w:r>
      <w:r>
        <w:rPr>
          <w:rFonts w:ascii="Arial" w:cs="Arial" w:eastAsia="Arial" w:hAnsi="Arial"/>
          <w:sz w:val="16"/>
          <w:szCs w:val="16"/>
          <w:color w:val="000000"/>
        </w:rPr>
        <w:t xml:space="preserve"> </w:t>
      </w:r>
      <w:r>
        <w:rPr>
          <w:rFonts w:ascii="Arial" w:cs="Arial" w:eastAsia="Arial" w:hAnsi="Arial"/>
          <w:sz w:val="16"/>
          <w:szCs w:val="16"/>
          <w:color w:val="050505"/>
        </w:rPr>
        <w:t xml:space="preserve">their Tread+ pursuant to the recall. With the extension of the full refund period by one additional year, to November 6, 2023, the Company expects that more Members will opt for a full refund, and has accordingly increased the Company’s return reserve. For the recall-to-date period, the Company recognized a reduction to Connected Fitness Products revenue for actual and estimated future returns of $166.9 million, and a return reserve of $57.9 million and $31.1 million is included within Accounts payable and accrued expenses in the accompanying Condensed Consolidated Balance Sheets related to the impacts of the recall as of </w:t>
      </w:r>
      <w:r>
        <w:rPr>
          <w:rFonts w:ascii="Arial" w:cs="Arial" w:eastAsia="Arial" w:hAnsi="Arial"/>
          <w:sz w:val="16"/>
          <w:szCs w:val="16"/>
          <w:color w:val="000000"/>
        </w:rPr>
        <w:t>September 30, 2022 and September 30, 2021, respectively</w:t>
      </w:r>
      <w:r>
        <w:rPr>
          <w:rFonts w:ascii="Arial" w:cs="Arial" w:eastAsia="Arial" w:hAnsi="Arial"/>
          <w:sz w:val="16"/>
          <w:szCs w:val="16"/>
          <w:color w:val="050505"/>
        </w:rPr>
        <w:t>. We may continue to incur additional costs that could include costs for which we have not accrued or established adequate reserves, including increases to the return reserves, inventory write-downs, logistics costs associated with Member requests to return or move their hardware, subscription waiver variable costs of service, anticipated recall-related hardware development and repair costs, and related legal and advisory fees. Recall charges are based upon estimates associated with our expected and historical consumer response rates.</w:t>
      </w:r>
    </w:p>
    <w:p>
      <w:pPr>
        <w:spacing w:after="0" w:line="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 xml:space="preserve">Our plan for the Tread+ recall is still being finalized and actual costs related to this matter may vary from the estimate, and may result in further impacts to our future results of operations and business. </w:t>
      </w:r>
      <w:r>
        <w:rPr>
          <w:rFonts w:ascii="Arial" w:cs="Arial" w:eastAsia="Arial" w:hAnsi="Arial"/>
          <w:sz w:val="16"/>
          <w:szCs w:val="16"/>
          <w:color w:val="000000"/>
        </w:rPr>
        <w:t>See “</w:t>
      </w:r>
      <w:r>
        <w:rPr>
          <w:rFonts w:ascii="Arial" w:cs="Arial" w:eastAsia="Arial" w:hAnsi="Arial"/>
          <w:sz w:val="16"/>
          <w:szCs w:val="16"/>
          <w:i w:val="1"/>
          <w:iCs w:val="1"/>
          <w:color w:val="000000"/>
        </w:rPr>
        <w:t>Risk Factors—Risks Related to Our Connected Fitness Products and Members—We may be subject to</w:t>
      </w:r>
      <w:r>
        <w:rPr>
          <w:rFonts w:ascii="Arial" w:cs="Arial" w:eastAsia="Arial" w:hAnsi="Arial"/>
          <w:sz w:val="16"/>
          <w:szCs w:val="16"/>
          <w:color w:val="050505"/>
        </w:rPr>
        <w:t xml:space="preserve"> </w:t>
      </w:r>
      <w:r>
        <w:rPr>
          <w:rFonts w:ascii="Arial" w:cs="Arial" w:eastAsia="Arial" w:hAnsi="Arial"/>
          <w:sz w:val="16"/>
          <w:szCs w:val="16"/>
          <w:i w:val="1"/>
          <w:iCs w:val="1"/>
          <w:color w:val="000000"/>
        </w:rPr>
        <w:t>warranty claims that could result in significant direct or indirect costs, or we could experience greater product returns than expected, either of which could have an adverse effect on our business, financial condition, and operating results</w:t>
      </w:r>
      <w:r>
        <w:rPr>
          <w:rFonts w:ascii="Arial" w:cs="Arial" w:eastAsia="Arial" w:hAnsi="Arial"/>
          <w:sz w:val="16"/>
          <w:szCs w:val="16"/>
          <w:color w:val="000000"/>
        </w:rPr>
        <w:t>”</w:t>
      </w:r>
      <w:r>
        <w:rPr>
          <w:rFonts w:ascii="Arial" w:cs="Arial" w:eastAsia="Arial" w:hAnsi="Arial"/>
          <w:sz w:val="16"/>
          <w:szCs w:val="16"/>
          <w:i w:val="1"/>
          <w:iCs w:val="1"/>
          <w:color w:val="000000"/>
        </w:rPr>
        <w:t xml:space="preserve"> in our Form 10-K.</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4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 addition to the measures presented in our interim condensed consolidated financial statements, we use the following key operational and business metrics to evaluate our business, measure our performance, develop financial forecasts, and make strategic decisions.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September 30,</w:t>
            </w:r>
          </w:p>
        </w:tc>
      </w:tr>
      <w:tr>
        <w:trPr>
          <w:trHeight w:val="223"/>
        </w:trPr>
        <w:tc>
          <w:tcPr>
            <w:tcW w:w="7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Connected Fitness Subscriptions</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2,973,371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2,491,711</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Average Net Monthly Connected Fitness Churn</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202.7</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294.1</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211.7</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66.7 %</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(1)</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71.3 %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69.6 %</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millions)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(408.5)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(376.0)</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Adjusted EBITDA (in millions)</w:t>
            </w:r>
            <w:r>
              <w:rPr>
                <w:rFonts w:ascii="Arial" w:cs="Arial" w:eastAsia="Arial" w:hAnsi="Arial"/>
                <w:sz w:val="21"/>
                <w:szCs w:val="21"/>
                <w:color w:val="auto"/>
                <w:vertAlign w:val="superscript"/>
              </w:rPr>
              <w:t>(2)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(233.7)</w:t>
            </w: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Net Cash Used in Operating Activities (in millions)</w:t>
            </w:r>
            <w:r>
              <w:rPr>
                <w:rFonts w:ascii="Arial" w:cs="Arial" w:eastAsia="Arial" w:hAnsi="Arial"/>
                <w:sz w:val="21"/>
                <w:szCs w:val="21"/>
                <w:color w:val="auto"/>
                <w:vertAlign w:val="superscript"/>
              </w:rPr>
              <w:t>(3)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(561.0)</w:t>
            </w: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 (in millions)</w:t>
            </w:r>
            <w:r>
              <w:rPr>
                <w:rFonts w:ascii="Arial" w:cs="Arial" w:eastAsia="Arial" w:hAnsi="Arial"/>
                <w:sz w:val="21"/>
                <w:szCs w:val="21"/>
                <w:color w:val="auto"/>
                <w:vertAlign w:val="superscript"/>
              </w:rPr>
              <w:t>(3)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(246.3)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(651.9)</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51" w:lineRule="exact"/>
        <w:rPr>
          <w:sz w:val="20"/>
          <w:szCs w:val="20"/>
          <w:color w:val="auto"/>
        </w:rPr>
      </w:pPr>
    </w:p>
    <w:p>
      <w:pPr>
        <w:ind w:right="480" w:firstLine="8"/>
        <w:spacing w:after="0" w:line="242" w:lineRule="auto"/>
        <w:tabs>
          <w:tab w:leader="none" w:pos="189" w:val="left"/>
        </w:tabs>
        <w:numPr>
          <w:ilvl w:val="0"/>
          <w:numId w:val="8"/>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spacing w:after="0" w:line="63" w:lineRule="exact"/>
        <w:rPr>
          <w:rFonts w:ascii="Arial" w:cs="Arial" w:eastAsia="Arial" w:hAnsi="Arial"/>
          <w:sz w:val="13"/>
          <w:szCs w:val="13"/>
          <w:color w:val="auto"/>
        </w:rPr>
      </w:pPr>
    </w:p>
    <w:p>
      <w:pPr>
        <w:ind w:right="280" w:firstLine="8"/>
        <w:spacing w:after="0" w:line="242" w:lineRule="auto"/>
        <w:tabs>
          <w:tab w:leader="none" w:pos="189" w:val="left"/>
        </w:tabs>
        <w:numPr>
          <w:ilvl w:val="0"/>
          <w:numId w:val="8"/>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Measures—Adjusted EBITDA and Adjusted EBITDA Margin” for a reconciliation of Net loss to Adjusted EBITDA and an explanation of why we consider Adjusted EBITDA to be a helpful measure for investors.</w:t>
      </w:r>
    </w:p>
    <w:p>
      <w:pPr>
        <w:spacing w:after="0" w:line="49" w:lineRule="exact"/>
        <w:rPr>
          <w:rFonts w:ascii="Arial" w:cs="Arial" w:eastAsia="Arial" w:hAnsi="Arial"/>
          <w:sz w:val="13"/>
          <w:szCs w:val="13"/>
          <w:color w:val="auto"/>
        </w:rPr>
      </w:pPr>
    </w:p>
    <w:p>
      <w:pPr>
        <w:ind w:right="40" w:firstLine="8"/>
        <w:spacing w:after="0" w:line="242" w:lineRule="auto"/>
        <w:tabs>
          <w:tab w:leader="none" w:pos="189" w:val="left"/>
        </w:tabs>
        <w:numPr>
          <w:ilvl w:val="0"/>
          <w:numId w:val="8"/>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Measures—Free Cash Flow” for a reconciliation of net cash provided by (used in) operating activities to Free Cash Flow and an explanation of why we consider Free Cash Flow to be a helpful measure for investors.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Subscriptions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ability to expand the number of Connected Fitness Subscriptions is an indicator of our market penetration and growth. 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 subscription credits or waivers) or requested a “pause” to their subscription for up to three months. We do not include canceled or unpaid Connected Fitness Subscriptions in the Connected Fitness Subscription count. A subscription is canceled and ceases to be reflected in the above metrics as of the effective cancellation date, which is the Member’s next scheduled billing date.</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Net Monthly Connected Fitness Churn</w:t>
      </w:r>
    </w:p>
    <w:p>
      <w:pPr>
        <w:spacing w:after="0" w:line="6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use Average Net Monthly Connected Fitness Churn to measure the retention of our Connected Fitness Subscriptions. We define “Average Net Monthly Connected Fitness Churn” as Connected Fitness Subscription cancellations, net of reactivations, in the quarter, divided by the average number of beginning Connected Fitness Subscriptions in each month, divided by three months. When a Connected Fitness Subscription payment method fails, we communicate with our Members to update their payment method and make multiple attempts over several days to charge the payment method on file and reactivate the subscription. We cancel a Member’s Connected Fitness Subscription when it remains unpaid for two days after their billing cycle date. This metric does not include data related to our Peloton Digital subscriptions for Members who pay a monthly fee for access to our content library on their own devices.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Connected Fitness Product revenue consists of sales of our portfolio of Connected Fitness Products and related accessories, delivery and installation services, branded apparel, extended warranty agreements, and the sale, service, installation, and delivery contracts of our commercial business. Connected Fitness Product revenue is recognized at the time of delivery, except for extended warranty revenue that is recognized over the warranty period and service revenue that is recognized over the term, and is recorded net of returns and discounts and third-party financing program fees, when applicable.</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Subscription revenue consists of revenue generated from our monthly Connected Fitness Subscription and Peloton Digital subscription.</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September 30, 2022, 99% and 87% of our Connected Fitness Subscription and Peloton Digital subscription bases were paying month-to-month, respectively.</w:t>
      </w:r>
    </w:p>
    <w:p>
      <w:pPr>
        <w:sectPr>
          <w:pgSz w:w="11900" w:h="16838" w:orient="portrait"/>
          <w:cols w:equalWidth="0" w:num="1">
            <w:col w:w="11240"/>
          </w:cols>
          <w:pgMar w:left="320" w:top="823"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26" w:name="page27"/>
    <w:bookmarkEnd w:id="26"/>
    <w:p>
      <w:pPr>
        <w:jc w:val="both"/>
        <w:spacing w:after="0" w:line="262" w:lineRule="auto"/>
        <w:rPr>
          <w:sz w:val="20"/>
          <w:szCs w:val="20"/>
          <w:color w:val="auto"/>
        </w:rPr>
      </w:pPr>
      <w:r>
        <w:rPr>
          <w:rFonts w:ascii="Arial" w:cs="Arial" w:eastAsia="Arial" w:hAnsi="Arial"/>
          <w:sz w:val="16"/>
          <w:szCs w:val="16"/>
          <w:color w:val="auto"/>
        </w:rPr>
        <w:t>If a Connected Fitness Subscription owns a combination of a Bike, Tread or Guide product in the same household, the price of the Subscription remains $44.00 monthly (price increased from $39 to $44 USD effective as of June 1, 2022). As of September 30, 2022, approximately 6% of our Connected Fitness Subscriptions owned both a Bike and Tread product.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Connected Fitness Product cost of revenue consists of our portfolio of Connected Fitness Products and branded apparel product costs, including manufacturing costs, duties and other applicable importing costs, shipping and handling costs, packaging, warranty replacement and service costs, fulfillment costs, warehousing costs, depreciation of property and equipment, and certain costs related to management, facilities, and personnel-related expenses associated with supply chain logistics.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content costs for past use, third-party platform streaming costs, and payment processing fees for our monthly subscription billings.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expenses related to the Peloton App, and depreciation of property and equipment.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General and administrative expense includes personnel-related expenses and facilities-related costs primarily for our executive, finance, accounting, legal, human resources, IT functions and member support. General and administrative expense also includes fees for professional services principally comprised of legal, audit, tax and accounting services, depreciation of property and equipment, and insurance, as well as litigation settlement costs.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expense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Impairment expense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condensed consolidated financial statements. Management disposes of fixed assets during the regular course of business due to damage, obsolescence, strategic shifts, and loss.</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Additionally, long-lived assets are reviewed for impairment whenever events or changes in circumstances indicate that the carrying amount of an asset group may not be recoverable. Recoverability of assets to be held and used is measured by a comparison of the carrying amount of an 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expense</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Restructuring expense consists of severance and other personnel costs, including stock-based compensation expense, professional services, facility closures and other costs associated with exit and disposal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 settlements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Supplier settlements are payments made to third-party suppliers to terminate certain future inventory purchase commitments.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income and expenses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 net</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income (expense), net consists of interest income (expense), unrealized and realized gains (losses) on investments, and impacts from foreign exchange transactions.</w:t>
      </w:r>
    </w:p>
    <w:p>
      <w:pPr>
        <w:sectPr>
          <w:pgSz w:w="11900" w:h="16838" w:orient="portrait"/>
          <w:cols w:equalWidth="0" w:num="1">
            <w:col w:w="11240"/>
          </w:cols>
          <w:pgMar w:left="320" w:top="870"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Income tax provision</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Results of Operations</w:t>
      </w:r>
    </w:p>
    <w:p>
      <w:pPr>
        <w:spacing w:after="0" w:line="24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718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23"/>
        </w:trPr>
        <w:tc>
          <w:tcPr>
            <w:tcW w:w="71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223"/>
        </w:trPr>
        <w:tc>
          <w:tcPr>
            <w:tcW w:w="7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9"/>
                <w:szCs w:val="19"/>
                <w:color w:val="auto"/>
              </w:rPr>
            </w:pPr>
          </w:p>
        </w:tc>
      </w:tr>
      <w:tr>
        <w:trPr>
          <w:trHeight w:val="219"/>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Consolidated Statement of Operations Data:</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180" w:type="dxa"/>
            <w:vAlign w:val="bottom"/>
          </w:tcPr>
          <w:p>
            <w:pPr>
              <w:spacing w:after="0"/>
              <w:rPr>
                <w:sz w:val="20"/>
                <w:szCs w:val="20"/>
                <w:color w:val="auto"/>
              </w:rPr>
            </w:pPr>
            <w:r>
              <w:rPr>
                <w:rFonts w:ascii="Arial" w:cs="Arial" w:eastAsia="Arial" w:hAnsi="Arial"/>
                <w:sz w:val="16"/>
                <w:szCs w:val="16"/>
                <w:color w:val="auto"/>
              </w:rPr>
              <w:t>Revenue</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Connected Fitness Products</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501.0</w:t>
            </w:r>
          </w:p>
        </w:tc>
      </w:tr>
      <w:tr>
        <w:trPr>
          <w:trHeight w:val="213"/>
        </w:trPr>
        <w:tc>
          <w:tcPr>
            <w:tcW w:w="7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Subscription</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w:t>
            </w:r>
          </w:p>
        </w:tc>
      </w:tr>
      <w:tr>
        <w:trPr>
          <w:trHeight w:val="212"/>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616.5</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805.2</w:t>
            </w:r>
          </w:p>
        </w:tc>
      </w:tr>
      <w:tr>
        <w:trPr>
          <w:trHeight w:val="223"/>
        </w:trPr>
        <w:tc>
          <w:tcPr>
            <w:tcW w:w="7180" w:type="dxa"/>
            <w:vAlign w:val="bottom"/>
          </w:tcPr>
          <w:p>
            <w:pPr>
              <w:spacing w:after="0" w:line="223"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Connected Fitness Products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440.7</w:t>
            </w:r>
          </w:p>
        </w:tc>
      </w:tr>
      <w:tr>
        <w:trPr>
          <w:trHeight w:val="240"/>
        </w:trPr>
        <w:tc>
          <w:tcPr>
            <w:tcW w:w="7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Subscription</w:t>
            </w:r>
          </w:p>
        </w:tc>
        <w:tc>
          <w:tcPr>
            <w:tcW w:w="1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r>
      <w:tr>
        <w:trPr>
          <w:trHeight w:val="209"/>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cost of revenue</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542.2</w:t>
            </w:r>
          </w:p>
        </w:tc>
      </w:tr>
      <w:tr>
        <w:trPr>
          <w:trHeight w:val="209"/>
        </w:trPr>
        <w:tc>
          <w:tcPr>
            <w:tcW w:w="7180" w:type="dxa"/>
            <w:vAlign w:val="bottom"/>
          </w:tcPr>
          <w:p>
            <w:pPr>
              <w:spacing w:after="0"/>
              <w:rPr>
                <w:sz w:val="20"/>
                <w:szCs w:val="20"/>
                <w:color w:val="auto"/>
              </w:rPr>
            </w:pPr>
            <w:r>
              <w:rPr>
                <w:rFonts w:ascii="Arial" w:cs="Arial" w:eastAsia="Arial" w:hAnsi="Arial"/>
                <w:sz w:val="16"/>
                <w:szCs w:val="16"/>
                <w:color w:val="auto"/>
              </w:rPr>
              <w:t>Gross profit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217.2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263.0</w:t>
            </w:r>
          </w:p>
        </w:tc>
      </w:tr>
      <w:tr>
        <w:trPr>
          <w:trHeight w:val="219"/>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7180" w:type="dxa"/>
            <w:vAlign w:val="bottom"/>
          </w:tcPr>
          <w:p>
            <w:pPr>
              <w:ind w:left="14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284.1</w:t>
            </w:r>
          </w:p>
        </w:tc>
      </w:tr>
      <w:tr>
        <w:trPr>
          <w:trHeight w:val="243"/>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w:t>
            </w:r>
          </w:p>
        </w:tc>
      </w:tr>
      <w:tr>
        <w:trPr>
          <w:trHeight w:val="243"/>
        </w:trPr>
        <w:tc>
          <w:tcPr>
            <w:tcW w:w="7180" w:type="dxa"/>
            <w:vAlign w:val="bottom"/>
          </w:tcPr>
          <w:p>
            <w:pPr>
              <w:ind w:left="14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97.7</w:t>
            </w:r>
          </w:p>
        </w:tc>
      </w:tr>
      <w:tr>
        <w:trPr>
          <w:trHeight w:val="243"/>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expense</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43"/>
        </w:trPr>
        <w:tc>
          <w:tcPr>
            <w:tcW w:w="7180" w:type="dxa"/>
            <w:vAlign w:val="bottom"/>
          </w:tcPr>
          <w:p>
            <w:pPr>
              <w:ind w:left="140"/>
              <w:spacing w:after="0"/>
              <w:rPr>
                <w:sz w:val="20"/>
                <w:szCs w:val="20"/>
                <w:color w:val="auto"/>
              </w:rPr>
            </w:pPr>
            <w:r>
              <w:rPr>
                <w:rFonts w:ascii="Arial" w:cs="Arial" w:eastAsia="Arial" w:hAnsi="Arial"/>
                <w:sz w:val="16"/>
                <w:szCs w:val="16"/>
                <w:color w:val="auto"/>
              </w:rPr>
              <w:t>Restructuring expense</w:t>
            </w:r>
            <w:r>
              <w:rPr>
                <w:rFonts w:ascii="Arial" w:cs="Arial" w:eastAsia="Arial" w:hAnsi="Arial"/>
                <w:sz w:val="21"/>
                <w:szCs w:val="21"/>
                <w:color w:val="auto"/>
                <w:vertAlign w:val="superscript"/>
              </w:rPr>
              <w:t>(1)</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Supplier settlements</w:t>
            </w:r>
          </w:p>
        </w:tc>
        <w:tc>
          <w:tcPr>
            <w:tcW w:w="1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1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Total operating expenses</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622.7</w:t>
            </w:r>
          </w:p>
        </w:tc>
      </w:tr>
      <w:tr>
        <w:trPr>
          <w:trHeight w:val="213"/>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w:t>
            </w:r>
          </w:p>
        </w:tc>
      </w:tr>
      <w:tr>
        <w:trPr>
          <w:trHeight w:val="213"/>
        </w:trPr>
        <w:tc>
          <w:tcPr>
            <w:tcW w:w="7180" w:type="dxa"/>
            <w:vAlign w:val="bottom"/>
          </w:tcPr>
          <w:p>
            <w:pPr>
              <w:spacing w:after="0"/>
              <w:rPr>
                <w:sz w:val="20"/>
                <w:szCs w:val="20"/>
                <w:color w:val="auto"/>
              </w:rPr>
            </w:pPr>
            <w:r>
              <w:rPr>
                <w:rFonts w:ascii="Arial" w:cs="Arial" w:eastAsia="Arial" w:hAnsi="Arial"/>
                <w:sz w:val="16"/>
                <w:szCs w:val="16"/>
                <w:color w:val="auto"/>
              </w:rPr>
              <w:t>Other (expense) income, net:</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3"/>
        </w:trPr>
        <w:tc>
          <w:tcPr>
            <w:tcW w:w="7180" w:type="dxa"/>
            <w:vAlign w:val="bottom"/>
          </w:tcPr>
          <w:p>
            <w:pPr>
              <w:ind w:left="120"/>
              <w:spacing w:after="0"/>
              <w:rPr>
                <w:sz w:val="20"/>
                <w:szCs w:val="20"/>
                <w:color w:val="auto"/>
              </w:rPr>
            </w:pPr>
            <w:r>
              <w:rPr>
                <w:rFonts w:ascii="Arial" w:cs="Arial" w:eastAsia="Arial" w:hAnsi="Arial"/>
                <w:sz w:val="16"/>
                <w:szCs w:val="16"/>
                <w:color w:val="auto"/>
              </w:rPr>
              <w:t>Interest income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exchange losses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7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income (expense), net</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09"/>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expense, net</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0"/>
        </w:trPr>
        <w:tc>
          <w:tcPr>
            <w:tcW w:w="7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Loss before provision for income taxes</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(373.6)</w:t>
            </w:r>
          </w:p>
        </w:tc>
      </w:tr>
      <w:tr>
        <w:trPr>
          <w:trHeight w:val="209"/>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718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(376.0)</w:t>
            </w:r>
          </w:p>
        </w:tc>
      </w:tr>
      <w:tr>
        <w:trPr>
          <w:trHeight w:val="20"/>
        </w:trPr>
        <w:tc>
          <w:tcPr>
            <w:tcW w:w="7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2"/>
        </w:trPr>
        <w:tc>
          <w:tcPr>
            <w:tcW w:w="7600" w:type="dxa"/>
            <w:vAlign w:val="bottom"/>
          </w:tcPr>
          <w:p>
            <w:pPr>
              <w:spacing w:after="0"/>
              <w:rPr>
                <w:sz w:val="20"/>
                <w:szCs w:val="20"/>
                <w:color w:val="auto"/>
              </w:rPr>
            </w:pPr>
            <w:r>
              <w:rPr>
                <w:rFonts w:ascii="Arial" w:cs="Arial" w:eastAsia="Arial" w:hAnsi="Arial"/>
                <w:sz w:val="13"/>
                <w:szCs w:val="13"/>
                <w:color w:val="auto"/>
              </w:rPr>
              <w:t>(1) Includes stock-based compensation expense as follows:</w:t>
            </w: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42"/>
        </w:trPr>
        <w:tc>
          <w:tcPr>
            <w:tcW w:w="7600" w:type="dxa"/>
            <w:vAlign w:val="bottom"/>
          </w:tcPr>
          <w:p>
            <w:pPr>
              <w:spacing w:after="0"/>
              <w:rPr>
                <w:sz w:val="21"/>
                <w:szCs w:val="21"/>
                <w:color w:val="auto"/>
              </w:rPr>
            </w:pPr>
          </w:p>
        </w:tc>
        <w:tc>
          <w:tcPr>
            <w:tcW w:w="3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Borders>
              <w:bottom w:val="single" w:sz="8" w:color="auto"/>
            </w:tcBorders>
          </w:tcPr>
          <w:p>
            <w:pPr>
              <w:spacing w:after="0"/>
              <w:rPr>
                <w:sz w:val="21"/>
                <w:szCs w:val="21"/>
                <w:color w:val="auto"/>
              </w:rPr>
            </w:pPr>
          </w:p>
        </w:tc>
      </w:tr>
      <w:tr>
        <w:trPr>
          <w:trHeight w:val="223"/>
        </w:trPr>
        <w:tc>
          <w:tcPr>
            <w:tcW w:w="7600" w:type="dxa"/>
            <w:vAlign w:val="bottom"/>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9"/>
                <w:szCs w:val="19"/>
                <w:color w:val="auto"/>
              </w:rPr>
            </w:pPr>
          </w:p>
        </w:tc>
      </w:tr>
      <w:tr>
        <w:trPr>
          <w:trHeight w:val="223"/>
        </w:trPr>
        <w:tc>
          <w:tcPr>
            <w:tcW w:w="7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4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9"/>
                <w:szCs w:val="19"/>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340" w:type="dxa"/>
            <w:vAlign w:val="bottom"/>
          </w:tcPr>
          <w:p>
            <w:pPr>
              <w:jc w:val="right"/>
              <w:ind w:right="115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0"/>
        </w:trPr>
        <w:tc>
          <w:tcPr>
            <w:tcW w:w="760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July 1, 2022, the Compensation Committee of the Board of Directors of the Company (the “Compensation Committee”) approved accelerating the vesting requirement for unvested restricted stock units held by certain employees by one year. This applied to eligible unvested restricted stock units that had more than eight quarterly vesting dates remaining in their vesting schedule. The acceleration resulted in approximately $26.6 million of stock-based compensation pulled forward and recognized in the three months ended September 30, 2022. The remaining unvested restricted stock units have approximately $376.0 million of unamortized expense to be recognized over the remaining weighted-average vesting term of approximately 2.6 years. Additionally, on July 1, 2022, the Compensation Committee approved a one-time repricing of certain stock option awards that had been granted to date under the 2019 Plan. The repricing impacted stock options held by all employees who remained employed through July 25, 2022. The repricing did not apply to our U.S.-based hourly employees (or employees with equivalent roles in non-U.S. locations) or our C-level executives. The modification resulted in incremental stock-based compensation expense of $21.9 million in the aggregate. Approximately $4.7 million was recognized immediately during the three months ended September 30, 2022, for vested options, with the remainder to be recognized over the remaining weighted-average vesting term of approximately 2.9 years.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(2) Includes depreciation and amortization expense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3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Borders>
              <w:bottom w:val="single" w:sz="8" w:color="auto"/>
            </w:tcBorders>
          </w:tcPr>
          <w:p>
            <w:pPr>
              <w:spacing w:after="0"/>
              <w:rPr>
                <w:sz w:val="18"/>
                <w:szCs w:val="18"/>
                <w:color w:val="auto"/>
              </w:rPr>
            </w:pPr>
          </w:p>
        </w:tc>
      </w:tr>
      <w:tr>
        <w:trPr>
          <w:trHeight w:val="223"/>
        </w:trPr>
        <w:tc>
          <w:tcPr>
            <w:tcW w:w="7600" w:type="dxa"/>
            <w:vAlign w:val="bottom"/>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9"/>
                <w:szCs w:val="19"/>
                <w:color w:val="auto"/>
              </w:rPr>
            </w:pPr>
          </w:p>
        </w:tc>
      </w:tr>
      <w:tr>
        <w:trPr>
          <w:trHeight w:val="223"/>
        </w:trPr>
        <w:tc>
          <w:tcPr>
            <w:tcW w:w="7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9"/>
                <w:szCs w:val="19"/>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340" w:type="dxa"/>
            <w:vAlign w:val="bottom"/>
          </w:tcPr>
          <w:p>
            <w:pPr>
              <w:jc w:val="right"/>
              <w:ind w:right="115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0"/>
        </w:trPr>
        <w:tc>
          <w:tcPr>
            <w:tcW w:w="760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1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7600" w:type="dxa"/>
            <w:vAlign w:val="bottom"/>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r>
      <w:tr>
        <w:trPr>
          <w:trHeight w:val="20"/>
        </w:trPr>
        <w:tc>
          <w:tcPr>
            <w:tcW w:w="7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the Three Months Ended September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2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Pr>
          <w:p>
            <w:pPr>
              <w:spacing w:after="0"/>
              <w:rPr>
                <w:sz w:val="19"/>
                <w:szCs w:val="19"/>
                <w:color w:val="auto"/>
              </w:rPr>
            </w:pPr>
          </w:p>
        </w:tc>
        <w:tc>
          <w:tcPr>
            <w:tcW w:w="1480" w:type="dxa"/>
            <w:vAlign w:val="bottom"/>
            <w:gridSpan w:val="2"/>
          </w:tcPr>
          <w:p>
            <w:pPr>
              <w:ind w:lef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6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3260" w:type="dxa"/>
            <w:vAlign w:val="bottom"/>
            <w:gridSpan w:val="2"/>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204.2</w:t>
            </w:r>
          </w:p>
        </w:tc>
        <w:tc>
          <w:tcPr>
            <w:tcW w:w="10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501.0</w:t>
            </w:r>
          </w:p>
        </w:tc>
        <w:tc>
          <w:tcPr>
            <w:tcW w:w="1460" w:type="dxa"/>
            <w:vAlign w:val="bottom"/>
          </w:tcPr>
          <w:p>
            <w:pPr>
              <w:jc w:val="center"/>
              <w:ind w:left="19"/>
              <w:spacing w:after="0"/>
              <w:rPr>
                <w:sz w:val="20"/>
                <w:szCs w:val="20"/>
                <w:color w:val="auto"/>
              </w:rPr>
            </w:pPr>
            <w:r>
              <w:rPr>
                <w:rFonts w:ascii="Arial" w:cs="Arial" w:eastAsia="Arial" w:hAnsi="Arial"/>
                <w:sz w:val="16"/>
                <w:szCs w:val="16"/>
                <w:color w:val="auto"/>
                <w:w w:val="99"/>
              </w:rPr>
              <w:t>(59.2)%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2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412.3</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304.1</w:t>
            </w:r>
          </w:p>
        </w:tc>
        <w:tc>
          <w:tcPr>
            <w:tcW w:w="14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3260" w:type="dxa"/>
            <w:vAlign w:val="bottom"/>
            <w:gridSpan w:val="2"/>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616.5</w:t>
            </w:r>
          </w:p>
        </w:tc>
        <w:tc>
          <w:tcPr>
            <w:tcW w:w="10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805.2</w:t>
            </w:r>
          </w:p>
        </w:tc>
        <w:tc>
          <w:tcPr>
            <w:tcW w:w="1460" w:type="dxa"/>
            <w:vAlign w:val="bottom"/>
          </w:tcPr>
          <w:p>
            <w:pPr>
              <w:jc w:val="center"/>
              <w:ind w:left="19"/>
              <w:spacing w:after="0"/>
              <w:rPr>
                <w:sz w:val="20"/>
                <w:szCs w:val="20"/>
                <w:color w:val="auto"/>
              </w:rPr>
            </w:pPr>
            <w:r>
              <w:rPr>
                <w:rFonts w:ascii="Arial" w:cs="Arial" w:eastAsia="Arial" w:hAnsi="Arial"/>
                <w:sz w:val="16"/>
                <w:szCs w:val="16"/>
                <w:color w:val="auto"/>
                <w:w w:val="99"/>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w:t>
            </w:r>
          </w:p>
        </w:tc>
        <w:tc>
          <w:tcPr>
            <w:tcW w:w="2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4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2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33.1 %</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62.2 %</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2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37.8</w:t>
            </w:r>
          </w:p>
        </w:tc>
        <w:tc>
          <w:tcPr>
            <w:tcW w:w="14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6"/>
                <w:szCs w:val="16"/>
                <w:color w:val="auto"/>
              </w:rPr>
              <w:t>Total</w:t>
            </w:r>
          </w:p>
        </w:tc>
        <w:tc>
          <w:tcPr>
            <w:tcW w:w="2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100" w:type="dxa"/>
            <w:vAlign w:val="bottom"/>
            <w:vMerge w:val="restart"/>
          </w:tcPr>
          <w:p>
            <w:pPr>
              <w:jc w:val="right"/>
              <w:ind w:right="159"/>
              <w:spacing w:after="0"/>
              <w:rPr>
                <w:sz w:val="20"/>
                <w:szCs w:val="20"/>
                <w:color w:val="auto"/>
              </w:rPr>
            </w:pPr>
            <w:r>
              <w:rPr>
                <w:rFonts w:ascii="Arial" w:cs="Arial" w:eastAsia="Arial" w:hAnsi="Arial"/>
                <w:sz w:val="16"/>
                <w:szCs w:val="16"/>
                <w:color w:val="auto"/>
              </w:rPr>
              <w:t>28</w:t>
            </w: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29" w:name="page30"/>
    <w:bookmarkEnd w:id="29"/>
    <w:p>
      <w:pPr>
        <w:jc w:val="both"/>
        <w:spacing w:after="0" w:line="262" w:lineRule="auto"/>
        <w:rPr>
          <w:sz w:val="20"/>
          <w:szCs w:val="20"/>
          <w:color w:val="auto"/>
        </w:rPr>
      </w:pPr>
      <w:r>
        <w:rPr>
          <w:rFonts w:ascii="Arial" w:cs="Arial" w:eastAsia="Arial" w:hAnsi="Arial"/>
          <w:sz w:val="16"/>
          <w:szCs w:val="16"/>
          <w:color w:val="auto"/>
        </w:rPr>
        <w:t>Connected Fitness Products revenue decreased $296.8 million for the three months ended September 30, 2022 compared to the three months ended September 30, 2021. This decrease was primarily attributable to fewer Bike and Accessory deliveries, and charges associated with the voluntary product recalls.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Subscription revenue increased $108.1 million for the three months ended September 30, 2022 compared to the three months ended September 30, 2021. This increase was primarily attributable to the year-over-year growth in our Connected Fitness Subscriptions and the price increase of the All-Access membership fee from $39 to $44, effective as of June 1, 2022. The growth of our Connected Fitness Subscriptions was primarily driven by the number of Connected Fitness Products delivered during the fiscal year ended June 30, 2022 under new Subscriptions and our low Average Net Monthly Connected Fitness Churn of 1.14% for the three months ended September 30,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62"/>
        </w:trPr>
        <w:tc>
          <w:tcPr>
            <w:tcW w:w="6020" w:type="dxa"/>
            <w:vAlign w:val="bottom"/>
          </w:tcPr>
          <w:p>
            <w:pPr>
              <w:spacing w:after="0"/>
              <w:rPr>
                <w:sz w:val="24"/>
                <w:szCs w:val="24"/>
                <w:color w:val="auto"/>
              </w:rPr>
            </w:pPr>
          </w:p>
        </w:tc>
        <w:tc>
          <w:tcPr>
            <w:tcW w:w="380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c>
          <w:tcPr>
            <w:tcW w:w="1420" w:type="dxa"/>
            <w:vAlign w:val="bottom"/>
          </w:tcPr>
          <w:p>
            <w:pPr>
              <w:spacing w:after="0"/>
              <w:rPr>
                <w:sz w:val="24"/>
                <w:szCs w:val="24"/>
                <w:color w:val="auto"/>
              </w:rPr>
            </w:pPr>
          </w:p>
        </w:tc>
      </w:tr>
      <w:tr>
        <w:trPr>
          <w:trHeight w:val="223"/>
        </w:trPr>
        <w:tc>
          <w:tcPr>
            <w:tcW w:w="60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212"/>
        </w:trPr>
        <w:tc>
          <w:tcPr>
            <w:tcW w:w="6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6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4"/>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3"/>
        </w:trPr>
        <w:tc>
          <w:tcPr>
            <w:tcW w:w="60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259.8</w:t>
            </w:r>
          </w:p>
        </w:tc>
        <w:tc>
          <w:tcPr>
            <w:tcW w:w="10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440.7</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99"/>
              </w:rPr>
              <w:t>(41.0)%</w:t>
            </w:r>
          </w:p>
        </w:tc>
      </w:tr>
      <w:tr>
        <w:trPr>
          <w:trHeight w:val="216"/>
        </w:trPr>
        <w:tc>
          <w:tcPr>
            <w:tcW w:w="6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139.5</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101.4</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37.6</w:t>
            </w:r>
          </w:p>
        </w:tc>
      </w:tr>
      <w:tr>
        <w:trPr>
          <w:trHeight w:val="213"/>
        </w:trPr>
        <w:tc>
          <w:tcPr>
            <w:tcW w:w="602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399.3</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542.2</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99"/>
              </w:rPr>
              <w:t>(26.3)%</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183"/>
        </w:trPr>
        <w:tc>
          <w:tcPr>
            <w:tcW w:w="60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Gross Profit:</w:t>
            </w: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3"/>
        </w:trPr>
        <w:tc>
          <w:tcPr>
            <w:tcW w:w="60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80" w:type="dxa"/>
            <w:vAlign w:val="bottom"/>
          </w:tcPr>
          <w:p>
            <w:pPr>
              <w:ind w:left="100"/>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60.3</w:t>
            </w:r>
          </w:p>
        </w:tc>
        <w:tc>
          <w:tcPr>
            <w:tcW w:w="1420" w:type="dxa"/>
            <w:vAlign w:val="bottom"/>
          </w:tcPr>
          <w:p>
            <w:pPr>
              <w:jc w:val="center"/>
              <w:spacing w:after="0"/>
              <w:rPr>
                <w:sz w:val="20"/>
                <w:szCs w:val="20"/>
                <w:color w:val="auto"/>
              </w:rPr>
            </w:pPr>
            <w:r>
              <w:rPr>
                <w:rFonts w:ascii="Arial" w:cs="Arial" w:eastAsia="Arial" w:hAnsi="Arial"/>
                <w:sz w:val="16"/>
                <w:szCs w:val="16"/>
                <w:color w:val="auto"/>
              </w:rPr>
              <w:t>(192.2)%</w:t>
            </w:r>
          </w:p>
        </w:tc>
      </w:tr>
      <w:tr>
        <w:trPr>
          <w:trHeight w:val="216"/>
        </w:trPr>
        <w:tc>
          <w:tcPr>
            <w:tcW w:w="6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272.8</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202.7</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34.6</w:t>
            </w:r>
          </w:p>
        </w:tc>
      </w:tr>
      <w:tr>
        <w:trPr>
          <w:trHeight w:val="212"/>
        </w:trPr>
        <w:tc>
          <w:tcPr>
            <w:tcW w:w="6020" w:type="dxa"/>
            <w:vAlign w:val="bottom"/>
          </w:tcPr>
          <w:p>
            <w:pPr>
              <w:ind w:left="240"/>
              <w:spacing w:after="0"/>
              <w:rPr>
                <w:sz w:val="20"/>
                <w:szCs w:val="20"/>
                <w:color w:val="auto"/>
              </w:rPr>
            </w:pPr>
            <w:r>
              <w:rPr>
                <w:rFonts w:ascii="Arial" w:cs="Arial" w:eastAsia="Arial" w:hAnsi="Arial"/>
                <w:sz w:val="16"/>
                <w:szCs w:val="16"/>
                <w:color w:val="auto"/>
              </w:rPr>
              <w:t>Total Gross profit</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217.2</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263.0</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99"/>
              </w:rPr>
              <w:t>(17.4)%</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0"/>
        </w:trPr>
        <w:tc>
          <w:tcPr>
            <w:tcW w:w="60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6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w w:val="99"/>
              </w:rPr>
              <w:t>(27.2)%</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12.0 %</w:t>
            </w:r>
          </w:p>
        </w:tc>
        <w:tc>
          <w:tcPr>
            <w:tcW w:w="1420" w:type="dxa"/>
            <w:vAlign w:val="bottom"/>
          </w:tcPr>
          <w:p>
            <w:pPr>
              <w:spacing w:after="0"/>
              <w:rPr>
                <w:sz w:val="20"/>
                <w:szCs w:val="20"/>
                <w:color w:val="auto"/>
              </w:rPr>
            </w:pPr>
          </w:p>
        </w:tc>
      </w:tr>
      <w:tr>
        <w:trPr>
          <w:trHeight w:val="246"/>
        </w:trPr>
        <w:tc>
          <w:tcPr>
            <w:tcW w:w="6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66.2 %</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66.7 %</w:t>
            </w:r>
          </w:p>
        </w:tc>
        <w:tc>
          <w:tcPr>
            <w:tcW w:w="1420" w:type="dxa"/>
            <w:vAlign w:val="bottom"/>
            <w:shd w:val="clear" w:color="auto" w:fill="CCEEFF"/>
          </w:tcPr>
          <w:p>
            <w:pPr>
              <w:spacing w:after="0"/>
              <w:rPr>
                <w:sz w:val="21"/>
                <w:szCs w:val="2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September 30, 2022 and 2021</w:t>
      </w:r>
    </w:p>
    <w:p>
      <w:pPr>
        <w:spacing w:after="0" w:line="2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Connected Fitness Products cost of revenue for the three months ended September 30, 2022 decreased $180.9 million, or 41.0%, compared to the three months ended September 30, 2021. This decrease was primarily driven by fewer deliveries for the three months ended September 30, 2022 compared to the three months ended September 30, 2021.</w:t>
      </w:r>
    </w:p>
    <w:p>
      <w:pPr>
        <w:spacing w:after="0" w:line="24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Connected Fitness Products Gross Margin decreased to (27.2)% from 12.0% for the three months ended September 30, 2022 compared to the three months ended September 30, 2021, primarily driven by higher logistics expenses per delivery, increased port and storage costs, fixed logistics cost deleveraging, and charges associated with the voluntary recall of our Tread+ product.</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Subscription cost of revenue for the three months ended September 30, 2022 increased $38.1 million, or 37.6%, compared to the three months ended September 30, 2021. This increase was primarily driven by an increase of $21.5 million in music royalties and platform streaming costs, an increase of $9.2 million in stock-based compensation expense primarily driven by the acceleration of certain restricted stock unit vesting schedules, the repricing of certain stock option awards, and an increased number of awards vesting.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Subscription Gross Margin remained consistent for the three months ended September 30, 2022 compared to the three months ended September 30, 2021.</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3"/>
        </w:trPr>
        <w:tc>
          <w:tcPr>
            <w:tcW w:w="6000" w:type="dxa"/>
            <w:vAlign w:val="bottom"/>
          </w:tcPr>
          <w:p>
            <w:pPr>
              <w:spacing w:after="0"/>
              <w:rPr>
                <w:sz w:val="20"/>
                <w:szCs w:val="20"/>
                <w:color w:val="auto"/>
              </w:rPr>
            </w:pPr>
            <w:r>
              <w:rPr>
                <w:rFonts w:ascii="Arial" w:cs="Arial" w:eastAsia="Arial" w:hAnsi="Arial"/>
                <w:sz w:val="16"/>
                <w:szCs w:val="16"/>
                <w:i w:val="1"/>
                <w:iCs w:val="1"/>
                <w:color w:val="auto"/>
              </w:rPr>
              <w:t>Sales and Marketing</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6"/>
        </w:trPr>
        <w:tc>
          <w:tcPr>
            <w:tcW w:w="6000" w:type="dxa"/>
            <w:vAlign w:val="bottom"/>
          </w:tcPr>
          <w:p>
            <w:pPr>
              <w:spacing w:after="0"/>
              <w:rPr>
                <w:sz w:val="24"/>
                <w:szCs w:val="24"/>
                <w:color w:val="auto"/>
              </w:rPr>
            </w:pPr>
          </w:p>
        </w:tc>
        <w:tc>
          <w:tcPr>
            <w:tcW w:w="38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September 30,</w:t>
            </w:r>
          </w:p>
        </w:tc>
        <w:tc>
          <w:tcPr>
            <w:tcW w:w="1420" w:type="dxa"/>
            <w:vAlign w:val="bottom"/>
          </w:tcPr>
          <w:p>
            <w:pPr>
              <w:spacing w:after="0"/>
              <w:rPr>
                <w:sz w:val="24"/>
                <w:szCs w:val="24"/>
                <w:color w:val="auto"/>
              </w:rPr>
            </w:pPr>
          </w:p>
        </w:tc>
      </w:tr>
      <w:tr>
        <w:trPr>
          <w:trHeight w:val="223"/>
        </w:trPr>
        <w:tc>
          <w:tcPr>
            <w:tcW w:w="60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8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6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138.7</w:t>
            </w:r>
          </w:p>
        </w:tc>
        <w:tc>
          <w:tcPr>
            <w:tcW w:w="122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284.1</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(51.2)%</w:t>
            </w: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22.5 %</w:t>
            </w:r>
          </w:p>
        </w:tc>
        <w:tc>
          <w:tcPr>
            <w:tcW w:w="1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35.3 %</w:t>
            </w:r>
          </w:p>
        </w:tc>
        <w:tc>
          <w:tcPr>
            <w:tcW w:w="1420" w:type="dxa"/>
            <w:vAlign w:val="bottom"/>
          </w:tcPr>
          <w:p>
            <w:pPr>
              <w:spacing w:after="0"/>
              <w:rPr>
                <w:sz w:val="20"/>
                <w:szCs w:val="20"/>
                <w:color w:val="auto"/>
              </w:rPr>
            </w:pPr>
          </w:p>
        </w:tc>
      </w:tr>
    </w:tbl>
    <w:p>
      <w:pPr>
        <w:spacing w:after="0" w:line="33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Sales and marketing expense decreased $145.4 million in the three months ended September 30, 2022 compared to the three months ended September 30, 2021. The decrease was primarily due to a decrease in spending on advertising and marketing programs of $137.5 million and a decrease in personnel-related expenses of $7.1 million, primarily due to decreased average headcount. The overall decrease was partially offset</w:t>
      </w:r>
    </w:p>
    <w:p>
      <w:pPr>
        <w:sectPr>
          <w:pgSz w:w="11900" w:h="16838" w:orient="portrait"/>
          <w:cols w:equalWidth="0" w:num="1">
            <w:col w:w="11240"/>
          </w:cols>
          <w:pgMar w:left="320" w:top="735" w:right="339" w:bottom="1440"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type w:val="continuous"/>
        </w:sectPr>
      </w:pPr>
    </w:p>
    <w:bookmarkStart w:id="30" w:name="page31"/>
    <w:bookmarkEnd w:id="30"/>
    <w:p>
      <w:pPr>
        <w:jc w:val="both"/>
        <w:spacing w:after="0" w:line="260" w:lineRule="auto"/>
        <w:rPr>
          <w:sz w:val="20"/>
          <w:szCs w:val="20"/>
          <w:color w:val="auto"/>
        </w:rPr>
      </w:pPr>
      <w:r>
        <w:rPr>
          <w:rFonts w:ascii="Arial" w:cs="Arial" w:eastAsia="Arial" w:hAnsi="Arial"/>
          <w:sz w:val="16"/>
          <w:szCs w:val="16"/>
          <w:color w:val="auto"/>
        </w:rPr>
        <w:t>by an increase in stock-based compensation expense of $4.1 million, primarily driven by the acceleration of certain restricted stock unit vesting schedules, the repricing of certain stock option awards, and an increased number of awards vesting.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20" w:type="dxa"/>
            <w:vAlign w:val="bottom"/>
          </w:tcPr>
          <w:p>
            <w:pPr>
              <w:spacing w:after="0"/>
              <w:rPr>
                <w:sz w:val="20"/>
                <w:szCs w:val="20"/>
                <w:color w:val="auto"/>
              </w:rPr>
            </w:pPr>
            <w:r>
              <w:rPr>
                <w:rFonts w:ascii="Arial" w:cs="Arial" w:eastAsia="Arial" w:hAnsi="Arial"/>
                <w:sz w:val="16"/>
                <w:szCs w:val="16"/>
                <w:i w:val="1"/>
                <w:iCs w:val="1"/>
                <w:color w:val="auto"/>
              </w:rPr>
              <w:t>General and Administrative</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87"/>
        </w:trPr>
        <w:tc>
          <w:tcPr>
            <w:tcW w:w="6020" w:type="dxa"/>
            <w:vAlign w:val="bottom"/>
          </w:tcPr>
          <w:p>
            <w:pPr>
              <w:spacing w:after="0"/>
              <w:rPr>
                <w:sz w:val="24"/>
                <w:szCs w:val="24"/>
                <w:color w:val="auto"/>
              </w:rPr>
            </w:pPr>
          </w:p>
        </w:tc>
        <w:tc>
          <w:tcPr>
            <w:tcW w:w="38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September 30,</w:t>
            </w:r>
          </w:p>
        </w:tc>
        <w:tc>
          <w:tcPr>
            <w:tcW w:w="1400" w:type="dxa"/>
            <w:vAlign w:val="bottom"/>
          </w:tcPr>
          <w:p>
            <w:pPr>
              <w:spacing w:after="0"/>
              <w:rPr>
                <w:sz w:val="24"/>
                <w:szCs w:val="24"/>
                <w:color w:val="auto"/>
              </w:rPr>
            </w:pPr>
          </w:p>
        </w:tc>
      </w:tr>
      <w:tr>
        <w:trPr>
          <w:trHeight w:val="223"/>
        </w:trPr>
        <w:tc>
          <w:tcPr>
            <w:tcW w:w="60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8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6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193.5</w:t>
            </w:r>
          </w:p>
        </w:tc>
        <w:tc>
          <w:tcPr>
            <w:tcW w:w="124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240.4</w:t>
            </w:r>
          </w:p>
        </w:tc>
        <w:tc>
          <w:tcPr>
            <w:tcW w:w="14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(19.5)%</w:t>
            </w: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31.4 %</w:t>
            </w:r>
          </w:p>
        </w:tc>
        <w:tc>
          <w:tcPr>
            <w:tcW w:w="1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29.9 %</w:t>
            </w:r>
          </w:p>
        </w:tc>
        <w:tc>
          <w:tcPr>
            <w:tcW w:w="1400" w:type="dxa"/>
            <w:vAlign w:val="bottom"/>
          </w:tcPr>
          <w:p>
            <w:pPr>
              <w:spacing w:after="0"/>
              <w:rPr>
                <w:sz w:val="20"/>
                <w:szCs w:val="20"/>
                <w:color w:val="auto"/>
              </w:rPr>
            </w:pPr>
          </w:p>
        </w:tc>
      </w:tr>
    </w:tbl>
    <w:p>
      <w:pPr>
        <w:spacing w:after="0" w:line="200" w:lineRule="exact"/>
        <w:rPr>
          <w:sz w:val="20"/>
          <w:szCs w:val="20"/>
          <w:color w:val="auto"/>
        </w:rPr>
      </w:pPr>
    </w:p>
    <w:p>
      <w:pPr>
        <w:spacing w:after="0" w:line="24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General and administrative expense decreased $46.9 million when comparing the three months ended September 30, 2022 with the three months ended September 30, 2021. This decrease was primarily due to a decrease in professional services fees and IT costs of $45.9 million and a decrease in personnel-related expenses of $17.7 million, primarily due to decreased average headcount. The overall decrease was partially offset by an increase in stock-based compensation expense of $22.8 million, primarily driven by the acceleration of certain restricted stock unit vesting schedules, the repricing of certain stock option awards, and an increased number of awards vesting.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20" w:type="dxa"/>
            <w:vAlign w:val="bottom"/>
          </w:tcPr>
          <w:p>
            <w:pPr>
              <w:spacing w:after="0"/>
              <w:rPr>
                <w:sz w:val="20"/>
                <w:szCs w:val="20"/>
                <w:color w:val="auto"/>
              </w:rPr>
            </w:pPr>
            <w:r>
              <w:rPr>
                <w:rFonts w:ascii="Arial" w:cs="Arial" w:eastAsia="Arial" w:hAnsi="Arial"/>
                <w:sz w:val="16"/>
                <w:szCs w:val="16"/>
                <w:i w:val="1"/>
                <w:iCs w:val="1"/>
                <w:color w:val="auto"/>
              </w:rPr>
              <w:t>Research and Development</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6"/>
        </w:trPr>
        <w:tc>
          <w:tcPr>
            <w:tcW w:w="6020" w:type="dxa"/>
            <w:vAlign w:val="bottom"/>
          </w:tcPr>
          <w:p>
            <w:pPr>
              <w:spacing w:after="0"/>
              <w:rPr>
                <w:sz w:val="24"/>
                <w:szCs w:val="24"/>
                <w:color w:val="auto"/>
              </w:rPr>
            </w:pPr>
          </w:p>
        </w:tc>
        <w:tc>
          <w:tcPr>
            <w:tcW w:w="380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rPr>
              <w:t>Three Months Ended September 30,</w:t>
            </w:r>
          </w:p>
        </w:tc>
        <w:tc>
          <w:tcPr>
            <w:tcW w:w="1420" w:type="dxa"/>
            <w:vAlign w:val="bottom"/>
          </w:tcPr>
          <w:p>
            <w:pPr>
              <w:spacing w:after="0"/>
              <w:rPr>
                <w:sz w:val="24"/>
                <w:szCs w:val="24"/>
                <w:color w:val="auto"/>
              </w:rPr>
            </w:pPr>
          </w:p>
        </w:tc>
      </w:tr>
      <w:tr>
        <w:trPr>
          <w:trHeight w:val="223"/>
        </w:trPr>
        <w:tc>
          <w:tcPr>
            <w:tcW w:w="60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0" w:type="dxa"/>
            <w:vAlign w:val="bottom"/>
            <w:gridSpan w:val="2"/>
          </w:tcPr>
          <w:p>
            <w:pPr>
              <w:ind w:left="60"/>
              <w:spacing w:after="0"/>
              <w:rPr>
                <w:sz w:val="20"/>
                <w:szCs w:val="20"/>
                <w:color w:val="auto"/>
              </w:rPr>
            </w:pPr>
            <w:r>
              <w:rPr>
                <w:rFonts w:ascii="Arial" w:cs="Arial" w:eastAsia="Arial" w:hAnsi="Arial"/>
                <w:sz w:val="16"/>
                <w:szCs w:val="16"/>
                <w:b w:val="1"/>
                <w:bCs w:val="1"/>
                <w:color w:val="auto"/>
              </w:rPr>
              <w:t>(dollars in millions)</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88.1</w:t>
            </w:r>
          </w:p>
        </w:tc>
        <w:tc>
          <w:tcPr>
            <w:tcW w:w="126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97.7</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(9.8)%</w:t>
            </w: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16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6"/>
                <w:szCs w:val="16"/>
                <w:color w:val="auto"/>
              </w:rPr>
              <w:t>14.3 %</w:t>
            </w:r>
          </w:p>
        </w:tc>
        <w:tc>
          <w:tcPr>
            <w:tcW w:w="1260" w:type="dxa"/>
            <w:vAlign w:val="bottom"/>
          </w:tcPr>
          <w:p>
            <w:pPr>
              <w:spacing w:after="0"/>
              <w:rPr>
                <w:sz w:val="20"/>
                <w:szCs w:val="20"/>
                <w:color w:val="auto"/>
              </w:rPr>
            </w:pPr>
          </w:p>
        </w:tc>
        <w:tc>
          <w:tcPr>
            <w:tcW w:w="640" w:type="dxa"/>
            <w:vAlign w:val="bottom"/>
          </w:tcPr>
          <w:p>
            <w:pPr>
              <w:ind w:left="120"/>
              <w:spacing w:after="0"/>
              <w:rPr>
                <w:sz w:val="20"/>
                <w:szCs w:val="20"/>
                <w:color w:val="auto"/>
              </w:rPr>
            </w:pPr>
            <w:r>
              <w:rPr>
                <w:rFonts w:ascii="Arial" w:cs="Arial" w:eastAsia="Arial" w:hAnsi="Arial"/>
                <w:sz w:val="16"/>
                <w:szCs w:val="16"/>
                <w:color w:val="auto"/>
              </w:rPr>
              <w:t>12.1 %</w:t>
            </w:r>
          </w:p>
        </w:tc>
        <w:tc>
          <w:tcPr>
            <w:tcW w:w="1420" w:type="dxa"/>
            <w:vAlign w:val="bottom"/>
          </w:tcPr>
          <w:p>
            <w:pPr>
              <w:spacing w:after="0"/>
              <w:rPr>
                <w:sz w:val="20"/>
                <w:szCs w:val="20"/>
                <w:color w:val="auto"/>
              </w:rPr>
            </w:pPr>
          </w:p>
        </w:tc>
      </w:tr>
    </w:tbl>
    <w:p>
      <w:pPr>
        <w:spacing w:after="0" w:line="31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Research and development expense for the three months ended September 30, 2022 decreased $9.6 million, or 9.8%, compared to the three months ended September 30, 2021. The decrease was primarily due to a decrease in product development and research costs associated with development of new software features and products of $9.7 million and a decrease in personnel-related expenses of $7.0 million, primarily due to decreased average headcount. The overall decrease was partially offset by an increase in stock-based compensation expense of $13.3 million, primarily driven by an acceleration of certain restricted stock unit vesting schedules, the repricing of certain stock option awards, and an increased number of awards vesting.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00" w:type="dxa"/>
            <w:vAlign w:val="bottom"/>
          </w:tcPr>
          <w:p>
            <w:pPr>
              <w:spacing w:after="0"/>
              <w:rPr>
                <w:sz w:val="20"/>
                <w:szCs w:val="20"/>
                <w:color w:val="auto"/>
              </w:rPr>
            </w:pPr>
            <w:r>
              <w:rPr>
                <w:rFonts w:ascii="Arial" w:cs="Arial" w:eastAsia="Arial" w:hAnsi="Arial"/>
                <w:sz w:val="16"/>
                <w:szCs w:val="16"/>
                <w:i w:val="1"/>
                <w:iCs w:val="1"/>
                <w:color w:val="auto"/>
              </w:rPr>
              <w:t>Impairment expense</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87"/>
        </w:trPr>
        <w:tc>
          <w:tcPr>
            <w:tcW w:w="6200" w:type="dxa"/>
            <w:vAlign w:val="bottom"/>
          </w:tcPr>
          <w:p>
            <w:pPr>
              <w:spacing w:after="0"/>
              <w:rPr>
                <w:sz w:val="24"/>
                <w:szCs w:val="24"/>
                <w:color w:val="auto"/>
              </w:rPr>
            </w:pPr>
          </w:p>
        </w:tc>
        <w:tc>
          <w:tcPr>
            <w:tcW w:w="3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r>
        <w:trPr>
          <w:trHeight w:val="223"/>
        </w:trPr>
        <w:tc>
          <w:tcPr>
            <w:tcW w:w="6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(dollars in millions)</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c>
          <w:tcPr>
            <w:tcW w:w="146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6"/>
              </w:rPr>
              <w:t>NM*</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Impairment expense was comprised primarily of asset write-downs and write-offs related to our previously announced restructuring initiatives, including write-downs and write-offs related to Connected Fitness assets comprised primarily of connected fitness and supply chain asset impairments related to our exits of our remaining field operations locations, as well as assets at certain corporate office locations, which we exited during the quarter.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00" w:type="dxa"/>
            <w:vAlign w:val="bottom"/>
          </w:tcPr>
          <w:p>
            <w:pPr>
              <w:spacing w:after="0"/>
              <w:rPr>
                <w:sz w:val="20"/>
                <w:szCs w:val="20"/>
                <w:color w:val="auto"/>
              </w:rPr>
            </w:pPr>
            <w:r>
              <w:rPr>
                <w:rFonts w:ascii="Arial" w:cs="Arial" w:eastAsia="Arial" w:hAnsi="Arial"/>
                <w:sz w:val="16"/>
                <w:szCs w:val="16"/>
                <w:i w:val="1"/>
                <w:iCs w:val="1"/>
                <w:color w:val="auto"/>
              </w:rPr>
              <w:t>Restructuring expense</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87"/>
        </w:trPr>
        <w:tc>
          <w:tcPr>
            <w:tcW w:w="6200" w:type="dxa"/>
            <w:vAlign w:val="bottom"/>
          </w:tcPr>
          <w:p>
            <w:pPr>
              <w:spacing w:after="0"/>
              <w:rPr>
                <w:sz w:val="24"/>
                <w:szCs w:val="24"/>
                <w:color w:val="auto"/>
              </w:rPr>
            </w:pPr>
          </w:p>
        </w:tc>
        <w:tc>
          <w:tcPr>
            <w:tcW w:w="3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r>
        <w:trPr>
          <w:trHeight w:val="223"/>
        </w:trPr>
        <w:tc>
          <w:tcPr>
            <w:tcW w:w="6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(dollars in millions)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520" w:type="dxa"/>
            <w:vAlign w:val="bottom"/>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6"/>
              </w:rPr>
              <w:t>NM*</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Restructuring expense was $106.9 million in the three months ended September 30, 2022. The restructuring expenses consisted of $76.8 million of stock-based compensation expense, driven by incremental stock-based compensation expense from exercise window modifications and the acceleration of certain restricted stock unit vesting schedules pursuant to severance arrangements, and $27.0 million of cash severance and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other personnel costs. In addition, there was an increase of $3.0 million in professional fees and other costs associated with exit and disposal activities.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restructuring expenses for the three months ended September 30, 2021.</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20"/>
                <w:szCs w:val="20"/>
                <w:color w:val="auto"/>
              </w:rPr>
            </w:pPr>
            <w:r>
              <w:rPr>
                <w:rFonts w:ascii="Arial" w:cs="Arial" w:eastAsia="Arial" w:hAnsi="Arial"/>
                <w:sz w:val="16"/>
                <w:szCs w:val="16"/>
                <w:b w:val="1"/>
                <w:bCs w:val="1"/>
                <w:i w:val="1"/>
                <w:iCs w:val="1"/>
                <w:color w:val="auto"/>
              </w:rPr>
              <w:t>Other Expense, Net and Income Tax Expense</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86"/>
        </w:trPr>
        <w:tc>
          <w:tcPr>
            <w:tcW w:w="6200" w:type="dxa"/>
            <w:vAlign w:val="bottom"/>
          </w:tcPr>
          <w:p>
            <w:pPr>
              <w:spacing w:after="0"/>
              <w:rPr>
                <w:sz w:val="24"/>
                <w:szCs w:val="24"/>
                <w:color w:val="auto"/>
              </w:rPr>
            </w:pPr>
          </w:p>
        </w:tc>
        <w:tc>
          <w:tcPr>
            <w:tcW w:w="3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r>
        <w:trPr>
          <w:trHeight w:val="223"/>
        </w:trPr>
        <w:tc>
          <w:tcPr>
            <w:tcW w:w="6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4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(dollars in millions)</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44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(8.6)</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6"/>
              </w:rPr>
              <w:t>NM*</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0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4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98"/>
              </w:rPr>
              <w:t>0.6</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w w:val="96"/>
              </w:rPr>
              <w:t>NM*</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losses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(5.2)</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6"/>
              </w:rPr>
              <w:t>NM*</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0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4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rPr>
              <w:t>(0.7)</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w w:val="96"/>
              </w:rPr>
              <w:t>NM*</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2.4</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6"/>
              </w:rPr>
              <w:t>NM*</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Other expense, net, was comprised of the following for the three months ended September 30, 2022:</w:t>
      </w:r>
    </w:p>
    <w:p>
      <w:pPr>
        <w:spacing w:after="0" w:line="302"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Interest expense primarily related to the amortization of the convertible notes discount and deferred financing costs of $(20.9)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$4.0 million; and</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Foreign exchange losses of $(17.0) million.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Other expense, net, was comprised of the following for the three months ended September 30, 2021:</w:t>
      </w:r>
    </w:p>
    <w:p>
      <w:pPr>
        <w:spacing w:after="0" w:line="248"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Interest expense primarily related to the amortization of the convertible notes discount and deferred financing costs of $(8.6) million;</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$0.6 million;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i w:val="1"/>
          <w:iCs w:val="1"/>
          <w:color w:val="auto"/>
        </w:rPr>
      </w:pPr>
      <w:r>
        <w:rPr>
          <w:rFonts w:ascii="Arial" w:cs="Arial" w:eastAsia="Arial" w:hAnsi="Arial"/>
          <w:sz w:val="16"/>
          <w:szCs w:val="16"/>
          <w:color w:val="auto"/>
        </w:rPr>
        <w:t>Foreign exchange losses of $(5.2) million; and</w:t>
      </w:r>
    </w:p>
    <w:p>
      <w:pPr>
        <w:spacing w:after="0" w:line="18" w:lineRule="exact"/>
        <w:rPr>
          <w:rFonts w:ascii="Arial" w:cs="Arial" w:eastAsia="Arial" w:hAnsi="Arial"/>
          <w:sz w:val="16"/>
          <w:szCs w:val="16"/>
          <w:i w:val="1"/>
          <w:iCs w:val="1"/>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Unrealized losses on short-term investments of $(0.7) million.</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for the three months ended September 30, 2022 of $0.8 million was primarily due to state and international taxes.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5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 and Adjusted EBITDA Margin</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050505"/>
        </w:rPr>
        <w:t>We calculate Adjusted EBITDA as net (loss) income adjusted to exclude: other expense (income), net; income tax expense (benefit); depreciation and amortization expense; stock-based compensation expense; impairment expense; product recall costs; litigation and settlement expenses; transaction and integration costs; reorganization, severance, exit, disposal and other costs associated with restructuring plans; supplier settlements; and other adjustment items that arise outside the ordinary course of our business. Adjusted EBITDA Margin is calculated by dividing Adjusted EBITDA by total revenue.</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221" w:lineRule="exact"/>
        <w:rPr>
          <w:sz w:val="20"/>
          <w:szCs w:val="20"/>
          <w:color w:val="auto"/>
        </w:rPr>
      </w:pPr>
    </w:p>
    <w:p>
      <w:pPr>
        <w:jc w:val="both"/>
        <w:ind w:left="660" w:hanging="328"/>
        <w:spacing w:after="0" w:line="257"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and Adjusted EBITDA Margin are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48"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52"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 consistency and comparability with our past financial performance, facilitate period-to-period comparisons of our core operating results, and may also facilitate comparisons with other peer companies, many of which use similar non-GAAP financial measures to supplement their GAAP results.</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ectPr>
          <w:pgSz w:w="11900" w:h="16838" w:orient="portrait"/>
          <w:cols w:equalWidth="0" w:num="1">
            <w:col w:w="11240"/>
          </w:cols>
          <w:pgMar w:left="320" w:top="627"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32" w:name="page33"/>
    <w:bookmarkEnd w:id="32"/>
    <w:p>
      <w:pPr>
        <w:jc w:val="both"/>
        <w:ind w:left="660" w:hanging="328"/>
        <w:spacing w:after="0" w:line="262"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pacing w:after="0" w:line="31"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spacing w:after="0" w:line="19"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31" w:lineRule="exact"/>
        <w:rPr>
          <w:rFonts w:ascii="Arial" w:cs="Arial" w:eastAsia="Arial" w:hAnsi="Arial"/>
          <w:sz w:val="16"/>
          <w:szCs w:val="16"/>
          <w:color w:val="auto"/>
        </w:rPr>
      </w:pPr>
    </w:p>
    <w:p>
      <w:pPr>
        <w:jc w:val="both"/>
        <w:ind w:left="660" w:hanging="328"/>
        <w:spacing w:after="0" w:line="258"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certain litigation expenses, consisting of legal settlements and related fees for specific proceedings that we have determined arise outside of the ordinary course of business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w:t>
      </w:r>
    </w:p>
    <w:p>
      <w:pPr>
        <w:spacing w:after="0" w:line="37"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transaction and integration costs related to acquisitions;</w:t>
      </w:r>
    </w:p>
    <w:p>
      <w:pPr>
        <w:spacing w:after="0" w:line="59"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impairment charges for goodwill and fixed assets, and gains (losses) on disposals for fixed assets;</w:t>
      </w:r>
    </w:p>
    <w:p>
      <w:pPr>
        <w:spacing w:after="0" w:line="19"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the impact of purchase accounting adjustments to inventory related to the Precor acquisition;</w:t>
      </w:r>
    </w:p>
    <w:p>
      <w:pPr>
        <w:spacing w:after="0" w:line="19"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costs associated with Tread and Tread+ product recalls including increases to the return reserves, Tread+ inventory write-downs, logistics costs associated with Member requests on Tread and Tread+, the cost to move the Tread+ for those that elect the option, subscription waiver costs of service, and recall-related hardware development and repair costs;</w:t>
      </w:r>
    </w:p>
    <w:p>
      <w:pPr>
        <w:spacing w:after="0" w:line="31"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 xml:space="preserve">Adjusted EBITDA and Adjusted EBITDA Margin do not reflect </w:t>
      </w:r>
      <w:r>
        <w:rPr>
          <w:rFonts w:ascii="Arial" w:cs="Arial" w:eastAsia="Arial" w:hAnsi="Arial"/>
          <w:sz w:val="16"/>
          <w:szCs w:val="16"/>
          <w:color w:val="050505"/>
        </w:rPr>
        <w:t>reorganization, severance, exit, disposal and other costs associated with</w:t>
      </w:r>
      <w:r>
        <w:rPr>
          <w:rFonts w:ascii="Arial" w:cs="Arial" w:eastAsia="Arial" w:hAnsi="Arial"/>
          <w:sz w:val="16"/>
          <w:szCs w:val="16"/>
          <w:color w:val="auto"/>
        </w:rPr>
        <w:t xml:space="preserve"> </w:t>
      </w:r>
      <w:r>
        <w:rPr>
          <w:rFonts w:ascii="Arial" w:cs="Arial" w:eastAsia="Arial" w:hAnsi="Arial"/>
          <w:sz w:val="16"/>
          <w:szCs w:val="16"/>
          <w:color w:val="050505"/>
        </w:rPr>
        <w:t>restructuring plans;</w:t>
      </w:r>
    </w:p>
    <w:p>
      <w:pPr>
        <w:spacing w:after="0" w:line="19" w:lineRule="exact"/>
        <w:rPr>
          <w:rFonts w:ascii="Arial" w:cs="Arial" w:eastAsia="Arial" w:hAnsi="Arial"/>
          <w:sz w:val="16"/>
          <w:szCs w:val="16"/>
          <w:b w:val="1"/>
          <w:bCs w:val="1"/>
          <w:color w:val="auto"/>
        </w:rPr>
      </w:pPr>
    </w:p>
    <w:p>
      <w:pPr>
        <w:ind w:left="640" w:hanging="308"/>
        <w:spacing w:after="0"/>
        <w:tabs>
          <w:tab w:leader="none" w:pos="640" w:val="left"/>
        </w:tabs>
        <w:numPr>
          <w:ilvl w:val="0"/>
          <w:numId w:val="12"/>
        </w:numPr>
        <w:rPr>
          <w:rFonts w:ascii="Arial" w:cs="Arial" w:eastAsia="Arial" w:hAnsi="Arial"/>
          <w:sz w:val="16"/>
          <w:szCs w:val="16"/>
          <w:color w:val="050505"/>
        </w:rPr>
      </w:pPr>
      <w:r>
        <w:rPr>
          <w:rFonts w:ascii="Arial" w:cs="Arial" w:eastAsia="Arial" w:hAnsi="Arial"/>
          <w:sz w:val="16"/>
          <w:szCs w:val="16"/>
          <w:color w:val="050505"/>
        </w:rPr>
        <w:t>Adjusted EBITDA and Adjusted EBITDA Margin do not reflect non-recurring supplier settlements; and</w:t>
      </w:r>
    </w:p>
    <w:p>
      <w:pPr>
        <w:spacing w:after="0" w:line="59" w:lineRule="exact"/>
        <w:rPr>
          <w:rFonts w:ascii="Arial" w:cs="Arial" w:eastAsia="Arial" w:hAnsi="Arial"/>
          <w:sz w:val="16"/>
          <w:szCs w:val="16"/>
          <w:color w:val="050505"/>
        </w:rPr>
      </w:pPr>
    </w:p>
    <w:p>
      <w:pPr>
        <w:jc w:val="both"/>
        <w:ind w:left="660" w:hanging="328"/>
        <w:spacing w:after="0" w:line="262"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expenses or other items from these financial measures. Because companies in our industry may calculate such measures differently than we do, their usefulness as comparative measures can be limited.</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Because of these limitations, Adjusted EBITDA and Adjusted EBITDA Margin should be considered along with other operating and financial performance measures presented in accordance with GAAP.</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3"/>
        </w:trPr>
        <w:tc>
          <w:tcPr>
            <w:tcW w:w="7400" w:type="dxa"/>
            <w:vAlign w:val="bottom"/>
          </w:tcPr>
          <w:p>
            <w:pPr>
              <w:spacing w:after="0"/>
              <w:rPr>
                <w:sz w:val="23"/>
                <w:szCs w:val="23"/>
                <w:color w:val="auto"/>
              </w:rPr>
            </w:pPr>
          </w:p>
        </w:tc>
        <w:tc>
          <w:tcPr>
            <w:tcW w:w="384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Three Months Ended September 30,</w:t>
            </w:r>
          </w:p>
        </w:tc>
      </w:tr>
      <w:tr>
        <w:trPr>
          <w:trHeight w:val="223"/>
        </w:trPr>
        <w:tc>
          <w:tcPr>
            <w:tcW w:w="74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r>
      <w:tr>
        <w:trPr>
          <w:trHeight w:val="223"/>
        </w:trPr>
        <w:tc>
          <w:tcPr>
            <w:tcW w:w="7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(dollars in millions)</w:t>
            </w:r>
          </w:p>
        </w:tc>
        <w:tc>
          <w:tcPr>
            <w:tcW w:w="1140" w:type="dxa"/>
            <w:vAlign w:val="bottom"/>
          </w:tcPr>
          <w:p>
            <w:pPr>
              <w:spacing w:after="0"/>
              <w:rPr>
                <w:sz w:val="19"/>
                <w:szCs w:val="19"/>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(408.5)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(376.0)</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13.9</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14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2.4</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28.1</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4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52.9</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14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74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Product recalls</w:t>
            </w:r>
            <w:r>
              <w:rPr>
                <w:rFonts w:ascii="Arial" w:cs="Arial" w:eastAsia="Arial" w:hAnsi="Arial"/>
                <w:sz w:val="21"/>
                <w:szCs w:val="21"/>
                <w:color w:val="auto"/>
                <w:vertAlign w:val="superscript"/>
              </w:rPr>
              <w:t>(1)</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12.9</w:t>
            </w:r>
          </w:p>
        </w:tc>
      </w:tr>
      <w:tr>
        <w:trPr>
          <w:trHeight w:val="216"/>
        </w:trPr>
        <w:tc>
          <w:tcPr>
            <w:tcW w:w="7400" w:type="dxa"/>
            <w:vAlign w:val="bottom"/>
          </w:tcPr>
          <w:p>
            <w:pPr>
              <w:ind w:left="20"/>
              <w:spacing w:after="0" w:line="216" w:lineRule="exact"/>
              <w:rPr>
                <w:sz w:val="20"/>
                <w:szCs w:val="20"/>
                <w:color w:val="auto"/>
              </w:rPr>
            </w:pPr>
            <w:r>
              <w:rPr>
                <w:rFonts w:ascii="Arial" w:cs="Arial" w:eastAsia="Arial" w:hAnsi="Arial"/>
                <w:sz w:val="16"/>
                <w:szCs w:val="16"/>
                <w:color w:val="auto"/>
              </w:rPr>
              <w:t>Litigation and settlement expenses</w:t>
            </w:r>
            <w:r>
              <w:rPr>
                <w:rFonts w:ascii="Arial" w:cs="Arial" w:eastAsia="Arial" w:hAnsi="Arial"/>
                <w:sz w:val="21"/>
                <w:szCs w:val="21"/>
                <w:color w:val="auto"/>
                <w:vertAlign w:val="superscript"/>
              </w:rPr>
              <w:t>(2)</w:t>
            </w:r>
          </w:p>
        </w:tc>
        <w:tc>
          <w:tcPr>
            <w:tcW w:w="114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26.5</w:t>
            </w:r>
          </w:p>
        </w:tc>
      </w:tr>
      <w:tr>
        <w:trPr>
          <w:trHeight w:val="216"/>
        </w:trPr>
        <w:tc>
          <w:tcPr>
            <w:tcW w:w="7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adjustment items </w:t>
            </w:r>
            <w:r>
              <w:rPr>
                <w:rFonts w:ascii="Arial" w:cs="Arial" w:eastAsia="Arial" w:hAnsi="Arial"/>
                <w:sz w:val="21"/>
                <w:szCs w:val="21"/>
                <w:color w:val="auto"/>
                <w:vertAlign w:val="superscript"/>
              </w:rPr>
              <w:t>(3)</w:t>
            </w: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(233.7)</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1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1" w:lineRule="exact"/>
        <w:rPr>
          <w:sz w:val="20"/>
          <w:szCs w:val="20"/>
          <w:color w:val="auto"/>
        </w:rPr>
      </w:pPr>
    </w:p>
    <w:p>
      <w:pPr>
        <w:jc w:val="both"/>
        <w:ind w:firstLine="8"/>
        <w:spacing w:after="0" w:line="246" w:lineRule="auto"/>
        <w:tabs>
          <w:tab w:leader="none" w:pos="2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adjustments and charges associated with the Tread and Tread+ product recall, as well as accrual adjustments. These include a reduction to Connected Fitness Products revenue for actual and estimated future returns of $26.5 million and $11.4 million, recorded costs in Connected Fitness Products cost of revenue associated with inventory write-downs and logistic costs of $2.5 million and $0.5 million, and operating expenses of zero and $1.0 million associated with recall-related hardware development costs, in each case for the three months ended September 30, 2022 and 2021, respectively.</w:t>
      </w:r>
    </w:p>
    <w:p>
      <w:pPr>
        <w:sectPr>
          <w:pgSz w:w="11900" w:h="16838" w:orient="portrait"/>
          <w:cols w:equalWidth="0" w:num="1">
            <w:col w:w="11240"/>
          </w:cols>
          <w:pgMar w:left="320" w:top="870"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33" w:name="page34"/>
    <w:bookmarkEnd w:id="33"/>
    <w:p>
      <w:pPr>
        <w:ind w:left="200" w:hanging="192"/>
        <w:spacing w:after="0"/>
        <w:tabs>
          <w:tab w:leader="none" w:pos="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litigation-related expenses for certain non-recurring patent infringement litigation, consumer arbitration, and product recalls for the three months ended September 30, 2022 and 2021.</w:t>
      </w:r>
    </w:p>
    <w:p>
      <w:pPr>
        <w:spacing w:after="0" w:line="53" w:lineRule="exact"/>
        <w:rPr>
          <w:rFonts w:ascii="Arial" w:cs="Arial" w:eastAsia="Arial" w:hAnsi="Arial"/>
          <w:sz w:val="13"/>
          <w:szCs w:val="13"/>
          <w:color w:val="auto"/>
        </w:rPr>
      </w:pPr>
    </w:p>
    <w:p>
      <w:pPr>
        <w:ind w:firstLine="8"/>
        <w:spacing w:after="0" w:line="242" w:lineRule="auto"/>
        <w:tabs>
          <w:tab w:leader="none" w:pos="198"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transaction and integration costs of $0.8 million and $3.1 million for the three months ended September 30, 2022 and 2021, respectively, supplier settlements of $1.1 million for the three months ended September 30, 2022, and short-term purchase accounting adjustments of $1.9 million for the three months ended September 30, 2021.</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6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222" w:lineRule="exact"/>
        <w:rPr>
          <w:sz w:val="20"/>
          <w:szCs w:val="20"/>
          <w:color w:val="auto"/>
        </w:rPr>
      </w:pPr>
    </w:p>
    <w:p>
      <w:pPr>
        <w:jc w:val="both"/>
        <w:ind w:left="660" w:hanging="328"/>
        <w:spacing w:after="0" w:line="262"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45"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22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40" w:type="dxa"/>
            <w:vAlign w:val="bottom"/>
          </w:tcPr>
          <w:p>
            <w:pPr>
              <w:spacing w:after="0"/>
              <w:rPr>
                <w:sz w:val="18"/>
                <w:szCs w:val="18"/>
                <w:color w:val="auto"/>
              </w:rPr>
            </w:pPr>
          </w:p>
        </w:tc>
        <w:tc>
          <w:tcPr>
            <w:tcW w:w="380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r>
      <w:tr>
        <w:trPr>
          <w:trHeight w:val="220"/>
        </w:trPr>
        <w:tc>
          <w:tcPr>
            <w:tcW w:w="74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r>
      <w:tr>
        <w:trPr>
          <w:trHeight w:val="226"/>
        </w:trPr>
        <w:tc>
          <w:tcPr>
            <w:tcW w:w="7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(dollars in millions)</w:t>
            </w:r>
          </w:p>
        </w:tc>
        <w:tc>
          <w:tcPr>
            <w:tcW w:w="1140" w:type="dxa"/>
            <w:vAlign w:val="bottom"/>
          </w:tcPr>
          <w:p>
            <w:pPr>
              <w:spacing w:after="0"/>
              <w:rPr>
                <w:sz w:val="19"/>
                <w:szCs w:val="19"/>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412.3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304.1</w:t>
            </w: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Cost of Subscription</w:t>
            </w: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139.5</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101.4</w:t>
            </w:r>
          </w:p>
        </w:tc>
      </w:tr>
      <w:tr>
        <w:trPr>
          <w:trHeight w:val="23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272.8</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202.7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44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1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66.2 %</w:t>
            </w: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66.7 %</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744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Add back:</w:t>
            </w:r>
          </w:p>
        </w:tc>
        <w:tc>
          <w:tcPr>
            <w:tcW w:w="1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3"/>
        </w:trPr>
        <w:tc>
          <w:tcPr>
            <w:tcW w:w="744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5.4</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294.1</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211.7</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1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71.3 %</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69.6 %</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w:t>
      </w:r>
    </w:p>
    <w:p>
      <w:pPr>
        <w:spacing w:after="0" w:line="26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define Free Cash Flow as Net cash (used in) provided by operating activities less capital expenditures and capitalized internal-use software development costs.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sectPr>
          <w:pgSz w:w="11900" w:h="16838" w:orient="portrait"/>
          <w:cols w:equalWidth="0" w:num="1">
            <w:col w:w="11240"/>
          </w:cols>
          <w:pgMar w:left="320" w:top="673"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34" w:name="page35"/>
    <w:bookmarkEnd w:id="34"/>
    <w:p>
      <w:pPr>
        <w:jc w:val="both"/>
        <w:spacing w:after="0" w:line="260" w:lineRule="auto"/>
        <w:rPr>
          <w:sz w:val="20"/>
          <w:szCs w:val="20"/>
          <w:color w:val="auto"/>
        </w:rPr>
      </w:pPr>
      <w:r>
        <w:rPr>
          <w:rFonts w:ascii="Arial" w:cs="Arial" w:eastAsia="Arial" w:hAnsi="Arial"/>
          <w:sz w:val="16"/>
          <w:szCs w:val="16"/>
          <w:color w:val="auto"/>
        </w:rPr>
        <w:t>The following table presents a reconciliation of Free Cash Flow to Net cash used in operating activities, the most directly comparable financial measure prepared in accordance with GAAP, for each of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10"/>
        </w:trPr>
        <w:tc>
          <w:tcPr>
            <w:tcW w:w="7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shd w:val="clear" w:color="auto" w:fill="CCEEFF"/>
          </w:tcPr>
          <w:p>
            <w:pPr>
              <w:spacing w:after="0"/>
              <w:rPr>
                <w:sz w:val="18"/>
                <w:szCs w:val="18"/>
                <w:color w:val="auto"/>
              </w:rPr>
            </w:pP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Net cash used in operating activities</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(561.0)</w:t>
            </w:r>
          </w:p>
        </w:tc>
      </w:tr>
      <w:tr>
        <w:trPr>
          <w:trHeight w:val="216"/>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 including software</w:t>
            </w:r>
          </w:p>
        </w:tc>
        <w:tc>
          <w:tcPr>
            <w:tcW w:w="1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w:t>
            </w:r>
          </w:p>
        </w:tc>
      </w:tr>
      <w:tr>
        <w:trPr>
          <w:trHeight w:val="212"/>
        </w:trPr>
        <w:tc>
          <w:tcPr>
            <w:tcW w:w="760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(651.9)</w:t>
            </w:r>
          </w:p>
        </w:tc>
      </w:tr>
      <w:tr>
        <w:trPr>
          <w:trHeight w:val="21"/>
        </w:trPr>
        <w:tc>
          <w:tcPr>
            <w:tcW w:w="7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5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operations have been funded primarily through net proceeds from the sales of our equity and convertible debt securities, and term loan, as well as cash flows from operating activities. As of September 30, 2022, we had Cash and cash equivalents of approximately $938.5 million.</w:t>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anticipate approximately $75 million to $100 million of capital expenditures over the next 12 months, which includes amounts related to capitalized labor, investments in content and our studios, product development, systems implementation, and the impact of expenditures before any proceeds from the expected eventual sale of Peloton Output Park.</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believe our existing cash and cash equivalent balances and cash flow from operations will be sufficient to meet our working capital and capital expenditure needs for at least the next 12 months.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and manufacturing initiatives, the timing and financial impact of product recalls, sales and marketing activities, the timing of new 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Plan</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February 2022, we announced and began implementing the Restructuring Plan to realign our operational focus to support our multi-year growth, scale the business, and improve costs. The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2024.</w:t>
      </w:r>
    </w:p>
    <w:p>
      <w:pPr>
        <w:spacing w:after="0" w:line="22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July 2022, August 2022 and October 2022, the Company took actions to update the Restructuring Plan. On July 12, 2022 we announced we are exiting all owned-manufacturing operations and our expansion of our current relationship with Taiwanese manufacturer Rexon Industrial Corporation. Additionally, on August 12, 2022, we announced the decision to perform the following additional restructuring activities: (i) fully transition our North American Field Operations to third-party providers, including the significant reduction of our delivery workforce teams; (ii) eliminate a significant number of roles on the North America Member Support team and exit our real-estate footprints in our Plano and Tempe locations; and (iii) reduce our North America retail showroom presence. On October 6, 2022, we announced approximately 500 global team member positions have been eliminated.</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Total charges related to the Restructuring Plan were $169.8 million for three months ended September 30, 2022, consisting of cash charges of $27.0 million for severance and other personnel costs and $3.1 million for professional fees and other related charges, and non-cash charges of $62.9 million related to non-inventory asset write-downs and write-offs, and $76.8 million for stock-based compensation expense.</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Restructuring Plan, the Company estimates that it will incur additional cash charges of approximately $70 million, primarily composed of severance and other exit costs in fiscal year 2023 and beyond. Additionally, the Company expects to recognize additional non-cash charges of approximately $70 million, primarily composed of asset impairment and stock-based compensation charges in fiscal year 2023 in connection with the Restructuring Plan.</w:t>
      </w:r>
    </w:p>
    <w:p>
      <w:pPr>
        <w:spacing w:after="0" w:line="200" w:lineRule="exact"/>
        <w:rPr>
          <w:sz w:val="20"/>
          <w:szCs w:val="20"/>
          <w:color w:val="auto"/>
        </w:rPr>
      </w:pP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We may not be able to realize the cost savings and benefits initially anticipated as a result of the Restructuring Plan, and the costs may be greater than expected. See </w:t>
      </w:r>
      <w:r>
        <w:rPr>
          <w:rFonts w:ascii="Arial" w:cs="Arial" w:eastAsia="Arial" w:hAnsi="Arial"/>
          <w:sz w:val="16"/>
          <w:szCs w:val="16"/>
          <w:i w:val="1"/>
          <w:iCs w:val="1"/>
          <w:color w:val="auto"/>
        </w:rPr>
        <w:t>“Risk Factors—Risks Related to Our Business—We may not successfully execute or achieve the expected benefits of our restructuring</w:t>
      </w:r>
    </w:p>
    <w:p>
      <w:pPr>
        <w:jc w:val="both"/>
        <w:spacing w:after="0" w:line="270" w:lineRule="auto"/>
        <w:rPr>
          <w:sz w:val="20"/>
          <w:szCs w:val="20"/>
          <w:color w:val="auto"/>
        </w:rPr>
      </w:pPr>
      <w:r>
        <w:rPr>
          <w:rFonts w:ascii="Arial" w:cs="Arial" w:eastAsia="Arial" w:hAnsi="Arial"/>
          <w:sz w:val="16"/>
          <w:szCs w:val="16"/>
          <w:i w:val="1"/>
          <w:iCs w:val="1"/>
          <w:color w:val="auto"/>
        </w:rPr>
        <w:t>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 in our Form 10-K.</w:t>
      </w:r>
    </w:p>
    <w:p>
      <w:pPr>
        <w:sectPr>
          <w:pgSz w:w="11900" w:h="16838" w:orient="portrait"/>
          <w:cols w:equalWidth="0" w:num="1">
            <w:col w:w="11240"/>
          </w:cols>
          <w:pgMar w:left="320" w:top="870"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Convertible Notes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February 2021, we issued $1.0 billion aggregate principal amount of 0% Convertible Senior Notes due 2026 (the “Notes”) in a private offering, including the exercise in full of the over-allotment option granted to the initial purchasers of $125.0 million. The Notes were issued pursuant to an Indenture between us and U.S. Bank National Association, as trustee. The Notes are our senior unsecured obligations and do not bear regular interest, and the principal amount of the Notes does not accrete. The net proceeds from the offering were approximately $977.2 million, after deducting the initial purchasers’ discounts and commissions and our offering expenses.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Capped Call Transactions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offering of the Notes, we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we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A Common Stock Offering</w:t>
      </w:r>
    </w:p>
    <w:p>
      <w:pPr>
        <w:spacing w:after="0" w:line="6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November 16, 2021, we entered into an underwriting agreement (the “Underwriting Agreement”) with Goldman Sachs &amp; Co. LLC and J.P. Morgan Securities LLC as representatives of the several underwriters named therein (collectively, the “Representatives”) relating to the offer and sale by the Company (the “Offering”) of 27,173,912 shares (the “Shares”) of the Company’s Class A Common Stock, which includes 3,260,869 shares of Class A Common Stock issued and sold pursuant to the exercise in full by the underwriters of their option to purchase additional shares of Class A Common Stock pursuant to the Underwriting Agreement. We sold the Shares to the underwriters at the public offering price of $46.00 per share less underwriting discounts</w:t>
      </w:r>
      <w:r>
        <w:rPr>
          <w:rFonts w:ascii="Arial" w:cs="Arial" w:eastAsia="Arial" w:hAnsi="Arial"/>
          <w:sz w:val="16"/>
          <w:szCs w:val="16"/>
          <w:b w:val="1"/>
          <w:bCs w:val="1"/>
          <w:color w:val="auto"/>
        </w:rPr>
        <w:t>.</w:t>
      </w:r>
      <w:r>
        <w:rPr>
          <w:rFonts w:ascii="Arial" w:cs="Arial" w:eastAsia="Arial" w:hAnsi="Arial"/>
          <w:sz w:val="16"/>
          <w:szCs w:val="16"/>
          <w:color w:val="auto"/>
        </w:rPr>
        <w:t xml:space="preserve"> The net proceeds from the Offering were approximately $1.2 billion, after deducting the underwriters’ discounts and commissions and our offering expenses.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Second Amended and Restated Credit Agreement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2019, the Company entered into an amended and restated revolving credit agreement (as amended, modified or supplemented prior to entrance into the Second Amended and Restated Credit Agreement (as defined below), the “Amended and Restated Credit Agreement”). The Amended and Restated Credit Agreement provided for a $500.0 million secured revolving credit facility, including up to the lesser of $250.0 million and the aggregate unused amount of the facility for the issuance of letters of credit.</w:t>
      </w:r>
    </w:p>
    <w:p>
      <w:pPr>
        <w:spacing w:after="0" w:line="224"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The Amended and Restated Credit Agreement also permitted the incurrence of indebtedness to permit the Capped Call Transactions and issuance of the Notes.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May 25, 2022, the Company entered into an Amendment and Restatement Agreement to the Second Amended and Restated Credit Agreement (as amended, restated or otherwise modified from time to time, the “Second Amended and Restated Credit Agreement”) with JPMorgan Chase Bank, N.A., as administrative agent, and certain banks and financial institutions party thereto as lenders and issuing banks. Pursuant to the Second Amended and Restated Credit Agreement, the Company amended and restated the Amended and Restated Credit Agreement.</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Second Amended and Restated Credit Agreement provides for a $750.0 million term loan facility (the “Term Loan”), which will be due and payable on May 25, 2027 or, if greater than $200.0 million of the Notes are outstanding on November 16, 2025 (the “Springing Maturity Condition”), November 16, 2025 (the “Springing Maturity Date”). The Term Loan amortizes in quarterly installments of 0.25%, payable at the end of each fiscal quarter and on the maturity date.</w:t>
      </w: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Second Amended and Restated Credit Agreement also provides for a $500.0 million revolving credit facility (the “Revolving Facility”), $35.0 million of which will mature on June 20, 2024 (the “Non-Consenting Commitments”), with the rest ($465.0 million) maturing on December 10, 2026 (the “Consenting Commitments”) or if the Springing Maturity Condition is met and the Term Loan is outstanding on such date, the Springing Maturity Date. The key terms of the Revolving Facility remain substantially unchanged from those set forth in the Amended and Restated Credit Agreement, including requiring compliance with a total level of liquidity of not less than $250.0 million and maintaining a minimum total four-quarter revenue level of $3.0 billion (which are replaced with a covenant to maintain a minimum debt to adjusted EBITDA ratio upon our meeting a specified adjusted EBITDA threshold).</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36" w:name="page37"/>
    <w:bookmarkEnd w:id="36"/>
    <w:p>
      <w:pPr>
        <w:jc w:val="both"/>
        <w:spacing w:after="0" w:line="256" w:lineRule="auto"/>
        <w:rPr>
          <w:sz w:val="20"/>
          <w:szCs w:val="20"/>
          <w:color w:val="auto"/>
        </w:rPr>
      </w:pPr>
      <w:r>
        <w:rPr>
          <w:rFonts w:ascii="Arial" w:cs="Arial" w:eastAsia="Arial" w:hAnsi="Arial"/>
          <w:sz w:val="16"/>
          <w:szCs w:val="16"/>
          <w:color w:val="auto"/>
        </w:rPr>
        <w:t>The Term Loan bears interest at a rate equal to, at our option, either at the Alternate Base Rate (as defined in the Second Amended and Restated Credit Agreement) plus 5.50% per annum or the Adjusted Term SOFR Rate (as defined in the Second Amended and Restated Credit Agreement) plus 6.50% per annum. Each such margin will increase one time by 0.50% per annum if the Company chooses not to obtain a public rating for the Term Loan from S&amp;P Global Ratings or Moody’s Investors Services, Inc. on or prior to November 25, 2022. Any borrowing at the Alternate Base Rate is subject to a 1.00% floor and a term loan borrowed at the Adjusted Term SOFR Rate is subject to a 0.50% floor and any revolving loan borrowed at the Adjusted Term SOFR Rate is subject to a 0.00% floor.</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spacing w:after="0" w:line="24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September 30, 2022, we were in compliance with the covenants under the Second Amended and Restated Credit Agreement. As of September 30, 2022, we had drawn the full amount of the Term Loan and we had not drawn on the Revolving Facility, and we therefore had $748.1 million total outstanding borrowings under the Second Amended and Restated Credit Agreement. As of September 30, 2022, we had outstanding letters of credit totaling $82.6 million, of which $77.8 million is classified as Restricted cash on the Condensed Consolidated Balance Sheet.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87"/>
        </w:trPr>
        <w:tc>
          <w:tcPr>
            <w:tcW w:w="7600" w:type="dxa"/>
            <w:vAlign w:val="bottom"/>
          </w:tcPr>
          <w:p>
            <w:pPr>
              <w:spacing w:after="0"/>
              <w:rPr>
                <w:sz w:val="24"/>
                <w:szCs w:val="24"/>
                <w:color w:val="auto"/>
              </w:rPr>
            </w:pPr>
          </w:p>
        </w:tc>
        <w:tc>
          <w:tcPr>
            <w:tcW w:w="36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23"/>
        </w:trPr>
        <w:tc>
          <w:tcPr>
            <w:tcW w:w="76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23"/>
        </w:trPr>
        <w:tc>
          <w:tcPr>
            <w:tcW w:w="7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9"/>
                <w:szCs w:val="19"/>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(202.8)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(561.0)</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11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color w:val="auto"/>
              </w:rPr>
              <w:t>(43.6)</w:t>
            </w:r>
          </w:p>
        </w:tc>
        <w:tc>
          <w:tcPr>
            <w:tcW w:w="122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1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Net cash used in operating activities of $202.8 million for the three months ended September 30, 2022 was primarily due to a net loss of $408.5 million and a net increase in operating assets and liabilities of $106.8 million, offset by an increase in non-cash adjustments of $312.5 million. The increase in operating assets and liabilities was primarily due to a $178.7 million decrease in accounts payable and accrued expenses as a result of a decrease in payables due to decreased inventory spending, partially offset by a $109.9 million decrease in inventory. Non-cash adjustments primarily consisted of stock-based compensation expense, long lived asset impairment expense, depreciation and amortization, non-cash operating lease expense, and net foreign currency adjustments.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used in investing activities for the three months ended September 30, 2022 of $43.6 million was a result of capital expenditures primarily related the continued build out of our showrooms and offices, and software placed into service throughout the year.</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7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Net cash provided by financing activities of $2.1 million for the three months ended September 30, 2022 was primarily related to exercises of stock options of $4.1 million, partially offset by a $1.9 million principal repayment to the Term Loan.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our contractual obligations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Less than</w:t>
            </w:r>
          </w:p>
        </w:tc>
        <w:tc>
          <w:tcPr>
            <w:tcW w:w="160" w:type="dxa"/>
            <w:vAlign w:val="bottom"/>
          </w:tcPr>
          <w:p>
            <w:pPr>
              <w:spacing w:after="0"/>
              <w:rPr>
                <w:sz w:val="21"/>
                <w:szCs w:val="21"/>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1-3 years</w:t>
            </w:r>
          </w:p>
        </w:tc>
        <w:tc>
          <w:tcPr>
            <w:tcW w:w="240" w:type="dxa"/>
            <w:vAlign w:val="bottom"/>
          </w:tcPr>
          <w:p>
            <w:pPr>
              <w:spacing w:after="0"/>
              <w:rPr>
                <w:sz w:val="21"/>
                <w:szCs w:val="21"/>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21"/>
                <w:szCs w:val="21"/>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1 year</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165"/>
        </w:trPr>
        <w:tc>
          <w:tcPr>
            <w:tcW w:w="40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Lease obligations </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1,037.4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233.4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471.6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Minimum guarantees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Unused credit facility fee payments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Supplier settlements </w:t>
            </w:r>
            <w:r>
              <w:rPr>
                <w:rFonts w:ascii="Arial" w:cs="Arial" w:eastAsia="Arial" w:hAnsi="Arial"/>
                <w:sz w:val="21"/>
                <w:szCs w:val="21"/>
                <w:color w:val="auto"/>
                <w:vertAlign w:val="superscript"/>
              </w:rPr>
              <w:t>(6)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Term loan</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471.7</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ind w:firstLine="8"/>
        <w:spacing w:after="0"/>
        <w:tabs>
          <w:tab w:leader="none" w:pos="197" w:val="left"/>
        </w:tabs>
        <w:numPr>
          <w:ilvl w:val="0"/>
          <w:numId w:val="16"/>
        </w:numPr>
        <w:rPr>
          <w:rFonts w:ascii="Arial" w:cs="Arial" w:eastAsia="Arial" w:hAnsi="Arial"/>
          <w:sz w:val="13"/>
          <w:szCs w:val="13"/>
          <w:color w:val="050505"/>
        </w:rPr>
      </w:pPr>
      <w:r>
        <w:rPr>
          <w:rFonts w:ascii="Arial" w:cs="Arial" w:eastAsia="Arial" w:hAnsi="Arial"/>
          <w:sz w:val="13"/>
          <w:szCs w:val="13"/>
          <w:color w:val="050505"/>
        </w:rPr>
        <w:t xml:space="preserve">Lease obligations relate to our office space, warehouses, production studios, equipment, and retail showrooms and microstores. As of </w:t>
      </w:r>
      <w:r>
        <w:rPr>
          <w:rFonts w:ascii="Arial" w:cs="Arial" w:eastAsia="Arial" w:hAnsi="Arial"/>
          <w:sz w:val="13"/>
          <w:szCs w:val="13"/>
          <w:color w:val="000000"/>
        </w:rPr>
        <w:t>September 30, 2022</w:t>
      </w:r>
      <w:r>
        <w:rPr>
          <w:rFonts w:ascii="Arial" w:cs="Arial" w:eastAsia="Arial" w:hAnsi="Arial"/>
          <w:sz w:val="13"/>
          <w:szCs w:val="13"/>
          <w:color w:val="050505"/>
        </w:rPr>
        <w:t>, the Company had additional operating leases for real estate that have not yet commenced of $11.5 million which has been included above. The original lease terms are between one and twenty-one years, and the majority of the lease agreements are renewable at the end of the lease period. The Company has finance lease obligations of $2.6 million, also included above.</w:t>
      </w:r>
    </w:p>
    <w:p>
      <w:pPr>
        <w:spacing w:after="0" w:line="39" w:lineRule="exact"/>
        <w:rPr>
          <w:rFonts w:ascii="Arial" w:cs="Arial" w:eastAsia="Arial" w:hAnsi="Arial"/>
          <w:sz w:val="13"/>
          <w:szCs w:val="13"/>
          <w:color w:val="050505"/>
        </w:rPr>
      </w:pPr>
    </w:p>
    <w:p>
      <w:pPr>
        <w:jc w:val="both"/>
        <w:ind w:firstLine="8"/>
        <w:spacing w:after="0" w:line="260" w:lineRule="auto"/>
        <w:tabs>
          <w:tab w:leader="none" w:pos="193" w:val="left"/>
        </w:tabs>
        <w:numPr>
          <w:ilvl w:val="0"/>
          <w:numId w:val="16"/>
        </w:numPr>
        <w:rPr>
          <w:rFonts w:ascii="Arial" w:cs="Arial" w:eastAsia="Arial" w:hAnsi="Arial"/>
          <w:sz w:val="13"/>
          <w:szCs w:val="13"/>
          <w:color w:val="050505"/>
        </w:rPr>
      </w:pPr>
      <w:r>
        <w:rPr>
          <w:rFonts w:ascii="Arial" w:cs="Arial" w:eastAsia="Arial" w:hAnsi="Arial"/>
          <w:sz w:val="13"/>
          <w:szCs w:val="13"/>
          <w:color w:val="050505"/>
        </w:rPr>
        <w:t xml:space="preserve">We are subject to minimum royalty payments associated with our license agreements for the use of licensed content. See </w:t>
      </w:r>
      <w:r>
        <w:rPr>
          <w:rFonts w:ascii="Arial" w:cs="Arial" w:eastAsia="Arial" w:hAnsi="Arial"/>
          <w:sz w:val="13"/>
          <w:szCs w:val="13"/>
          <w:i w:val="1"/>
          <w:iCs w:val="1"/>
          <w:color w:val="050505"/>
        </w:rPr>
        <w:t>“Risk Factors — Risks Related to Our Business—</w:t>
      </w:r>
      <w:r>
        <w:rPr>
          <w:rFonts w:ascii="Arial" w:cs="Arial" w:eastAsia="Arial" w:hAnsi="Arial"/>
          <w:sz w:val="13"/>
          <w:szCs w:val="13"/>
          <w:color w:val="050505"/>
        </w:rPr>
        <w:t xml:space="preserve"> </w:t>
      </w:r>
      <w:r>
        <w:rPr>
          <w:rFonts w:ascii="Arial" w:cs="Arial" w:eastAsia="Arial" w:hAnsi="Arial"/>
          <w:sz w:val="13"/>
          <w:szCs w:val="13"/>
          <w:i w:val="1"/>
          <w:iCs w:val="1"/>
          <w:color w:val="000000"/>
        </w:rPr>
        <w:t>We are a party to many</w:t>
      </w:r>
      <w:r>
        <w:rPr>
          <w:rFonts w:ascii="Arial" w:cs="Arial" w:eastAsia="Arial" w:hAnsi="Arial"/>
          <w:sz w:val="13"/>
          <w:szCs w:val="13"/>
          <w:color w:val="050505"/>
        </w:rPr>
        <w:t xml:space="preserve"> </w:t>
      </w:r>
      <w:r>
        <w:rPr>
          <w:rFonts w:ascii="Arial" w:cs="Arial" w:eastAsia="Arial" w:hAnsi="Arial"/>
          <w:sz w:val="13"/>
          <w:szCs w:val="13"/>
          <w:i w:val="1"/>
          <w:iCs w:val="1"/>
          <w:color w:val="000000"/>
        </w:rPr>
        <w:t>music license agreements that are complex and impose numerous obligations upon us that may make it difficult to operate our business, and a breach of such agreements could adversely affect our business, operating results, and financial condition” in our Form 10-K.</w:t>
      </w:r>
    </w:p>
    <w:p>
      <w:pPr>
        <w:spacing w:after="0" w:line="39" w:lineRule="exact"/>
        <w:rPr>
          <w:rFonts w:ascii="Arial" w:cs="Arial" w:eastAsia="Arial" w:hAnsi="Arial"/>
          <w:sz w:val="13"/>
          <w:szCs w:val="13"/>
          <w:color w:val="050505"/>
        </w:rPr>
      </w:pPr>
    </w:p>
    <w:p>
      <w:pPr>
        <w:jc w:val="both"/>
        <w:ind w:firstLine="8"/>
        <w:spacing w:after="0"/>
        <w:tabs>
          <w:tab w:leader="none" w:pos="206" w:val="left"/>
        </w:tabs>
        <w:numPr>
          <w:ilvl w:val="0"/>
          <w:numId w:val="16"/>
        </w:numPr>
        <w:rPr>
          <w:rFonts w:ascii="Arial" w:cs="Arial" w:eastAsia="Arial" w:hAnsi="Arial"/>
          <w:sz w:val="13"/>
          <w:szCs w:val="13"/>
          <w:color w:val="auto"/>
        </w:rPr>
      </w:pPr>
      <w:r>
        <w:rPr>
          <w:rFonts w:ascii="Arial" w:cs="Arial" w:eastAsia="Arial" w:hAnsi="Arial"/>
          <w:sz w:val="13"/>
          <w:szCs w:val="13"/>
          <w:color w:val="auto"/>
        </w:rPr>
        <w:t>Pursuant to the Second Amended and Restated Credit Agreement, we are required to pay a commitment fee of 0.325% and 0.375% on a quarterly basis based on the unused portion of the Revolving Facility for the revolving loans maturing on December 10, 2026 and June 20, 2024, respectively. As of September 30, 2022, we had outstanding letters of credit totaling $82.6 million, of which $77.8 million was classified as Restricted cash.</w:t>
      </w:r>
    </w:p>
    <w:p>
      <w:pPr>
        <w:spacing w:after="0" w:line="64" w:lineRule="exact"/>
        <w:rPr>
          <w:rFonts w:ascii="Arial" w:cs="Arial" w:eastAsia="Arial" w:hAnsi="Arial"/>
          <w:sz w:val="13"/>
          <w:szCs w:val="13"/>
          <w:color w:val="auto"/>
        </w:rPr>
      </w:pPr>
    </w:p>
    <w:p>
      <w:pPr>
        <w:ind w:left="200" w:hanging="192"/>
        <w:spacing w:after="0"/>
        <w:tabs>
          <w:tab w:leader="none" w:pos="2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Other purchase obligations include all other non-cancelable contractual obligations. These contracts are primarily related to cloud computing costs.</w:t>
      </w:r>
    </w:p>
    <w:p>
      <w:pPr>
        <w:spacing w:after="0" w:line="41" w:lineRule="exact"/>
        <w:rPr>
          <w:rFonts w:ascii="Arial" w:cs="Arial" w:eastAsia="Arial" w:hAnsi="Arial"/>
          <w:sz w:val="13"/>
          <w:szCs w:val="13"/>
          <w:color w:val="auto"/>
        </w:rPr>
      </w:pPr>
    </w:p>
    <w:p>
      <w:pPr>
        <w:ind w:firstLine="8"/>
        <w:spacing w:after="0" w:line="248" w:lineRule="auto"/>
        <w:tabs>
          <w:tab w:leader="none" w:pos="189"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Refer to </w:t>
      </w:r>
      <w:r>
        <w:rPr>
          <w:rFonts w:ascii="Arial" w:cs="Arial" w:eastAsia="Arial" w:hAnsi="Arial"/>
          <w:sz w:val="13"/>
          <w:szCs w:val="13"/>
          <w:i w:val="1"/>
          <w:iCs w:val="1"/>
          <w:color w:val="auto"/>
        </w:rPr>
        <w:t>Note 7 - Debt</w:t>
      </w:r>
      <w:r>
        <w:rPr>
          <w:rFonts w:ascii="Arial" w:cs="Arial" w:eastAsia="Arial" w:hAnsi="Arial"/>
          <w:sz w:val="13"/>
          <w:szCs w:val="13"/>
          <w:color w:val="auto"/>
        </w:rPr>
        <w:t xml:space="preserve"> in the Notes to Condensed Consolidated Financial Statements in Part I, Item 1 of this Quarterly Report on Form 10-Q for further details regarding our convertible senior notes obligations.</w:t>
      </w:r>
    </w:p>
    <w:p>
      <w:pPr>
        <w:ind w:left="200" w:hanging="192"/>
        <w:spacing w:after="0"/>
        <w:tabs>
          <w:tab w:leader="none" w:pos="2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Supplier settlements relate to payments to third-party suppliers to exit purchase commitments.</w:t>
      </w:r>
    </w:p>
    <w:p>
      <w:pPr>
        <w:spacing w:after="0" w:line="35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blanket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non-cancellable, non-returnable components based on our provided forecasts.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our commitments to contract with third-party manufacturers for their inventory on-hand and component purchase commitments</w:t>
      </w:r>
    </w:p>
    <w:p>
      <w:pPr>
        <w:spacing w:after="0" w:line="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related to the manufacture of our products were estimated to be approximately $332.0 million. See </w:t>
      </w:r>
      <w:r>
        <w:rPr>
          <w:rFonts w:ascii="Arial" w:cs="Arial" w:eastAsia="Arial" w:hAnsi="Arial"/>
          <w:sz w:val="16"/>
          <w:szCs w:val="16"/>
          <w:i w:val="1"/>
          <w:iCs w:val="1"/>
          <w:color w:val="auto"/>
        </w:rPr>
        <w:t>“Risk Factors—Risks Related to Our Business—Our</w:t>
      </w:r>
      <w:r>
        <w:rPr>
          <w:rFonts w:ascii="Arial" w:cs="Arial" w:eastAsia="Arial" w:hAnsi="Arial"/>
          <w:sz w:val="16"/>
          <w:szCs w:val="16"/>
          <w:color w:val="auto"/>
        </w:rPr>
        <w:t xml:space="preserve"> </w:t>
      </w:r>
      <w:r>
        <w:rPr>
          <w:rFonts w:ascii="Arial" w:cs="Arial" w:eastAsia="Arial" w:hAnsi="Arial"/>
          <w:sz w:val="16"/>
          <w:szCs w:val="16"/>
          <w:i w:val="1"/>
          <w:iCs w:val="1"/>
          <w:color w:val="auto"/>
        </w:rPr>
        <w:t>operating results could be adversely affected if we are unable to accurately forecast consumer demand for our products and services and adequately manage our inventory</w:t>
      </w:r>
      <w:r>
        <w:rPr>
          <w:rFonts w:ascii="Arial" w:cs="Arial" w:eastAsia="Arial" w:hAnsi="Arial"/>
          <w:sz w:val="16"/>
          <w:szCs w:val="16"/>
          <w:color w:val="auto"/>
        </w:rPr>
        <w:t>” in our Form 10-K.</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undisclosed off-balance sheet arrangements as of September 30, 2022.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financial statements include those described in </w:t>
      </w:r>
      <w:r>
        <w:rPr>
          <w:rFonts w:ascii="Arial" w:cs="Arial" w:eastAsia="Arial" w:hAnsi="Arial"/>
          <w:sz w:val="16"/>
          <w:szCs w:val="16"/>
          <w:i w:val="1"/>
          <w:iCs w:val="1"/>
          <w:color w:val="auto"/>
        </w:rPr>
        <w:t>“Management's Discussion and Analysis of Financial Condition and Results of Operations—Critical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Estimates” </w:t>
      </w:r>
      <w:r>
        <w:rPr>
          <w:rFonts w:ascii="Arial" w:cs="Arial" w:eastAsia="Arial" w:hAnsi="Arial"/>
          <w:sz w:val="16"/>
          <w:szCs w:val="16"/>
          <w:color w:val="auto"/>
        </w:rPr>
        <w:t>in Part I, Item 7 of our Form 10-K.</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Revenue Recognition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As described in </w:t>
      </w:r>
      <w:r>
        <w:rPr>
          <w:rFonts w:ascii="Arial" w:cs="Arial" w:eastAsia="Arial" w:hAnsi="Arial"/>
          <w:sz w:val="16"/>
          <w:szCs w:val="16"/>
          <w:i w:val="1"/>
          <w:iCs w:val="1"/>
          <w:color w:val="auto"/>
        </w:rPr>
        <w:t>Note 8 - Commitments and Contingencies</w:t>
      </w:r>
      <w:r>
        <w:rPr>
          <w:rFonts w:ascii="Arial" w:cs="Arial" w:eastAsia="Arial" w:hAnsi="Arial"/>
          <w:sz w:val="16"/>
          <w:szCs w:val="16"/>
          <w:color w:val="auto"/>
        </w:rPr>
        <w:t xml:space="preserve"> in the Notes to Condensed Consolidated Financial Statements, the Company announced voluntary recalls of the Company’s Tread+ and Tread products, permitting customers to return the products for a refund. The amount of a refund customers are eligible to receive may differ based on the status of an approved remediation of the issue driving the recall, and the age of the Connected Fitness Unit being returned. We estimate a returns reserve primarily based on historical and expected product returns, product warranty, and service call trends. We also consider current trends in consumer behavior in order to identify correlations to current trends in returns. However, with current uncertainty in the global economy, negative press and general sentiment surrounding Peloton’s post-pandemic business and financial performance, and the absence of a complete remediation plan with the CPSC for our Tread+ product, predicting expected product returns based on historical returns becomes less relevant, requiring reliance on highly subjective estimates based on our interpretation of how current conditions and factors will drive consumer behavior.</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On October 18, 2022, the CPSC and the Company jointly announced that consumers now have more time to get a full refund if they wish to return their Tread+. With the extension of the full refund period for one additional year, to November 6, 2023, the Company expects that more Members will opt for a full refund, and accordingly has increased the Company’s return reserve. As of September 30, 2022 and June 30, 2022, our returns reserve related to the impacts of the recalls was $57.9 million and $40.8 million, respectively.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Accounting Pronouncements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in the Notes to Condensed Consolidated Financial Statements in Part I, Item 1 of this Quarterly Report on Form 10-Q under the section titled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xml:space="preserve"> for a discussion about new accounting pronouncements adopted and not yet adopted as of the date of this Quarterly Report on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had Cash and cash equivalents of $938.5 million as of September 30, 2022.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Quarterly Report on Form 10-Q would not have had a material impact on our condensed consolidated financial statements.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Second Amended and Restated Credit Agreement. We monitor our cost of borrowing under our facilities, taking into account our funding requirements, and our expectations for short-term rates in the future. A hypothetical 10% change in the interest rate on our Second Amended and Restated Credit Agreement for all periods presented would not have a material impact on our condensed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are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have the ability to use option contracts, to hedge certain exposures to fluctuations in foreign currency exchange rates. Our exposure to foreign currency exchange rates has historically been partially hedged as our foreign currency denominated inflows create a natural hedge against our foreign currency denominated expenses.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Given the recent rise in inflation, there have been and may continue to be additional pressures on the ongoing increases in supply chain and logistics costs, materials costs, and labor costs. While it is difficult to accurately measure the impact of inflation due to the imprecise nature of the estimates required, we have recently experienced the effects of inflation on our results of operations and financial condition. Our business could be more affected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or economic pressures.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ectPr>
          <w:pgSz w:w="11900" w:h="16838" w:orient="portrait"/>
          <w:cols w:equalWidth="0" w:num="1">
            <w:col w:w="11240"/>
          </w:cols>
          <w:pgMar w:left="320" w:top="648"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39" w:name="page40"/>
    <w:bookmarkEnd w:id="39"/>
    <w:p>
      <w:pPr>
        <w:ind w:right="240"/>
        <w:spacing w:after="0" w:line="260" w:lineRule="auto"/>
        <w:rPr>
          <w:sz w:val="20"/>
          <w:szCs w:val="20"/>
          <w:color w:val="auto"/>
        </w:rPr>
      </w:pPr>
      <w:r>
        <w:rPr>
          <w:rFonts w:ascii="Arial" w:cs="Arial" w:eastAsia="Arial" w:hAnsi="Arial"/>
          <w:sz w:val="16"/>
          <w:szCs w:val="16"/>
          <w:color w:val="auto"/>
        </w:rPr>
        <w:t>Under the supervision of our Chief Executive Officer and Chief Financial Officer, we evaluated the effectiveness of our disclosure controls and procedures (as defined in Rules 13a-15(e) and 15d-15(e) under the Exchange Act) as of September 30, 2022.</w:t>
      </w:r>
    </w:p>
    <w:p>
      <w:pPr>
        <w:spacing w:after="0" w:line="23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As described below, we previously identified material weaknesses in our internal control over financial reporting. Solely as a result of these material weaknesses, our Chief Executive Officer and Chief Financial Officer concluded that our disclosure controls and procedures were not effective as of September 30, 2022 due to the material weaknesses in our internal control over financial reporting described below.</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Previously Reported Material Weaknesses</w:t>
      </w:r>
    </w:p>
    <w:p>
      <w:pPr>
        <w:spacing w:after="0" w:line="66" w:lineRule="exact"/>
        <w:rPr>
          <w:sz w:val="20"/>
          <w:szCs w:val="20"/>
          <w:color w:val="auto"/>
        </w:rPr>
      </w:pPr>
    </w:p>
    <w:p>
      <w:pPr>
        <w:ind w:right="640"/>
        <w:spacing w:after="0" w:line="278" w:lineRule="auto"/>
        <w:rPr>
          <w:sz w:val="20"/>
          <w:szCs w:val="20"/>
          <w:color w:val="auto"/>
        </w:rPr>
      </w:pPr>
      <w:r>
        <w:rPr>
          <w:rFonts w:ascii="Arial" w:cs="Arial" w:eastAsia="Arial" w:hAnsi="Arial"/>
          <w:sz w:val="16"/>
          <w:szCs w:val="16"/>
          <w:color w:val="auto"/>
        </w:rPr>
        <w:t>As reported in Part II, Item 9A. “Controls and Procedures” of our Form 10-K, we previously identified a material weakness in our internal control over financial reporting related to controls around the existence, completeness, and valuation of inventory.</w:t>
      </w:r>
    </w:p>
    <w:p>
      <w:pPr>
        <w:spacing w:after="0" w:line="20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While management has made enhancements to its physical inventory compilation process throughout fiscal year 2022, we identified ongoing deficiencies in the operation of controls to validate the completeness and accuracy of key reports used in compiling and reviewing the results of our physical inventory counts.</w:t>
      </w:r>
    </w:p>
    <w:p>
      <w:pPr>
        <w:spacing w:after="0" w:line="221"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These same reports are also used in other controls over the valuation of ending inventory balances which results in those controls also being deficient. We continue to implement remediation efforts, which include:</w:t>
      </w:r>
    </w:p>
    <w:p>
      <w:pPr>
        <w:spacing w:after="0" w:line="208" w:lineRule="exact"/>
        <w:rPr>
          <w:sz w:val="20"/>
          <w:szCs w:val="20"/>
          <w:color w:val="auto"/>
        </w:rPr>
      </w:pPr>
    </w:p>
    <w:p>
      <w:pPr>
        <w:ind w:left="660" w:right="500" w:hanging="328"/>
        <w:spacing w:after="0" w:line="25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Increasing our communication with third-party logistics providers and our oversight over third-party logistics providers’ inventory management policies and procedures.</w:t>
      </w:r>
    </w:p>
    <w:p>
      <w:pPr>
        <w:ind w:left="660" w:right="260" w:hanging="328"/>
        <w:spacing w:after="0" w:line="25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Implementing additional monitoring controls to ensure consistency of inventory data across Peloton internal systems, our warehouses, and third-party logistics providers.</w:t>
      </w:r>
    </w:p>
    <w:p>
      <w:pPr>
        <w:ind w:left="660" w:right="100" w:hanging="328"/>
        <w:spacing w:after="0" w:line="24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Evaluating the effectiveness of our current cycle count program and controls, including IT general controls over systems facilitating cycle counts, to automate inventory count and reporting.</w:t>
      </w:r>
    </w:p>
    <w:p>
      <w:pPr>
        <w:ind w:left="660" w:right="560" w:hanging="328"/>
        <w:spacing w:after="0" w:line="278"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Providing training of standard operating procedures and internal controls to key stakeholders within the supply chain, logistics, and inventory processes.</w:t>
      </w:r>
    </w:p>
    <w:p>
      <w:pPr>
        <w:spacing w:after="0" w:line="20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In addition, in connection with our assessment of the effectiveness of internal control over financial reporting as of June 30, 2022, control deficiencies were identified that, in the aggregate, represent a material weakness in our internal control over financial reporting. These control deficiencies relate to (i) the design of our controls associated with the application of fair value measurements pertaining to goodwill and long-lived asset impairment analyses, as well as</w:t>
      </w:r>
    </w:p>
    <w:p>
      <w:pPr>
        <w:spacing w:after="0" w:line="1" w:lineRule="exact"/>
        <w:rPr>
          <w:sz w:val="20"/>
          <w:szCs w:val="20"/>
          <w:color w:val="auto"/>
        </w:rPr>
      </w:pPr>
    </w:p>
    <w:p>
      <w:pPr>
        <w:ind w:right="760" w:firstLine="8"/>
        <w:spacing w:after="0" w:line="278" w:lineRule="auto"/>
        <w:tabs>
          <w:tab w:leader="none" w:pos="22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evidence of the review supporting the validation of the inputs and assumptions used in our goodwill and long-lived asset impairment testing and restructuring assessment. In order to remediate this material weakness, we are implementing the following measures:</w:t>
      </w:r>
    </w:p>
    <w:p>
      <w:pPr>
        <w:spacing w:after="0" w:line="208" w:lineRule="exact"/>
        <w:rPr>
          <w:rFonts w:ascii="Arial" w:cs="Arial" w:eastAsia="Arial" w:hAnsi="Arial"/>
          <w:sz w:val="16"/>
          <w:szCs w:val="16"/>
          <w:color w:val="auto"/>
        </w:rPr>
      </w:pPr>
    </w:p>
    <w:p>
      <w:pPr>
        <w:ind w:left="660" w:right="100" w:hanging="328"/>
        <w:spacing w:after="0" w:line="246" w:lineRule="auto"/>
        <w:tabs>
          <w:tab w:leader="none" w:pos="6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Enhancing the design of our controls and implementing guidelines setting forth specific requirements for documenting our procedures for validating the data used in our impairment analysis and restructuring assessment.</w:t>
      </w:r>
    </w:p>
    <w:p>
      <w:pPr>
        <w:ind w:left="660" w:right="340" w:hanging="328"/>
        <w:spacing w:after="0"/>
        <w:tabs>
          <w:tab w:leader="none" w:pos="6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Implementing additional review and analysis procedures to validate compliance with our guidelines and our policies outlining the application fair value in accounting processes when required, including steps to improve the operation and monitoring of control activities and procedures associated with our impairment assessments.</w:t>
      </w:r>
    </w:p>
    <w:p>
      <w:pPr>
        <w:spacing w:after="0" w:line="1" w:lineRule="exact"/>
        <w:rPr>
          <w:rFonts w:ascii="Arial" w:cs="Arial" w:eastAsia="Arial" w:hAnsi="Arial"/>
          <w:sz w:val="16"/>
          <w:szCs w:val="16"/>
          <w:color w:val="auto"/>
        </w:rPr>
      </w:pPr>
    </w:p>
    <w:p>
      <w:pPr>
        <w:ind w:left="660" w:right="820" w:hanging="328"/>
        <w:spacing w:after="0" w:line="278" w:lineRule="auto"/>
        <w:tabs>
          <w:tab w:leader="none" w:pos="6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Determining any additional resources that may be necessary to effectively implement additional review and analysis procedures over the assumptions, inputs, and methodologies described herein.</w:t>
      </w:r>
    </w:p>
    <w:p>
      <w:pPr>
        <w:spacing w:after="0" w:line="20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actions that we are taking are subject to ongoing senior management review, as well as oversight of the audit committee of our Board of Directors. We also may conclude that additional measures may be required to remediate the material weaknesses or determine to modify the remediation plans described above. We will not be able to conclude that we have remediated the material weaknesses until the applicable controls are fully implemented and operate for a sufficient period of time and management has concluded, through formal testing, that these controls are operating effectively. We will continue to monitor the design and effectiveness of these and other processes, procedures, and controls and make any further changes management deems appropriate.</w:t>
      </w:r>
    </w:p>
    <w:p>
      <w:pPr>
        <w:spacing w:after="0" w:line="22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These material weaknesses did not result in any material misstatements in our financial statements or disclosures. Based on additional procedures and post-closing review, management concluded that the condensed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66" w:lineRule="exact"/>
        <w:rPr>
          <w:sz w:val="20"/>
          <w:szCs w:val="20"/>
          <w:color w:val="auto"/>
        </w:rPr>
      </w:pPr>
    </w:p>
    <w:p>
      <w:pPr>
        <w:jc w:val="both"/>
        <w:ind w:right="100"/>
        <w:spacing w:after="0" w:line="262" w:lineRule="auto"/>
        <w:rPr>
          <w:sz w:val="20"/>
          <w:szCs w:val="20"/>
          <w:color w:val="auto"/>
        </w:rPr>
      </w:pPr>
      <w:r>
        <w:rPr>
          <w:rFonts w:ascii="Arial" w:cs="Arial" w:eastAsia="Arial" w:hAnsi="Arial"/>
          <w:sz w:val="16"/>
          <w:szCs w:val="16"/>
          <w:color w:val="auto"/>
        </w:rPr>
        <w:t>Other than the remediation efforts described above, there were no changes in our internal control over financial reporting (as defined in Rules 13a-15(f) and 15d-15(f) under the Exchange Act) during the quarter ended September 30, 2022 that have materially affected, or are reasonably likely to materially affect, our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7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w:t>
      </w:r>
    </w:p>
    <w:p>
      <w:pPr>
        <w:sectPr>
          <w:pgSz w:w="11900" w:h="16838" w:orient="portrait"/>
          <w:cols w:equalWidth="0" w:num="1">
            <w:col w:w="11240"/>
          </w:cols>
          <w:pgMar w:left="320" w:top="627"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0" w:name="page41"/>
    <w:bookmarkEnd w:id="40"/>
    <w:p>
      <w:pPr>
        <w:spacing w:after="0" w:line="256" w:lineRule="auto"/>
        <w:rPr>
          <w:sz w:val="20"/>
          <w:szCs w:val="20"/>
          <w:color w:val="auto"/>
        </w:rPr>
      </w:pPr>
      <w:r>
        <w:rPr>
          <w:rFonts w:ascii="Arial" w:cs="Arial" w:eastAsia="Arial" w:hAnsi="Arial"/>
          <w:sz w:val="16"/>
          <w:szCs w:val="16"/>
          <w:color w:val="auto"/>
        </w:rPr>
        <w:t>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79" w:lineRule="exact"/>
        <w:rPr>
          <w:sz w:val="20"/>
          <w:szCs w:val="20"/>
          <w:color w:val="auto"/>
        </w:rPr>
      </w:pPr>
    </w:p>
    <w:p>
      <w:pPr>
        <w:ind w:right="1360"/>
        <w:spacing w:after="0" w:line="260" w:lineRule="auto"/>
        <w:rPr>
          <w:sz w:val="20"/>
          <w:szCs w:val="20"/>
          <w:color w:val="auto"/>
        </w:rPr>
      </w:pPr>
      <w:r>
        <w:rPr>
          <w:rFonts w:ascii="Arial" w:cs="Arial" w:eastAsia="Arial" w:hAnsi="Arial"/>
          <w:sz w:val="16"/>
          <w:szCs w:val="16"/>
          <w:color w:val="auto"/>
        </w:rPr>
        <w:t>From time to time, we may be involved in claims and proceedings arising in the ordinary course of our business. The outcome of any such claims or proceedings, regardless of the merits, is inherently uncertain.</w:t>
      </w:r>
    </w:p>
    <w:p>
      <w:pPr>
        <w:spacing w:after="0" w:line="220" w:lineRule="exact"/>
        <w:rPr>
          <w:sz w:val="20"/>
          <w:szCs w:val="20"/>
          <w:color w:val="auto"/>
        </w:rPr>
      </w:pPr>
    </w:p>
    <w:p>
      <w:pPr>
        <w:ind w:right="660"/>
        <w:spacing w:after="0" w:line="281" w:lineRule="auto"/>
        <w:rPr>
          <w:sz w:val="20"/>
          <w:szCs w:val="20"/>
          <w:color w:val="auto"/>
        </w:rPr>
      </w:pPr>
      <w:r>
        <w:rPr>
          <w:rFonts w:ascii="Arial" w:cs="Arial" w:eastAsia="Arial" w:hAnsi="Arial"/>
          <w:sz w:val="16"/>
          <w:szCs w:val="16"/>
          <w:color w:val="auto"/>
        </w:rPr>
        <w:t xml:space="preserve">For a discussion of legal and other proceedings in which we are involved, see </w:t>
      </w:r>
      <w:r>
        <w:rPr>
          <w:rFonts w:ascii="Arial" w:cs="Arial" w:eastAsia="Arial" w:hAnsi="Arial"/>
          <w:sz w:val="16"/>
          <w:szCs w:val="16"/>
          <w:i w:val="1"/>
          <w:iCs w:val="1"/>
          <w:color w:val="auto"/>
        </w:rPr>
        <w:t>Note 8 - Commitments and Contingencies</w:t>
      </w:r>
      <w:r>
        <w:rPr>
          <w:rFonts w:ascii="Arial" w:cs="Arial" w:eastAsia="Arial" w:hAnsi="Arial"/>
          <w:sz w:val="16"/>
          <w:szCs w:val="16"/>
          <w:color w:val="auto"/>
        </w:rPr>
        <w:t xml:space="preserve"> in the Notes to Condensed Consolidated Financial Statements in Part I, Item 1 of this Quarterly Report on Form 10-Q.</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previously disclosed under the section titled "Risk Factors" in the Company's Annual Report on Form 10-K for the fiscal year ended June 30, 2022, together with all of the other information contained in this Quarterly Report on Form 10-Q, including the section titled “Management’s Discussion and Analysis of Financial Condition and Results of Operations,” and our condensed consolidated financial statements and the accompanying notes and the information included elsewhere in this Quarterly Report on Form 10-Q and in our Form 10-K and our other public filings before deciding whether to invest in shares of our Class A Common Stock. These risks and uncertainties are not the only ones we face. Additional risks and uncertainties that we are unaware of or that we currently deem immaterial may also become important factors that adversely affect our business. If any of the previously disclosed risks occur, our business, financial condition, operating results, and future prospects could be materially and adversely affected. In that event, the market price of our Class A Common Stock could decline, and you could lose part or all of your investment. There have been no material changes to our risk factors since the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reporting the following information in lieu of reporting on a Current Report on Form 8-K under Item 5.02 Departure of Directors or Certain Officers; Election of Directors; Appointment of Certain Officers; Compensatory Arrangements of Certain Officers.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November 2, 2022, the Company and Allen J. Klingsick agreed that Mr. Klingsick would step down from his position as Chief Accounting Officer and Principal Accounting Officer of the Company, effective November 15, 2022 (the “CAO Transition Date”). Mr. Klingsick will provide certain consulting services to the Company through February 18, 2023, supporting the Company in the reporting of its second quarter of fiscal year 2023 financial results, among other functions. Mr. Klingsick’s departure is not the result of any disagreement with the Company on any subject, including its operations, policies or practices.</w:t>
      </w:r>
    </w:p>
    <w:p>
      <w:pPr>
        <w:spacing w:after="0" w:line="22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November 2, 2022, the Company appointed Saqib Baig as the Company’s Chief Accounting Officer and its Principal Accounting Officer, effective as of the CAO Transition Date.</w:t>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Mr. Baig, age 45, has 25 years of global experience at several public companies and accounting firms providing leadership to various aspects of the finance function. Mr. Baig most recently served as Controller - Accounting Risk, Valuation and Financial Reporting at Meta Platforms, Inc. (“Meta”), from July 2019 to November 2022, overseeing multiple controllership pillars, including SEC Reporting, Internal Reporting, Technical Accounting and Policy, Mergers &amp; Acquisitions, Business and Asset Valuations, Financial Accounting &amp; Reporting Risk Management, Loss Contingencies Controllership, and Equity Accounting. Prior to joining Meta, Mr. Baig served from August 2015 to July 2019 across various Treasury and Controllership roles at Colgate-Palmolive Co. Mr. Baig was a member of the Global Technical Controllership Team at the General Electric Company from December 2012 to August 2015, and he previously spent 15 years in roles within various public accounting firms, including PricewaterhouseCoopers, Ernst &amp; Young, and Deloitte across Asia, Europe, and North America. Mr. Baig received a Bachelor of Commerce degree from the University of Karachi in Pakistan and a Bachelor of Science in Accounting from Western Governors University in the United States. He is a licensed Certified Public Accountant, an Associate Member of The Institute of Chartered Accountants of Pakistan, and a Chartered Financial Analyst.</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There are no arrangements or understandings between Mr. Baig and any other persons pursuant to which he was appointed as an officer of the Company, no family relationships among any of the Company’s directors or executive officers and Mr. Baig, and he has no direct or indirect material interest in any transaction required to be disclosed pursuant to Item 404(a) of Regulation S-K.</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connection with his designation as Chief Accounting Officer and Principal Accounting Officer, Mr. Baig is entering into an employment offer letter, pursuant to which he is eligible for the following compensation: (i) an annual base salary of $750,000, (ii) a restricted stock unit award to acquire shares of the Company’s Class A Common Stock with an aggregate value of $3,250,000 (the “Equity Award”), (iii) up to $100,000 reimbursement of incurred relocation expenses, (iv) a one-time commuter travel benefit payment in the net amount of $45,000 for travel to New York City prior to and during his relocation, and (v) a sign-on restricted stock unit award to acquire shares of the Company’s Class A Common Stock with an aggregate value of $500,000 (the “Sign-On Award”). The Equity Award will vest over a four-year period, with 25% vesting on November 15, 2023 and 6.25% vesting quarterly thereafter, subject to Mr. Baig’s continued service. The Sign-On Award will vest over a two-year period, with 50% vesting on each of November 15, 2023 and November 15, 2024, subject to Mr. Baig’s continued service. Mr. Baig is also eligible to participate in the Company’s Severance and Change in Control Plan as a Tier 2 Participant.</w:t>
      </w:r>
    </w:p>
    <w:p>
      <w:pPr>
        <w:spacing w:after="0" w:line="200" w:lineRule="exact"/>
        <w:rPr>
          <w:sz w:val="20"/>
          <w:szCs w:val="20"/>
          <w:color w:val="auto"/>
        </w:rPr>
      </w:pP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Severance and Change in Control Plan was filed as Exhibit 10.9 to the Company’s Annual Report on Form 10-K (No. 001-39058), as filed with the SEC on September 11, 2020.</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addition to the compensation arrangement described above, the Company intends to enter into its standard form of indemnification agreement with Mr. Baig. The form of indemnification agreement was filed as Exhibit 10.1 to the Company’s Registration Statement on Form S-1 (No. 333-233482), as filed with the Securities and Exchange Commission (the “SEC”) on September 10, 2019.</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531495" cy="4457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1495" cy="445770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840" w:type="dxa"/>
            <w:vAlign w:val="bottom"/>
            <w:shd w:val="clear" w:color="auto" w:fill="FEFEFE"/>
          </w:tcPr>
          <w:p>
            <w:pPr>
              <w:spacing w:after="0"/>
              <w:rPr>
                <w:sz w:val="24"/>
                <w:szCs w:val="24"/>
                <w:color w:val="auto"/>
              </w:rPr>
            </w:pPr>
          </w:p>
        </w:tc>
        <w:tc>
          <w:tcPr>
            <w:tcW w:w="160" w:type="dxa"/>
            <w:vAlign w:val="bottom"/>
            <w:tcBorders>
              <w:bottom w:val="single" w:sz="8" w:color="FEFEFE"/>
              <w:right w:val="single" w:sz="8" w:color="FEFEFE"/>
            </w:tcBorders>
            <w:shd w:val="clear" w:color="auto" w:fill="FEFEFE"/>
          </w:tcPr>
          <w:p>
            <w:pPr>
              <w:spacing w:after="0"/>
              <w:rPr>
                <w:sz w:val="24"/>
                <w:szCs w:val="24"/>
                <w:color w:val="auto"/>
              </w:rPr>
            </w:pPr>
          </w:p>
        </w:tc>
        <w:tc>
          <w:tcPr>
            <w:tcW w:w="3320" w:type="dxa"/>
            <w:vAlign w:val="bottom"/>
            <w:tcBorders>
              <w:bottom w:val="single" w:sz="8" w:color="FEFEFE"/>
            </w:tcBorders>
            <w:shd w:val="clear" w:color="auto" w:fill="FEFEFE"/>
          </w:tcPr>
          <w:p>
            <w:pPr>
              <w:spacing w:after="0"/>
              <w:rPr>
                <w:sz w:val="24"/>
                <w:szCs w:val="24"/>
                <w:color w:val="auto"/>
              </w:rPr>
            </w:pPr>
          </w:p>
        </w:tc>
        <w:tc>
          <w:tcPr>
            <w:tcW w:w="900" w:type="dxa"/>
            <w:vAlign w:val="bottom"/>
            <w:tcBorders>
              <w:bottom w:val="single" w:sz="8" w:color="FEFEFE"/>
            </w:tcBorders>
            <w:shd w:val="clear" w:color="auto" w:fill="FEFEFE"/>
          </w:tcPr>
          <w:p>
            <w:pPr>
              <w:spacing w:after="0"/>
              <w:rPr>
                <w:sz w:val="24"/>
                <w:szCs w:val="24"/>
                <w:color w:val="auto"/>
              </w:rPr>
            </w:pPr>
          </w:p>
        </w:tc>
        <w:tc>
          <w:tcPr>
            <w:tcW w:w="20" w:type="dxa"/>
            <w:vAlign w:val="bottom"/>
            <w:tcBorders>
              <w:bottom w:val="single" w:sz="8" w:color="FEFEFE"/>
            </w:tcBorders>
            <w:shd w:val="clear" w:color="auto" w:fill="FEFEFE"/>
          </w:tcPr>
          <w:p>
            <w:pPr>
              <w:spacing w:after="0"/>
              <w:rPr>
                <w:sz w:val="24"/>
                <w:szCs w:val="24"/>
                <w:color w:val="auto"/>
              </w:rPr>
            </w:pPr>
          </w:p>
        </w:tc>
        <w:tc>
          <w:tcPr>
            <w:tcW w:w="60" w:type="dxa"/>
            <w:vAlign w:val="bottom"/>
            <w:tcBorders>
              <w:bottom w:val="single" w:sz="8" w:color="FEFEFE"/>
            </w:tcBorders>
            <w:shd w:val="clear" w:color="auto" w:fill="FEFEFE"/>
          </w:tcPr>
          <w:p>
            <w:pPr>
              <w:spacing w:after="0"/>
              <w:rPr>
                <w:sz w:val="24"/>
                <w:szCs w:val="24"/>
                <w:color w:val="auto"/>
              </w:rPr>
            </w:pPr>
          </w:p>
        </w:tc>
        <w:tc>
          <w:tcPr>
            <w:tcW w:w="140" w:type="dxa"/>
            <w:vAlign w:val="bottom"/>
            <w:tcBorders>
              <w:bottom w:val="single" w:sz="8" w:color="FEFEFE"/>
            </w:tcBorders>
            <w:shd w:val="clear" w:color="auto" w:fill="FEFEFE"/>
          </w:tcPr>
          <w:p>
            <w:pPr>
              <w:spacing w:after="0"/>
              <w:rPr>
                <w:sz w:val="24"/>
                <w:szCs w:val="24"/>
                <w:color w:val="auto"/>
              </w:rPr>
            </w:pPr>
          </w:p>
        </w:tc>
        <w:tc>
          <w:tcPr>
            <w:tcW w:w="40" w:type="dxa"/>
            <w:vAlign w:val="bottom"/>
            <w:tcBorders>
              <w:bottom w:val="single" w:sz="8" w:color="FEFEFE"/>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spacing w:after="0"/>
              <w:rPr>
                <w:sz w:val="24"/>
                <w:szCs w:val="24"/>
                <w:color w:val="auto"/>
              </w:rPr>
            </w:pPr>
          </w:p>
        </w:tc>
        <w:tc>
          <w:tcPr>
            <w:tcW w:w="2560" w:type="dxa"/>
            <w:vAlign w:val="bottom"/>
            <w:tcBorders>
              <w:bottom w:val="single" w:sz="8" w:color="auto"/>
            </w:tcBorders>
            <w:gridSpan w:val="2"/>
            <w:shd w:val="clear" w:color="auto" w:fill="FEFEFE"/>
          </w:tcPr>
          <w:p>
            <w:pPr>
              <w:jc w:val="right"/>
              <w:ind w:right="19"/>
              <w:spacing w:after="0"/>
              <w:rPr>
                <w:sz w:val="20"/>
                <w:szCs w:val="20"/>
                <w:color w:val="auto"/>
              </w:rPr>
            </w:pPr>
            <w:r>
              <w:rPr>
                <w:rFonts w:ascii="Arial" w:cs="Arial" w:eastAsia="Arial" w:hAnsi="Arial"/>
                <w:sz w:val="16"/>
                <w:szCs w:val="16"/>
                <w:b w:val="1"/>
                <w:bCs w:val="1"/>
                <w:color w:val="auto"/>
              </w:rPr>
              <w:t>Incorporated by Reference</w:t>
            </w:r>
          </w:p>
        </w:tc>
        <w:tc>
          <w:tcPr>
            <w:tcW w:w="1140" w:type="dxa"/>
            <w:vAlign w:val="bottom"/>
            <w:tcBorders>
              <w:bottom w:val="single" w:sz="8" w:color="auto"/>
            </w:tcBorders>
            <w:shd w:val="clear" w:color="auto" w:fill="FEFEFE"/>
          </w:tcPr>
          <w:p>
            <w:pPr>
              <w:spacing w:after="0"/>
              <w:rPr>
                <w:sz w:val="24"/>
                <w:szCs w:val="24"/>
                <w:color w:val="auto"/>
              </w:rPr>
            </w:pPr>
          </w:p>
        </w:tc>
      </w:tr>
      <w:tr>
        <w:trPr>
          <w:trHeight w:val="164"/>
        </w:trPr>
        <w:tc>
          <w:tcPr>
            <w:tcW w:w="840" w:type="dxa"/>
            <w:vAlign w:val="bottom"/>
          </w:tcPr>
          <w:p>
            <w:pPr>
              <w:jc w:val="right"/>
              <w:ind w:right="59"/>
              <w:spacing w:after="0" w:line="165" w:lineRule="exact"/>
              <w:rPr>
                <w:sz w:val="20"/>
                <w:szCs w:val="20"/>
                <w:color w:val="auto"/>
              </w:rPr>
            </w:pPr>
            <w:r>
              <w:rPr>
                <w:rFonts w:ascii="Arial" w:cs="Arial" w:eastAsia="Arial" w:hAnsi="Arial"/>
                <w:sz w:val="16"/>
                <w:szCs w:val="16"/>
                <w:b w:val="1"/>
                <w:bCs w:val="1"/>
                <w:color w:val="auto"/>
              </w:rPr>
              <w:t>Exhibit</w:t>
            </w:r>
          </w:p>
        </w:tc>
        <w:tc>
          <w:tcPr>
            <w:tcW w:w="160" w:type="dxa"/>
            <w:vAlign w:val="bottom"/>
            <w:tcBorders>
              <w:right w:val="single" w:sz="8" w:color="FEFEFE"/>
            </w:tcBorders>
            <w:shd w:val="clear" w:color="auto" w:fill="FEFEFE"/>
          </w:tcPr>
          <w:p>
            <w:pPr>
              <w:spacing w:after="0"/>
              <w:rPr>
                <w:sz w:val="14"/>
                <w:szCs w:val="14"/>
                <w:color w:val="auto"/>
              </w:rPr>
            </w:pPr>
          </w:p>
        </w:tc>
        <w:tc>
          <w:tcPr>
            <w:tcW w:w="4480" w:type="dxa"/>
            <w:vAlign w:val="bottom"/>
            <w:gridSpan w:val="6"/>
            <w:shd w:val="clear" w:color="auto" w:fill="FEFEFE"/>
          </w:tcPr>
          <w:p>
            <w:pPr>
              <w:ind w:left="1780"/>
              <w:spacing w:after="0" w:line="165" w:lineRule="exact"/>
              <w:rPr>
                <w:sz w:val="20"/>
                <w:szCs w:val="20"/>
                <w:color w:val="auto"/>
              </w:rPr>
            </w:pPr>
            <w:r>
              <w:rPr>
                <w:rFonts w:ascii="Arial" w:cs="Arial" w:eastAsia="Arial" w:hAnsi="Arial"/>
                <w:sz w:val="16"/>
                <w:szCs w:val="16"/>
                <w:b w:val="1"/>
                <w:bCs w:val="1"/>
                <w:color w:val="auto"/>
              </w:rPr>
              <w:t>Exhibit Title</w:t>
            </w:r>
          </w:p>
        </w:tc>
        <w:tc>
          <w:tcPr>
            <w:tcW w:w="840" w:type="dxa"/>
            <w:vAlign w:val="bottom"/>
            <w:shd w:val="clear" w:color="auto" w:fill="FEFEFE"/>
          </w:tcPr>
          <w:p>
            <w:pPr>
              <w:ind w:left="220"/>
              <w:spacing w:after="0" w:line="165" w:lineRule="exact"/>
              <w:rPr>
                <w:sz w:val="20"/>
                <w:szCs w:val="20"/>
                <w:color w:val="auto"/>
              </w:rPr>
            </w:pPr>
            <w:r>
              <w:rPr>
                <w:rFonts w:ascii="Arial" w:cs="Arial" w:eastAsia="Arial" w:hAnsi="Arial"/>
                <w:sz w:val="16"/>
                <w:szCs w:val="16"/>
                <w:b w:val="1"/>
                <w:bCs w:val="1"/>
                <w:color w:val="auto"/>
              </w:rPr>
              <w:t>Form</w:t>
            </w:r>
          </w:p>
        </w:tc>
        <w:tc>
          <w:tcPr>
            <w:tcW w:w="1140" w:type="dxa"/>
            <w:vAlign w:val="bottom"/>
            <w:shd w:val="clear" w:color="auto" w:fill="FEFEFE"/>
          </w:tcPr>
          <w:p>
            <w:pPr>
              <w:jc w:val="right"/>
              <w:ind w:right="199"/>
              <w:spacing w:after="0" w:line="165" w:lineRule="exact"/>
              <w:rPr>
                <w:sz w:val="20"/>
                <w:szCs w:val="20"/>
                <w:color w:val="auto"/>
              </w:rPr>
            </w:pPr>
            <w:r>
              <w:rPr>
                <w:rFonts w:ascii="Arial" w:cs="Arial" w:eastAsia="Arial" w:hAnsi="Arial"/>
                <w:sz w:val="16"/>
                <w:szCs w:val="16"/>
                <w:b w:val="1"/>
                <w:bCs w:val="1"/>
                <w:color w:val="auto"/>
              </w:rPr>
              <w:t>File No.</w:t>
            </w:r>
          </w:p>
        </w:tc>
        <w:tc>
          <w:tcPr>
            <w:tcW w:w="1420" w:type="dxa"/>
            <w:vAlign w:val="bottom"/>
            <w:shd w:val="clear" w:color="auto" w:fill="FEFEFE"/>
          </w:tcPr>
          <w:p>
            <w:pPr>
              <w:jc w:val="right"/>
              <w:ind w:right="419"/>
              <w:spacing w:after="0" w:line="165" w:lineRule="exact"/>
              <w:rPr>
                <w:sz w:val="20"/>
                <w:szCs w:val="20"/>
                <w:color w:val="auto"/>
              </w:rPr>
            </w:pPr>
            <w:r>
              <w:rPr>
                <w:rFonts w:ascii="Arial" w:cs="Arial" w:eastAsia="Arial" w:hAnsi="Arial"/>
                <w:sz w:val="16"/>
                <w:szCs w:val="16"/>
                <w:b w:val="1"/>
                <w:bCs w:val="1"/>
                <w:color w:val="auto"/>
              </w:rPr>
              <w:t>Exhibit</w:t>
            </w:r>
          </w:p>
        </w:tc>
        <w:tc>
          <w:tcPr>
            <w:tcW w:w="1140" w:type="dxa"/>
            <w:vAlign w:val="bottom"/>
            <w:shd w:val="clear" w:color="auto" w:fill="FEFEFE"/>
          </w:tcPr>
          <w:p>
            <w:pPr>
              <w:jc w:val="right"/>
              <w:ind w:right="139"/>
              <w:spacing w:after="0" w:line="165" w:lineRule="exact"/>
              <w:rPr>
                <w:sz w:val="20"/>
                <w:szCs w:val="20"/>
                <w:color w:val="auto"/>
              </w:rPr>
            </w:pPr>
            <w:r>
              <w:rPr>
                <w:rFonts w:ascii="Arial" w:cs="Arial" w:eastAsia="Arial" w:hAnsi="Arial"/>
                <w:sz w:val="16"/>
                <w:szCs w:val="16"/>
                <w:b w:val="1"/>
                <w:bCs w:val="1"/>
                <w:color w:val="auto"/>
              </w:rPr>
              <w:t>Filing Date</w:t>
            </w:r>
          </w:p>
        </w:tc>
      </w:tr>
      <w:tr>
        <w:trPr>
          <w:trHeight w:val="228"/>
        </w:trPr>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160" w:type="dxa"/>
            <w:vAlign w:val="bottom"/>
            <w:tcBorders>
              <w:bottom w:val="single" w:sz="8" w:color="FEFEFE"/>
              <w:right w:val="single" w:sz="8" w:color="FEFEFE"/>
            </w:tcBorders>
            <w:shd w:val="clear" w:color="auto" w:fill="FEFEFE"/>
          </w:tcPr>
          <w:p>
            <w:pPr>
              <w:spacing w:after="0"/>
              <w:rPr>
                <w:sz w:val="19"/>
                <w:szCs w:val="19"/>
                <w:color w:val="auto"/>
              </w:rPr>
            </w:pPr>
          </w:p>
        </w:tc>
        <w:tc>
          <w:tcPr>
            <w:tcW w:w="3320" w:type="dxa"/>
            <w:vAlign w:val="bottom"/>
            <w:tcBorders>
              <w:bottom w:val="single" w:sz="8" w:color="FEFEFE"/>
            </w:tcBorders>
            <w:shd w:val="clear" w:color="auto" w:fill="FEFEFE"/>
          </w:tcPr>
          <w:p>
            <w:pPr>
              <w:spacing w:after="0"/>
              <w:rPr>
                <w:sz w:val="19"/>
                <w:szCs w:val="19"/>
                <w:color w:val="auto"/>
              </w:rPr>
            </w:pPr>
          </w:p>
        </w:tc>
        <w:tc>
          <w:tcPr>
            <w:tcW w:w="900" w:type="dxa"/>
            <w:vAlign w:val="bottom"/>
            <w:tcBorders>
              <w:bottom w:val="single" w:sz="8" w:color="FEFEFE"/>
            </w:tcBorders>
            <w:shd w:val="clear" w:color="auto" w:fill="FEFEFE"/>
          </w:tcPr>
          <w:p>
            <w:pPr>
              <w:spacing w:after="0"/>
              <w:rPr>
                <w:sz w:val="19"/>
                <w:szCs w:val="19"/>
                <w:color w:val="auto"/>
              </w:rPr>
            </w:pPr>
          </w:p>
        </w:tc>
        <w:tc>
          <w:tcPr>
            <w:tcW w:w="20" w:type="dxa"/>
            <w:vAlign w:val="bottom"/>
            <w:tcBorders>
              <w:bottom w:val="single" w:sz="8" w:color="FEFEFE"/>
            </w:tcBorders>
            <w:shd w:val="clear" w:color="auto" w:fill="FEFEFE"/>
          </w:tcPr>
          <w:p>
            <w:pPr>
              <w:spacing w:after="0"/>
              <w:rPr>
                <w:sz w:val="19"/>
                <w:szCs w:val="19"/>
                <w:color w:val="auto"/>
              </w:rPr>
            </w:pPr>
          </w:p>
        </w:tc>
        <w:tc>
          <w:tcPr>
            <w:tcW w:w="60" w:type="dxa"/>
            <w:vAlign w:val="bottom"/>
            <w:tcBorders>
              <w:bottom w:val="single" w:sz="8" w:color="FEFEFE"/>
            </w:tcBorders>
            <w:shd w:val="clear" w:color="auto" w:fill="FEFEFE"/>
          </w:tcPr>
          <w:p>
            <w:pPr>
              <w:spacing w:after="0"/>
              <w:rPr>
                <w:sz w:val="19"/>
                <w:szCs w:val="19"/>
                <w:color w:val="auto"/>
              </w:rPr>
            </w:pPr>
          </w:p>
        </w:tc>
        <w:tc>
          <w:tcPr>
            <w:tcW w:w="140" w:type="dxa"/>
            <w:vAlign w:val="bottom"/>
            <w:tcBorders>
              <w:bottom w:val="single" w:sz="8" w:color="FEFEFE"/>
            </w:tcBorders>
            <w:shd w:val="clear" w:color="auto" w:fill="FEFEFE"/>
          </w:tcPr>
          <w:p>
            <w:pPr>
              <w:spacing w:after="0"/>
              <w:rPr>
                <w:sz w:val="19"/>
                <w:szCs w:val="19"/>
                <w:color w:val="auto"/>
              </w:rPr>
            </w:pPr>
          </w:p>
        </w:tc>
        <w:tc>
          <w:tcPr>
            <w:tcW w:w="40" w:type="dxa"/>
            <w:vAlign w:val="bottom"/>
            <w:tcBorders>
              <w:bottom w:val="single" w:sz="8" w:color="FEFEFE"/>
            </w:tcBorders>
            <w:shd w:val="clear" w:color="auto" w:fill="FEFEFE"/>
          </w:tcPr>
          <w:p>
            <w:pPr>
              <w:spacing w:after="0"/>
              <w:rPr>
                <w:sz w:val="19"/>
                <w:szCs w:val="19"/>
                <w:color w:val="auto"/>
              </w:rPr>
            </w:pPr>
          </w:p>
        </w:tc>
        <w:tc>
          <w:tcPr>
            <w:tcW w:w="840" w:type="dxa"/>
            <w:vAlign w:val="bottom"/>
            <w:tcBorders>
              <w:bottom w:val="single" w:sz="8" w:color="FEFEFE"/>
            </w:tcBorders>
            <w:shd w:val="clear" w:color="auto" w:fill="FEFEFE"/>
          </w:tcPr>
          <w:p>
            <w:pPr>
              <w:spacing w:after="0"/>
              <w:rPr>
                <w:sz w:val="19"/>
                <w:szCs w:val="19"/>
                <w:color w:val="auto"/>
              </w:rPr>
            </w:pPr>
          </w:p>
        </w:tc>
        <w:tc>
          <w:tcPr>
            <w:tcW w:w="1140" w:type="dxa"/>
            <w:vAlign w:val="bottom"/>
            <w:tcBorders>
              <w:bottom w:val="single" w:sz="8" w:color="FEFEFE"/>
            </w:tcBorders>
            <w:shd w:val="clear" w:color="auto" w:fill="FEFEFE"/>
          </w:tcPr>
          <w:p>
            <w:pPr>
              <w:spacing w:after="0"/>
              <w:rPr>
                <w:sz w:val="19"/>
                <w:szCs w:val="19"/>
                <w:color w:val="auto"/>
              </w:rPr>
            </w:pPr>
          </w:p>
        </w:tc>
        <w:tc>
          <w:tcPr>
            <w:tcW w:w="1420" w:type="dxa"/>
            <w:vAlign w:val="bottom"/>
            <w:tcBorders>
              <w:bottom w:val="single" w:sz="8" w:color="FEFEFE"/>
            </w:tcBorders>
            <w:shd w:val="clear" w:color="auto" w:fill="FEFEFE"/>
          </w:tcPr>
          <w:p>
            <w:pPr>
              <w:spacing w:after="0"/>
              <w:rPr>
                <w:sz w:val="19"/>
                <w:szCs w:val="19"/>
                <w:color w:val="auto"/>
              </w:rPr>
            </w:pPr>
          </w:p>
        </w:tc>
        <w:tc>
          <w:tcPr>
            <w:tcW w:w="1140" w:type="dxa"/>
            <w:vAlign w:val="bottom"/>
            <w:tcBorders>
              <w:bottom w:val="single" w:sz="8" w:color="FEFEFE"/>
            </w:tcBorders>
            <w:shd w:val="clear" w:color="auto" w:fill="FEFEFE"/>
          </w:tcPr>
          <w:p>
            <w:pPr>
              <w:spacing w:after="0"/>
              <w:rPr>
                <w:sz w:val="19"/>
                <w:szCs w:val="19"/>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160" w:type="dxa"/>
            <w:vAlign w:val="bottom"/>
            <w:tcBorders>
              <w:right w:val="single" w:sz="8" w:color="FEFEFE"/>
            </w:tcBorders>
          </w:tcPr>
          <w:p>
            <w:pPr>
              <w:spacing w:after="0"/>
              <w:rPr>
                <w:sz w:val="19"/>
                <w:szCs w:val="19"/>
                <w:color w:val="auto"/>
              </w:rPr>
            </w:pPr>
          </w:p>
        </w:tc>
        <w:tc>
          <w:tcPr>
            <w:tcW w:w="4480" w:type="dxa"/>
            <w:vAlign w:val="bottom"/>
            <w:tcBorders>
              <w:bottom w:val="single" w:sz="8" w:color="FEFEFE"/>
            </w:tcBorders>
            <w:gridSpan w:val="6"/>
            <w:shd w:val="clear" w:color="auto" w:fill="FEFEFE"/>
          </w:tcPr>
          <w:p>
            <w:pPr>
              <w:spacing w:after="0"/>
              <w:rPr>
                <w:sz w:val="20"/>
                <w:szCs w:val="20"/>
                <w:color w:val="auto"/>
              </w:rPr>
            </w:pPr>
            <w:r>
              <w:rPr>
                <w:rFonts w:ascii="Arial" w:cs="Arial" w:eastAsia="Arial" w:hAnsi="Arial"/>
                <w:sz w:val="16"/>
                <w:szCs w:val="16"/>
                <w:color w:val="auto"/>
              </w:rPr>
              <w:t>Restated Certificate of Incorporation.</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6"/>
                <w:szCs w:val="16"/>
                <w:color w:val="auto"/>
              </w:rPr>
              <w:t>10-Q</w:t>
            </w:r>
          </w:p>
        </w:tc>
        <w:tc>
          <w:tcPr>
            <w:tcW w:w="1140" w:type="dxa"/>
            <w:vAlign w:val="bottom"/>
            <w:tcBorders>
              <w:bottom w:val="single" w:sz="8" w:color="FEFEFE"/>
            </w:tcBorders>
            <w:shd w:val="clear" w:color="auto" w:fill="FEFEFE"/>
          </w:tcPr>
          <w:p>
            <w:pPr>
              <w:jc w:val="right"/>
              <w:ind w:right="259"/>
              <w:spacing w:after="0"/>
              <w:rPr>
                <w:sz w:val="20"/>
                <w:szCs w:val="20"/>
                <w:color w:val="auto"/>
              </w:rPr>
            </w:pPr>
            <w:r>
              <w:rPr>
                <w:rFonts w:ascii="Arial" w:cs="Arial" w:eastAsia="Arial" w:hAnsi="Arial"/>
                <w:sz w:val="16"/>
                <w:szCs w:val="16"/>
                <w:color w:val="auto"/>
              </w:rPr>
              <w:t>001-39058</w:t>
            </w:r>
          </w:p>
        </w:tc>
        <w:tc>
          <w:tcPr>
            <w:tcW w:w="1420" w:type="dxa"/>
            <w:vAlign w:val="bottom"/>
            <w:tcBorders>
              <w:bottom w:val="single" w:sz="8" w:color="FEFEFE"/>
            </w:tcBorders>
            <w:shd w:val="clear" w:color="auto" w:fill="FEFEFE"/>
          </w:tcPr>
          <w:p>
            <w:pPr>
              <w:jc w:val="right"/>
              <w:ind w:right="39"/>
              <w:spacing w:after="0"/>
              <w:rPr>
                <w:sz w:val="20"/>
                <w:szCs w:val="20"/>
                <w:color w:val="auto"/>
              </w:rPr>
            </w:pPr>
            <w:r>
              <w:rPr>
                <w:rFonts w:ascii="Arial" w:cs="Arial" w:eastAsia="Arial" w:hAnsi="Arial"/>
                <w:sz w:val="16"/>
                <w:szCs w:val="16"/>
                <w:color w:val="auto"/>
              </w:rPr>
              <w:t>3.1</w:t>
            </w:r>
          </w:p>
        </w:tc>
        <w:tc>
          <w:tcPr>
            <w:tcW w:w="114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11/06/2019</w:t>
            </w: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9"/>
                <w:szCs w:val="19"/>
                <w:color w:val="auto"/>
              </w:rPr>
            </w:pPr>
          </w:p>
        </w:tc>
        <w:tc>
          <w:tcPr>
            <w:tcW w:w="4480" w:type="dxa"/>
            <w:vAlign w:val="bottom"/>
            <w:gridSpan w:val="6"/>
          </w:tcPr>
          <w:p>
            <w:pPr>
              <w:spacing w:after="0"/>
              <w:rPr>
                <w:sz w:val="20"/>
                <w:szCs w:val="20"/>
                <w:color w:val="auto"/>
              </w:rPr>
            </w:pPr>
            <w:r>
              <w:rPr>
                <w:rFonts w:ascii="Arial" w:cs="Arial" w:eastAsia="Arial" w:hAnsi="Arial"/>
                <w:sz w:val="16"/>
                <w:szCs w:val="16"/>
                <w:color w:val="auto"/>
              </w:rPr>
              <w:t>Amended and Restated Bylaws.</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6"/>
                <w:szCs w:val="16"/>
                <w:color w:val="auto"/>
              </w:rPr>
              <w:t>8-K</w:t>
            </w:r>
          </w:p>
        </w:tc>
        <w:tc>
          <w:tcPr>
            <w:tcW w:w="1140" w:type="dxa"/>
            <w:vAlign w:val="bottom"/>
            <w:tcBorders>
              <w:bottom w:val="single" w:sz="8" w:color="FEFEFE"/>
            </w:tcBorders>
            <w:shd w:val="clear" w:color="auto" w:fill="FEFEFE"/>
          </w:tcPr>
          <w:p>
            <w:pPr>
              <w:jc w:val="right"/>
              <w:ind w:right="259"/>
              <w:spacing w:after="0"/>
              <w:rPr>
                <w:sz w:val="20"/>
                <w:szCs w:val="20"/>
                <w:color w:val="auto"/>
              </w:rPr>
            </w:pPr>
            <w:r>
              <w:rPr>
                <w:rFonts w:ascii="Arial" w:cs="Arial" w:eastAsia="Arial" w:hAnsi="Arial"/>
                <w:sz w:val="16"/>
                <w:szCs w:val="16"/>
                <w:color w:val="auto"/>
              </w:rPr>
              <w:t>001-39058</w:t>
            </w:r>
          </w:p>
        </w:tc>
        <w:tc>
          <w:tcPr>
            <w:tcW w:w="1420" w:type="dxa"/>
            <w:vAlign w:val="bottom"/>
            <w:tcBorders>
              <w:bottom w:val="single" w:sz="8" w:color="FEFEFE"/>
            </w:tcBorders>
            <w:shd w:val="clear" w:color="auto" w:fill="FEFEFE"/>
          </w:tcPr>
          <w:p>
            <w:pPr>
              <w:jc w:val="right"/>
              <w:ind w:right="39"/>
              <w:spacing w:after="0"/>
              <w:rPr>
                <w:sz w:val="20"/>
                <w:szCs w:val="20"/>
                <w:color w:val="auto"/>
              </w:rPr>
            </w:pPr>
            <w:r>
              <w:rPr>
                <w:rFonts w:ascii="Arial" w:cs="Arial" w:eastAsia="Arial" w:hAnsi="Arial"/>
                <w:sz w:val="16"/>
                <w:szCs w:val="16"/>
                <w:color w:val="auto"/>
              </w:rPr>
              <w:t>3.1</w:t>
            </w:r>
          </w:p>
        </w:tc>
        <w:tc>
          <w:tcPr>
            <w:tcW w:w="114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04/27/2020</w:t>
            </w:r>
          </w:p>
        </w:tc>
      </w:tr>
      <w:tr>
        <w:trPr>
          <w:trHeight w:val="175"/>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10.1*</w:t>
            </w:r>
          </w:p>
        </w:tc>
        <w:tc>
          <w:tcPr>
            <w:tcW w:w="160" w:type="dxa"/>
            <w:vAlign w:val="bottom"/>
          </w:tcPr>
          <w:p>
            <w:pPr>
              <w:spacing w:after="0"/>
              <w:rPr>
                <w:sz w:val="15"/>
                <w:szCs w:val="15"/>
                <w:color w:val="auto"/>
              </w:rPr>
            </w:pPr>
          </w:p>
        </w:tc>
        <w:tc>
          <w:tcPr>
            <w:tcW w:w="4220" w:type="dxa"/>
            <w:vAlign w:val="bottom"/>
            <w:tcBorders>
              <w:bottom w:val="single" w:sz="8" w:color="0000FF"/>
            </w:tcBorders>
            <w:gridSpan w:val="2"/>
          </w:tcPr>
          <w:p>
            <w:pPr>
              <w:spacing w:after="0" w:line="175" w:lineRule="exact"/>
              <w:rPr>
                <w:sz w:val="20"/>
                <w:szCs w:val="20"/>
                <w:color w:val="auto"/>
              </w:rPr>
            </w:pPr>
            <w:r>
              <w:rPr>
                <w:rFonts w:ascii="Arial" w:cs="Arial" w:eastAsia="Arial" w:hAnsi="Arial"/>
                <w:sz w:val="16"/>
                <w:szCs w:val="16"/>
                <w:color w:val="0000FF"/>
              </w:rPr>
              <w:t>Founder Transition Agreement by and between John Foley</w:t>
            </w:r>
          </w:p>
        </w:tc>
        <w:tc>
          <w:tcPr>
            <w:tcW w:w="26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Borders>
              <w:bottom w:val="single" w:sz="8" w:color="FEFEFE"/>
            </w:tcBorders>
            <w:shd w:val="clear" w:color="auto" w:fill="FEFEFE"/>
          </w:tcPr>
          <w:p>
            <w:pPr>
              <w:spacing w:after="0"/>
              <w:rPr>
                <w:sz w:val="15"/>
                <w:szCs w:val="15"/>
                <w:color w:val="auto"/>
              </w:rPr>
            </w:pPr>
          </w:p>
        </w:tc>
        <w:tc>
          <w:tcPr>
            <w:tcW w:w="1420" w:type="dxa"/>
            <w:vAlign w:val="bottom"/>
            <w:tcBorders>
              <w:bottom w:val="single" w:sz="8" w:color="FEFEFE"/>
            </w:tcBorders>
            <w:shd w:val="clear" w:color="auto" w:fill="FEFEFE"/>
          </w:tcPr>
          <w:p>
            <w:pPr>
              <w:spacing w:after="0"/>
              <w:rPr>
                <w:sz w:val="15"/>
                <w:szCs w:val="15"/>
                <w:color w:val="auto"/>
              </w:rPr>
            </w:pPr>
          </w:p>
        </w:tc>
        <w:tc>
          <w:tcPr>
            <w:tcW w:w="1140" w:type="dxa"/>
            <w:vAlign w:val="bottom"/>
            <w:tcBorders>
              <w:bottom w:val="single" w:sz="8" w:color="FEFEFE"/>
            </w:tcBorders>
            <w:shd w:val="clear" w:color="auto" w:fill="FEFEFE"/>
          </w:tcPr>
          <w:p>
            <w:pPr>
              <w:spacing w:after="0"/>
              <w:rPr>
                <w:sz w:val="15"/>
                <w:szCs w:val="15"/>
                <w:color w:val="auto"/>
              </w:rPr>
            </w:pPr>
          </w:p>
        </w:tc>
      </w:tr>
      <w:tr>
        <w:trPr>
          <w:trHeight w:val="217"/>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rPr>
              <w:t>and the Company, dated September 12, 2022.</w:t>
            </w:r>
          </w:p>
        </w:tc>
        <w:tc>
          <w:tcPr>
            <w:tcW w:w="1160" w:type="dxa"/>
            <w:vAlign w:val="bottom"/>
            <w:gridSpan w:val="5"/>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Borders>
              <w:bottom w:val="single" w:sz="8" w:color="FEFEFE"/>
            </w:tcBorders>
            <w:shd w:val="clear" w:color="auto" w:fill="FEFEFE"/>
          </w:tcPr>
          <w:p>
            <w:pPr>
              <w:spacing w:after="0"/>
              <w:rPr>
                <w:sz w:val="18"/>
                <w:szCs w:val="18"/>
                <w:color w:val="auto"/>
              </w:rPr>
            </w:pPr>
          </w:p>
        </w:tc>
        <w:tc>
          <w:tcPr>
            <w:tcW w:w="1420" w:type="dxa"/>
            <w:vAlign w:val="bottom"/>
            <w:tcBorders>
              <w:bottom w:val="single" w:sz="8" w:color="FEFEFE"/>
            </w:tcBorders>
            <w:shd w:val="clear" w:color="auto" w:fill="FEFEFE"/>
          </w:tcPr>
          <w:p>
            <w:pPr>
              <w:spacing w:after="0"/>
              <w:rPr>
                <w:sz w:val="18"/>
                <w:szCs w:val="18"/>
                <w:color w:val="auto"/>
              </w:rPr>
            </w:pPr>
          </w:p>
        </w:tc>
        <w:tc>
          <w:tcPr>
            <w:tcW w:w="1140" w:type="dxa"/>
            <w:vAlign w:val="bottom"/>
            <w:tcBorders>
              <w:bottom w:val="single" w:sz="8" w:color="FEFEFE"/>
            </w:tcBorders>
            <w:shd w:val="clear" w:color="auto" w:fill="FEFEFE"/>
          </w:tcPr>
          <w:p>
            <w:pPr>
              <w:spacing w:after="0"/>
              <w:rPr>
                <w:sz w:val="18"/>
                <w:szCs w:val="18"/>
                <w:color w:val="auto"/>
              </w:rPr>
            </w:pPr>
          </w:p>
        </w:tc>
      </w:tr>
      <w:tr>
        <w:trPr>
          <w:trHeight w:val="175"/>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31.1</w:t>
            </w:r>
          </w:p>
        </w:tc>
        <w:tc>
          <w:tcPr>
            <w:tcW w:w="160" w:type="dxa"/>
            <w:vAlign w:val="bottom"/>
          </w:tcPr>
          <w:p>
            <w:pPr>
              <w:spacing w:after="0"/>
              <w:rPr>
                <w:sz w:val="15"/>
                <w:szCs w:val="15"/>
                <w:color w:val="auto"/>
              </w:rPr>
            </w:pPr>
          </w:p>
        </w:tc>
        <w:tc>
          <w:tcPr>
            <w:tcW w:w="4300" w:type="dxa"/>
            <w:vAlign w:val="bottom"/>
            <w:tcBorders>
              <w:bottom w:val="single" w:sz="8" w:color="0000FF"/>
            </w:tcBorders>
            <w:gridSpan w:val="4"/>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Rules</w:t>
            </w:r>
          </w:p>
        </w:tc>
        <w:tc>
          <w:tcPr>
            <w:tcW w:w="18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Borders>
              <w:bottom w:val="single" w:sz="8" w:color="FEFEFE"/>
            </w:tcBorders>
            <w:shd w:val="clear" w:color="auto" w:fill="FEFEFE"/>
          </w:tcPr>
          <w:p>
            <w:pPr>
              <w:spacing w:after="0"/>
              <w:rPr>
                <w:sz w:val="15"/>
                <w:szCs w:val="15"/>
                <w:color w:val="auto"/>
              </w:rPr>
            </w:pPr>
          </w:p>
        </w:tc>
        <w:tc>
          <w:tcPr>
            <w:tcW w:w="1140" w:type="dxa"/>
            <w:vAlign w:val="bottom"/>
            <w:tcBorders>
              <w:bottom w:val="single" w:sz="8" w:color="FEFEFE"/>
            </w:tcBorders>
            <w:shd w:val="clear" w:color="auto" w:fill="FEFEFE"/>
          </w:tcPr>
          <w:p>
            <w:pPr>
              <w:spacing w:after="0"/>
              <w:rPr>
                <w:sz w:val="15"/>
                <w:szCs w:val="15"/>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gridSpan w:val="6"/>
          </w:tcPr>
          <w:p>
            <w:pPr>
              <w:spacing w:after="0" w:line="169" w:lineRule="exact"/>
              <w:rPr>
                <w:sz w:val="20"/>
                <w:szCs w:val="20"/>
                <w:color w:val="auto"/>
              </w:rPr>
            </w:pPr>
            <w:r>
              <w:rPr>
                <w:rFonts w:ascii="Arial" w:cs="Arial" w:eastAsia="Arial" w:hAnsi="Arial"/>
                <w:sz w:val="16"/>
                <w:szCs w:val="16"/>
                <w:color w:val="0000FF"/>
              </w:rPr>
              <w:t>13a-14(a) and 15d-14(a) under the Exchange Act, as Adopted</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shd w:val="clear" w:color="auto" w:fill="FEFEFE"/>
          </w:tcPr>
          <w:p>
            <w:pPr>
              <w:spacing w:after="0"/>
              <w:rPr>
                <w:sz w:val="14"/>
                <w:szCs w:val="14"/>
                <w:color w:val="auto"/>
              </w:rPr>
            </w:pPr>
          </w:p>
        </w:tc>
        <w:tc>
          <w:tcPr>
            <w:tcW w:w="1140" w:type="dxa"/>
            <w:vAlign w:val="bottom"/>
            <w:shd w:val="clear" w:color="auto" w:fill="FEFEFE"/>
          </w:tcPr>
          <w:p>
            <w:pPr>
              <w:spacing w:after="0"/>
              <w:rPr>
                <w:sz w:val="14"/>
                <w:szCs w:val="14"/>
                <w:color w:val="auto"/>
              </w:rPr>
            </w:pPr>
          </w:p>
        </w:tc>
      </w:tr>
      <w:tr>
        <w:trPr>
          <w:trHeight w:val="203"/>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1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Borders>
              <w:top w:val="single" w:sz="8" w:color="FEFEFE"/>
              <w:bottom w:val="single" w:sz="8" w:color="FEFEFE"/>
            </w:tcBorders>
            <w:shd w:val="clear" w:color="auto" w:fill="FEFEFE"/>
          </w:tcPr>
          <w:p>
            <w:pPr>
              <w:spacing w:after="0"/>
              <w:rPr>
                <w:sz w:val="17"/>
                <w:szCs w:val="17"/>
                <w:color w:val="auto"/>
              </w:rPr>
            </w:pPr>
          </w:p>
        </w:tc>
        <w:tc>
          <w:tcPr>
            <w:tcW w:w="1140" w:type="dxa"/>
            <w:vAlign w:val="bottom"/>
            <w:tcBorders>
              <w:top w:val="single" w:sz="8" w:color="FEFEFE"/>
              <w:bottom w:val="single" w:sz="8" w:color="FEFEFE"/>
            </w:tcBorders>
            <w:shd w:val="clear" w:color="auto" w:fill="FEFEFE"/>
          </w:tcPr>
          <w:p>
            <w:pPr>
              <w:spacing w:after="0"/>
              <w:rPr>
                <w:sz w:val="17"/>
                <w:szCs w:val="17"/>
                <w:color w:val="auto"/>
              </w:rPr>
            </w:pPr>
          </w:p>
        </w:tc>
      </w:tr>
      <w:tr>
        <w:trPr>
          <w:trHeight w:val="175"/>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31.2</w:t>
            </w:r>
          </w:p>
        </w:tc>
        <w:tc>
          <w:tcPr>
            <w:tcW w:w="160" w:type="dxa"/>
            <w:vAlign w:val="bottom"/>
          </w:tcPr>
          <w:p>
            <w:pPr>
              <w:spacing w:after="0"/>
              <w:rPr>
                <w:sz w:val="15"/>
                <w:szCs w:val="15"/>
                <w:color w:val="auto"/>
              </w:rPr>
            </w:pPr>
          </w:p>
        </w:tc>
        <w:tc>
          <w:tcPr>
            <w:tcW w:w="4480" w:type="dxa"/>
            <w:vAlign w:val="bottom"/>
            <w:gridSpan w:val="6"/>
          </w:tcPr>
          <w:p>
            <w:pPr>
              <w:spacing w:after="0" w:line="175" w:lineRule="exact"/>
              <w:rPr>
                <w:sz w:val="20"/>
                <w:szCs w:val="20"/>
                <w:color w:val="auto"/>
              </w:rPr>
            </w:pPr>
            <w:r>
              <w:rPr>
                <w:rFonts w:ascii="Arial" w:cs="Arial" w:eastAsia="Arial" w:hAnsi="Arial"/>
                <w:sz w:val="16"/>
                <w:szCs w:val="16"/>
                <w:color w:val="0000FF"/>
              </w:rPr>
              <w:t>Certification of Principal Financial Officer Pursuant to Rules</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gridSpan w:val="3"/>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gridSpan w:val="6"/>
          </w:tcPr>
          <w:p>
            <w:pPr>
              <w:spacing w:after="0" w:line="169" w:lineRule="exact"/>
              <w:rPr>
                <w:sz w:val="20"/>
                <w:szCs w:val="20"/>
                <w:color w:val="auto"/>
              </w:rPr>
            </w:pPr>
            <w:r>
              <w:rPr>
                <w:rFonts w:ascii="Arial" w:cs="Arial" w:eastAsia="Arial" w:hAnsi="Arial"/>
                <w:sz w:val="16"/>
                <w:szCs w:val="16"/>
                <w:color w:val="0000FF"/>
              </w:rPr>
              <w:t>13a-14(a) and 15d-14(a) under the Exchange Act, as Adopted</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0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1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-1602105</wp:posOffset>
            </wp:positionV>
            <wp:extent cx="5820410" cy="41916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20410" cy="4191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ind w:right="120"/>
        <w:spacing w:after="0" w:line="266" w:lineRule="auto"/>
        <w:rPr>
          <w:sz w:val="20"/>
          <w:szCs w:val="20"/>
          <w:color w:val="auto"/>
        </w:rPr>
      </w:pPr>
      <w:r>
        <w:rPr>
          <w:rFonts w:ascii="Arial" w:cs="Arial" w:eastAsia="Arial" w:hAnsi="Arial"/>
          <w:sz w:val="16"/>
          <w:szCs w:val="16"/>
          <w:b w:val="1"/>
          <w:bCs w:val="1"/>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-384810</wp:posOffset>
            </wp:positionV>
            <wp:extent cx="779780" cy="4457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9780" cy="445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w:t>
      </w:r>
    </w:p>
    <w:p>
      <w:pPr>
        <w:spacing w:after="0" w:line="399" w:lineRule="exact"/>
        <w:rPr>
          <w:sz w:val="20"/>
          <w:szCs w:val="20"/>
          <w:color w:val="auto"/>
        </w:rPr>
      </w:pPr>
    </w:p>
    <w:p>
      <w:pPr>
        <w:sectPr>
          <w:pgSz w:w="11900" w:h="16838" w:orient="portrait"/>
          <w:cols w:equalWidth="0" w:num="2">
            <w:col w:w="10020" w:space="220"/>
            <w:col w:w="900"/>
          </w:cols>
          <w:pgMar w:left="320" w:top="769" w:right="439" w:bottom="1440" w:gutter="0" w:footer="0" w:header="0"/>
        </w:sectPr>
      </w:pPr>
    </w:p>
    <w:tbl>
      <w:tblPr>
        <w:tblLayout w:type="fixed"/>
        <w:tblInd w:w="160" w:type="dxa"/>
        <w:tblCellMar>
          <w:top w:w="0" w:type="dxa"/>
          <w:left w:w="0" w:type="dxa"/>
          <w:bottom w:w="0" w:type="dxa"/>
          <w:right w:w="0" w:type="dxa"/>
        </w:tblCellMar>
      </w:tblPr>
      <w:tr>
        <w:trPr>
          <w:trHeight w:val="184"/>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32.1</w:t>
            </w:r>
          </w:p>
        </w:tc>
        <w:tc>
          <w:tcPr>
            <w:tcW w:w="7000" w:type="dxa"/>
            <w:vAlign w:val="bottom"/>
            <w:gridSpan w:val="4"/>
          </w:tcPr>
          <w:p>
            <w:pPr>
              <w:spacing w:after="0"/>
              <w:rPr>
                <w:sz w:val="20"/>
                <w:szCs w:val="20"/>
                <w:color w:val="auto"/>
              </w:rPr>
            </w:pPr>
            <w:r>
              <w:rPr>
                <w:rFonts w:ascii="Arial" w:cs="Arial" w:eastAsia="Arial" w:hAnsi="Arial"/>
                <w:sz w:val="16"/>
                <w:szCs w:val="16"/>
                <w:color w:val="0000FF"/>
              </w:rPr>
              <w:t>Certification of Principal Executive Officer Pursuant to 18</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rPr>
              <w:t>XX</w:t>
            </w:r>
          </w:p>
        </w:tc>
      </w:tr>
      <w:tr>
        <w:trPr>
          <w:trHeight w:val="20"/>
        </w:trPr>
        <w:tc>
          <w:tcPr>
            <w:tcW w:w="8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7000" w:type="dxa"/>
            <w:vAlign w:val="bottom"/>
            <w:gridSpan w:val="4"/>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27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2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1980" w:type="dxa"/>
            <w:vAlign w:val="bottom"/>
            <w:tcBorders>
              <w:top w:val="single" w:sz="8" w:color="0000FF"/>
            </w:tcBorders>
            <w:gridSpan w:val="2"/>
          </w:tcPr>
          <w:p>
            <w:pPr>
              <w:spacing w:after="0"/>
              <w:rPr>
                <w:sz w:val="14"/>
                <w:szCs w:val="14"/>
                <w:color w:val="auto"/>
              </w:rPr>
            </w:pPr>
          </w:p>
        </w:tc>
        <w:tc>
          <w:tcPr>
            <w:tcW w:w="268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209"/>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32.2</w:t>
            </w:r>
          </w:p>
        </w:tc>
        <w:tc>
          <w:tcPr>
            <w:tcW w:w="40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Certification of Principal Financial Officer Pursuant to 18</w:t>
            </w:r>
          </w:p>
        </w:tc>
        <w:tc>
          <w:tcPr>
            <w:tcW w:w="2940" w:type="dxa"/>
            <w:vAlign w:val="bottom"/>
            <w:gridSpan w:val="2"/>
          </w:tcPr>
          <w:p>
            <w:pPr>
              <w:spacing w:after="0"/>
              <w:rPr>
                <w:sz w:val="18"/>
                <w:szCs w:val="18"/>
                <w:color w:val="auto"/>
              </w:rPr>
            </w:pP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rPr>
              <w:t>XX</w:t>
            </w:r>
          </w:p>
        </w:tc>
      </w:tr>
      <w:tr>
        <w:trPr>
          <w:trHeight w:val="169"/>
        </w:trPr>
        <w:tc>
          <w:tcPr>
            <w:tcW w:w="840" w:type="dxa"/>
            <w:vAlign w:val="bottom"/>
          </w:tcPr>
          <w:p>
            <w:pPr>
              <w:spacing w:after="0"/>
              <w:rPr>
                <w:sz w:val="14"/>
                <w:szCs w:val="14"/>
                <w:color w:val="auto"/>
              </w:rPr>
            </w:pPr>
          </w:p>
        </w:tc>
        <w:tc>
          <w:tcPr>
            <w:tcW w:w="7000" w:type="dxa"/>
            <w:vAlign w:val="bottom"/>
            <w:gridSpan w:val="4"/>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27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2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1980" w:type="dxa"/>
            <w:vAlign w:val="bottom"/>
            <w:tcBorders>
              <w:top w:val="single" w:sz="8" w:color="0000FF"/>
            </w:tcBorders>
            <w:gridSpan w:val="2"/>
          </w:tcPr>
          <w:p>
            <w:pPr>
              <w:spacing w:after="0"/>
              <w:rPr>
                <w:sz w:val="14"/>
                <w:szCs w:val="14"/>
                <w:color w:val="auto"/>
              </w:rPr>
            </w:pPr>
          </w:p>
        </w:tc>
        <w:tc>
          <w:tcPr>
            <w:tcW w:w="268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238"/>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101.INS</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189"/>
        </w:trPr>
        <w:tc>
          <w:tcPr>
            <w:tcW w:w="840" w:type="dxa"/>
            <w:vAlign w:val="bottom"/>
          </w:tcPr>
          <w:p>
            <w:pPr>
              <w:spacing w:after="0"/>
              <w:rPr>
                <w:sz w:val="16"/>
                <w:szCs w:val="16"/>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not appear in the Interactive Data File because its XBRL tags</w:t>
            </w:r>
          </w:p>
        </w:tc>
        <w:tc>
          <w:tcPr>
            <w:tcW w:w="2740" w:type="dxa"/>
            <w:vAlign w:val="bottom"/>
          </w:tcPr>
          <w:p>
            <w:pPr>
              <w:spacing w:after="0"/>
              <w:rPr>
                <w:sz w:val="16"/>
                <w:szCs w:val="16"/>
                <w:color w:val="auto"/>
              </w:rPr>
            </w:pPr>
          </w:p>
        </w:tc>
      </w:tr>
      <w:tr>
        <w:trPr>
          <w:trHeight w:val="195"/>
        </w:trPr>
        <w:tc>
          <w:tcPr>
            <w:tcW w:w="840" w:type="dxa"/>
            <w:vAlign w:val="bottom"/>
          </w:tcPr>
          <w:p>
            <w:pPr>
              <w:spacing w:after="0"/>
              <w:rPr>
                <w:sz w:val="16"/>
                <w:szCs w:val="16"/>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are embedded within the Inline XBRL document.</w:t>
            </w:r>
          </w:p>
        </w:tc>
        <w:tc>
          <w:tcPr>
            <w:tcW w:w="2740" w:type="dxa"/>
            <w:vAlign w:val="bottom"/>
          </w:tcPr>
          <w:p>
            <w:pPr>
              <w:spacing w:after="0"/>
              <w:rPr>
                <w:sz w:val="16"/>
                <w:szCs w:val="16"/>
                <w:color w:val="auto"/>
              </w:rPr>
            </w:pPr>
          </w:p>
        </w:tc>
      </w:tr>
      <w:tr>
        <w:trPr>
          <w:trHeight w:val="230"/>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98"/>
              </w:rPr>
              <w:t>101.SCH</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Schema Document.</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3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101.CAL</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Calculation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195"/>
        </w:trPr>
        <w:tc>
          <w:tcPr>
            <w:tcW w:w="840" w:type="dxa"/>
            <w:vAlign w:val="bottom"/>
          </w:tcPr>
          <w:p>
            <w:pPr>
              <w:spacing w:after="0"/>
              <w:rPr>
                <w:sz w:val="16"/>
                <w:szCs w:val="16"/>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6"/>
                <w:szCs w:val="16"/>
                <w:color w:val="auto"/>
              </w:rPr>
            </w:pPr>
          </w:p>
        </w:tc>
      </w:tr>
      <w:tr>
        <w:trPr>
          <w:trHeight w:val="23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101.DEF</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Definition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195"/>
        </w:trPr>
        <w:tc>
          <w:tcPr>
            <w:tcW w:w="840" w:type="dxa"/>
            <w:vAlign w:val="bottom"/>
          </w:tcPr>
          <w:p>
            <w:pPr>
              <w:spacing w:after="0"/>
              <w:rPr>
                <w:sz w:val="16"/>
                <w:szCs w:val="16"/>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6"/>
                <w:szCs w:val="16"/>
                <w:color w:val="auto"/>
              </w:rPr>
            </w:pPr>
          </w:p>
        </w:tc>
      </w:tr>
      <w:tr>
        <w:trPr>
          <w:trHeight w:val="243"/>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101.LAB</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37"/>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99"/>
              </w:rPr>
              <w:t>101.PRE</w:t>
            </w:r>
          </w:p>
        </w:tc>
        <w:tc>
          <w:tcPr>
            <w:tcW w:w="7000" w:type="dxa"/>
            <w:vAlign w:val="bottom"/>
            <w:gridSpan w:val="4"/>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195"/>
        </w:trPr>
        <w:tc>
          <w:tcPr>
            <w:tcW w:w="840" w:type="dxa"/>
            <w:vAlign w:val="bottom"/>
          </w:tcPr>
          <w:p>
            <w:pPr>
              <w:spacing w:after="0"/>
              <w:rPr>
                <w:sz w:val="16"/>
                <w:szCs w:val="16"/>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6"/>
                <w:szCs w:val="16"/>
                <w:color w:val="auto"/>
              </w:rPr>
            </w:pPr>
          </w:p>
        </w:tc>
      </w:tr>
      <w:tr>
        <w:trPr>
          <w:trHeight w:val="23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104</w:t>
            </w:r>
          </w:p>
        </w:tc>
        <w:tc>
          <w:tcPr>
            <w:tcW w:w="7000" w:type="dxa"/>
            <w:vAlign w:val="bottom"/>
            <w:gridSpan w:val="4"/>
          </w:tcPr>
          <w:p>
            <w:pPr>
              <w:spacing w:after="0"/>
              <w:rPr>
                <w:sz w:val="20"/>
                <w:szCs w:val="20"/>
                <w:color w:val="auto"/>
              </w:rPr>
            </w:pPr>
            <w:r>
              <w:rPr>
                <w:rFonts w:ascii="Arial" w:cs="Arial" w:eastAsia="Arial" w:hAnsi="Arial"/>
                <w:sz w:val="16"/>
                <w:szCs w:val="16"/>
                <w:color w:val="auto"/>
              </w:rPr>
              <w:t>Cover Page Interactive Data File (formatted in iXBRL and</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195"/>
        </w:trPr>
        <w:tc>
          <w:tcPr>
            <w:tcW w:w="840" w:type="dxa"/>
            <w:vAlign w:val="bottom"/>
          </w:tcPr>
          <w:p>
            <w:pPr>
              <w:spacing w:after="0"/>
              <w:rPr>
                <w:sz w:val="16"/>
                <w:szCs w:val="16"/>
                <w:color w:val="auto"/>
              </w:rPr>
            </w:pPr>
          </w:p>
        </w:tc>
        <w:tc>
          <w:tcPr>
            <w:tcW w:w="7000" w:type="dxa"/>
            <w:vAlign w:val="bottom"/>
            <w:gridSpan w:val="4"/>
          </w:tcPr>
          <w:p>
            <w:pPr>
              <w:spacing w:after="0"/>
              <w:rPr>
                <w:sz w:val="20"/>
                <w:szCs w:val="20"/>
                <w:color w:val="auto"/>
              </w:rPr>
            </w:pPr>
            <w:r>
              <w:rPr>
                <w:rFonts w:ascii="Arial" w:cs="Arial" w:eastAsia="Arial" w:hAnsi="Arial"/>
                <w:sz w:val="16"/>
                <w:szCs w:val="16"/>
                <w:color w:val="auto"/>
              </w:rPr>
              <w:t>contained in Exhibit 101).</w:t>
            </w:r>
          </w:p>
        </w:tc>
        <w:tc>
          <w:tcPr>
            <w:tcW w:w="2740" w:type="dxa"/>
            <w:vAlign w:val="bottom"/>
          </w:tcPr>
          <w:p>
            <w:pPr>
              <w:spacing w:after="0"/>
              <w:rPr>
                <w:sz w:val="16"/>
                <w:szCs w:val="16"/>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*Indicates a management contract or compensatory plan or arrangement required to be filed as an exhibit to this report.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 Filed herewith.</w:t>
      </w:r>
    </w:p>
    <w:p>
      <w:pPr>
        <w:spacing w:after="0" w:line="235" w:lineRule="auto"/>
        <w:rPr>
          <w:sz w:val="20"/>
          <w:szCs w:val="20"/>
          <w:color w:val="auto"/>
        </w:rPr>
      </w:pPr>
      <w:r>
        <w:rPr>
          <w:rFonts w:ascii="Arial" w:cs="Arial" w:eastAsia="Arial" w:hAnsi="Arial"/>
          <w:sz w:val="16"/>
          <w:szCs w:val="16"/>
          <w:color w:val="auto"/>
        </w:rPr>
        <w:t>XX Furnished herewith.</w:t>
      </w:r>
    </w:p>
    <w:p>
      <w:pPr>
        <w:spacing w:after="0" w:line="253" w:lineRule="auto"/>
        <w:rPr>
          <w:sz w:val="20"/>
          <w:szCs w:val="20"/>
          <w:color w:val="auto"/>
        </w:rPr>
      </w:pPr>
      <w:r>
        <w:rPr>
          <w:rFonts w:ascii="Arial" w:cs="Arial" w:eastAsia="Arial" w:hAnsi="Arial"/>
          <w:sz w:val="16"/>
          <w:szCs w:val="16"/>
          <w:i w:val="1"/>
          <w:iCs w:val="1"/>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type w:val="continuous"/>
        </w:sectPr>
      </w:pPr>
    </w:p>
    <w:bookmarkStart w:id="43" w:name="page44"/>
    <w:bookmarkEnd w:id="43"/>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6"/>
          <w:szCs w:val="16"/>
          <w:color w:val="auto"/>
        </w:rPr>
        <w:t>Date: November 3, 2022</w:t>
      </w:r>
      <w:r>
        <w:rPr>
          <w:sz w:val="20"/>
          <w:szCs w:val="20"/>
          <w:color w:val="auto"/>
        </w:rPr>
        <w:tab/>
      </w:r>
      <w:r>
        <w:rPr>
          <w:rFonts w:ascii="Arial" w:cs="Arial" w:eastAsia="Arial" w:hAnsi="Arial"/>
          <w:sz w:val="16"/>
          <w:szCs w:val="16"/>
          <w:color w:val="auto"/>
        </w:rPr>
        <w:t>By:</w:t>
        <w:tab/>
        <w:t>/s/ Barry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27940</wp:posOffset>
            </wp:positionV>
            <wp:extent cx="25374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Barry McCarthy</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6"/>
          <w:szCs w:val="16"/>
          <w:color w:val="auto"/>
        </w:rPr>
        <w:t>By:</w:t>
        <w:tab/>
        <w:t>/s/ Elizabeth F Coddington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10795</wp:posOffset>
            </wp:positionV>
            <wp:extent cx="25374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4"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Elizabeth F Coddington</w:t>
      </w:r>
    </w:p>
    <w:p>
      <w:pPr>
        <w:ind w:left="7120"/>
        <w:spacing w:after="0" w:line="211" w:lineRule="auto"/>
        <w:rPr>
          <w:sz w:val="20"/>
          <w:szCs w:val="20"/>
          <w:color w:val="auto"/>
        </w:rPr>
      </w:pPr>
      <w:r>
        <w:rPr>
          <w:rFonts w:ascii="Arial" w:cs="Arial" w:eastAsia="Arial" w:hAnsi="Arial"/>
          <w:sz w:val="16"/>
          <w:szCs w:val="16"/>
          <w:color w:val="auto"/>
        </w:rPr>
        <w:t>Chief Financial Officer</w:t>
      </w:r>
    </w:p>
    <w:p>
      <w:pPr>
        <w:ind w:left="712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20"/>
          </w:cols>
          <w:pgMar w:left="320" w:top="607" w:right="359" w:bottom="1440" w:gutter="0" w:footer="0" w:header="0"/>
        </w:sectPr>
      </w:pPr>
    </w:p>
    <w:bookmarkStart w:id="44" w:name="page45"/>
    <w:bookmarkEnd w:id="44"/>
    <w:p>
      <w:pPr>
        <w:jc w:val="right"/>
        <w:spacing w:after="0"/>
        <w:rPr>
          <w:sz w:val="20"/>
          <w:szCs w:val="20"/>
          <w:color w:val="auto"/>
        </w:rPr>
      </w:pPr>
      <w:r>
        <w:rPr>
          <w:rFonts w:ascii="Courier New" w:cs="Courier New" w:eastAsia="Courier New" w:hAnsi="Courier New"/>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FOUNDER TRANSITION AGREEMENT</w:t>
      </w:r>
    </w:p>
    <w:p>
      <w:pPr>
        <w:spacing w:after="0" w:line="222" w:lineRule="exact"/>
        <w:rPr>
          <w:sz w:val="20"/>
          <w:szCs w:val="20"/>
          <w:color w:val="auto"/>
        </w:rPr>
      </w:pPr>
    </w:p>
    <w:p>
      <w:pPr>
        <w:ind w:right="340" w:firstLine="194"/>
        <w:spacing w:after="0" w:line="229" w:lineRule="auto"/>
        <w:rPr>
          <w:sz w:val="20"/>
          <w:szCs w:val="20"/>
          <w:color w:val="auto"/>
        </w:rPr>
      </w:pPr>
      <w:r>
        <w:rPr>
          <w:rFonts w:ascii="Arial" w:cs="Arial" w:eastAsia="Arial" w:hAnsi="Arial"/>
          <w:sz w:val="20"/>
          <w:szCs w:val="20"/>
          <w:color w:val="auto"/>
        </w:rPr>
        <w:t>This Founder Transition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and entered into by and between John Foley (the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and the Company (as defined below).</w:t>
      </w:r>
    </w:p>
    <w:p>
      <w:pPr>
        <w:spacing w:after="0" w:line="196" w:lineRule="exact"/>
        <w:rPr>
          <w:sz w:val="20"/>
          <w:szCs w:val="20"/>
          <w:color w:val="auto"/>
        </w:rPr>
      </w:pPr>
    </w:p>
    <w:p>
      <w:pPr>
        <w:jc w:val="both"/>
        <w:ind w:firstLine="656"/>
        <w:spacing w:after="0" w:line="252" w:lineRule="auto"/>
        <w:tabs>
          <w:tab w:leader="none" w:pos="112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Separation Date</w:t>
      </w:r>
      <w:r>
        <w:rPr>
          <w:rFonts w:ascii="Arial" w:cs="Arial" w:eastAsia="Arial" w:hAnsi="Arial"/>
          <w:sz w:val="18"/>
          <w:szCs w:val="18"/>
          <w:color w:val="auto"/>
        </w:rPr>
        <w:t>. Effective as of September 12, 2022 (the “</w:t>
      </w:r>
      <w:r>
        <w:rPr>
          <w:rFonts w:ascii="Arial" w:cs="Arial" w:eastAsia="Arial" w:hAnsi="Arial"/>
          <w:sz w:val="18"/>
          <w:szCs w:val="18"/>
          <w:b w:val="1"/>
          <w:bCs w:val="1"/>
          <w:i w:val="1"/>
          <w:iCs w:val="1"/>
          <w:color w:val="auto"/>
        </w:rPr>
        <w:t>Separation Date</w:t>
      </w:r>
      <w:r>
        <w:rPr>
          <w:rFonts w:ascii="Arial" w:cs="Arial" w:eastAsia="Arial" w:hAnsi="Arial"/>
          <w:sz w:val="18"/>
          <w:szCs w:val="18"/>
          <w:color w:val="auto"/>
        </w:rPr>
        <w:t>”), the Executive’s employment with Peloton Interactive,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all of its affiliates terminated, and the Executive ceased serving as the Company’s Executive Chairman and was deemed to have resigned from all offices and directorships held at the Company and its affiliates.</w:t>
      </w:r>
    </w:p>
    <w:p>
      <w:pPr>
        <w:spacing w:after="0" w:line="158" w:lineRule="exact"/>
        <w:rPr>
          <w:rFonts w:ascii="Arial" w:cs="Arial" w:eastAsia="Arial" w:hAnsi="Arial"/>
          <w:sz w:val="18"/>
          <w:szCs w:val="18"/>
          <w:color w:val="auto"/>
        </w:rPr>
      </w:pPr>
    </w:p>
    <w:p>
      <w:pPr>
        <w:jc w:val="both"/>
        <w:ind w:firstLine="656"/>
        <w:spacing w:after="0"/>
        <w:tabs>
          <w:tab w:leader="none" w:pos="106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For valuable consideration, the receipt and adequacy of which are hereby acknowledged, the Executive does hereby release and forever discharge the “</w:t>
      </w:r>
      <w:r>
        <w:rPr>
          <w:rFonts w:ascii="Arial" w:cs="Arial" w:eastAsia="Arial" w:hAnsi="Arial"/>
          <w:sz w:val="18"/>
          <w:szCs w:val="18"/>
          <w:b w:val="1"/>
          <w:bCs w:val="1"/>
          <w:i w:val="1"/>
          <w:iCs w:val="1"/>
          <w:color w:val="auto"/>
        </w:rPr>
        <w:t>Releasees</w:t>
      </w:r>
      <w:r>
        <w:rPr>
          <w:rFonts w:ascii="Arial" w:cs="Arial" w:eastAsia="Arial" w:hAnsi="Arial"/>
          <w:sz w:val="18"/>
          <w:szCs w:val="18"/>
          <w:color w:val="auto"/>
        </w:rPr>
        <w:t>” hereunder, consisting of the Company, and the Company’s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which the Executive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employment, the terms and conditions of employment or termination of employment of the Executive by the Releasees, or any of them (including, but not limited to, any alleged discrimination, harassment or retaliation); any alleged breach of any express or implied contract of employment; any alleged torts, or other alleged legal restrictions on Releasees’ right to terminate the employment of the Executive; any alleged wrongful discharge, whistleblowing, detrimental reliance, defamation, slander, libel, intentional and negligent emotional distress or compensatory and/or punitive damages; common law, including but not limited to any alleged wrongful or retaliatory discharge in violation of public policy, breach of the covenant of good faith and fair dealing, interference with contractual relations or prospective business advantage, invasion of privacy, false imprisonment, and/or fraud; rights to attorneys’ fees, costs, disbursements and/or the like; and any alleged violation of any federal, state or local statute or ordinance including, without limitation, Title VII of the Civil Rights Act of 1964, the Age Discrimination in Employment Act, the Older Workers Benefit Protection Act, the Americans with Disabilities Act, Sections 1981 through 1988 of Title 42 of the United States Code, the National Labor Relations Act, the Employee Retirement Income Security Act, all claims under the Family and Medical Leave Act and Worker Adjustment and Retraining Notification Act, and all other federal, state and local leave and/or WARN laws; and any claim(s) under the New York State Human Rights Law; the New York City Administrative Code; the New York Labor Law; the New York Minimum Wage Act; the statutory provisions regarding retaliation/discrimination under the New York Worker’s Compensation Law; the New York City Earned Sick Time Act; the New York City Human Rights Law; the New York State budgetary measures; the Stop Sexual Harassment in the Workplace Act; and any other federal, state or local laws, including common law.</w:t>
      </w:r>
    </w:p>
    <w:p>
      <w:pPr>
        <w:spacing w:after="0" w:line="207" w:lineRule="exact"/>
        <w:rPr>
          <w:rFonts w:ascii="Arial" w:cs="Arial" w:eastAsia="Arial" w:hAnsi="Arial"/>
          <w:sz w:val="18"/>
          <w:szCs w:val="18"/>
          <w:color w:val="auto"/>
        </w:rPr>
      </w:pPr>
    </w:p>
    <w:p>
      <w:pPr>
        <w:jc w:val="both"/>
        <w:ind w:firstLine="656"/>
        <w:spacing w:after="0" w:line="235" w:lineRule="auto"/>
        <w:tabs>
          <w:tab w:leader="none" w:pos="104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Claims Not Released</w:t>
      </w:r>
      <w:r>
        <w:rPr>
          <w:rFonts w:ascii="Arial" w:cs="Arial" w:eastAsia="Arial" w:hAnsi="Arial"/>
          <w:sz w:val="18"/>
          <w:szCs w:val="18"/>
          <w:color w:val="auto"/>
        </w:rPr>
        <w:t>. Notwithstanding the foregoing, the release in Section 2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shall not operate to release any rights or claims of the Executive (i) to the payments or benefits described under Section 4 of this Agreement, (ii) to accrued or vested benefits the Executive may have, if any, as of the date hereof under any applicable plan, policy, practice, program, contract or agreement with the Company, (iii) to any Claims for indemnification and/or advancement of expenses arising under any indemnification agreement between the Executive and the Company or under the bylaws, certificate of incorporation or other similar governing document of the Company, (iv) to file a claim for unemployment or workers’ compensation benefits, (v) to bring to the attention of the U.S. Equal Employment Opportunity Commission or similar state or local administrative agency claims of discrimination, harassment, interference with leave rights, and retaliation; provided, however, that the Executive releases the Executive’s right to secure damages or other relief for any such alleged treatment, (vi) to any Claims which cannot be waived by an employee under applicable law or (vii) with respect to the Executive’s right to communicate directly with, cooperate with, or provide information to, any federal, state or local government regulator.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|US-DOCS\134926153.5||</w:t>
      </w:r>
    </w:p>
    <w:p>
      <w:pPr>
        <w:sectPr>
          <w:pgSz w:w="11900" w:h="16838" w:orient="portrait"/>
          <w:cols w:equalWidth="0" w:num="1">
            <w:col w:w="11240"/>
          </w:cols>
          <w:pgMar w:left="320" w:top="116" w:right="339" w:bottom="1440" w:gutter="0" w:footer="0" w:header="0"/>
        </w:sectPr>
      </w:pPr>
    </w:p>
    <w:bookmarkStart w:id="45" w:name="page46"/>
    <w:bookmarkEnd w:id="45"/>
    <w:p>
      <w:pPr>
        <w:jc w:val="both"/>
        <w:ind w:firstLine="656"/>
        <w:spacing w:after="0" w:line="223" w:lineRule="auto"/>
        <w:tabs>
          <w:tab w:leader="none" w:pos="1116"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Consideration</w:t>
      </w:r>
      <w:r>
        <w:rPr>
          <w:rFonts w:ascii="Arial" w:cs="Arial" w:eastAsia="Arial" w:hAnsi="Arial"/>
          <w:sz w:val="19"/>
          <w:szCs w:val="19"/>
          <w:color w:val="auto"/>
        </w:rPr>
        <w:t>. Provided the Executive timely executes this Agreement, and does not revoke the Release contained in this Agreement, the Company shall provide to the Executive the payments or benefits provided for under, and subject to, Section 3.1 of the Company’s Severance and Change in Control Plan (the “</w:t>
      </w:r>
      <w:r>
        <w:rPr>
          <w:rFonts w:ascii="Arial" w:cs="Arial" w:eastAsia="Arial" w:hAnsi="Arial"/>
          <w:sz w:val="19"/>
          <w:szCs w:val="19"/>
          <w:b w:val="1"/>
          <w:bCs w:val="1"/>
          <w:i w:val="1"/>
          <w:iCs w:val="1"/>
          <w:color w:val="auto"/>
        </w:rPr>
        <w:t>Severance Plan</w:t>
      </w:r>
      <w:r>
        <w:rPr>
          <w:rFonts w:ascii="Arial" w:cs="Arial" w:eastAsia="Arial" w:hAnsi="Arial"/>
          <w:sz w:val="19"/>
          <w:szCs w:val="19"/>
          <w:color w:val="auto"/>
        </w:rPr>
        <w:t>”), subject to the following modifications: (i) the cash severance payable to the Executive pursuant to Section 3.1(a) of the Severance Plan shall be payable in a single lump sum within 30 days following the Executive’s date of termination, (ii) the “COBRA Severance Period” as defined in the Severance Plan shall be 18 months, and (iii) the Company stock options held by the Executive shall remain exercisable until the earlier of the original expiration date for such stock option as set forth in the applicable award agreement or June 30, 2025. For the avoidance of doubt, except as otherwise expressly set forth in this Agreement (including in this Section 4 and in Section 9 herein), all other terms and conditions of the Severance Plan applicable to the Executive shall remain in full force and effect according to their respective terms.</w:t>
      </w:r>
    </w:p>
    <w:p>
      <w:pPr>
        <w:spacing w:after="0" w:line="170" w:lineRule="exact"/>
        <w:rPr>
          <w:rFonts w:ascii="Arial" w:cs="Arial" w:eastAsia="Arial" w:hAnsi="Arial"/>
          <w:sz w:val="19"/>
          <w:szCs w:val="19"/>
          <w:color w:val="auto"/>
        </w:rPr>
      </w:pPr>
    </w:p>
    <w:p>
      <w:pPr>
        <w:jc w:val="both"/>
        <w:ind w:firstLine="656"/>
        <w:spacing w:after="0" w:line="233" w:lineRule="auto"/>
        <w:tabs>
          <w:tab w:leader="none" w:pos="102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 Notwithstanding anything in this Agreement to the contrary, nothing contained in this Agreement shall prohibit the Executive 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(ii)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the Executive’s attorney or in a sealed complaint or other document filed in a lawsuit or other governmental proceeding. Pursuant to 18 USC Section 1833(b), the Executive acknowledges that (1) the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and (2) if the Executive files a lawsuit for retaliation by the Releasees for reporting a suspected violation of law, the Executive may disclose the trade secret to the Executive’s attorney and use the trade secret information in the court proceeding, if the Executive files any document containing the trade secret under seal and does not disclose the trade secret, except pursuant to court order.</w:t>
      </w:r>
    </w:p>
    <w:p>
      <w:pPr>
        <w:spacing w:after="0" w:line="170" w:lineRule="exact"/>
        <w:rPr>
          <w:rFonts w:ascii="Arial" w:cs="Arial" w:eastAsia="Arial" w:hAnsi="Arial"/>
          <w:sz w:val="18"/>
          <w:szCs w:val="18"/>
          <w:color w:val="auto"/>
        </w:rPr>
      </w:pPr>
    </w:p>
    <w:p>
      <w:pPr>
        <w:jc w:val="both"/>
        <w:ind w:firstLine="656"/>
        <w:spacing w:after="0" w:line="214" w:lineRule="auto"/>
        <w:tabs>
          <w:tab w:leader="none" w:pos="994"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Representations</w:t>
      </w:r>
      <w:r>
        <w:rPr>
          <w:rFonts w:ascii="Arial" w:cs="Arial" w:eastAsia="Arial" w:hAnsi="Arial"/>
          <w:sz w:val="20"/>
          <w:szCs w:val="20"/>
          <w:color w:val="auto"/>
        </w:rPr>
        <w:t>. The Executive represents and warrants that there has been no assignment or other transfer of any interest in any Claim which the Executive may have against Releasees, or any of them, and the Executive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Executive under this indemnity.</w:t>
      </w:r>
    </w:p>
    <w:p>
      <w:pPr>
        <w:spacing w:after="0" w:line="173" w:lineRule="exact"/>
        <w:rPr>
          <w:rFonts w:ascii="Arial" w:cs="Arial" w:eastAsia="Arial" w:hAnsi="Arial"/>
          <w:sz w:val="20"/>
          <w:szCs w:val="20"/>
          <w:color w:val="auto"/>
        </w:rPr>
      </w:pPr>
    </w:p>
    <w:p>
      <w:pPr>
        <w:ind w:left="1000" w:hanging="344"/>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Protection of Confidential Information; No Assistance and No Disparagement</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firstLine="1952"/>
        <w:spacing w:after="0" w:line="235" w:lineRule="auto"/>
        <w:tabs>
          <w:tab w:leader="none" w:pos="2408"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Executive acknowledges that during the Executive’s employment with the Company, the Executive had access to, received and had been entrusted with Confidential Information (as defined below), which is considered secret and/or proprietary and has great value to the Company and that except for the Executive’s engagement by the Company, the Executive would not otherwise have access to such Confidential Information. The Executive recognizes that all such Confidential Information is the property of the Company. Subject to Section 5, and in addition to the Executive’s obligations under the Executive’s Proprietary Information and Inventions Agreement with the Company, during and at all times after employment with the Company, the Executive shall keep all of the Confidential Information in confidence and shall not disclose any of the same to any other person, except with the prior written consent of the Company. The Executive shall use the Executive’s best efforts to prevent publication or disclosure of any Confidential Information and shall not, directly or indirectly, cause the Confidential Information to be used for the gain or benefit of any party outside of the Company or for the Executive’s personal gain or benefit outside the scope of the Executive’s engagement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|US-DOCS\134926153.5||</w:t>
      </w:r>
    </w:p>
    <w:p>
      <w:pPr>
        <w:sectPr>
          <w:pgSz w:w="11900" w:h="16838" w:orient="portrait"/>
          <w:cols w:equalWidth="0" w:num="1">
            <w:col w:w="11240"/>
          </w:cols>
          <w:pgMar w:left="320" w:top="1405" w:right="339" w:bottom="1440" w:gutter="0" w:footer="0" w:header="0"/>
        </w:sectPr>
      </w:pPr>
    </w:p>
    <w:bookmarkStart w:id="46" w:name="page47"/>
    <w:bookmarkEnd w:id="46"/>
    <w:p>
      <w:pPr>
        <w:jc w:val="both"/>
        <w:ind w:firstLine="1952"/>
        <w:spacing w:after="0" w:line="232" w:lineRule="auto"/>
        <w:tabs>
          <w:tab w:leader="none" w:pos="2443"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as used herein, means all information or material (a) which gives the Company a competitive business advantage or the opportunity of obtaining such advantage, (b) the disclosure of which could be detrimental to the interests of the Company and/or its affiliates, (c) which is owned by the Company and/or its affiliates, in which the Company and/or its affiliates has an interest, or which is valuable or unique, (d) which is developed or used by the Company or any of its affiliates and which relates to the business, operations, employees, customers and/or clients of the Company or any of its affiliates, or (e) which is either (x) marked “Confidential Information”, “Proprietary Information” or with another similar marking, or (y) from all the relevant circumstances should reasonably be assumed by the Executive to be confidential and proprietary to the Company. Confidential Information may include, but is not limited to, trade secrets, inventions, drawings, file data, documentation, diagrams, specifications, know how, ideas, processes, formulas, models, flow charts, software in various stages of development, source codes, object codes, research and development procedures, research or development and test results, marketing techniques and materials, marketing and development plans, price lists, pricing policies, business plans, information relating to the Company and its customers and/or producers or other suppliers’ identities, characteristics and agreements, financial information and projections, and employee files, in each case, whether disclosed or made available to the Executive in writing, orally or by drawings or observation, or whether intangible or embodied in documentation, software, hardware or other tangible form. Confidential Information also includes any information described above which the Company obtains from another party and which the Company treats as proprietary or designates as Confidential Information, whether or not owned or developed by the Company. Notwithstanding the foregoing, Confidential Information shall not include any information which (I) is known to the public or becomes known to the public through no fault of the Executive, (II) is received by the Executive on a non-confidential basis from a person that is not bound by an obligation of confidentiality to the Company or its affiliates, or (III) was in the Executive’s possession prior to receipt from the Company or its affiliates, as evidenced by the Executive’s written records.</w:t>
      </w:r>
    </w:p>
    <w:p>
      <w:pPr>
        <w:spacing w:after="0" w:line="194" w:lineRule="exact"/>
        <w:rPr>
          <w:rFonts w:ascii="Arial" w:cs="Arial" w:eastAsia="Arial" w:hAnsi="Arial"/>
          <w:sz w:val="18"/>
          <w:szCs w:val="18"/>
          <w:color w:val="auto"/>
        </w:rPr>
      </w:pPr>
    </w:p>
    <w:p>
      <w:pPr>
        <w:jc w:val="both"/>
        <w:ind w:firstLine="1952"/>
        <w:spacing w:after="0" w:line="262" w:lineRule="auto"/>
        <w:tabs>
          <w:tab w:leader="none" w:pos="2512" w:val="left"/>
        </w:tabs>
        <w:numPr>
          <w:ilvl w:val="2"/>
          <w:numId w:val="21"/>
        </w:numPr>
        <w:rPr>
          <w:rFonts w:ascii="Arial" w:cs="Arial" w:eastAsia="Arial" w:hAnsi="Arial"/>
          <w:sz w:val="16"/>
          <w:szCs w:val="16"/>
          <w:color w:val="auto"/>
        </w:rPr>
      </w:pPr>
      <w:r>
        <w:rPr>
          <w:rFonts w:ascii="Arial" w:cs="Arial" w:eastAsia="Arial" w:hAnsi="Arial"/>
          <w:sz w:val="16"/>
          <w:szCs w:val="16"/>
          <w:color w:val="auto"/>
        </w:rPr>
        <w:t>In addition, and subject to the exceptions set forth in Section 5 above, the Executive expressly acknowledges and agrees that the Executive: (a) shall not provide any Confidential Information, including any advice or assistance derived from the Executive’s experience with the Company, to any competitor of the Company, shareholder of the Company, litigant or potential litigant against the Company, or any other third party (each, a “</w:t>
      </w:r>
      <w:r>
        <w:rPr>
          <w:rFonts w:ascii="Arial" w:cs="Arial" w:eastAsia="Arial" w:hAnsi="Arial"/>
          <w:sz w:val="16"/>
          <w:szCs w:val="16"/>
          <w:b w:val="1"/>
          <w:bCs w:val="1"/>
          <w:i w:val="1"/>
          <w:iCs w:val="1"/>
          <w:color w:val="auto"/>
        </w:rPr>
        <w:t>Potential Adverse Party</w:t>
      </w:r>
      <w:r>
        <w:rPr>
          <w:rFonts w:ascii="Arial" w:cs="Arial" w:eastAsia="Arial" w:hAnsi="Arial"/>
          <w:sz w:val="16"/>
          <w:szCs w:val="16"/>
          <w:color w:val="auto"/>
        </w:rPr>
        <w:t>”); (b) shall not make, publicly or privately, written or oral, any statements that disparage, or could otherwise cause harm to, the business or reputation of the Company or any of its affiliates, and/or that are or could be harmful to or reflect negatively on any of the Company’s or its affiliates’ current or former officers, directors, employees, advisors, agents, policies, practices, decision-making, conduct, professionalism or compliance with standards; and (c) shall not aid, encourage, advise or otherwise assist any Potential Adverse Party (i) in asserting, prosecuting or defending any claim, action or proceeding or</w:t>
      </w:r>
    </w:p>
    <w:p>
      <w:pPr>
        <w:spacing w:after="0" w:line="2" w:lineRule="exact"/>
        <w:rPr>
          <w:rFonts w:ascii="Arial" w:cs="Arial" w:eastAsia="Arial" w:hAnsi="Arial"/>
          <w:sz w:val="16"/>
          <w:szCs w:val="16"/>
          <w:color w:val="auto"/>
        </w:rPr>
      </w:pPr>
    </w:p>
    <w:p>
      <w:pPr>
        <w:jc w:val="both"/>
        <w:ind w:firstLine="8"/>
        <w:spacing w:after="0" w:line="242" w:lineRule="auto"/>
        <w:tabs>
          <w:tab w:leader="none" w:pos="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one-year period beginning on the Separation Date, undertaking any proxy contest, withhold campaign or other shareholder campaign or proxy solicitation, or making any other demands against the Company. Additionally, the Executive further agrees to promptly notify the Company if any private (non-governmental) third party approaches the Executive concerning any of the foregoing matters.</w:t>
      </w:r>
    </w:p>
    <w:p>
      <w:pPr>
        <w:spacing w:after="0" w:line="194" w:lineRule="exact"/>
        <w:rPr>
          <w:rFonts w:ascii="Arial" w:cs="Arial" w:eastAsia="Arial" w:hAnsi="Arial"/>
          <w:sz w:val="18"/>
          <w:szCs w:val="18"/>
          <w:color w:val="auto"/>
        </w:rPr>
      </w:pPr>
    </w:p>
    <w:p>
      <w:pPr>
        <w:jc w:val="both"/>
        <w:ind w:firstLine="656"/>
        <w:spacing w:after="0" w:line="234" w:lineRule="auto"/>
        <w:tabs>
          <w:tab w:leader="none" w:pos="1057"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Ongoing Cooperation</w:t>
      </w:r>
      <w:r>
        <w:rPr>
          <w:rFonts w:ascii="Arial" w:cs="Arial" w:eastAsia="Arial" w:hAnsi="Arial"/>
          <w:sz w:val="18"/>
          <w:szCs w:val="18"/>
          <w:color w:val="auto"/>
        </w:rPr>
        <w:t>. Subject to Section 5, the Executive agrees that the Executive will assist and cooperate with the Company and its affiliates (i) concerning reasonable requests for information about the business of the Company or its affiliates through the Separation Date or the Executive’s involvement and participation therein, (ii) in connection with the defense, prosecution or investigation of any claims or actions now in existence or which may be brought in the future against or on behalf of the Company or its subsidiaries or affiliates concerning any matter arising through the Separation Date, including any proceeding before any arbitral, administrative, judicial, legislative, or other body or agency, including testifying in any proceeding to the extent such claims, actions, investigations or proceedings relate to services performed or required to be performed by the Executive, pertinent knowledge possessed by the Executive, or any act or omission by the Executive, and (iii) and in connection with any investigation or review by any federal, state or local regulatory, quasi- or self-regulatory or self-governing authority or organization (including, without limitation, the SEC and FINRA) as any such investigation or review relates to services performed or required to be performed by the Executive, pertinent knowledge possessed by the Executive, or any act or omission by the Executive. The Executive’s full reasonable cooperation shall consist of being available to meet and speak with officers or employees of the Company, its affiliates and/or their counsel at reasonable times and locations, executing documents the Executive knows to be accurate and truthful, appearing at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|US-DOCS\134926153.5||</w:t>
      </w:r>
    </w:p>
    <w:p>
      <w:pPr>
        <w:sectPr>
          <w:pgSz w:w="11900" w:h="16838" w:orient="portrait"/>
          <w:cols w:equalWidth="0" w:num="1">
            <w:col w:w="11240"/>
          </w:cols>
          <w:pgMar w:left="320" w:top="140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request as a witness at depositions, trials or other proceedings without the necessity of a subpoena, and taking such other actions as may</w:t>
      </w:r>
    </w:p>
    <w:p>
      <w:pPr>
        <w:spacing w:after="0" w:line="1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reasonably be requested by the Company and/or its counsel to effectuate the foregoing. The provision of such services shall be subject to other commitments that the Executive may have at the time of the request and shall reimburse the Executive for reasonable expenses.</w:t>
      </w:r>
    </w:p>
    <w:p>
      <w:pPr>
        <w:spacing w:after="0" w:line="160" w:lineRule="exact"/>
        <w:rPr>
          <w:sz w:val="20"/>
          <w:szCs w:val="20"/>
          <w:color w:val="auto"/>
        </w:rPr>
      </w:pPr>
    </w:p>
    <w:p>
      <w:pPr>
        <w:jc w:val="both"/>
        <w:ind w:firstLine="656"/>
        <w:spacing w:after="0" w:line="231" w:lineRule="auto"/>
        <w:tabs>
          <w:tab w:leader="none" w:pos="100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Standstill</w:t>
      </w:r>
      <w:r>
        <w:rPr>
          <w:rFonts w:ascii="Arial" w:cs="Arial" w:eastAsia="Arial" w:hAnsi="Arial"/>
          <w:sz w:val="18"/>
          <w:szCs w:val="18"/>
          <w:color w:val="auto"/>
        </w:rPr>
        <w:t>. The Executive agrees that, for a period of one year from the Separation Date, unless specifically invited in writing by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neither the Executive nor any of the Executive’s affiliates or representatives acting on the Executive’s behalf or on behalf of other persons acting in concert with the Executive will in any manner, directly or indirectly: (a) effect or seek, offer or propose (whether publicly or otherwise) to effect, or announce any intention to effect or cause or participate in or in any way assist, facilitate or encourage any other person to effect or seek, offer or propose (whether publicly or otherwise) to effect or participate in, (i) any acquisition of any securities (or beneficial ownership thereof), or rights or options to acquire any securities (or beneficial ownership thereof), or any assets, indebtedness or businesses of the Company or any of its subsidiaries or affiliates, (ii) any tender or exchange offer, merger or other business combination involving the Company, any of the subsidiaries or affiliates or assets of the Company or the subsidiaries or affiliates constituting a significant portion of the consolidated assets of the Company and its subsidiaries or affiliates, (iii) any recapitalization, restructuring, liquidation, dissolution or other extraordinary transaction with respect to the Company or any of its subsidiaries or affiliates, or (iv) any “solicitation” of “proxies” (as such terms are used in the proxy rules of the Securities and Exchange Commission) or consents to vote any voting securities of the Company, including consents or actions with respect to the calling of a special meeting of the Company’s shareholders or to advise or influence any person with respect to the voting of any voting securities or interests of the Company; (b) deposit any voting securities of the Company in a voting trust or subject voting securities of the Company to a voting agreement or any other arrangement or understanding with respect to the voting of such securities; (c) form, join or in any way participate in a “group” (as defined under the Securities Exchange Act of 1934, as amended) with respect to the Company or otherwise act in concert with any person in respect of any such securities; (d) otherwise act, alone or in concert with others, to seek representation on or to control or influence the management, the Board, governing instruments, affairs or policies of the Company or to obtain representation on the Board; (e) disclose or direct any person to disclose, any intention, plan or arrangement inconsistent with the foregoing; (f) take any action which would or would reasonably be expected to result in a request by a court of competent jurisdiction or by a governmental body to disclose, or could cause or require the Executive or the Company to disclose or make a public announcement regarding, any part of the information contained in the Confidential Information or any matter of the types set forth in this Section 9; or (g) advise, assist or encourage or direct any person to advise, assist or encourage any other persons in connection with any of the foregoing.</w:t>
      </w:r>
    </w:p>
    <w:p>
      <w:pPr>
        <w:spacing w:after="0" w:line="183" w:lineRule="exact"/>
        <w:rPr>
          <w:rFonts w:ascii="Arial" w:cs="Arial" w:eastAsia="Arial" w:hAnsi="Arial"/>
          <w:sz w:val="18"/>
          <w:szCs w:val="18"/>
          <w:color w:val="auto"/>
        </w:rPr>
      </w:pPr>
    </w:p>
    <w:p>
      <w:pPr>
        <w:jc w:val="both"/>
        <w:ind w:firstLine="656"/>
        <w:spacing w:after="0" w:line="231" w:lineRule="auto"/>
        <w:tabs>
          <w:tab w:leader="none" w:pos="112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The Executive acknowledges and agrees that the restrictive covenants contained in Sections 7 and 8 of this Agreement, the Severance Plan (including with respect to non-competition, non-solicitation, cooperation and non-disparagement), and pursuant to the Company’s Proprietary Information and Inventions Agreement signed by the Executive shall remain in full force and effect in accordance with their terms and the Executive shall continue to be bound by their terms.</w:t>
      </w:r>
    </w:p>
    <w:p>
      <w:pPr>
        <w:spacing w:after="0" w:line="171" w:lineRule="exact"/>
        <w:rPr>
          <w:rFonts w:ascii="Arial" w:cs="Arial" w:eastAsia="Arial" w:hAnsi="Arial"/>
          <w:sz w:val="19"/>
          <w:szCs w:val="19"/>
          <w:color w:val="auto"/>
        </w:rPr>
      </w:pPr>
    </w:p>
    <w:p>
      <w:pPr>
        <w:jc w:val="both"/>
        <w:ind w:firstLine="656"/>
        <w:spacing w:after="0" w:line="231" w:lineRule="auto"/>
        <w:tabs>
          <w:tab w:leader="none" w:pos="1113"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No Action</w:t>
      </w:r>
      <w:r>
        <w:rPr>
          <w:rFonts w:ascii="Arial" w:cs="Arial" w:eastAsia="Arial" w:hAnsi="Arial"/>
          <w:sz w:val="19"/>
          <w:szCs w:val="19"/>
          <w:color w:val="auto"/>
        </w:rPr>
        <w:t>. The Executive agrees that if the Executive hereafter commences any suit arising out of, based upon, or relating to any of the Claims released hereunder or in any manner asserts against Releasees, or any of them, any of the Claims released hereunder, then the Executive agrees to pay to Releasees, and each of them, in addition to any other damages caused to Releasees thereby, all attorneys’ fees incurred by Releasees in defending or otherwise responding to said suit or Claim.</w:t>
      </w:r>
    </w:p>
    <w:p>
      <w:pPr>
        <w:spacing w:after="0" w:line="157" w:lineRule="exact"/>
        <w:rPr>
          <w:rFonts w:ascii="Arial" w:cs="Arial" w:eastAsia="Arial" w:hAnsi="Arial"/>
          <w:sz w:val="19"/>
          <w:szCs w:val="19"/>
          <w:color w:val="auto"/>
        </w:rPr>
      </w:pPr>
    </w:p>
    <w:p>
      <w:pPr>
        <w:jc w:val="both"/>
        <w:ind w:firstLine="656"/>
        <w:spacing w:after="0" w:line="227" w:lineRule="auto"/>
        <w:tabs>
          <w:tab w:leader="none" w:pos="1107"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No Admission</w:t>
      </w:r>
      <w:r>
        <w:rPr>
          <w:rFonts w:ascii="Arial" w:cs="Arial" w:eastAsia="Arial" w:hAnsi="Arial"/>
          <w:sz w:val="20"/>
          <w:szCs w:val="20"/>
          <w:color w:val="auto"/>
        </w:rPr>
        <w:t>. The Executive further understands and agrees that neither the payment of any sum of money nor the execution of this Agreement shall constitute or be construed as an admission of any liability whatsoever by the Releasees, or any of them, who have consistently taken the position that they have no liability whatsoever to the Executive.</w:t>
      </w:r>
    </w:p>
    <w:p>
      <w:pPr>
        <w:spacing w:after="0" w:line="157" w:lineRule="exact"/>
        <w:rPr>
          <w:rFonts w:ascii="Arial" w:cs="Arial" w:eastAsia="Arial" w:hAnsi="Arial"/>
          <w:sz w:val="20"/>
          <w:szCs w:val="20"/>
          <w:color w:val="auto"/>
        </w:rPr>
      </w:pPr>
    </w:p>
    <w:p>
      <w:pPr>
        <w:jc w:val="both"/>
        <w:ind w:firstLine="656"/>
        <w:spacing w:after="0" w:line="259" w:lineRule="auto"/>
        <w:tabs>
          <w:tab w:leader="none" w:pos="110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OWBPA</w:t>
      </w:r>
      <w:r>
        <w:rPr>
          <w:rFonts w:ascii="Arial" w:cs="Arial" w:eastAsia="Arial" w:hAnsi="Arial"/>
          <w:sz w:val="18"/>
          <w:szCs w:val="18"/>
          <w:color w:val="auto"/>
        </w:rPr>
        <w:t>. The Executive agrees and acknowledges that this Agreement constitutes a knowing and voluntary waiver and release of all Claims the Executive has or may have against the Company and/or any of the other Releasees as set forth herein, including, but not limited to, all Claims arising under the Older Worker’s Benefit Protection Act and the Age Discrimination in Employment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|US-DOCS\134926153.5||</w:t>
      </w:r>
    </w:p>
    <w:p>
      <w:pPr>
        <w:sectPr>
          <w:pgSz w:w="11900" w:h="16838" w:orient="portrait"/>
          <w:cols w:equalWidth="0" w:num="1">
            <w:col w:w="11240"/>
          </w:cols>
          <w:pgMar w:left="320" w:top="1405" w:right="339"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t>In accordance with the Older Worker’s Benefit Protection Act, the Executive is hereby advised as follows:</w:t>
      </w:r>
    </w:p>
    <w:p>
      <w:pPr>
        <w:spacing w:after="0" w:line="189" w:lineRule="exact"/>
        <w:rPr>
          <w:sz w:val="20"/>
          <w:szCs w:val="20"/>
          <w:color w:val="auto"/>
        </w:rPr>
      </w:pPr>
    </w:p>
    <w:p>
      <w:pPr>
        <w:jc w:val="both"/>
        <w:ind w:left="1300" w:hanging="320"/>
        <w:spacing w:after="0" w:line="223" w:lineRule="auto"/>
        <w:tabs>
          <w:tab w:leader="none" w:pos="1298"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Executive has read the terms of this Agreement, and understands its terms and effects, including the fact that the Executive agreed to release and forever discharge the Company and each of the Releasees, from any Claims released in this Agreement;</w:t>
      </w:r>
    </w:p>
    <w:p>
      <w:pPr>
        <w:spacing w:after="0" w:line="195" w:lineRule="exact"/>
        <w:rPr>
          <w:rFonts w:ascii="Arial" w:cs="Arial" w:eastAsia="Arial" w:hAnsi="Arial"/>
          <w:sz w:val="20"/>
          <w:szCs w:val="20"/>
          <w:color w:val="auto"/>
        </w:rPr>
      </w:pPr>
    </w:p>
    <w:p>
      <w:pPr>
        <w:jc w:val="both"/>
        <w:ind w:left="1300" w:hanging="320"/>
        <w:spacing w:after="0" w:line="223" w:lineRule="auto"/>
        <w:tabs>
          <w:tab w:leader="none" w:pos="1299"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Executive understands that, by entering into this Agreement, the Executive does not waive any Claims that may arise after the date of the Executive’s execution of this Agreement, including without limitation any rights or claims that the Executive may have to secure enforcement of the terms and conditions of this Agreement;</w:t>
      </w:r>
    </w:p>
    <w:p>
      <w:pPr>
        <w:spacing w:after="0" w:line="195" w:lineRule="exact"/>
        <w:rPr>
          <w:rFonts w:ascii="Arial" w:cs="Arial" w:eastAsia="Arial" w:hAnsi="Arial"/>
          <w:sz w:val="20"/>
          <w:szCs w:val="20"/>
          <w:color w:val="auto"/>
        </w:rPr>
      </w:pPr>
    </w:p>
    <w:p>
      <w:pPr>
        <w:jc w:val="both"/>
        <w:ind w:left="1300" w:hanging="320"/>
        <w:spacing w:after="0" w:line="223"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Executive has signed this Agreement voluntarily and knowingly in exchange for the consideration described in this Agreement, which the Executive acknowledges is adequate and satisfactory to the Executive and which the Executive acknowledges is in addition to any other benefits to which the Executive is otherwise entitled;</w:t>
      </w:r>
    </w:p>
    <w:p>
      <w:pPr>
        <w:spacing w:after="0" w:line="195" w:lineRule="exact"/>
        <w:rPr>
          <w:rFonts w:ascii="Arial" w:cs="Arial" w:eastAsia="Arial" w:hAnsi="Arial"/>
          <w:sz w:val="20"/>
          <w:szCs w:val="20"/>
          <w:color w:val="auto"/>
        </w:rPr>
      </w:pPr>
    </w:p>
    <w:p>
      <w:pPr>
        <w:ind w:left="1300" w:hanging="320"/>
        <w:spacing w:after="0"/>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Company advised the Executive to consult with an attorney prior to executing this Agreement;</w:t>
      </w:r>
    </w:p>
    <w:p>
      <w:pPr>
        <w:spacing w:after="0" w:line="202" w:lineRule="exact"/>
        <w:rPr>
          <w:rFonts w:ascii="Arial" w:cs="Arial" w:eastAsia="Arial" w:hAnsi="Arial"/>
          <w:sz w:val="20"/>
          <w:szCs w:val="20"/>
          <w:color w:val="auto"/>
        </w:rPr>
      </w:pPr>
    </w:p>
    <w:p>
      <w:pPr>
        <w:jc w:val="both"/>
        <w:ind w:left="1300" w:hanging="320"/>
        <w:spacing w:after="0" w:line="231" w:lineRule="auto"/>
        <w:tabs>
          <w:tab w:leader="none" w:pos="1288"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Executive has been given at least 45 days in which to review and consider this Agreement. To the extent that the Executive chooses to sign this Agreement prior to the expiration of such period, the Executive acknowledges that the Executive has done so voluntarily, had sufficient time to consider the Agreement, to consult with counsel and that the Executive does not desire additional time and hereby waives the remainder of the 45-day period; and</w:t>
      </w:r>
    </w:p>
    <w:p>
      <w:pPr>
        <w:spacing w:after="0" w:line="198" w:lineRule="exact"/>
        <w:rPr>
          <w:rFonts w:ascii="Arial" w:cs="Arial" w:eastAsia="Arial" w:hAnsi="Arial"/>
          <w:sz w:val="19"/>
          <w:szCs w:val="19"/>
          <w:color w:val="auto"/>
        </w:rPr>
      </w:pPr>
    </w:p>
    <w:p>
      <w:pPr>
        <w:jc w:val="both"/>
        <w:ind w:left="1300" w:hanging="320"/>
        <w:spacing w:after="0" w:line="214" w:lineRule="auto"/>
        <w:tabs>
          <w:tab w:leader="none" w:pos="1289"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Executive may revoke the Release within seven days from the date the Executive signs this Agreement and this Agreement will become effective upon the expiration of that revocation period. If the Executive revokes the Release during such seven-day period, this Agreement will be null and void and of no force or effect on either the Company or the Executive and the Executive will not be entitled to any of the payments or benefits which are expressly conditioned upon the execution and non-revocation of this Agreement. Any revocation must be in writing and sent to Shari Eaton, via electronic mail at shari.eaton@onepeloton.com, on or before 11:59 p.m. Eastern time on the seventh day after this Agreement is executed by the Executive.</w:t>
      </w:r>
    </w:p>
    <w:p>
      <w:pPr>
        <w:spacing w:after="0" w:line="184" w:lineRule="exact"/>
        <w:rPr>
          <w:rFonts w:ascii="Arial" w:cs="Arial" w:eastAsia="Arial" w:hAnsi="Arial"/>
          <w:sz w:val="20"/>
          <w:szCs w:val="20"/>
          <w:color w:val="auto"/>
        </w:rPr>
      </w:pPr>
    </w:p>
    <w:p>
      <w:pPr>
        <w:jc w:val="both"/>
        <w:ind w:firstLine="656"/>
        <w:spacing w:after="0" w:line="227" w:lineRule="auto"/>
        <w:tabs>
          <w:tab w:leader="none" w:pos="1134"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Acknowledgement</w:t>
      </w:r>
      <w:r>
        <w:rPr>
          <w:rFonts w:ascii="Arial" w:cs="Arial" w:eastAsia="Arial" w:hAnsi="Arial"/>
          <w:sz w:val="20"/>
          <w:szCs w:val="20"/>
          <w:color w:val="auto"/>
        </w:rPr>
        <w:t>. The Executive agrees and acknowledges that in exchange for the timely execution and non-revocation of the Release, the Executive is entitled to only the payments and benefits described in Section 4 of this Agreement, and not under any other agreement, plan or program.</w:t>
      </w:r>
    </w:p>
    <w:p>
      <w:pPr>
        <w:spacing w:after="0" w:line="157" w:lineRule="exact"/>
        <w:rPr>
          <w:rFonts w:ascii="Arial" w:cs="Arial" w:eastAsia="Arial" w:hAnsi="Arial"/>
          <w:sz w:val="20"/>
          <w:szCs w:val="20"/>
          <w:color w:val="auto"/>
        </w:rPr>
      </w:pPr>
    </w:p>
    <w:p>
      <w:pPr>
        <w:ind w:firstLine="656"/>
        <w:spacing w:after="0" w:line="257" w:lineRule="auto"/>
        <w:tabs>
          <w:tab w:leader="none" w:pos="1242"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Release is deemed made and entered into in the State of New York, and in all respects shall be interpreted, enforced and governed under the internal laws of the State of New York, to the extent not preempted by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|US-DOCS\134926153.5||</w:t>
      </w:r>
    </w:p>
    <w:p>
      <w:pPr>
        <w:sectPr>
          <w:pgSz w:w="11900" w:h="16838" w:orient="portrait"/>
          <w:cols w:equalWidth="0" w:num="1">
            <w:col w:w="11240"/>
          </w:cols>
          <w:pgMar w:left="320" w:top="1405" w:right="339" w:bottom="1440" w:gutter="0" w:footer="0" w:header="0"/>
        </w:sectPr>
      </w:pPr>
    </w:p>
    <w:bookmarkStart w:id="49" w:name="page50"/>
    <w:bookmarkEnd w:id="49"/>
    <w:p>
      <w:pPr>
        <w:spacing w:after="0" w:line="200" w:lineRule="exact"/>
        <w:rPr>
          <w:sz w:val="20"/>
          <w:szCs w:val="20"/>
          <w:color w:val="auto"/>
        </w:rPr>
      </w:pPr>
    </w:p>
    <w:p>
      <w:pPr>
        <w:spacing w:after="0" w:line="225" w:lineRule="exact"/>
        <w:rPr>
          <w:sz w:val="20"/>
          <w:szCs w:val="20"/>
          <w:color w:val="auto"/>
        </w:rPr>
      </w:pPr>
    </w:p>
    <w:p>
      <w:pPr>
        <w:jc w:val="right"/>
        <w:ind w:right="459"/>
        <w:spacing w:after="0"/>
        <w:rPr>
          <w:sz w:val="20"/>
          <w:szCs w:val="20"/>
          <w:color w:val="auto"/>
        </w:rPr>
      </w:pPr>
      <w:r>
        <w:rPr>
          <w:rFonts w:ascii="Arial" w:cs="Arial" w:eastAsia="Arial" w:hAnsi="Arial"/>
          <w:sz w:val="20"/>
          <w:szCs w:val="20"/>
          <w:color w:val="auto"/>
        </w:rPr>
        <w:t>IN WITNESS WHEREOF, the parties hereto have executed this Agreement as of the date set forth below.</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20"/>
                <w:szCs w:val="20"/>
                <w:color w:val="auto"/>
                <w:w w:val="98"/>
              </w:rPr>
              <w:t>Dated: __________________, 2022</w:t>
            </w:r>
          </w:p>
        </w:tc>
        <w:tc>
          <w:tcPr>
            <w:tcW w:w="3880" w:type="dxa"/>
            <w:vAlign w:val="bottom"/>
          </w:tcPr>
          <w:p>
            <w:pPr>
              <w:jc w:val="center"/>
              <w:ind w:right="761"/>
              <w:spacing w:after="0"/>
              <w:rPr>
                <w:sz w:val="20"/>
                <w:szCs w:val="20"/>
                <w:color w:val="auto"/>
              </w:rPr>
            </w:pPr>
            <w:r>
              <w:rPr>
                <w:rFonts w:ascii="Arial" w:cs="Arial" w:eastAsia="Arial" w:hAnsi="Arial"/>
                <w:sz w:val="20"/>
                <w:szCs w:val="20"/>
                <w:color w:val="auto"/>
                <w:w w:val="88"/>
              </w:rPr>
              <w:t>_____________________________</w:t>
            </w:r>
          </w:p>
        </w:tc>
        <w:tc>
          <w:tcPr>
            <w:tcW w:w="0" w:type="dxa"/>
            <w:vAlign w:val="bottom"/>
          </w:tcPr>
          <w:p>
            <w:pPr>
              <w:spacing w:after="0"/>
              <w:rPr>
                <w:sz w:val="1"/>
                <w:szCs w:val="1"/>
                <w:color w:val="auto"/>
              </w:rPr>
            </w:pPr>
          </w:p>
        </w:tc>
      </w:tr>
      <w:tr>
        <w:trPr>
          <w:trHeight w:val="250"/>
        </w:trPr>
        <w:tc>
          <w:tcPr>
            <w:tcW w:w="3180" w:type="dxa"/>
            <w:vAlign w:val="bottom"/>
          </w:tcPr>
          <w:p>
            <w:pPr>
              <w:ind w:left="1200"/>
              <w:spacing w:after="0"/>
              <w:rPr>
                <w:sz w:val="20"/>
                <w:szCs w:val="20"/>
                <w:color w:val="auto"/>
              </w:rPr>
            </w:pPr>
            <w:r>
              <w:rPr>
                <w:rFonts w:ascii="Arial" w:cs="Arial" w:eastAsia="Arial" w:hAnsi="Arial"/>
                <w:sz w:val="20"/>
                <w:szCs w:val="20"/>
                <w:color w:val="auto"/>
              </w:rPr>
              <w:t>John Foley</w:t>
            </w:r>
          </w:p>
        </w:tc>
        <w:tc>
          <w:tcPr>
            <w:tcW w:w="3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0"/>
        </w:trPr>
        <w:tc>
          <w:tcPr>
            <w:tcW w:w="3180" w:type="dxa"/>
            <w:vAlign w:val="bottom"/>
          </w:tcPr>
          <w:p>
            <w:pPr>
              <w:spacing w:after="0"/>
              <w:rPr>
                <w:sz w:val="20"/>
                <w:szCs w:val="20"/>
                <w:color w:val="auto"/>
              </w:rPr>
            </w:pPr>
            <w:r>
              <w:rPr>
                <w:rFonts w:ascii="Arial" w:cs="Arial" w:eastAsia="Arial" w:hAnsi="Arial"/>
                <w:sz w:val="20"/>
                <w:szCs w:val="20"/>
                <w:color w:val="auto"/>
                <w:w w:val="98"/>
              </w:rPr>
              <w:t>Dated: __________________, 2022</w:t>
            </w:r>
          </w:p>
        </w:tc>
        <w:tc>
          <w:tcPr>
            <w:tcW w:w="3880" w:type="dxa"/>
            <w:vAlign w:val="bottom"/>
          </w:tcPr>
          <w:p>
            <w:pPr>
              <w:jc w:val="center"/>
              <w:ind w:right="761"/>
              <w:spacing w:after="0"/>
              <w:rPr>
                <w:sz w:val="20"/>
                <w:szCs w:val="20"/>
                <w:color w:val="auto"/>
              </w:rPr>
            </w:pPr>
            <w:r>
              <w:rPr>
                <w:rFonts w:ascii="Arial" w:cs="Arial" w:eastAsia="Arial" w:hAnsi="Arial"/>
                <w:sz w:val="20"/>
                <w:szCs w:val="20"/>
                <w:color w:val="auto"/>
                <w:w w:val="88"/>
              </w:rPr>
              <w:t>_____________________________</w:t>
            </w:r>
          </w:p>
        </w:tc>
        <w:tc>
          <w:tcPr>
            <w:tcW w:w="0" w:type="dxa"/>
            <w:vAlign w:val="bottom"/>
          </w:tcPr>
          <w:p>
            <w:pPr>
              <w:spacing w:after="0"/>
              <w:rPr>
                <w:sz w:val="1"/>
                <w:szCs w:val="1"/>
                <w:color w:val="auto"/>
              </w:rPr>
            </w:pPr>
          </w:p>
        </w:tc>
      </w:tr>
      <w:tr>
        <w:trPr>
          <w:trHeight w:val="250"/>
        </w:trPr>
        <w:tc>
          <w:tcPr>
            <w:tcW w:w="3180" w:type="dxa"/>
            <w:vAlign w:val="bottom"/>
          </w:tcPr>
          <w:p>
            <w:pPr>
              <w:ind w:left="1200"/>
              <w:spacing w:after="0"/>
              <w:rPr>
                <w:sz w:val="20"/>
                <w:szCs w:val="20"/>
                <w:color w:val="auto"/>
              </w:rPr>
            </w:pPr>
            <w:r>
              <w:rPr>
                <w:rFonts w:ascii="Arial" w:cs="Arial" w:eastAsia="Arial" w:hAnsi="Arial"/>
                <w:sz w:val="20"/>
                <w:szCs w:val="20"/>
                <w:color w:val="auto"/>
                <w:w w:val="93"/>
              </w:rPr>
              <w:t>Peloton Interactive, Inc.</w:t>
            </w:r>
          </w:p>
        </w:tc>
        <w:tc>
          <w:tcPr>
            <w:tcW w:w="3880" w:type="dxa"/>
            <w:vAlign w:val="bottom"/>
            <w:vMerge w:val="restart"/>
          </w:tcPr>
          <w:p>
            <w:pPr>
              <w:jc w:val="center"/>
              <w:ind w:right="781"/>
              <w:spacing w:after="0"/>
              <w:rPr>
                <w:sz w:val="20"/>
                <w:szCs w:val="20"/>
                <w:color w:val="auto"/>
              </w:rPr>
            </w:pPr>
            <w:r>
              <w:rPr>
                <w:rFonts w:ascii="Arial" w:cs="Arial" w:eastAsia="Arial" w:hAnsi="Arial"/>
                <w:sz w:val="20"/>
                <w:szCs w:val="20"/>
                <w:color w:val="auto"/>
                <w:w w:val="91"/>
              </w:rPr>
              <w:t>Name: Hisao Kushi</w:t>
            </w:r>
          </w:p>
        </w:tc>
        <w:tc>
          <w:tcPr>
            <w:tcW w:w="0" w:type="dxa"/>
            <w:vAlign w:val="bottom"/>
          </w:tcPr>
          <w:p>
            <w:pPr>
              <w:spacing w:after="0"/>
              <w:rPr>
                <w:sz w:val="1"/>
                <w:szCs w:val="1"/>
                <w:color w:val="auto"/>
              </w:rPr>
            </w:pPr>
          </w:p>
        </w:tc>
      </w:tr>
      <w:tr>
        <w:trPr>
          <w:trHeight w:val="141"/>
        </w:trPr>
        <w:tc>
          <w:tcPr>
            <w:tcW w:w="3180" w:type="dxa"/>
            <w:vAlign w:val="bottom"/>
          </w:tcPr>
          <w:p>
            <w:pPr>
              <w:spacing w:after="0"/>
              <w:rPr>
                <w:sz w:val="12"/>
                <w:szCs w:val="12"/>
                <w:color w:val="auto"/>
              </w:rPr>
            </w:pPr>
          </w:p>
        </w:tc>
        <w:tc>
          <w:tcPr>
            <w:tcW w:w="3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3880" w:type="dxa"/>
            <w:vAlign w:val="bottom"/>
          </w:tcPr>
          <w:p>
            <w:pPr>
              <w:ind w:left="720"/>
              <w:spacing w:after="0"/>
              <w:rPr>
                <w:sz w:val="20"/>
                <w:szCs w:val="20"/>
                <w:color w:val="auto"/>
              </w:rPr>
            </w:pPr>
            <w:r>
              <w:rPr>
                <w:rFonts w:ascii="Arial" w:cs="Arial" w:eastAsia="Arial" w:hAnsi="Arial"/>
                <w:sz w:val="20"/>
                <w:szCs w:val="20"/>
                <w:color w:val="auto"/>
                <w:w w:val="91"/>
              </w:rPr>
              <w:t>Title: Chief Legal Officer and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|US-DOCS\134926153.5||</w:t>
      </w:r>
    </w:p>
    <w:p>
      <w:pPr>
        <w:sectPr>
          <w:pgSz w:w="11900" w:h="16838" w:orient="portrait"/>
          <w:cols w:equalWidth="0" w:num="1">
            <w:col w:w="10139"/>
          </w:cols>
          <w:pgMar w:left="320" w:top="1440" w:right="1440" w:bottom="1440" w:gutter="0" w:footer="0" w:header="0"/>
        </w:sectPr>
      </w:pPr>
    </w:p>
    <w:bookmarkStart w:id="50" w:name="page51"/>
    <w:bookmarkEnd w:id="50"/>
    <w:p>
      <w:pPr>
        <w:jc w:val="center"/>
        <w:spacing w:after="0" w:line="258" w:lineRule="auto"/>
        <w:rPr>
          <w:sz w:val="20"/>
          <w:szCs w:val="20"/>
          <w:color w:val="auto"/>
        </w:rPr>
      </w:pPr>
      <w:r>
        <w:rPr>
          <w:rFonts w:ascii="Arial" w:cs="Arial" w:eastAsia="Arial" w:hAnsi="Arial"/>
          <w:sz w:val="22"/>
          <w:szCs w:val="22"/>
          <w:b w:val="1"/>
          <w:bCs w:val="1"/>
          <w:color w:val="auto"/>
        </w:rPr>
        <w:t>CERTIFICATION OF PRINCIPAL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I, Barry McCarthy, certify that:</w:t>
      </w:r>
    </w:p>
    <w:p>
      <w:pPr>
        <w:spacing w:after="0" w:line="248"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61" w:lineRule="exact"/>
        <w:rPr>
          <w:rFonts w:ascii="Arial" w:cs="Arial" w:eastAsia="Arial" w:hAnsi="Arial"/>
          <w:sz w:val="16"/>
          <w:szCs w:val="16"/>
          <w:color w:val="auto"/>
        </w:rPr>
      </w:pPr>
    </w:p>
    <w:p>
      <w:pPr>
        <w:ind w:firstLine="8"/>
        <w:spacing w:after="0" w:line="260" w:lineRule="auto"/>
        <w:tabs>
          <w:tab w:leader="none" w:pos="6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6"/>
          <w:szCs w:val="16"/>
          <w:color w:val="auto"/>
        </w:rPr>
      </w:pPr>
    </w:p>
    <w:p>
      <w:pPr>
        <w:ind w:firstLine="8"/>
        <w:spacing w:after="0" w:line="260" w:lineRule="auto"/>
        <w:tabs>
          <w:tab w:leader="none" w:pos="6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jc w:val="both"/>
        <w:ind w:firstLine="8"/>
        <w:spacing w:after="0" w:line="262" w:lineRule="auto"/>
        <w:tabs>
          <w:tab w:leader="none" w:pos="6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4"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1"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1" w:lineRule="exact"/>
        <w:rPr>
          <w:rFonts w:ascii="Arial" w:cs="Arial" w:eastAsia="Arial" w:hAnsi="Arial"/>
          <w:sz w:val="16"/>
          <w:szCs w:val="16"/>
          <w:color w:val="auto"/>
        </w:rPr>
      </w:pPr>
    </w:p>
    <w:p>
      <w:pPr>
        <w:ind w:left="660" w:hanging="328"/>
        <w:spacing w:after="0" w:line="260" w:lineRule="auto"/>
        <w:tabs>
          <w:tab w:leader="none" w:pos="651"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5"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1" w:lineRule="exact"/>
        <w:rPr>
          <w:rFonts w:ascii="Arial" w:cs="Arial" w:eastAsia="Arial" w:hAnsi="Arial"/>
          <w:sz w:val="16"/>
          <w:szCs w:val="16"/>
          <w:color w:val="auto"/>
        </w:rPr>
      </w:pPr>
    </w:p>
    <w:p>
      <w:pPr>
        <w:ind w:firstLine="8"/>
        <w:spacing w:after="0" w:line="255" w:lineRule="auto"/>
        <w:tabs>
          <w:tab w:leader="none" w:pos="6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0"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60" w:hanging="328"/>
        <w:spacing w:after="0" w:line="278"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Barry McCarthy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Barry McCarthy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51" w:name="page52"/>
    <w:bookmarkEnd w:id="51"/>
    <w:p>
      <w:pPr>
        <w:jc w:val="center"/>
        <w:spacing w:after="0" w:line="258" w:lineRule="auto"/>
        <w:rPr>
          <w:sz w:val="20"/>
          <w:szCs w:val="20"/>
          <w:color w:val="auto"/>
        </w:rPr>
      </w:pPr>
      <w:r>
        <w:rPr>
          <w:rFonts w:ascii="Arial" w:cs="Arial" w:eastAsia="Arial" w:hAnsi="Arial"/>
          <w:sz w:val="22"/>
          <w:szCs w:val="22"/>
          <w:b w:val="1"/>
          <w:bCs w:val="1"/>
          <w:color w:val="auto"/>
        </w:rPr>
        <w:t>CERTIFICATION OF PRINCIPAL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I, Elizabeth F Coddington, certify that:</w:t>
      </w:r>
    </w:p>
    <w:p>
      <w:pPr>
        <w:spacing w:after="0" w:line="248"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61" w:lineRule="exact"/>
        <w:rPr>
          <w:rFonts w:ascii="Arial" w:cs="Arial" w:eastAsia="Arial" w:hAnsi="Arial"/>
          <w:sz w:val="16"/>
          <w:szCs w:val="16"/>
          <w:color w:val="auto"/>
        </w:rPr>
      </w:pPr>
    </w:p>
    <w:p>
      <w:pPr>
        <w:ind w:firstLine="8"/>
        <w:spacing w:after="0" w:line="260"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6"/>
          <w:szCs w:val="16"/>
          <w:color w:val="auto"/>
        </w:rPr>
      </w:pPr>
    </w:p>
    <w:p>
      <w:pPr>
        <w:ind w:firstLine="8"/>
        <w:spacing w:after="0" w:line="260"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jc w:val="both"/>
        <w:ind w:firstLine="8"/>
        <w:spacing w:after="0" w:line="262"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4"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1"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1" w:lineRule="exact"/>
        <w:rPr>
          <w:rFonts w:ascii="Arial" w:cs="Arial" w:eastAsia="Arial" w:hAnsi="Arial"/>
          <w:sz w:val="16"/>
          <w:szCs w:val="16"/>
          <w:color w:val="auto"/>
        </w:rPr>
      </w:pPr>
    </w:p>
    <w:p>
      <w:pPr>
        <w:ind w:left="660" w:hanging="328"/>
        <w:spacing w:after="0" w:line="260" w:lineRule="auto"/>
        <w:tabs>
          <w:tab w:leader="none" w:pos="651"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5"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1" w:lineRule="exact"/>
        <w:rPr>
          <w:rFonts w:ascii="Arial" w:cs="Arial" w:eastAsia="Arial" w:hAnsi="Arial"/>
          <w:sz w:val="16"/>
          <w:szCs w:val="16"/>
          <w:color w:val="auto"/>
        </w:rPr>
      </w:pPr>
    </w:p>
    <w:p>
      <w:pPr>
        <w:ind w:firstLine="8"/>
        <w:spacing w:after="0" w:line="255"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0"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60" w:hanging="328"/>
        <w:spacing w:after="0" w:line="278"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F Coddington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Elizabeth F Coddington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2"/>
          <w:szCs w:val="22"/>
          <w:b w:val="1"/>
          <w:bCs w:val="1"/>
          <w:color w:val="auto"/>
        </w:rPr>
        <w:t>CERTIFICATION OF PRINCIPAL EXECUTIVE OFFICER PURSUANT TO</w:t>
      </w:r>
    </w:p>
    <w:p>
      <w:pPr>
        <w:spacing w:after="0" w:line="30" w:lineRule="exact"/>
        <w:rPr>
          <w:sz w:val="20"/>
          <w:szCs w:val="20"/>
          <w:color w:val="auto"/>
        </w:rPr>
      </w:pPr>
    </w:p>
    <w:p>
      <w:pPr>
        <w:ind w:left="2760" w:right="2760" w:firstLine="32"/>
        <w:spacing w:after="0" w:line="272"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 Barry McCarthy, Chief Executive Officer of Peloton Interactive, Inc. (the “Company”), do hereby certify, pursuant to 18 U.S.C. Section 1350, as adopted pursuant to Section 906 of the Sarbanes-Oxley Act of 2002, that to the best of my knowledge:</w:t>
      </w:r>
    </w:p>
    <w:p>
      <w:pPr>
        <w:spacing w:after="0" w:line="236" w:lineRule="exact"/>
        <w:rPr>
          <w:sz w:val="20"/>
          <w:szCs w:val="20"/>
          <w:color w:val="auto"/>
        </w:rPr>
      </w:pPr>
    </w:p>
    <w:p>
      <w:pPr>
        <w:ind w:left="66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September 30, 2022 (the “Report”) fully complies with the requirements of Section 13(a) or 15(d) of the Securities Exchange Act of 1934, as amended; and</w:t>
      </w:r>
    </w:p>
    <w:p>
      <w:pPr>
        <w:spacing w:after="0" w:line="235"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Barry McCarthy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Barry McCarthy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2"/>
          <w:szCs w:val="22"/>
          <w:b w:val="1"/>
          <w:bCs w:val="1"/>
          <w:color w:val="auto"/>
        </w:rPr>
        <w:t>CERTIFICATION OF PRINCIPAL FINANCIAL OFFICER PURSUANT TO</w:t>
      </w:r>
    </w:p>
    <w:p>
      <w:pPr>
        <w:spacing w:after="0" w:line="30" w:lineRule="exact"/>
        <w:rPr>
          <w:sz w:val="20"/>
          <w:szCs w:val="20"/>
          <w:color w:val="auto"/>
        </w:rPr>
      </w:pPr>
    </w:p>
    <w:p>
      <w:pPr>
        <w:ind w:left="2760" w:right="2760" w:firstLine="32"/>
        <w:spacing w:after="0" w:line="272"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 Elizabeth F Coddington, Chief Financial Officer of Peloton Interactive, Inc. (the “Company”), do hereby certify, pursuant to 18 U.S.C. Section 1350, as adopted pursuant to Section 906 of the Sarbanes-Oxley Act of 2002, that to the best of my knowledge:</w:t>
      </w:r>
    </w:p>
    <w:p>
      <w:pPr>
        <w:spacing w:after="0" w:line="236" w:lineRule="exact"/>
        <w:rPr>
          <w:sz w:val="20"/>
          <w:szCs w:val="20"/>
          <w:color w:val="auto"/>
        </w:rPr>
      </w:pPr>
    </w:p>
    <w:p>
      <w:pPr>
        <w:ind w:left="660" w:hanging="328"/>
        <w:spacing w:after="0" w:line="26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September 30, 2022 (the “Report”) fully complies with the requirements of Section 13(a) or 15(d) of the Securities Exchange Act of 1934, as amended; and</w:t>
      </w:r>
    </w:p>
    <w:p>
      <w:pPr>
        <w:spacing w:after="0" w:line="235"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F Coddington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Elizabeth F Coddington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2"/>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lowerRoman"/>
      <w:start w:val="2"/>
    </w:lvl>
    <w:lvl w:ilvl="1">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4"/>
    </w:lvl>
    <w:lvl w:ilvl="1">
      <w:lvlJc w:val="left"/>
      <w:lvlText w:val="(%2)"/>
      <w:numFmt w:val="lowerRoman"/>
      <w:start w:val="1"/>
    </w:lvl>
  </w:abstractNum>
  <w:abstractNum w:abstractNumId="20">
    <w:nsid w:val="79838CB2"/>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21">
    <w:nsid w:val="4353D0CD"/>
    <w:multiLevelType w:val="hybridMultilevel"/>
    <w:lvl w:ilvl="0">
      <w:lvlJc w:val="left"/>
      <w:lvlText w:val="(%1)"/>
      <w:numFmt w:val="lowerRoman"/>
      <w:start w:val="2"/>
    </w:lvl>
    <w:lvl w:ilvl="1">
      <w:lvlJc w:val="left"/>
      <w:lvlText w:val="%2."/>
      <w:numFmt w:val="decimal"/>
      <w:start w:val="8"/>
    </w:lvl>
    <w:lvl w:ilvl="2">
      <w:lvlJc w:val="left"/>
      <w:lvlText w:val="%3"/>
      <w:numFmt w:val="lowerRoman"/>
      <w:start w:val="1"/>
    </w:lvl>
  </w:abstractNum>
  <w:abstractNum w:abstractNumId="22">
    <w:nsid w:val="B03E0C6"/>
    <w:multiLevelType w:val="hybridMultilevel"/>
    <w:lvl w:ilvl="0">
      <w:lvlJc w:val="left"/>
      <w:lvlText w:val="%1."/>
      <w:numFmt w:val="decimal"/>
      <w:start w:val="9"/>
    </w:lvl>
  </w:abstractNum>
  <w:abstractNum w:abstractNumId="23">
    <w:nsid w:val="189A769B"/>
    <w:multiLevelType w:val="hybridMultilevel"/>
    <w:lvl w:ilvl="0">
      <w:lvlJc w:val="left"/>
      <w:lvlText w:val="%1"/>
      <w:numFmt w:val="decimal"/>
      <w:start w:val="1"/>
    </w:lvl>
    <w:lvl w:ilvl="1">
      <w:lvlJc w:val="left"/>
      <w:lvlText w:val="(%2)"/>
      <w:numFmt w:val="lowerRoman"/>
      <w:start w:val="1"/>
    </w:lvl>
  </w:abstractNum>
  <w:abstractNum w:abstractNumId="24">
    <w:nsid w:val="54E49EB4"/>
    <w:multiLevelType w:val="hybridMultilevel"/>
    <w:lvl w:ilvl="0">
      <w:lvlJc w:val="left"/>
      <w:lvlText w:val="%1."/>
      <w:numFmt w:val="decimal"/>
      <w:start w:val="14"/>
    </w:lvl>
    <w:lvl w:ilvl="1">
      <w:lvlJc w:val="left"/>
      <w:lvlText w:val="%2"/>
      <w:numFmt w:val="lowerRoman"/>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2022-11-03T15:23:34Z</dcterms:created>
  <dcterms:modified xsi:type="dcterms:W3CDTF">2022-11-03T15:23:34Z</dcterms:modified>
</cp:coreProperties>
</file>