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10-K</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ANNUAL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fiscal year ended June 30, 2026</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Roboto;sans-serif" w:hAnsi="Roboto;sans-serif"/>
          <w:b w:val="false"/>
          <w:color w:val="000000"/>
          <w:sz w:val="20"/>
        </w:rPr>
      </w:pPr>
      <w:r>
        <w:rPr>
          <w:rFonts w:ascii="Roboto;sans-serif" w:hAnsi="Roboto;sans-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68" w:before="0" w:after="0"/>
        <w:jc w:val="center"/>
        <w:rPr>
          <w:rFonts w:ascii="Roboto;sans-serif" w:hAnsi="Roboto;sans-serif"/>
          <w:b w:val="false"/>
          <w:color w:val="000000"/>
          <w:sz w:val="20"/>
        </w:rPr>
      </w:pPr>
      <w:r>
        <w:rPr>
          <w:rFonts w:ascii="Roboto;sans-serif" w:hAnsi="Roboto;sans-serif"/>
          <w:b w:val="false"/>
          <w:color w:val="000000"/>
          <w:sz w:val="20"/>
        </w:rPr>
        <w:t xml:space="preserve">Securities registered pursuant to Section 12(g) of the Act: None </w:t>
      </w:r>
    </w:p>
    <w:p>
      <w:pPr>
        <w:pStyle w:val="TextBody"/>
        <w:bidi w:val="0"/>
        <w:spacing w:before="0" w:after="0"/>
        <w:jc w:val="left"/>
        <w:rPr/>
      </w:pPr>
      <w:r>
        <w:rPr/>
      </w:r>
    </w:p>
    <w:p>
      <w:pPr>
        <w:pStyle w:val="TextBody"/>
        <w:bidi w:val="0"/>
        <w:spacing w:lineRule="auto" w:line="276" w:before="0" w:after="60"/>
        <w:jc w:val="left"/>
        <w:rPr/>
      </w:pPr>
      <w:r>
        <w:rPr>
          <w:rFonts w:ascii="Roboto;sans-serif" w:hAnsi="Roboto;sans-serif"/>
          <w:b w:val="false"/>
          <w:color w:val="000000"/>
          <w:sz w:val="20"/>
        </w:rPr>
        <w:t>Indicate by check mark if the registrant is a well-known seasoned issuer, as defined in Rule 405 of the Securities Act. Yes </w:t>
      </w:r>
      <w:r>
        <w:rPr>
          <w:color w:val="000000"/>
        </w:rPr>
        <w:t>☒   </w:t>
      </w:r>
      <w:r>
        <w:rPr>
          <w:rFonts w:ascii="Roboto;sans-serif" w:hAnsi="Roboto;sans-serif"/>
          <w:b w:val="false"/>
          <w:color w:val="000000"/>
          <w:sz w:val="20"/>
        </w:rPr>
        <w:t>No </w:t>
      </w:r>
      <w:r>
        <w:rPr>
          <w:color w:val="000000"/>
        </w:rPr>
        <w:t>☐ </w:t>
      </w:r>
    </w:p>
    <w:p>
      <w:pPr>
        <w:pStyle w:val="TextBody"/>
        <w:bidi w:val="0"/>
        <w:spacing w:before="0" w:after="0"/>
        <w:jc w:val="left"/>
        <w:rPr/>
      </w:pPr>
      <w:r>
        <w:rPr/>
      </w:r>
    </w:p>
    <w:p>
      <w:pPr>
        <w:pStyle w:val="TextBody"/>
        <w:bidi w:val="0"/>
        <w:spacing w:lineRule="auto" w:line="276" w:before="0" w:after="0"/>
        <w:jc w:val="left"/>
        <w:rPr/>
      </w:pPr>
      <w:r>
        <w:rPr>
          <w:rFonts w:ascii="Roboto;sans-serif" w:hAnsi="Roboto;sans-serif"/>
          <w:b w:val="false"/>
          <w:color w:val="000000"/>
          <w:sz w:val="20"/>
        </w:rPr>
        <w:t>Indicate by check mark if the registrant is not required to file reports pursuant to Section 13 or Section 15(d) of the Act. Yes </w:t>
      </w:r>
      <w:r>
        <w:rPr>
          <w:color w:val="000000"/>
        </w:rPr>
        <w:t>☐   </w:t>
      </w:r>
      <w:r>
        <w:rPr>
          <w:rFonts w:ascii="Roboto;sans-serif" w:hAnsi="Roboto;sans-serif"/>
          <w:b w:val="false"/>
          <w:color w:val="000000"/>
          <w:sz w:val="20"/>
        </w:rPr>
        <w:t>No </w:t>
      </w:r>
      <w:r>
        <w:rPr>
          <w:color w:val="000000"/>
        </w:rPr>
        <w:t xml:space="preserve">☒  </w:t>
      </w:r>
    </w:p>
    <w:p>
      <w:pPr>
        <w:pStyle w:val="TextBody"/>
        <w:bidi w:val="0"/>
        <w:spacing w:before="0" w:after="60"/>
        <w:jc w:val="left"/>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06" w:before="0" w:after="0"/>
        <w:jc w:val="left"/>
        <w:rPr>
          <w:rFonts w:ascii="Roboto;sans-serif" w:hAnsi="Roboto;sans-serif"/>
          <w:b w:val="false"/>
          <w:color w:val="000000"/>
          <w:sz w:val="20"/>
        </w:rPr>
      </w:pPr>
      <w:r>
        <w:rPr>
          <w:rFonts w:ascii="Roboto;sans-serif" w:hAnsi="Roboto;sans-serif"/>
          <w:b w:val="false"/>
          <w:color w:val="000000"/>
          <w:sz w:val="20"/>
        </w:rPr>
        <w:t>Indicate by check mark whether the registrant has filed a report on and attestation to its management’s assessment of</w:t>
      </w:r>
    </w:p>
    <w:p>
      <w:pPr>
        <w:pStyle w:val="TextBody"/>
        <w:bidi w:val="0"/>
        <w:spacing w:lineRule="auto" w:line="206" w:before="0" w:after="0"/>
        <w:jc w:val="left"/>
        <w:rPr>
          <w:rFonts w:ascii="Roboto;sans-serif" w:hAnsi="Roboto;sans-serif"/>
          <w:b w:val="false"/>
          <w:color w:val="000000"/>
          <w:sz w:val="20"/>
        </w:rPr>
      </w:pPr>
      <w:r>
        <w:rPr>
          <w:rFonts w:ascii="Roboto;sans-serif" w:hAnsi="Roboto;sans-serif"/>
          <w:b w:val="false"/>
          <w:color w:val="000000"/>
          <w:sz w:val="20"/>
        </w:rPr>
        <w:t>the effectiveness of its internal control over financial reporting under Section 404(b) of the Sarbanes-Oxley Act (15 U.S.C.</w:t>
      </w:r>
    </w:p>
    <w:p>
      <w:pPr>
        <w:pStyle w:val="TextBody"/>
        <w:bidi w:val="0"/>
        <w:spacing w:lineRule="auto" w:line="206" w:before="0" w:after="0"/>
        <w:jc w:val="left"/>
        <w:rPr/>
      </w:pPr>
      <w:r>
        <w:rPr>
          <w:rFonts w:ascii="Roboto;sans-serif" w:hAnsi="Roboto;sans-serif"/>
          <w:b w:val="false"/>
          <w:color w:val="000000"/>
          <w:sz w:val="20"/>
        </w:rPr>
        <w:t>7262(b)) by the registered public accounting firm that prepared or issued its audit report.</w:t>
      </w:r>
      <w:r>
        <w:rPr>
          <w:color w:val="000000"/>
        </w:rPr>
        <w:t xml:space="preserve"> ☒ </w:t>
      </w:r>
    </w:p>
    <w:p>
      <w:pPr>
        <w:pStyle w:val="TextBody"/>
        <w:bidi w:val="0"/>
        <w:spacing w:before="0" w:after="0"/>
        <w:jc w:val="left"/>
        <w:rPr/>
      </w:pPr>
      <w:r>
        <w:rPr/>
      </w:r>
    </w:p>
    <w:p>
      <w:pPr>
        <w:pStyle w:val="TextBody"/>
        <w:bidi w:val="0"/>
        <w:spacing w:lineRule="auto" w:line="204" w:before="0" w:after="0"/>
        <w:jc w:val="left"/>
        <w:rPr/>
      </w:pPr>
      <w:r>
        <w:rPr>
          <w:rFonts w:ascii="Roboto;sans-serif" w:hAnsi="Roboto;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04" w:before="0" w:after="0"/>
        <w:jc w:val="left"/>
        <w:rPr/>
      </w:pPr>
      <w:r>
        <w:rPr>
          <w:rFonts w:ascii="Roboto;sans-serif" w:hAnsi="Roboto;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06" w:before="0" w:after="0"/>
        <w:jc w:val="both"/>
        <w:rPr>
          <w:rFonts w:ascii="Roboto;sans-serif" w:hAnsi="Roboto;sans-serif"/>
          <w:b w:val="false"/>
          <w:color w:val="000000"/>
          <w:sz w:val="20"/>
        </w:rPr>
      </w:pPr>
      <w:r>
        <w:rPr>
          <w:rFonts w:ascii="Roboto;sans-serif" w:hAnsi="Roboto;sans-serif"/>
          <w:b w:val="false"/>
          <w:color w:val="000000"/>
          <w:sz w:val="20"/>
        </w:rPr>
        <w:t>The aggregate market value of the voting and non-voting stock held by non-affiliates of the registrant as of December 31, 2025, the last business day of the registrant's most recently completed second fiscal quarter, was $2.5 billion, based upon the closing price reported for such date on The Nasdaq Global Select Market.</w:t>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 xml:space="preserve">As of July 30, 2026, the number of shares of the registrant’s Class A common stock outstanding was 423,035,077 and the number of shares of the registrant’s Class B common stock outstanding was 15,836,724. </w:t>
      </w:r>
    </w:p>
    <w:p>
      <w:pPr>
        <w:pStyle w:val="TextBody"/>
        <w:bidi w:val="0"/>
        <w:spacing w:before="0" w:after="0"/>
        <w:jc w:val="left"/>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DOCUMENTS INCORPORATED BY REFERENCE</w:t>
      </w:r>
    </w:p>
    <w:p>
      <w:pPr>
        <w:pStyle w:val="TextBody"/>
        <w:bidi w:val="0"/>
        <w:spacing w:before="0" w:after="0"/>
        <w:jc w:val="center"/>
        <w:rPr/>
      </w:pPr>
      <w:r>
        <w:rPr/>
      </w:r>
    </w:p>
    <w:p>
      <w:pPr>
        <w:pStyle w:val="TextBody"/>
        <w:bidi w:val="0"/>
        <w:spacing w:lineRule="auto" w:line="276" w:before="0" w:after="0"/>
        <w:ind w:left="0" w:right="0" w:firstLine="720"/>
        <w:jc w:val="left"/>
        <w:rPr>
          <w:rFonts w:ascii="Roboto;sans-serif" w:hAnsi="Roboto;sans-serif"/>
          <w:b w:val="false"/>
          <w:color w:val="000000"/>
          <w:sz w:val="20"/>
        </w:rPr>
      </w:pPr>
      <w:r>
        <w:rPr>
          <w:rFonts w:ascii="Roboto;sans-serif" w:hAnsi="Roboto;sans-serif"/>
          <w:b w:val="false"/>
          <w:color w:val="000000"/>
          <w:sz w:val="20"/>
        </w:rPr>
        <w:t>Portions of the registrant’s definitive proxy statement for its 2026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4"/>
        <w:gridCol w:w="267"/>
        <w:gridCol w:w="268"/>
        <w:gridCol w:w="2931"/>
        <w:gridCol w:w="2888"/>
        <w:gridCol w:w="2884"/>
        <w:gridCol w:w="193"/>
        <w:gridCol w:w="193"/>
        <w:gridCol w:w="27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0">
              <w:r>
                <w:rPr>
                  <w:rStyle w:val="InternetLink"/>
                  <w:rFonts w:ascii="Roboto;sans-serif" w:hAnsi="Roboto;sans-serif"/>
                  <w:b w:val="false"/>
                  <w:color w:val="0000FF"/>
                  <w:sz w:val="18"/>
                  <w:u w:val="single"/>
                </w:rPr>
                <w:t>Special Note Regarding Forward</w:t>
              </w:r>
            </w:hyperlink>
            <w:r>
              <w:rPr>
                <w:rFonts w:ascii="Roboto;sans-serif" w:hAnsi="Roboto;sans-serif"/>
                <w:b w:val="false"/>
                <w:color w:val="000000"/>
                <w:sz w:val="18"/>
              </w:rPr>
              <w:t>-</w:t>
            </w:r>
            <w:hyperlink w:anchor="i08825b7f579d4eddac68d38d367170ab_10">
              <w:r>
                <w:rPr>
                  <w:rStyle w:val="InternetLink"/>
                  <w:rFonts w:ascii="Roboto;sans-serif" w:hAnsi="Roboto;sans-serif"/>
                  <w:b w:val="false"/>
                  <w:color w:val="0000FF"/>
                  <w:sz w:val="18"/>
                  <w:u w:val="single"/>
                </w:rPr>
                <w:t>Looking Statements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0">
              <w:r>
                <w:rPr>
                  <w:rStyle w:val="InternetLink"/>
                  <w:rFonts w:ascii="Roboto;sans-serif" w:hAnsi="Roboto;sans-serif"/>
                  <w:b w:val="false"/>
                  <w:color w:val="0000FF"/>
                  <w:sz w:val="18"/>
                  <w:u w:val="single"/>
                </w:rPr>
                <w:t>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3">
              <w:r>
                <w:rPr>
                  <w:rStyle w:val="InternetLink"/>
                  <w:rFonts w:ascii="Roboto;sans-serif" w:hAnsi="Roboto;sans-serif"/>
                  <w:b w:val="false"/>
                  <w:color w:val="0000FF"/>
                  <w:sz w:val="18"/>
                  <w:u w:val="single"/>
                </w:rPr>
                <w:t>Risk Factor Summary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3">
              <w:r>
                <w:rPr>
                  <w:rStyle w:val="InternetLink"/>
                  <w:rFonts w:ascii="Roboto;sans-serif" w:hAnsi="Roboto;sans-serif"/>
                  <w:b w:val="false"/>
                  <w:color w:val="0000FF"/>
                  <w:sz w:val="18"/>
                  <w:u w:val="single"/>
                </w:rPr>
                <w:t>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9">
              <w:r>
                <w:rPr>
                  <w:rStyle w:val="InternetLink"/>
                  <w:rFonts w:ascii="Roboto;sans-serif" w:hAnsi="Roboto;sans-serif"/>
                  <w:b w:val="false"/>
                  <w:color w:val="0000FF"/>
                  <w:sz w:val="18"/>
                  <w:u w:val="single"/>
                </w:rPr>
                <w:t>Business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9">
              <w:r>
                <w:rPr>
                  <w:rStyle w:val="InternetLink"/>
                  <w:rFonts w:ascii="Roboto;sans-serif" w:hAnsi="Roboto;sans-serif"/>
                  <w:b w:val="false"/>
                  <w:color w:val="0000FF"/>
                  <w:sz w:val="18"/>
                  <w:u w:val="single"/>
                </w:rPr>
                <w:t>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1A.</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2">
              <w:r>
                <w:rPr>
                  <w:rStyle w:val="InternetLink"/>
                  <w:rFonts w:ascii="Roboto;sans-serif" w:hAnsi="Roboto;sans-serif"/>
                  <w:b w:val="false"/>
                  <w:color w:val="0000FF"/>
                  <w:sz w:val="18"/>
                  <w:u w:val="single"/>
                </w:rPr>
                <w:t>Risk Factors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2">
              <w:r>
                <w:rPr>
                  <w:rStyle w:val="InternetLink"/>
                  <w:rFonts w:ascii="Roboto;sans-serif" w:hAnsi="Roboto;sans-serif"/>
                  <w:b w:val="false"/>
                  <w:color w:val="0000FF"/>
                  <w:sz w:val="18"/>
                  <w:u w:val="single"/>
                </w:rPr>
                <w:t>12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1B.</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5">
              <w:r>
                <w:rPr>
                  <w:rStyle w:val="InternetLink"/>
                  <w:rFonts w:ascii="Roboto;sans-serif" w:hAnsi="Roboto;sans-serif"/>
                  <w:b w:val="false"/>
                  <w:color w:val="0000FF"/>
                  <w:sz w:val="18"/>
                  <w:u w:val="single"/>
                </w:rPr>
                <w:t>Unresolved Staff Comments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5">
              <w:r>
                <w:rPr>
                  <w:rStyle w:val="InternetLink"/>
                  <w:rFonts w:ascii="Roboto;sans-serif" w:hAnsi="Roboto;sans-serif"/>
                  <w:b w:val="false"/>
                  <w:color w:val="0000FF"/>
                  <w:sz w:val="18"/>
                  <w:u w:val="single"/>
                </w:rPr>
                <w:t>38</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Item 1C.</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8">
              <w:r>
                <w:rPr>
                  <w:rStyle w:val="InternetLink"/>
                  <w:rFonts w:ascii="Roboto;sans-serif" w:hAnsi="Roboto;sans-serif"/>
                  <w:b w:val="false"/>
                  <w:color w:val="0000FF"/>
                  <w:sz w:val="18"/>
                  <w:u w:val="single"/>
                </w:rPr>
                <w:t>Cybersecurity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8">
              <w:r>
                <w:rPr>
                  <w:rStyle w:val="InternetLink"/>
                  <w:rFonts w:ascii="Roboto;sans-serif" w:hAnsi="Roboto;sans-serif"/>
                  <w:b w:val="false"/>
                  <w:color w:val="0000FF"/>
                  <w:sz w:val="18"/>
                  <w:u w:val="single"/>
                </w:rPr>
                <w:t>38</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2.</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31">
              <w:r>
                <w:rPr>
                  <w:rStyle w:val="InternetLink"/>
                  <w:rFonts w:ascii="Roboto;sans-serif" w:hAnsi="Roboto;sans-serif"/>
                  <w:b w:val="false"/>
                  <w:color w:val="0000FF"/>
                  <w:sz w:val="18"/>
                  <w:u w:val="single"/>
                </w:rPr>
                <w:t>Properties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31">
              <w:r>
                <w:rPr>
                  <w:rStyle w:val="InternetLink"/>
                  <w:rFonts w:ascii="Roboto;sans-serif" w:hAnsi="Roboto;sans-serif"/>
                  <w:b w:val="false"/>
                  <w:color w:val="0000FF"/>
                  <w:sz w:val="18"/>
                  <w:u w:val="single"/>
                </w:rPr>
                <w:t>39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3.</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34">
              <w:r>
                <w:rPr>
                  <w:rStyle w:val="InternetLink"/>
                  <w:rFonts w:ascii="Roboto;sans-serif" w:hAnsi="Roboto;sans-serif"/>
                  <w:b w:val="false"/>
                  <w:color w:val="0000FF"/>
                  <w:sz w:val="18"/>
                  <w:u w:val="single"/>
                </w:rPr>
                <w:t>Legal Proceedings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34">
              <w:r>
                <w:rPr>
                  <w:rStyle w:val="InternetLink"/>
                  <w:rFonts w:ascii="Roboto;sans-serif" w:hAnsi="Roboto;sans-serif"/>
                  <w:b w:val="false"/>
                  <w:color w:val="0000FF"/>
                  <w:sz w:val="18"/>
                  <w:u w:val="single"/>
                </w:rPr>
                <w:t>39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4.</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37">
              <w:r>
                <w:rPr>
                  <w:rStyle w:val="InternetLink"/>
                  <w:rFonts w:ascii="Roboto;sans-serif" w:hAnsi="Roboto;sans-serif"/>
                  <w:b w:val="false"/>
                  <w:color w:val="0000FF"/>
                  <w:sz w:val="18"/>
                  <w:u w:val="single"/>
                </w:rPr>
                <w:t>Mine Safety Disclosures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37">
              <w:r>
                <w:rPr>
                  <w:rStyle w:val="InternetLink"/>
                  <w:rFonts w:ascii="Roboto;sans-serif" w:hAnsi="Roboto;sans-serif"/>
                  <w:b w:val="false"/>
                  <w:color w:val="0000FF"/>
                  <w:sz w:val="18"/>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5.</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43">
              <w:r>
                <w:rPr>
                  <w:rStyle w:val="InternetLink"/>
                  <w:rFonts w:ascii="Roboto;sans-serif" w:hAnsi="Roboto;sans-serif"/>
                  <w:b w:val="false"/>
                  <w:color w:val="0000FF"/>
                  <w:sz w:val="18"/>
                  <w:u w:val="single"/>
                </w:rPr>
                <w:t>Market for Registrant's Common Equity, Related Stockholder Matters and Issuer Purchases of Equity Securities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43">
              <w:r>
                <w:rPr>
                  <w:rStyle w:val="InternetLink"/>
                  <w:rFonts w:ascii="Roboto;sans-serif" w:hAnsi="Roboto;sans-serif"/>
                  <w:b w:val="false"/>
                  <w:color w:val="0000FF"/>
                  <w:sz w:val="18"/>
                  <w:u w:val="single"/>
                </w:rPr>
                <w:t>40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6.</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46">
              <w:r>
                <w:rPr>
                  <w:rStyle w:val="InternetLink"/>
                  <w:rFonts w:ascii="Roboto;sans-serif" w:hAnsi="Roboto;sans-serif"/>
                  <w:b w:val="false"/>
                  <w:color w:val="0000FF"/>
                  <w:sz w:val="18"/>
                  <w:u w:val="single"/>
                </w:rPr>
                <w:t>[Reserved]</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46">
              <w:r>
                <w:rPr>
                  <w:rStyle w:val="InternetLink"/>
                  <w:rFonts w:ascii="Roboto;sans-serif" w:hAnsi="Roboto;sans-serif"/>
                  <w:b w:val="false"/>
                  <w:color w:val="0000FF"/>
                  <w:sz w:val="18"/>
                  <w:u w:val="single"/>
                </w:rPr>
                <w:t>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7.</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49">
              <w:r>
                <w:rPr>
                  <w:rStyle w:val="InternetLink"/>
                  <w:rFonts w:ascii="Roboto;sans-serif" w:hAnsi="Roboto;sans-serif"/>
                  <w:b w:val="false"/>
                  <w:color w:val="0000FF"/>
                  <w:sz w:val="18"/>
                  <w:u w:val="single"/>
                </w:rPr>
                <w:t>Management's Discussion and Analysis of Financial Condition and Results of Operations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49">
              <w:r>
                <w:rPr>
                  <w:rStyle w:val="InternetLink"/>
                  <w:rFonts w:ascii="Roboto;sans-serif" w:hAnsi="Roboto;sans-serif"/>
                  <w:b w:val="false"/>
                  <w:color w:val="0000FF"/>
                  <w:sz w:val="18"/>
                  <w:u w:val="single"/>
                </w:rPr>
                <w:t>42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7A.</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79">
              <w:r>
                <w:rPr>
                  <w:rStyle w:val="InternetLink"/>
                  <w:rFonts w:ascii="Roboto;sans-serif" w:hAnsi="Roboto;sans-serif"/>
                  <w:b w:val="false"/>
                  <w:color w:val="0000FF"/>
                  <w:sz w:val="18"/>
                  <w:u w:val="single"/>
                </w:rPr>
                <w:t>Quantitative and Qualitative Disclosures About Market Risk</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79">
              <w:r>
                <w:rPr>
                  <w:rStyle w:val="InternetLink"/>
                  <w:rFonts w:ascii="Roboto;sans-serif" w:hAnsi="Roboto;sans-serif"/>
                  <w:b w:val="false"/>
                  <w:color w:val="0000FF"/>
                  <w:sz w:val="18"/>
                  <w:u w:val="single"/>
                </w:rPr>
                <w:t>58</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8.</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82">
              <w:r>
                <w:rPr>
                  <w:rStyle w:val="InternetLink"/>
                  <w:rFonts w:ascii="Roboto;sans-serif" w:hAnsi="Roboto;sans-serif"/>
                  <w:b w:val="false"/>
                  <w:color w:val="0000FF"/>
                  <w:sz w:val="18"/>
                  <w:u w:val="single"/>
                </w:rPr>
                <w:t>Financial Statements and Supplementary Data</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82">
              <w:r>
                <w:rPr>
                  <w:rStyle w:val="InternetLink"/>
                  <w:rFonts w:ascii="Roboto;sans-serif" w:hAnsi="Roboto;sans-serif"/>
                  <w:b w:val="false"/>
                  <w:color w:val="0000FF"/>
                  <w:sz w:val="18"/>
                  <w:u w:val="single"/>
                </w:rPr>
                <w:t>59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9.</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75">
              <w:r>
                <w:rPr>
                  <w:rStyle w:val="InternetLink"/>
                  <w:rFonts w:ascii="Roboto;sans-serif" w:hAnsi="Roboto;sans-serif"/>
                  <w:b w:val="false"/>
                  <w:color w:val="0000FF"/>
                  <w:sz w:val="18"/>
                  <w:u w:val="single"/>
                </w:rPr>
                <w:t>Changes in and Disagreements with Accountants on Accounting and Financial Disclosure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75">
              <w:r>
                <w:rPr>
                  <w:rStyle w:val="InternetLink"/>
                  <w:rFonts w:ascii="Roboto;sans-serif" w:hAnsi="Roboto;sans-serif"/>
                  <w:b w:val="false"/>
                  <w:color w:val="0000FF"/>
                  <w:sz w:val="18"/>
                  <w:u w:val="single"/>
                </w:rPr>
                <w:t>100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9A.</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78">
              <w:r>
                <w:rPr>
                  <w:rStyle w:val="InternetLink"/>
                  <w:rFonts w:ascii="Roboto;sans-serif" w:hAnsi="Roboto;sans-serif"/>
                  <w:b w:val="false"/>
                  <w:color w:val="0000FF"/>
                  <w:sz w:val="18"/>
                  <w:u w:val="single"/>
                </w:rPr>
                <w:t>Controls and Procedures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78">
              <w:r>
                <w:rPr>
                  <w:rStyle w:val="InternetLink"/>
                  <w:rFonts w:ascii="Roboto;sans-serif" w:hAnsi="Roboto;sans-serif"/>
                  <w:b w:val="false"/>
                  <w:color w:val="0000FF"/>
                  <w:sz w:val="18"/>
                  <w:u w:val="single"/>
                </w:rPr>
                <w:t>100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9B.</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81">
              <w:r>
                <w:rPr>
                  <w:rStyle w:val="InternetLink"/>
                  <w:rFonts w:ascii="Roboto;sans-serif" w:hAnsi="Roboto;sans-serif"/>
                  <w:b w:val="false"/>
                  <w:color w:val="0000FF"/>
                  <w:sz w:val="18"/>
                  <w:u w:val="single"/>
                </w:rPr>
                <w:t>Other Information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81">
              <w:r>
                <w:rPr>
                  <w:rStyle w:val="InternetLink"/>
                  <w:rFonts w:ascii="Roboto;sans-serif" w:hAnsi="Roboto;sans-serif"/>
                  <w:b w:val="false"/>
                  <w:color w:val="0000FF"/>
                  <w:sz w:val="18"/>
                  <w:u w:val="single"/>
                </w:rPr>
                <w:t>101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9C.</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87">
              <w:r>
                <w:rPr>
                  <w:rStyle w:val="InternetLink"/>
                  <w:rFonts w:ascii="Roboto;sans-serif" w:hAnsi="Roboto;sans-serif"/>
                  <w:b w:val="false"/>
                  <w:color w:val="0000FF"/>
                  <w:sz w:val="18"/>
                  <w:u w:val="single"/>
                </w:rPr>
                <w:t>Disclosure Regarding Foreign Jurisdictions that Prevent Inspections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87">
              <w:r>
                <w:rPr>
                  <w:rStyle w:val="InternetLink"/>
                  <w:rFonts w:ascii="Roboto;sans-serif" w:hAnsi="Roboto;sans-serif"/>
                  <w:b w:val="false"/>
                  <w:color w:val="0000FF"/>
                  <w:sz w:val="18"/>
                  <w:u w:val="single"/>
                </w:rPr>
                <w:t>101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III</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10.</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93">
              <w:r>
                <w:rPr>
                  <w:rStyle w:val="InternetLink"/>
                  <w:rFonts w:ascii="Roboto;sans-serif" w:hAnsi="Roboto;sans-serif"/>
                  <w:b w:val="false"/>
                  <w:color w:val="0000FF"/>
                  <w:sz w:val="18"/>
                  <w:u w:val="single"/>
                </w:rPr>
                <w:t>Directors, Executive Officers and Corporate Governance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93">
              <w:r>
                <w:rPr>
                  <w:rStyle w:val="InternetLink"/>
                  <w:rFonts w:ascii="Roboto;sans-serif" w:hAnsi="Roboto;sans-serif"/>
                  <w:b w:val="false"/>
                  <w:color w:val="0000FF"/>
                  <w:sz w:val="18"/>
                  <w:u w:val="single"/>
                </w:rPr>
                <w:t>102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11.</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96">
              <w:r>
                <w:rPr>
                  <w:rStyle w:val="InternetLink"/>
                  <w:rFonts w:ascii="Roboto;sans-serif" w:hAnsi="Roboto;sans-serif"/>
                  <w:b w:val="false"/>
                  <w:color w:val="0000FF"/>
                  <w:sz w:val="18"/>
                  <w:u w:val="single"/>
                </w:rPr>
                <w:t>Executive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96">
              <w:r>
                <w:rPr>
                  <w:rStyle w:val="InternetLink"/>
                  <w:rFonts w:ascii="Roboto;sans-serif" w:hAnsi="Roboto;sans-serif"/>
                  <w:b w:val="false"/>
                  <w:color w:val="0000FF"/>
                  <w:sz w:val="18"/>
                  <w:u w:val="single"/>
                </w:rPr>
                <w:t>102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12.</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99">
              <w:r>
                <w:rPr>
                  <w:rStyle w:val="InternetLink"/>
                  <w:rFonts w:ascii="Roboto;sans-serif" w:hAnsi="Roboto;sans-serif"/>
                  <w:b w:val="false"/>
                  <w:color w:val="0000FF"/>
                  <w:sz w:val="18"/>
                  <w:u w:val="single"/>
                </w:rPr>
                <w:t>Security Ownership of Certain Beneficial Owners and Management and Related Stockholder Matters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99">
              <w:r>
                <w:rPr>
                  <w:rStyle w:val="InternetLink"/>
                  <w:rFonts w:ascii="Roboto;sans-serif" w:hAnsi="Roboto;sans-serif"/>
                  <w:b w:val="false"/>
                  <w:color w:val="0000FF"/>
                  <w:sz w:val="18"/>
                  <w:u w:val="single"/>
                </w:rPr>
                <w:t>102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13.</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02">
              <w:r>
                <w:rPr>
                  <w:rStyle w:val="InternetLink"/>
                  <w:rFonts w:ascii="Roboto;sans-serif" w:hAnsi="Roboto;sans-serif"/>
                  <w:b w:val="false"/>
                  <w:color w:val="0000FF"/>
                  <w:sz w:val="18"/>
                  <w:u w:val="single"/>
                </w:rPr>
                <w:t>Certain Relationships and Related Transactions, and Director Independence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02">
              <w:r>
                <w:rPr>
                  <w:rStyle w:val="InternetLink"/>
                  <w:rFonts w:ascii="Roboto;sans-serif" w:hAnsi="Roboto;sans-serif"/>
                  <w:b w:val="false"/>
                  <w:color w:val="0000FF"/>
                  <w:sz w:val="18"/>
                  <w:u w:val="single"/>
                </w:rPr>
                <w:t>102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14.</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05">
              <w:r>
                <w:rPr>
                  <w:rStyle w:val="InternetLink"/>
                  <w:rFonts w:ascii="Roboto;sans-serif" w:hAnsi="Roboto;sans-serif"/>
                  <w:b w:val="false"/>
                  <w:color w:val="0000FF"/>
                  <w:sz w:val="18"/>
                  <w:u w:val="single"/>
                </w:rPr>
                <w:t>Principal Accountant Fees and Services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05">
              <w:r>
                <w:rPr>
                  <w:rStyle w:val="InternetLink"/>
                  <w:rFonts w:ascii="Roboto;sans-serif" w:hAnsi="Roboto;sans-serif"/>
                  <w:b w:val="false"/>
                  <w:color w:val="0000FF"/>
                  <w:sz w:val="18"/>
                  <w:u w:val="single"/>
                </w:rPr>
                <w:t>102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IV</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15.</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11">
              <w:r>
                <w:rPr>
                  <w:rStyle w:val="InternetLink"/>
                  <w:rFonts w:ascii="Roboto;sans-serif" w:hAnsi="Roboto;sans-serif"/>
                  <w:b w:val="false"/>
                  <w:color w:val="0000FF"/>
                  <w:sz w:val="18"/>
                  <w:u w:val="single"/>
                </w:rPr>
                <w:t>Exhibit and Financial Statement Schedules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11">
              <w:r>
                <w:rPr>
                  <w:rStyle w:val="InternetLink"/>
                  <w:rFonts w:ascii="Roboto;sans-serif" w:hAnsi="Roboto;sans-serif"/>
                  <w:b w:val="false"/>
                  <w:color w:val="0000FF"/>
                  <w:sz w:val="18"/>
                  <w:u w:val="single"/>
                </w:rPr>
                <w:t>103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Item 16.</w:t>
            </w:r>
          </w:p>
        </w:tc>
        <w:tc>
          <w:tcPr>
            <w:tcW w:w="87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14">
              <w:r>
                <w:rPr>
                  <w:rStyle w:val="InternetLink"/>
                  <w:rFonts w:ascii="Roboto;sans-serif" w:hAnsi="Roboto;sans-serif"/>
                  <w:b w:val="false"/>
                  <w:color w:val="0000FF"/>
                  <w:sz w:val="18"/>
                  <w:u w:val="single"/>
                </w:rPr>
                <w:t>Form 10-K Summary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14">
              <w:r>
                <w:rPr>
                  <w:rStyle w:val="InternetLink"/>
                  <w:rFonts w:ascii="Roboto;sans-serif" w:hAnsi="Roboto;sans-serif"/>
                  <w:b w:val="false"/>
                  <w:color w:val="0000FF"/>
                  <w:sz w:val="18"/>
                  <w:u w:val="single"/>
                </w:rPr>
                <w:t>106</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217">
              <w:r>
                <w:rPr>
                  <w:rStyle w:val="InternetLink"/>
                  <w:rFonts w:ascii="Roboto;sans-serif" w:hAnsi="Roboto;sans-serif"/>
                  <w:b w:val="false"/>
                  <w:color w:val="0000FF"/>
                  <w:sz w:val="18"/>
                  <w:u w:val="single"/>
                </w:rPr>
                <w:t>SIGNATURES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217">
              <w:r>
                <w:rPr>
                  <w:rStyle w:val="InternetLink"/>
                  <w:rFonts w:ascii="Roboto;sans-serif" w:hAnsi="Roboto;sans-serif"/>
                  <w:b w:val="false"/>
                  <w:color w:val="0000FF"/>
                  <w:sz w:val="18"/>
                  <w:u w:val="single"/>
                </w:rPr>
                <w:t>107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on Form 10-K, other than statements of historical fact, including, without limitation, statements regarding our execution and timing of, and the expected benefits from, our restructuring initiatives and cost-saving measures, the cost savings and other efficiencies of expanding relationships with our third-party partners, details regarding and the timing of the launch of new products and services, our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ability to successfully execute our business strategy, including our commercial strategy;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and maintain future profitability and positive free cash flow;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maintain subscribers and subscriptions (“Subscriptions”);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manage our inventory;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the expected benefits of our restructuring initiatives and other cost-saving measures, including our 2025 Restructuring Plan (as defined below), which has been substantially implemented;</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and effectively manage the introduction of new or enhanced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demand for our products and services, including any declines in sales of our Connected Fitness Products (as defined below), and growth of the connected fitness and wellness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the value and reputation of the Peloton and Precor brands;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disruptions or failures of our information technology systems, or websites, or those of third parties on whom we rely;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and lack of control over, a limited number of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predict our long-term performance and changes to our revenue as our business matures;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product recalls, including our Original Series Bike and Bike+ seat post recalls, quality improvement or similar programs, or legal or regulatory claims, proceedings, or investigations involving our products;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seasonality or other fluctuations in our annual or quarterly results;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acquisitions or dispositions and our ability to successfully operate and further integrate any such acquired companies into our operations and control environment, including our Commercial Business Unit;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expansion into international markets, including political and economic instability of foreign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artificial intelligence (“AI”) and our integration of AI into our products, services, and business operations, including risks related to flawed algorithms, intellectual property infringement, data privacy, and evolving regulatory requirements;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our Peloton Apps (as defined below) and their ability to work with a range of mobile and streaming technologies, systems, networks, and standards;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effective internal control over financial reporting and our financial and management systems;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comply with laws and regulations that currently apply or become applicable to our business, both in the United States and internationally;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changes in global trade policies, including our ability to mitigate the effects of tariffs and other non-tariff restrictions, such as taxes, quotas, local content rules, customs detentions, and other protectionist measures, and our ability to obtain any tariff refunds or rebates;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as well as delivery and installation of our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retain highly skilled personnel, including key members of senior management, and maintain our culture;</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impact of macroeconomic conditions, including inflation, changes in consumer spending, recession, and rising interest rates, on demand for our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pending or future litigation, government investigations, and regulatory proceedings, including securities litigation, patent litigation, and product liability matters;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those risks and uncertainties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our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Annual Report on Form 10-K, the words “we,” “us,” “our,” “the Company,” and “Peloton” refer to Peloton Interactive, Inc. and its wholly owned subsidiaries, unless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RISK FACTOR SUMMARY</w: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We have incurred operating losses in the past, may incur operating losses in the future, and may not achieve or maintain profitability in the future.</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We may be unable to attract and retain Subscriptions, which could have an adverse effect on our business and rate of growth.</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Our operating results have been, and could in the future be, adversely affected if we are unable to accurately forecast consumer demand for our products and services and adequately manage our inventory.</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 xml:space="preserve">Our strategy depends on successfully scaling revenue across multiple channels, product categories, and customer segments, including in commercial markets and in the broader connected wellness and recovery space. If we fail to execute on these priorities, our growth, brand, and financial performance may suffer. </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If we are unable to anticipate consumer preferences and successfully develop and offer new or updated products and services in a timely manner, or effectively manage their introduction, our business may be adversely affected.</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Our past financial results may not be indicative of our future performance.</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Our success depends on our ability to maintain the value and reputation of the Peloton brand.</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Changes in trade policies in the U.S. and internationally, including the imposition of tariffs, have had, and may continue to have, an adverse effect on our business, financial condition and results of operations.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 xml:space="preserve">Any major disruption or failure of our information technology systems or websites, or those of third parties on whom we rely, or our failure to successfully implement upgrades and new technology effectively, could adversely affect our business and operations. </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Our growing use of artificial intelligence and machine learning technologies may present additional risks and challenges, which could result in reputational and competitive harm, legal liability and adversely affect our results of operations.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We rely on a limited number of suppliers, contract manufacturers, and logistics partners for our Connected Fitness Products. We also partner with and rely on third-party billing and e-commerce systems. A loss of any of these partners or an interruption or inability of these partners to satisfy our demand needs could negatively affect our business.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shd w:fill="FFFFFF" w:val="clear"/>
        </w:rPr>
        <w:t xml:space="preserve">We have limited control over our suppliers, contract manufacturers, and logistics partners, which may subject us to significant risks, including the potential inability to produce or obtain quality products and services on a timely basis or in sufficient </w:t>
      </w:r>
      <w:r>
        <w:rPr>
          <w:rFonts w:ascii="Roboto;sans-serif" w:hAnsi="Roboto;sans-serif"/>
          <w:b w:val="false"/>
          <w:color w:val="000000"/>
          <w:sz w:val="18"/>
        </w:rPr>
        <w:t>quantity.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derive a substantial portion of our revenue from sales of our Connected Fitness Products. A further decline in sales of our Connected Fitness Products would negatively affect our future revenue and operating results.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operate in a highly competitive market, and we may be unable to compete successfully against existing and future competitors.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depend upon third-party licenses for the use of music in our content. An adverse change to, loss of, or claim that we do not hold necessary licenses may have an adverse effect on our business, operating results, and financial condition.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From time to time, we may be subject to legal proceedings, government inquiries or investigations, product recalls or similar programs, or disputes that could cause us to incur significant expenses, divert our management’s attention, and materially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1. Business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Overview</w:t>
      </w:r>
    </w:p>
    <w:p>
      <w:pPr>
        <w:pStyle w:val="TextBody"/>
        <w:bidi w:val="0"/>
        <w:spacing w:lineRule="auto" w:line="288" w:before="0" w:after="0"/>
        <w:jc w:val="both"/>
        <w:rPr/>
      </w:pPr>
      <w:r>
        <w:rPr>
          <w:rFonts w:ascii="Roboto;sans-serif" w:hAnsi="Roboto;sans-serif"/>
          <w:b w:val="false"/>
          <w:color w:val="000000"/>
          <w:sz w:val="18"/>
        </w:rPr>
        <w:t xml:space="preserve">Peloton is a leading global fitness and wellness company that empowers people to live fit, strong, long, and happy, by bringing integrated fitness and wellness experiences to Members (as defined below) anytime, anywhere. </w:t>
      </w:r>
      <w:r>
        <w:rPr>
          <w:rFonts w:ascii="Roboto;sans-serif" w:hAnsi="Roboto;sans-serif"/>
          <w:b w:val="false"/>
          <w:color w:val="050505"/>
          <w:sz w:val="18"/>
        </w:rPr>
        <w:t xml:space="preserve">Founded in 2012 and headquartered in New York City, </w:t>
      </w:r>
      <w:r>
        <w:rPr>
          <w:rFonts w:ascii="Roboto;sans-serif" w:hAnsi="Roboto;sans-serif"/>
          <w:b w:val="false"/>
          <w:color w:val="000000"/>
          <w:sz w:val="18"/>
        </w:rPr>
        <w:t xml:space="preserve">we offer a breadth of fitness and wellness solutions to consumers worldwide, including our highly engaged community of approximately 5.5 million Members as of </w:t>
      </w:r>
      <w:r>
        <w:rPr>
          <w:rFonts w:ascii="Roboto;sans-serif" w:hAnsi="Roboto;sans-serif"/>
          <w:b w:val="false"/>
          <w:color w:val="050505"/>
          <w:sz w:val="18"/>
        </w:rPr>
        <w:t xml:space="preserve">June 30, 2026, across the United States, United Kingdom, Canada, Germany, Australia, and Austria, and Commercial Business Unit customers in </w:t>
      </w:r>
      <w:r>
        <w:rPr>
          <w:rFonts w:ascii="Roboto;sans-serif" w:hAnsi="Roboto;sans-serif"/>
          <w:b w:val="false"/>
          <w:color w:val="000000"/>
          <w:sz w:val="18"/>
        </w:rPr>
        <w:t>over 60</w:t>
      </w:r>
      <w:r>
        <w:rPr>
          <w:color w:val="050505"/>
        </w:rPr>
        <w:t xml:space="preserve"> </w:t>
      </w:r>
      <w:r>
        <w:rPr>
          <w:rFonts w:ascii="Roboto;sans-serif" w:hAnsi="Roboto;sans-serif"/>
          <w:b w:val="false"/>
          <w:color w:val="050505"/>
          <w:sz w:val="18"/>
        </w:rPr>
        <w:t xml:space="preserve">countries. As a category innovator at the nexus of fitness, wellness, technology, and media, we deliver integrated experiences through our world-renowned instructors (“Instructors”), premium hardware and innovative software, personalization, and extensive modalities and an expansive content library.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define a “Member” as any individual who has a Peloton account through a Paid Connected Fitness Subscription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(guided, time, and distance-based routes filmed in locations around the world), and Lanebreak workouts (our game-inspired workout experience); (ii) at least 10 minutes of any activity tracking workout (such as “Just Ride”, “Just Run”, or “Just Row”), or Peloton Entertainment workout (video streaming); (iii) at least 5 minutes of any Strength+ workout with 80% of sets marked complete; or (iv) at least 10 minutes of any Breathwrk class.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 (a successful credit card billing or prepaid with subscription credits or waivers).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Our 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portfolio of Connected Fitness Products primarily consists of the Peloton Original Series, Peloton Cross Training Series, Peloton Pro Series, and Precor Products (each defined below, and collectively, the “Connected Fitness Products”), and related accessories, delivery and installation services, extended warranty and other service agreements, and branded apparel.</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 xml:space="preserve">Peloton Original Series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connection with the launch of our Cross Training Series (as defined below), we discontinued the sale of our original series (the “Original Series,” or “Original”) Tread, Tread+, and Row. However, we continue to sell refurbished Original Bike and Original Bike+.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Original Bike:</w:t>
      </w:r>
      <w:r>
        <w:rPr>
          <w:color w:val="000000"/>
        </w:rPr>
        <w:t xml:space="preserve"> </w:t>
      </w:r>
      <w:r>
        <w:rPr>
          <w:rFonts w:ascii="Roboto;sans-serif" w:hAnsi="Roboto;sans-serif"/>
          <w:b w:val="false"/>
          <w:color w:val="000000"/>
          <w:sz w:val="18"/>
        </w:rPr>
        <w:t>Combines fitness, technology, and media, to connect riders to live and on-demand workouts led by Peloton Instructors, as well as alternative workout experiences like Peloton Entertainment, Scenic, and Lanebreak. It has an HD touchscreen and built-in speakers.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Original Bike+: </w:t>
      </w:r>
      <w:r>
        <w:rPr>
          <w:rFonts w:ascii="Roboto;sans-serif" w:hAnsi="Roboto;sans-serif"/>
          <w:b w:val="false"/>
          <w:color w:val="000000"/>
          <w:sz w:val="18"/>
        </w:rPr>
        <w:t xml:space="preserve">Includes all Original Bike features, and unlocks an even more dynamic workout experience with a rotating HD touchscreen, automatic resistance control with the Bike+ electronic braking system, and a more refined design. In select markets, we also provide the opportunity via the Peloton Rental program to rent the Original Bike+ and access fitness content for one monthly fee.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Original Tread:</w:t>
      </w:r>
      <w:r>
        <w:rPr>
          <w:color w:val="000000"/>
        </w:rPr>
        <w:t xml:space="preserve"> </w:t>
      </w:r>
      <w:r>
        <w:rPr>
          <w:rFonts w:ascii="Roboto;sans-serif" w:hAnsi="Roboto;sans-serif"/>
          <w:b w:val="false"/>
          <w:color w:val="000000"/>
          <w:sz w:val="18"/>
        </w:rPr>
        <w:t>Combines a cutting-edge treadmill design with Peloton’s compelling Instructor-led Running, Walking, Hiking, and Tread Bootcamp content, as well as Entertainment, Scenic, and Lanebreak. It includes design elements unique to Peloton, like dial control knobs, jump buttons, and an auto-incline feature, as well as an HD touchscreen and built-in speakers.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Original Tread+:</w:t>
      </w:r>
      <w:r>
        <w:rPr>
          <w:color w:val="000000"/>
        </w:rPr>
        <w:t xml:space="preserve"> </w:t>
      </w:r>
      <w:r>
        <w:rPr>
          <w:rFonts w:ascii="Roboto;sans-serif" w:hAnsi="Roboto;sans-serif"/>
          <w:b w:val="false"/>
          <w:color w:val="000000"/>
          <w:sz w:val="18"/>
        </w:rPr>
        <w:t>Includes all Original Tread features, and unlocks an elevated comfort experience with slat belt technology, an upgraded touchscreen, Free Mode for self-powered running, and a powerful sound bar designed for a high-quality home workout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Original Row: </w:t>
      </w:r>
      <w:r>
        <w:rPr>
          <w:rFonts w:ascii="Roboto;sans-serif" w:hAnsi="Roboto;sans-serif"/>
          <w:b w:val="false"/>
          <w:color w:val="000000"/>
          <w:sz w:val="18"/>
        </w:rPr>
        <w:t>Combines innovative software, premium hardware design, and exclusive Peloton content to deliver a unique low-impact, full-body cardio and strength workout. It features proprietary rowing form assistance and form guidance technology, personalized pace target technology, a rotating HD touchscreen and built-in speakers.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 xml:space="preserve">Peloton Cross Training Series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October 2025, we launched the Cross Training Series, a refreshed portfolio of Connected Fitness Products, which includes the Cross Training Bike, Bike+, Tread, Tread+, and Row+ (collectively, the “Cross Training Series”).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Cross Training Bike:</w:t>
      </w:r>
      <w:r>
        <w:rPr>
          <w:color w:val="000000"/>
        </w:rPr>
        <w:t xml:space="preserve"> </w:t>
      </w:r>
      <w:r>
        <w:rPr>
          <w:rFonts w:ascii="Roboto;sans-serif" w:hAnsi="Roboto;sans-serif"/>
          <w:b w:val="false"/>
          <w:color w:val="000000"/>
          <w:sz w:val="18"/>
        </w:rPr>
        <w:t>Includes all Original Bike features, and introduces a rotating HD touchscreen to switch seamlessly from Cycling to Strength, Yoga, Pilates, and more.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Cross Training Bike+: </w:t>
      </w:r>
      <w:r>
        <w:rPr>
          <w:rFonts w:ascii="Roboto;sans-serif" w:hAnsi="Roboto;sans-serif"/>
          <w:b w:val="false"/>
          <w:color w:val="000000"/>
          <w:sz w:val="18"/>
        </w:rPr>
        <w:t xml:space="preserve">Includes all Original Bike+ features, and introduces a movement-tracking camera powered by Peloton IQ for real-time form correction, repetition tracking, and weight suggestions, a three-speed fan for optimal airflow, an upgraded saddle, Sonos-tuned speakers, and hands-free control for the highest quality home workout experience.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Cross Training Tread:</w:t>
      </w:r>
      <w:r>
        <w:rPr>
          <w:color w:val="000000"/>
        </w:rPr>
        <w:t xml:space="preserve"> </w:t>
      </w:r>
      <w:r>
        <w:rPr>
          <w:rFonts w:ascii="Roboto;sans-serif" w:hAnsi="Roboto;sans-serif"/>
          <w:b w:val="false"/>
          <w:color w:val="000000"/>
          <w:sz w:val="18"/>
        </w:rPr>
        <w:t>Includes all Original Tread features, and introduces a rotating HD touchscreen to improve the off-treadmill workout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Cross Training Tread+: </w:t>
      </w:r>
      <w:r>
        <w:rPr>
          <w:rFonts w:ascii="Roboto;sans-serif" w:hAnsi="Roboto;sans-serif"/>
          <w:b w:val="false"/>
          <w:color w:val="000000"/>
          <w:sz w:val="18"/>
        </w:rPr>
        <w:t>Includes all Original Tread+ features, and introduces a rotating HD touchscreen, a movement-tracking camera powered by Peloton IQ for real-time form correction, repetition tracking, and weight suggestions, a three-speed fan for optimal airflow, Sonos-tuned speakers, and hands-free control for the highest quality home workout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Cross Training Row+: </w:t>
      </w:r>
      <w:r>
        <w:rPr>
          <w:rFonts w:ascii="Roboto;sans-serif" w:hAnsi="Roboto;sans-serif"/>
          <w:b w:val="false"/>
          <w:color w:val="000000"/>
          <w:sz w:val="18"/>
        </w:rPr>
        <w:t>Includes all Original Row features, and introduces a movement-tracking camera powered by Peloton IQ for real-time form correction, repetition tracking, and weight suggestions, a three-speed fan for optimal airflow, Sonos-tuned speakers, vertical storage capabilities, and hands-free control for the highest quality home workout experience.</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 xml:space="preserve">Peloton Pro Series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October 2025, we launched the Peloton Pro Series, a refreshed portfolio of commercial-ready Peloton-branded products, which includes the Peloton Bike+ Pro, Tread+ Pro, and Row+ Pro (collectively, the “Pro Series”).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Bike+ Pro: </w:t>
      </w:r>
      <w:r>
        <w:rPr>
          <w:rFonts w:ascii="Roboto;sans-serif" w:hAnsi="Roboto;sans-serif"/>
          <w:b w:val="false"/>
          <w:color w:val="000000"/>
          <w:sz w:val="18"/>
        </w:rPr>
        <w:t>Delivers an immersive cycling experience with a premium design, including our ergonomic resistance knob for manual control or auto-resistance to match Instructors’ cues, and a rotating HD touchscreen to improve the off-bike workout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Tread+ Pro: </w:t>
      </w:r>
      <w:r>
        <w:rPr>
          <w:rFonts w:ascii="Roboto;sans-serif" w:hAnsi="Roboto;sans-serif"/>
          <w:b w:val="false"/>
          <w:color w:val="000000"/>
          <w:sz w:val="18"/>
        </w:rPr>
        <w:t>Built with premium features to drive progress and engagement, including our cushioned slat belt technology, auto-incline feature, Free Mode, and a rotating HD touchscreen to improve the off-treadmill workout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Row+ Pro:</w:t>
      </w:r>
      <w:r>
        <w:rPr>
          <w:color w:val="000000"/>
        </w:rPr>
        <w:t xml:space="preserve"> </w:t>
      </w:r>
      <w:r>
        <w:rPr>
          <w:rFonts w:ascii="Roboto;sans-serif" w:hAnsi="Roboto;sans-serif"/>
          <w:b w:val="false"/>
          <w:color w:val="000000"/>
          <w:sz w:val="18"/>
        </w:rPr>
        <w:t>Combines comfort and performance to provide an intelligently guided rowing experience, featuring an ergonomic design, magnetic resistance for a smooth workout that minimizes noise, and a rotating HD touchscreen to improve the off-rower workout experience.</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Precor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Precor-branded fitness products include a broad suite of product offerings across key categories, including Precor Cardio, Precor Strength, Connected Fitness Solutions, and Wellness Solutions (collectively, the “Precor Products”).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Precor Cardio:</w:t>
      </w:r>
      <w:r>
        <w:rPr>
          <w:color w:val="000000"/>
        </w:rPr>
        <w:t xml:space="preserve"> </w:t>
      </w:r>
      <w:r>
        <w:rPr>
          <w:rFonts w:ascii="Roboto;sans-serif" w:hAnsi="Roboto;sans-serif"/>
          <w:b w:val="false"/>
          <w:color w:val="000000"/>
          <w:sz w:val="18"/>
        </w:rPr>
        <w:t xml:space="preserve">Premium, commercial-grade fitness equipment inspired by natural movement, built for performance, and trusted by fitness operators. Our lineup of Precor Cardio includes treadmills, ellipticals, stair climbers, adaptive motion trainers, and exercise bikes.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Precor Strength: </w:t>
      </w:r>
      <w:r>
        <w:rPr>
          <w:rFonts w:ascii="Roboto;sans-serif" w:hAnsi="Roboto;sans-serif"/>
          <w:b w:val="false"/>
          <w:color w:val="000000"/>
          <w:sz w:val="18"/>
        </w:rPr>
        <w:t>A complete portfolio of durable and adaptable strength products for the entire strength floor. Our lineup of Precor Strength includes selectorized, plate loaded, cable stations, and free weight options, such as functional trainers, and benches and racks.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Connected Fitness Solutions: </w:t>
      </w:r>
      <w:r>
        <w:rPr>
          <w:rFonts w:ascii="Roboto;sans-serif" w:hAnsi="Roboto;sans-serif"/>
          <w:b w:val="false"/>
          <w:color w:val="000000"/>
          <w:sz w:val="18"/>
        </w:rPr>
        <w:t xml:space="preserve">Offers innovative software solutions that provide real-time equipment monitoring, remote software updates, smartwatch integration, and immediate access to the latest workouts and media offerings.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Wellness Solutions: </w:t>
      </w:r>
      <w:r>
        <w:rPr>
          <w:rFonts w:ascii="Roboto;sans-serif" w:hAnsi="Roboto;sans-serif"/>
          <w:b w:val="false"/>
          <w:color w:val="000000"/>
          <w:sz w:val="18"/>
        </w:rPr>
        <w:t>Offers holistic wellness technologies and solutions to aid recovery, enhance performance, reduce muscle soreness, and increase vitality. Our Wellness Solutions are designed for commercial fitness environments, and include sauna and red light products, as well as contrast therapy.</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Our Memberships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Peloton content is accessed via a Membership billed on a monthly or annual basis through a Paid Connected Fitness Subscription or a Paid App Subscription. Membership options include:</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Paid Connected Fitness Subscriptions</w:t>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All-Access Membership:</w:t>
      </w:r>
      <w:r>
        <w:rPr>
          <w:color w:val="000000"/>
        </w:rPr>
        <w:t xml:space="preserve"> </w:t>
      </w:r>
      <w:r>
        <w:rPr>
          <w:rFonts w:ascii="Roboto;sans-serif" w:hAnsi="Roboto;sans-serif"/>
          <w:b w:val="false"/>
          <w:color w:val="000000"/>
          <w:sz w:val="18"/>
        </w:rPr>
        <w:t>Our most value-packed Peloton Membership, where the entire household can create individual profiles to access the full library of classes and receive tailored content recommendations across many fitness and wellness disciplines on our Peloton hardware and Apps. It also offers advanced metrics and progress tracking features powered by Peloton IQ, to help Members reach their goals, and the ability to diversify their workout experience through Scenic content, Lanebreak, and the ability to stream TV shows, movies, and sports through Peloton Entertainment (certain streaming services require separate subscriptions).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Rental Membership: </w:t>
      </w:r>
      <w:r>
        <w:rPr>
          <w:rFonts w:ascii="Roboto;sans-serif" w:hAnsi="Roboto;sans-serif"/>
          <w:b w:val="false"/>
          <w:color w:val="000000"/>
          <w:sz w:val="18"/>
        </w:rPr>
        <w:t>Allows Members to rent an Original Bike+ with all the benefits of an All-Access Membership for a bundled monthly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Peloton Pro Subscription:</w:t>
      </w:r>
      <w:r>
        <w:rPr>
          <w:color w:val="000000"/>
        </w:rPr>
        <w:t xml:space="preserve"> </w:t>
      </w:r>
      <w:r>
        <w:rPr>
          <w:rFonts w:ascii="Roboto;sans-serif" w:hAnsi="Roboto;sans-serif"/>
          <w:b w:val="false"/>
          <w:color w:val="000000"/>
          <w:sz w:val="18"/>
        </w:rPr>
        <w:t>A separate Pro Subscription on each piece of Peloton Pro Series equipment gives unlimited users access to log in or create a free account and get personalized recommendations, cardio performance estimates, and weekly insights.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Peloton Guide Membership:</w:t>
      </w:r>
      <w:r>
        <w:rPr>
          <w:color w:val="000000"/>
        </w:rPr>
        <w:t xml:space="preserve"> </w:t>
      </w:r>
      <w:r>
        <w:rPr>
          <w:rFonts w:ascii="Roboto;sans-serif" w:hAnsi="Roboto;sans-serif"/>
          <w:b w:val="false"/>
          <w:color w:val="000000"/>
          <w:sz w:val="18"/>
        </w:rPr>
        <w:t xml:space="preserve">In July 2025, we discontinued both the sale of Peloton Guide and the offering of Guide Memberships to new Members, however we continue to support existing Guide Memberships.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Paid App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Access to the Peloton Apps is available with an All-Access Membership for Members who have Peloton-branded Connected Fitness Products, or through a standalone App Membership (App+, App One, Strength+, and Breathwrk). App Memberships do not have access to classes via a Peloton-branded Connected Fitness Product, and are not able to track their performance metrics using these devices.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App+ Membership: </w:t>
      </w:r>
      <w:r>
        <w:rPr>
          <w:rFonts w:ascii="Roboto;sans-serif" w:hAnsi="Roboto;sans-serif"/>
          <w:b w:val="false"/>
          <w:color w:val="000000"/>
          <w:sz w:val="18"/>
        </w:rPr>
        <w:t xml:space="preserve">Provides Members with unlimited access to Peloton’s entire library of content on the Peloton App, excluding Lanebreak and Scenic experiences.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App One Membership:</w:t>
      </w:r>
      <w:r>
        <w:rPr>
          <w:color w:val="000000"/>
        </w:rPr>
        <w:t xml:space="preserve"> </w:t>
      </w:r>
      <w:r>
        <w:rPr>
          <w:rFonts w:ascii="Roboto;sans-serif" w:hAnsi="Roboto;sans-serif"/>
          <w:b w:val="false"/>
          <w:color w:val="000000"/>
          <w:sz w:val="18"/>
        </w:rPr>
        <w:t xml:space="preserve">Designed for Members who want unlimited access to thousands of Peloton classes across Strength, Yoga, Pilates, Outdoor Running, and more, but equipment-based cardio classes (Cycling, Treadmill, and Rowing) are limited to a few per month.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 xml:space="preserve">Strength+ Membership: </w:t>
      </w:r>
      <w:r>
        <w:rPr>
          <w:rFonts w:ascii="Roboto;sans-serif" w:hAnsi="Roboto;sans-serif"/>
          <w:b w:val="false"/>
          <w:color w:val="000000"/>
          <w:sz w:val="18"/>
        </w:rPr>
        <w:t>Our Strength+ iOS mobile app features self-paced, multi-week strength training programs with top Peloton strength coaches, a customizable workout generator tailored to our Members’ goals, instructional and entertaining video clips, and detailed progress tracking. Strength+ can be accessed with a standalone monthly Strength+ Membership, or an All-Access, App+, or existing Guide Membership.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color w:val="000000"/>
          <w:sz w:val="18"/>
        </w:rPr>
        <w:t>Breathwrk Membership:</w:t>
      </w:r>
      <w:r>
        <w:rPr>
          <w:color w:val="000000"/>
        </w:rPr>
        <w:t xml:space="preserve"> </w:t>
      </w:r>
      <w:r>
        <w:rPr>
          <w:rFonts w:ascii="Roboto;sans-serif" w:hAnsi="Roboto;sans-serif"/>
          <w:b w:val="false"/>
          <w:color w:val="000000"/>
          <w:sz w:val="18"/>
        </w:rPr>
        <w:t>The Breathwrk mobile app features guided, neuroscience-based breathing exercises and classes to help Members manage stress, enhance sleep, boost workout performance and recovery, improve focus, and more. Breathwrk now also includes select meditation programming from Peloton Instructors. Breathwrk can be accessed with a standalone monthly Breathwrk Membership, or an All-Access, App+, or existing Guide Membership.</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Our Software</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Our content delivery and interactive software platform is critical to our Member experience. We thoughtfully invest in research and development to enhance our platform, develop new products and features, and improve the speed, scalability, and security of our platform infrastructure. Our research and development organization consists of engineering, product, and design teams. We seek to continuously improve our Connected Fitness Products, as well as the Peloton Apps (including the Peloton mobile apps and watch apps), through frequent software updates, iterations of feature enhancements, and innovations. Lastly, we use artificial intelligence (“AI”) and machine learning to power proprietary personalization and discovery models across all our software platforms. For example, in fiscal 2026, we launched our new Peloton IQ offering (including Personalized Plans, Performance Estimates, Weekly Insights, and Personalized Recommendations), instructed self-paced Strength workouts, our new Member recognition program Club Peloton, and integrated remote personal training with certified human trainers. We continue to invest in the Peloton Apps to create a more social experience, including launching Official Peloton Teams and a new Social Feed.</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Our Instructor-Led Content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create engaging, original fitness and wellness content in a studio environment that is available on demand. Our Instructor-led content is immersive and motivating, while also creating a sense of community. We are constantly innovating and evolving our content library and offerings, which include Instructor-led audio-visual classes, Scenic content, Entertainment, and Just Work Out. Tens of thousands of classes have been produced at our studios in New York City and London, featuring our proprietary Instructors.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content breadth and depth is vast, with disciplines such as Strength, Pilates, Yoga, Cardio, Meditation, Stretching, Cycling, Outdoor, Running, Tread Bootcamp, Bike Bootcamp, Walking, Rowing, and Row Bootcamp. We continue to develop new fitness and wellness modalities. We have Scenic Content shot in beautiful destinations that includes Instructor-guided classes, exclusive partnership content, as well as non-guided time and distance-based options. We also have a game-inspired workout, Lanebreak, which allows Members to experience an animated workout as an alternative to Instructor-led programming. Lastly, we have a number of training programs, as well as collections of classes that cater to our Members’ interests and fitness and wellness goals. These are produced and developed using software features that are exclusively available on Peloton.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Peloton Studios New York and Peloton Studios London provide an in-person Peloton fitness experience. Regular studio Member classes and events are held in these spaces combining a high-energy live production environment with fitness classes. We currently produce our content in three languages: English, German, and Spanish. We are also creating a class library featuring subtitling and dubbing in multiple languages, to enable potential global expansion. We also pursue strategic distribution partnerships to expand our market presence.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become noteworthy as a brand providing the opportunity for our Members to engage with the fitness experiences and wellness content they love. Our technology allows our Instructors to integrate music and class plans into our programming in a way that we believe aligns with our Members’ fitness and musical tastes. We feature and celebrate musical artists and genres through collaboration with music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Sales and Marketing</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sell our products directly to customers through a multi-channel sales platform and via third parties. We also sell Connected Fitness Products to business-to-business (“B2B”) customers. Our sales associates use customer relationship management tools to deliver an elevated, personalized, and educational purchase experience, regardless of channel, for capture and conversion.</w:t>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 xml:space="preserve">E-Commerce and Consumer Sales: </w:t>
      </w:r>
      <w:r>
        <w:rPr>
          <w:rFonts w:ascii="Roboto;sans-serif" w:hAnsi="Roboto;sans-serif"/>
          <w:b w:val="false"/>
          <w:color w:val="050505"/>
          <w:sz w:val="18"/>
        </w:rPr>
        <w:t>Our desktop and mobile websites provide an elevated brand experience where visitors can learn about our products and services and access product reviews. Our Inside Sales team engages with customers by online chat on our websites, phone, and email, and offers one-on-one sales consultations.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 xml:space="preserve">Commercial Business Unit (“CBU”): </w:t>
      </w:r>
      <w:r>
        <w:rPr>
          <w:rFonts w:ascii="Roboto;sans-serif" w:hAnsi="Roboto;sans-serif"/>
          <w:b w:val="false"/>
          <w:color w:val="050505"/>
          <w:sz w:val="18"/>
        </w:rPr>
        <w:t>We have a unified portfolio of B2B fitness and well-being solutions, which brings together the trusted relationships, global operations, and industry-leading commercial solutions of Precor, with the Connected Fitness technology, premium design, and unparalleled content of Peloton, to deliver outstanding value to operators and their exercisers. The CBU serves several key verticals, including Commercial Clubs, Hospitality, Multi-Family Residential, Corporate, Education, and Government, with a range of Connected Fitness, Strength, Cardio, Wellness and engagement-based solutions, including the Peloton Pro Series.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Retail Stores:</w:t>
      </w:r>
      <w:r>
        <w:rPr>
          <w:color w:val="050505"/>
        </w:rPr>
        <w:t xml:space="preserve"> </w:t>
      </w:r>
      <w:r>
        <w:rPr>
          <w:rFonts w:ascii="Roboto;sans-serif" w:hAnsi="Roboto;sans-serif"/>
          <w:b w:val="false"/>
          <w:color w:val="050505"/>
          <w:sz w:val="18"/>
        </w:rPr>
        <w:t>Our retail stores allow customers to experience and try our products. We provide interactive product demonstrations, including the opportunity to take a “test class” on our Connected Fitness Products. Our microstore experience specializes in trials of Peloton’s Connected Fitness Products, while inline and studio retail stores provide an immersive experience for all categories, including our Connected Fitness Products, branded apparel, and accessories.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 xml:space="preserve">Third-Party Retailers: </w:t>
      </w:r>
      <w:r>
        <w:rPr>
          <w:rFonts w:ascii="Roboto;sans-serif" w:hAnsi="Roboto;sans-serif"/>
          <w:b w:val="false"/>
          <w:color w:val="050505"/>
          <w:sz w:val="18"/>
        </w:rPr>
        <w:t>Our products are also available to purchase from a number of third-party retailers, including Amazon, Dick’s Sporting Goods, Johnson Fitness &amp; Wellness, John Lewis &amp; Partners, Fitshop, and MediaMarkt.</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To market our products and services, we use a combination of brand and product-specific performance marketing, including seasonal promotions to build brand awareness, generate sales of our Connected Fitness Products, and drive Paid Connected Fitness Subscriptions and Paid App Subscriptions.</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Manufacturing and Logistics</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utilize a combination of in-house manufacturing and global sourcing with third-party manufacturing partners. This model supports our broader product offering while providing access to supplier capabilities, regional manufacturing expertise, and global production capacity across multiple categories. The components used in our products are procured directly by the Company or on our behalf using our designs by our contract manufacturers, according to our design specifications and high standards, from a variety of suppliers. In order to account for technology evolution and market fluctuations, we regularly review our relationships with our existing contract manufacturers and the components suppliers that we contract with, while evaluating prospective new partnerships. We use a combination of leased and operated, as well as contracted third-party logistics providers in our logistics and service network, which primarily includes middle mile and last mile operations centers in the United States, the United Kingdom, Canada, Germany, and Australia.</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Intellectual Property</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As of June 30, 2026, we held 205 U.S.-issued patents and had 103 U.S. patent applications pending. We also held 577 issued patents in foreign jurisdictions and 98 patent applications pending in foreign jurisdictions. Our U.S. issued patents expire between December 28, 2026 and August 5, 2046. As of June 30, 2026, we held 50 registered trademarks in the United States, including the Peloton mark and our “P” logo and also held 979 registered trademarks in foreign jurisdictions. We continually review our development efforts to assess the existence and patentability of new intellectual property. We intend to continue to file additional patent applications with respect to our technology.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Intellectual property laws, procedures, and restrictions provide only limited protection and any of our intellectual property rights may and have been, in certain instances,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Competition</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believe that our magic formula of best-in-class equipment, integrated software, human coaching, and the world’s most supportive fitness community allows us to improve Member outcomes and sets us apart in the market for connected, technology-enabled fitness and wellness. We believe we provide a superior value proposition with our Connected Fitness Subscriptions, giving us a competitive advantage versus traditional fitness and wellness products and services, and future potential entrants.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While we believe we are changing the consumption patterns for fitness, our main sources of competition include at-home fitness equipment and content, health and wellness apps, in-studio fitness classes, and fitness clubs.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areas in which we compete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 xml:space="preserve">Consumers and Engagement: </w:t>
      </w:r>
      <w:r>
        <w:rPr>
          <w:rFonts w:ascii="Roboto;sans-serif" w:hAnsi="Roboto;sans-serif"/>
          <w:b w:val="false"/>
          <w:color w:val="050505"/>
          <w:sz w:val="18"/>
        </w:rPr>
        <w:t>We compete for consumers to join our platform through Connected Fitness Subscriptions, and we seek to engage and retain them through an integrated experience that combines hardware, software, human coaching, and community.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Product and App Offering:</w:t>
      </w:r>
      <w:r>
        <w:rPr>
          <w:color w:val="050505"/>
        </w:rPr>
        <w:t xml:space="preserve"> </w:t>
      </w:r>
      <w:r>
        <w:rPr>
          <w:rFonts w:ascii="Roboto;sans-serif" w:hAnsi="Roboto;sans-serif"/>
          <w:b w:val="false"/>
          <w:color w:val="050505"/>
          <w:sz w:val="18"/>
        </w:rPr>
        <w:t>We compete with producers of fitness and wellness products, services, and apps, and work to ensure that our platform maintains the most innovative technology and user-friendly features.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 xml:space="preserve">Business-to-Business (B2B) Clients: </w:t>
      </w:r>
      <w:r>
        <w:rPr>
          <w:rFonts w:ascii="Roboto;sans-serif" w:hAnsi="Roboto;sans-serif"/>
          <w:b w:val="false"/>
          <w:color w:val="050505"/>
          <w:sz w:val="18"/>
        </w:rPr>
        <w:t>We compete with commercial fitness equipment manufacturers to offer fitness products and services to B2B clients.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color w:val="050505"/>
          <w:sz w:val="18"/>
        </w:rPr>
        <w:t>Talent:</w:t>
      </w:r>
      <w:r>
        <w:rPr>
          <w:color w:val="050505"/>
        </w:rPr>
        <w:t xml:space="preserve"> </w:t>
      </w:r>
      <w:r>
        <w:rPr>
          <w:rFonts w:ascii="Roboto;sans-serif" w:hAnsi="Roboto;sans-serif"/>
          <w:b w:val="false"/>
          <w:color w:val="050505"/>
          <w:sz w:val="18"/>
        </w:rPr>
        <w:t>We compete for talent in every vertical across our company, including technology, media, fitness, design, supply chain, logistics, content, marketing, finance, strategy, legal, and retail. As our platform is highly dependent on technology, hardware, and software, we require a significant base of engineers to continue innovating.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principal competitive factors that companies in our industry need to consider include, but are not limited to: total cost, supply chain efficiency across sourcing and procurement, manufacturing and logistics,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Seasonality</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 xml:space="preserve">Our business is affected by seasonality, which historically has resulted in higher revenues, as well as sales and marketing expenses, during our second fiscal quarter.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Government Regulation</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are subject to many varying laws and regulations in the United States and around the world, including those related to privacy, data protection, content regulation, intellectual property, consumer protection (including with regard to subscription services), e-commerce, marketing, advertising, messaging, rights of publicity, health and safety, sustainability factors, employment, labor, anti-discrimination, product quality and safety, accessibility, competition, customs and international trade (including tariffs and non-tariff trade barriers),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restrictions that may affect the accessibility or usability of any or all of our products and services for an extended period of time or indefinitely.</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Environmental Impact</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believe sustainability is essential to a healthy society and a more resilient business, and we pursue a climate strategy anchored by near-term science-based targets approved by the Science Based Targets initiative (SBTi) — committing to reduce absolute Scope 1 and 2 GHG emissions 42% and Scope 3 GHG emissions from purchased goods and services and upstream transportation and distribution 25% by 2030 from a 2024 base year. We continue to enhance the Member experience through circular business models designed to reduce the environmental impact of our products. Through programs such as Peloton Rental, Peloton Certified Refurbished, and Peloton Repowered, we help keep products and materials in use for longer, create new opportunities for Members to access our platform, and reduce emissions. There are rapidly changing global environmental laws, which introduces operational costs and administrative complexity for our business. Failure to comply with these regulations may carry legal liabilities and reputational damage.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Human Capital</w:t>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Our Culture</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foster an environment that attracts extraordinary talent, supports each person in becoming their best self, and unlocks the full potential of our team. This work is grounded in the values that define who we are and how we lead:</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val="false"/>
          <w:i/>
          <w:color w:val="050505"/>
          <w:sz w:val="18"/>
        </w:rPr>
        <w:t xml:space="preserve">Believe — </w:t>
      </w:r>
      <w:r>
        <w:rPr>
          <w:rFonts w:ascii="Roboto;sans-serif" w:hAnsi="Roboto;sans-serif"/>
          <w:b w:val="false"/>
          <w:color w:val="050505"/>
          <w:sz w:val="18"/>
        </w:rPr>
        <w:t>We believe in the Power of Peloton to change people’s lives for the better. This passion fuels our commitment to being all in, focused on what matters most, and accountable for doing what we say and delivering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50505"/>
        </w:rPr>
        <w:t>•</w:t>
      </w:r>
      <w:r>
        <w:rPr>
          <w:rFonts w:ascii="Roboto;sans-serif" w:hAnsi="Roboto;sans-serif"/>
          <w:b w:val="false"/>
          <w:i/>
          <w:color w:val="050505"/>
          <w:sz w:val="18"/>
        </w:rPr>
        <w:t>Bring Your Best —</w:t>
      </w:r>
      <w:r>
        <w:rPr>
          <w:color w:val="050505"/>
        </w:rPr>
        <w:t xml:space="preserve"> </w:t>
      </w:r>
      <w:r>
        <w:rPr>
          <w:rFonts w:ascii="Roboto;sans-serif" w:hAnsi="Roboto;sans-serif"/>
          <w:b w:val="false"/>
          <w:color w:val="050505"/>
          <w:sz w:val="18"/>
        </w:rPr>
        <w:t>We always bring our best. We put Members first, delivering products and experiences for which we can be proud. We are action-oriented, taking initiative, and leading with appropriate urgency. Our commitment to excellence drives us to embrace challenges and relentlessly experiment, innovate, and improve.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ind w:left="0" w:right="0" w:hanging="360"/>
        <w:jc w:val="both"/>
        <w:rPr/>
      </w:pPr>
      <w:r>
        <w:rPr>
          <w:color w:val="050505"/>
        </w:rPr>
        <w:t>•</w:t>
      </w:r>
      <w:r>
        <w:rPr>
          <w:rFonts w:ascii="Roboto;sans-serif" w:hAnsi="Roboto;sans-serif"/>
          <w:b w:val="false"/>
          <w:i/>
          <w:color w:val="050505"/>
          <w:sz w:val="18"/>
        </w:rPr>
        <w:t>Lift People Up —</w:t>
      </w:r>
      <w:r>
        <w:rPr>
          <w:color w:val="050505"/>
        </w:rPr>
        <w:t xml:space="preserve"> </w:t>
      </w:r>
      <w:r>
        <w:rPr>
          <w:rFonts w:ascii="Roboto;sans-serif" w:hAnsi="Roboto;sans-serif"/>
          <w:b w:val="false"/>
          <w:color w:val="050505"/>
          <w:sz w:val="18"/>
        </w:rPr>
        <w:t>We lift each other up, knowing that together we go far. We’re approachable, both asking for help and giving help to those who need it. We’re collaborative, achieving shared success by fostering trust and open communication. And we’re inclusive, actively seeking diverse perspectives and ensuring every voice is heard.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bring these values to life through our approach to human capital management, outlined below.</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Employees</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As of June 30, 2026, we employed 1,736 individuals in the United States across our corporate offices, production studio facilities, warehouse and distribution facilities, retail stores, and remote roles, of which 1,673 were full-time employees. Internationally, we employed 526 individuals primarily across corporate, studio and warehouse locations. We may also hire additional seasonal employees, primarily in our stores, during the holiday season. We are not signatories to any agreements with any labor organization, or a party to any collective bargaining agreements.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The Peloton Pledge</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Peloton Pledge is our commitment to creating an inclusive community where everyone can thrive. It is also a manifestation of our values: believe, bring your best, and lift people up. Operationalized throughout our business with clearly defined activities, accountability, and outcomes, the Pledge ensures that our impact is aligned with our purpose: empowering everyone – our team, our Members, and broader communities – to live fit, strong, long, and happy.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Peloton will lift up our team by 1) working to ensure equal opportunity and inclusion at all key points in the team member lifecycle, including hiring, reviews, and promotions, 2) maintaining fair and consistent pay outcomes, including by conducting pay equity reviews and addressing gaps when appropriate, 3) providing robust resources, programming, and team member-led groups that anyone can join to support a culture of inclusion, and 4) measuring our progress, identifying opportunities for improvement, and acting to foster a culture of inclusion.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Peloton will lift up our Members by creating content, products, and experiences that celebrate the vibrancy and breadth of our community and enlisting our world-class Instructors to serve as community ambassadors and as models of inclusivity.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Peloton will lift up our broader communities experiencing systemic inequities by using our full array of assets, especially Peloton’s products and services, in partnership with leading nonprofit organizations to advance access to fitness and wellness for all, and partnering with and supporting community activations that cultivate long-term behavioral change.</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Team Member Safety</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prioritize the health and safety of our team members, our Members, and the impact our operations have on the environment. The core elements of our team member health and safety program include workplace injury reporting, site risk analysis, incident management, documented processes and standards, environmental programs, training, and occupational health programs, and we are continually striving to improve these processes. Concerns about the health and safety of our team members must be reported through our PeloSafe portal. Any concerns about Peloton suppliers or business partners should be reported through our Integrity Helpline available online and by telephone. The Integrity Helpline is maintained through an external third-party platform and monitored by our Compliance, Policy &amp; Regulatory Affairs Team.</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Training, Development, and Engagement</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have a dedicated Global Talent Development Team that develops and delivers company-wide learning experiences across all functions. These include, but are not limited to, programs focusing on Peloton’s approach to onboarding new team members, people and business leadership, dedicated coaching, function-specific training offerings, and internal hiring and mobility to support personal and professional growth.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We believe our culture is strongest when it’s shaped by the people living it every day. That’s why the voice of the team member is at the heart of our learning and development strategy. Building a thriving talent ecosystem means listening actively, engaging consistently, and creating space for feedback that drives real action. We stay closely connected through multiple channels—our company intranet, Pelonet, regular all-team meetings, team town halls, and company-wide engagement surveys. These touchpoints ensure that every team member’s perspective informs how we grow, learn, and lead, together.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Our Patent Incentive Program provides rewards and recognition to qualifying team members whose inventions are included in a patent application submitted by Peloton.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50505"/>
          <w:sz w:val="18"/>
        </w:rPr>
      </w:pPr>
      <w:r>
        <w:rPr>
          <w:rFonts w:ascii="Roboto;sans-serif" w:hAnsi="Roboto;sans-serif"/>
          <w:b/>
          <w:i/>
          <w:color w:val="050505"/>
          <w:sz w:val="18"/>
        </w:rPr>
        <w:t>Competitive Compensation and Work-Life Harmony</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Our compensation program is structured around our overarching philosophy of rewarding demonstrable performance and aligning team members with our goals and strategy. Consistent with this approach, we provide market competitive compensation and benefits that will attract, motivate, reward, and retain a highly talented team and foster work-life harmony. We take a comprehensive view of the tools and programs we use to attract, reward, and retain top talent, including comprehensive health benefits, family and lifestyle services and support, financial, legal and retirement benefits, product discounts, free App access, and discounted studio classes.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Peloton is committed to fostering work-life harmony by embedding our core values of lifting people up, believing in our mission, and bringing our best into our daily interactions. We prioritize collaboration and inclusivity, creating an environment where everyone feels they belong and diverse perspectives are valued. Our focus on these principles, including being approachable, action-oriented, and striving for excellence, supports a positive and thriving work environment for our team members.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Corporate Information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website address is www.onepeloton.com. The information contained on, or that can be accessed through, our website is not incorporated by reference into, and is not a part of, this Annual Report on Form 10-K or in any other report or document we file. Investors should not rely on any such information in deciding whether to purchase our Class A common stock.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Peloton, the Peloton logo, Peloton Bike, Peloton Bike+, Peloton Tread, Peloton Tread+, Peloton Guide, Peloton Row, Peloton Row+, our Peloton Apps, Peloton Strength+, Precor,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50505"/>
          <w:sz w:val="18"/>
          <w:u w:val="single"/>
        </w:rPr>
      </w:pPr>
      <w:r>
        <w:rPr>
          <w:rFonts w:ascii="Roboto;sans-serif" w:hAnsi="Roboto;sans-serif"/>
          <w:b/>
          <w:color w:val="050505"/>
          <w:sz w:val="18"/>
          <w:u w:val="single"/>
        </w:rPr>
        <w:t>Available Information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reports filed with or furnished to the Securities and Exchange Commission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We use our Investor Relations website and Press Newsrooms (https://investor.onepeloton.com/news-and-events/news-releases and https://www.onepeloton.com/press) as means of disclosing material non-public information and for complying with our disclosure obligations under Regulation FD. Accordingly, investors should monitor our Investor Relations website and Press Newsrooms in addition to following our press releases, SEC filings, investor events and webcasts. The information contained on, or that can be accessed through, these websites is not incorporated by reference into, and is not a part of, this Annual Report on Form 10-K or in any other report or document we file.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Investing in our Class A common stock involves a high degree of risk. You should carefully consider the risks and uncertainties described below, together with all of the other information contained in this Annual Report on Form 10-K, including the section titled “Management’s Discussion and Analysis of Financial Condition and Results of Operations,” and our consolidated financial statements and the accompanying notes and the information included elsewhere in this Annual Report on Form 10-K and our other public filings before deciding whether to invest in shares of our Class A common stock. These risks and uncertainties are not the only ones we face.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have incurred operating losses in the past, may incur operating losses in the future, and may not maintain profitability in the future.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Although we reported net income in fiscal year 2026, we have incurred significant operating losses in prior periods and may not be able to sustain profitability on a quarterly or annual basis. Our operating expenses may increase as we invest in growth, including product development, content, marketing, and international expansion, and these efforts may be more costly than we expect. Our revenue may also decline due to, among other reasons, decreased numbers of subscribers, reduced demand, increased competition, or contraction of our overall market. If our revenue does not grow at a greater rate than our operating expenses, we will not be able to sustain profitability.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may be unable to attract and retain Subscriptions, which could have an adverse effect on our business and rate of growth.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continued business and revenue growth may be dependent on our ability to continuously attract and retain Subscriptions, and we cannot be sure that we will be successful in these efforts, or that Subscription retention levels will not materially decline. There are a number of factors that could lead to a decline in Subscription levels or that could prevent us from increasing our Subscription levels,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failure to introduce new features, products, or services that Members find engaging or our introduction of new products or services, or changes to existing products and services that are not favorably received;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harm to our brand and reputation;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pricing and perceived value of our offerings;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actual or perceived safety concerns regarding our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unsatisfactory experiences with the delivery, installation, or servicing of our Connected Fitness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Members engaging with competitive products and services;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technical or quality problems that affect the Member experience;</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 decline in the public’s interest in indoor cycling or running, or other fitness disciplines that we invest most heavily in;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deteriorating general economic conditions or a change in consumer spending preferences or buying trends;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interruptions in our ability to sell or deliver our Connected Fitness Products or to provide or to create content and services for our Members.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these factors, we cannot be sure that our Subscription levels will be adequate to maintain or permit the expansion of our operations. A decline in Subscription levels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operating results have been, and could in the future be, adversely affected if we are unable to accurately forecast consumer demand for our products and services and adequately manage our inventory.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 xml:space="preserve">To ensure adequate inventory supply, we must forecast inventory needs and expenses and place orders sufficiently in advance with our suppliers and contract manufacturers, based on our estimates of future demand for particular products and services. Our ability to accurately forecast demand could be affected by many factors, including changes in consumer demand for our and our competitors’ products and services, unanticipated changes in general market conditions, and the weakening of consumer confidence in future economic conditions. Failure to accurately forecast our inventory needs or consumer demand may result in manufacturing delays, reduced manufacturing efficiencies, increased costs, a shortage of products available for sale or an excess in inventory.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in recent periods experienced, and may continue to experience decreases in consumer demand, resulting in inventory write-downs or write-offs, excess inventory, and discounted product sales that lower our gross margins. In periods of low demand, we may be unable to renegotiate supplier agreements or fully utilize firm purchase commitments, creating loss contingencies for non-cancellable contracts. Disputes with our inventory supply partners regarding these agreements have, in certain instances, resulted, and may in the future result in, litigation, which could result in adverse judgments, settlements or other litigation-related costs as well as disruptors requiring management attention. Furthermore, demand volatility and inventory imbalances could trigger unexpected goodwill or long-lived asset impairment evaluations, potentially resulting in charges to earnings.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continue to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pPr>
      <w:r>
        <w:rPr>
          <w:rFonts w:ascii="Roboto;sans-serif" w:hAnsi="Roboto;sans-serif"/>
          <w:b w:val="false"/>
          <w:color w:val="000000"/>
          <w:sz w:val="18"/>
        </w:rPr>
        <w:t xml:space="preserve">appropriately target any additional areas for our cost-saving efforts. As such, the actions that we took under the restructuring plans we announced in 2022, 2024, and 2025 (collectively, the “Restructuring Plans”), and that we may decide to take in the future may not be successful in yielding our intended results and may not appropriately address either or both of the short-term and long-term strategy for our business. In addition, our initiatives have resulted, and could in the future result in, personnel attrition beyond our planned reduction in headcount or reduced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the Restructuring Plans, could result in reputational harm and could diminish confidence in, and the use of, our products and services. See “— </w:t>
      </w:r>
      <w:r>
        <w:rPr>
          <w:rFonts w:ascii="Roboto;sans-serif" w:hAnsi="Roboto;sans-serif"/>
          <w:b w:val="false"/>
          <w:i/>
          <w:color w:val="000000"/>
          <w:sz w:val="18"/>
        </w:rPr>
        <w:t>Our success depends on our ability to maintain the value and reputation of the Peloton brand</w:t>
      </w:r>
      <w:r>
        <w:rPr>
          <w:rFonts w:ascii="Roboto;sans-serif" w:hAnsi="Roboto;sans-serif"/>
          <w:b w:val="false"/>
          <w:color w:val="000000"/>
          <w:sz w:val="18"/>
        </w:rPr>
        <w:t>.” The Restructuring Plans have required, and may continue to require, a significant amount of management’s and other employees’ time and focus, which may divert attention from effectively operating and growing our business. See Part II, Item 7, “Management’s Discussion and Analysis of Financial Condition and Results of Operations—Overview—Restructuring.”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strategy depends on successfully scaling revenue across multiple channels, product categories, and customer segments, including in commercial markets and in the broader connected wellness and recovery space. If we fail to execute on these priorities, our growth, brand, and financial performance may suffer.</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We sell connected fitness products, subscriptions, content, and apparel through direct e-commerce, third-party retail partners, owned micro-store showrooms, and our Commercial Business Unit. Our growth depends on effectively allocating resources across these channels and adapting our go-to-market approach as consumer demand and competitive dynamics shift, particularly as we expand our holistic wellness solutions.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We have substantially reduced our legacy retail showroom footprint and are transitioning to smaller-format micro-stores and third-party retail partnerships. If these channels do not generate the sales volumes we anticipate, or if we are unable to maintain favorable commercial terms with our retail partners, our revenue and margins could be adversely affected. Our ability to exit remaining legacy showroom leases may be limited by timing and cost under the applicable lease terms.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Through the integration of Precor and Peloton for Business into our Commercial Business Unit, we are expanding into the commercial fitness market with products engineered for high-traffic gym, hospitality, and corporate environments. This expansion requires coordination across hardware engineering, software, content, sales, and service capabilities, and there is no assurance that the commercial fitness market will adopt our products at the scale or pace we expect, or that the integration will deliver the anticipated commercial benefits.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integrated nature of our business model, in which we design connected fitness products, develop proprietary software (including our mobile applications and platforms like Peloton IQ, Strength+, and Breathwrk), produce original programming and content, and operate across consumer and commercial channels, creates interdependencies across our value chain. As we broaden our offerings to address more of our Members’ total wellness, sleep, and recovery needs, disruption, underperformance, or failure to attract and retain Subscriptions in any one area can affect the consumer and member experience that is central to our brand, subscriber retention, and overall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If we are unable to anticipate consumer preferences and successfully develop and offer new or updated products and services in a timely manner, or effectively manage their introduction, our business may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derive a substantial portion of our revenue from sales of our Connected Fitness Products. Our Connected Fitness Products are sold in highly competitive markets with limited barriers to entry. Our success depends on our ability to identify and respond to evolving consumer preferences, which cannot be predicted with certainty. If we are unable to introduce new or enhanced offerings in a timely manner, through appropriate channels, or in a way that resonates with consumers, our Subscription growth and retention could be negatively affected. Consumer preferences may also shift rapidly to different types of fitness and wellness offerings, or away from these types of offerings altogether, and our competitors may introduce similar or more appealing alternatives faster than we can or at a lower cost. Failure to anticipate and respond to these shifts could result in lower subscription rates, reduced sales, pricing pressure, lower gross margins, and excess inventory levels.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Developing new or enhanced products and services, including through expanded third-party distribution, new subscription and app offerings, and programs such as Peloton Rental, may require significant time and financial investment, and the introduction of new offerings could adversely impact the sales of our existing products and services, or cause consumers to delay purchases in anticipation of upcoming launches. We may also face challenges managing a more complex supply chain, including onboarding or offboarding suppliers, manufacturers and logistics providers, and managing inventory levels across a broader product portfolio. New or enhanced products or services may carry different pricing and cost structures that could negatively impact our gross margins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may experience delays in the planned release of new or enhanced products and services due to, among other factors, design, manufacturing, quality control, supply chain, trade controls, geopolitical uncertainties, or the performance of third parties. Any such delays could result in adverse publicity, loss of revenue or market acceptance, and litigation, and these effects may be heightened if delays coincide with periods of seasonally high demand.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past financial results may not be indicative of our future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Any historical revenue growth should not be considered indicative of our future performance. In particular, we experienced a significant increase in our Subscription base at the onset of the COVID-19 pandemic, which slowed down and since decreased as consumers were able to resume activity outside the home. Over the long term it remains uncertain how the impacts of the post-COVID-19 pandemic environment and other market constraints, including macro- and micro-economic factors such as inflation, tariffs and non-tariff barriers, interest rates, foreign currency exchange rate fluctuations, and increased debt and equity market volatility, will impact consumer demand for our products and services over the long term. Estimates of future revenue growth are subject to many risks and uncertainties, and our future revenue may differ materially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projections. We have encountered, and will continue to encounter, risks and difficulties frequently experienced by companies in rapidly changing industries, and our business may be adversely affected if we do not manage these risks successfully. In addition, we may not achieve sufficient revenue to maintain positive cash flows from operations or attain net income profitability in any given period, or at all.</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success depends on our ability to maintain the value and reputation of the Peloton brand.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believe that our brand is important to attracting and retaining Members. Maintaining, protecting, and enhancing our brand depends on the success of a variety of factors, such as: our marketing efforts; our ability to provide consistent, high-quality products, content, services, features, and support, our ability to successfully secure, maintain, and enforce our rights to use the “Peloton” mark, our “P” logo, and other trademarks important to our brand; our ability to successfully respond to a negative event that impacts our brand; and our ability to meet shareholder and Member expectations.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Restructuring Plans, or our products, services, pricing, technology, customer service, content, personnel, and suppliers could diminish confidence in, and the use of, our products and services. As discussed further in “Risks Related to Our Connected Fitness Products and Members” and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could also have an adverse effect on the size, engagement and loyalty of our Member base and result in decreased revenue, which could have an adverse effect on our business, financial condition, and operating results.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Changes in trade policies in the U.S. and internationally, including the imposition of tariffs, have had, and may continue to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There is significant uncertainty about the future of trade relationships around the world, including potential changes to trade treaties, laws, regulations, policies, customs duties, sanctions, taxes and tariffs. In particular, the U.S. government has imposed tariffs on products imported from certain countries in which we do business or in which our products are manufactured, such as Taiwan, China, Thailand and Canada. The U.S. has also imposed tariffs on certain sectors and materials. Some countries have responded with new or increased tariffs or other trade barriers of their own. Tariff rates and the scope of products subject to tariffs have changed based on action by the U.S. government. Certain of these tariffs have been subsequently paused or modified, including as a result of negotiations with the U.S., and the situation remains fluid.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February 20, 2026, the U.S. Supreme Court issued a decision invalidating tariffs imposed under the International Emergency Economic Powers Act (“IEEPA”). We are closely monitoring updates from U.S. Customs and Border Protection (“CBP”), and have submitted our IEEPA tariff refund claim. While IEEPA tariffs are no longer effective, we are currently subject to Section 122 tariffs of 10%. On April 2, 2026, the President issued a presidential proclamation modifying the application of Section 232 tariffs on steel, aluminum, and their derivative products, which, among other things, removed fitness equipment from the scope of those tariffs. As a result, as of April 6, 2026, the steel and aluminum content in our Connected Fitness Products is no longer subject to Section 232 tariffs of 50%. Our ability to obtain any tariff refunds or rebates, and the timing and amount thereof, is subject to regulatory uncertainty and cannot be assured.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 Trade Representative (“USTR”) is conducting multiple investigations under Section 301 of the Trade Act of 1974, including into the forced labor import practices and structural excess manufacturing capacity of U.S. trading partners. USTR has proposed tariff rates of 10% to 12.5% following its investigation into forced labor practices. If the USTR determines that the practices under its excess manufacturing capacity investigation are actionable, additional ad valorem tariffs could be imposed. We are actively monitoring the progress and outcomes of these investigations.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 or countries into which we import products have, and may in the future, adjust or impose new quotas, duties, tariffs or reciprocal tariffs or other restrictions. These imposed and announced tariffs have impacted, or have the potential to impact, our imports from other countries. For example, a significant portion of our hardware is produced outside the U.S., including in Taiwan, China and Thailand, and certain of our equipment and apparel is currently subject to tariffs. Certain of our equipment is also subject to reciprocal tariffs from other countries on such equipment’s aluminum content, and may be subject to other such tariffs, for example on steel and copper content. The ultimate impact of tariffs will depend on various factors, including the length of time such tariffs remain in place, the ultimate levels of such tariffs and how other countries respond to U.S. tariffs. We continue to monitor these developments.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tariffs, sanctions, trade restrictions or other trade barriers are expanded or interpreted by a court or governmental agency to apply to more of our products or services, then our exposure to future tariffs, taxes and duties on such imported products and components could be significant and could have a material effect on our business, financial condition and results of operations, including gross margin. There can be no assurance that we will not experience a disruption in our business related to these or other changes in trade practices, and any changes to our operations, the pricing of our products and services, or our sourcing strategy in order to mitigate any such tariff costs could be complicated, time-consuming, costly and may be perceived negatively. Furthermore, our business may be adversely affected by tariffs or trade measures taken by other countries, which could materially harm our business, financial condition and results of operations. Trade barriers, or the perception that any of them could be imposed, may have a negative impact on global economic conditions and the stability of global financial markets, and may significantly reduce global trade and, in particular, trade between affected countries and the U.S. Negative perceptions of the U.S. abroad, as a result of tariff measures or otherwise, could lead to partial or total boycotts of products or services associated with the U.S., including our own, and reciprocal boycotts in response. Any of these factors could have an adverse effect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Any major disruption or failure of our information technology systems or websites, or our failure to successfully implement upgrades and new technology effectively, could adversely affect our business and operations.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rely on the Internet, as well as digital infrastructure, computing networks and systems, hardware and software to support our internal and Member-facing operations (collectively, “information technology systems” or “systems”). Certain of our information technology systems are designed and maintained by us while others are designed, maintained and/or operated by third parties. These systems are critical for the efficient functioning of our business, including the manufacture and distribution of our Connected Fitness Products, online sales of our Connected Fitness Products, and the ability of our Members to access content on our platform. We continue to implement modifications and upgrades to our systems, and these activities subject us to inherent costs and risks associated with replacing and upgrading these systems, including, but not limited to, impairment of our ability to fulfill customer orders or collect payment from such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collect payment for our services, and otherwise adequately serve our Members. The operation of our direct-to-consumer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the ability of our Members to access the content on our platform could be diminished by a number of factors, including Members’ inability to access the internet, the failure of our network or software systems, cyber-attacks and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event we experience significant disruptions, we may be unable to repair our systems in an efficient and timely manner, which could have a material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growing use of artificial intelligence and machine learning technologies may present additional risks and challenges, which could result in reputational and competitive harm, legal liability and adversely affect our results of operations.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currently integrate and are working to further integrate AI and machine learning technologies into our products and services, as well as our corporate operations, and these technologies present additional risks and challenges, including the proper management of their use. These technologies are complex and rapidly evolving and building or integrating them into our business may require significant investment and personnel with no assurance that we will realize the desired or anticipated benefits. We may incur costs and experience delays in developing and then maintaining new solutions and services or enhancing our current products and services to adapt to the changing AI landscape. While AI adoption is likely to continue and may accelerate, and AI may become more important to our business over time, the long-term trajectory of this technological trend is uncertain. Market acceptance, understanding and valuation of products and services that incorporate AI are uncertain and the perceived value of AI technologies used in our products and services could be inaccurate. Our competitors or other third parties may incorporate AI into their products and services more quickly or more successfully than us, which could impair our ability to compete effectively and adversely affect our results of operations. Any AI-generated, altered or enhanced content within our products and services may not find acceptance by Members and others.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rapid evolution of AI may require the dedication of substantial resources to implement AI ethically and minimize unintended harmful impacts. AI algorithms and training methodologies may be flawed and datasets may be overbroad, insufficient, contain biased information or infringe on third parties’ rights. The content or recommendations that AI technologies assist in producing may or may be alleged to be deficient, inaccurate, offensive, biased, infringing, or otherwise improper or harmful. Further, the use of AI has been known to result in, and may in the future result in, cybersecurity incidents that implicate personal data. AI also presents emerging ethical issues and if our use of AI becomes controversial, we may experience brand or reputational harm, competitive harm or legal liability. While we aim to deploy AI responsibly and attempt to identify and mitigate ethical and legal issues presented by its use, we may be unsuccessful in identifying or resolving issues before they arise. Any of these factors could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legal and regulatory landscape surrounding AI technologies is rapidly evolving and uncertain, including in the areas of intellectual property, discrimination, cybersecurity and privacy and data protection. Compliance with existing, new, and changing laws, regulations, executive orders, and industry standards relating to AI may limit some uses of AI, impose significant operational costs and limit our ability to develop, deploy or use AI technologies. Further, the continued integration of any AI technologies into our business, products and services may result in new or enhanced governmental or regulatory scrutiny. Failure to appropriately respond to this evolving landscape may result in legal liability, regulatory action and brand and reputational harm, any of which could have an adverse effect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We rely on a limited number of suppliers, contract manufacturers, and logistics partners for our Connected Fitness Products. A loss of any of these partners or an interruption or inability of these partners to satisfy our demand needs could negatively affect our business. </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We are solely reliant on contract manufacturers for all of our manufacturing needs. In most cases, we rely on only a single supplier for our products and some critical components. In the event of interruption from any of our contract manufacturers or suppliers, we may not be able to increase capacity from other sources or develop alternate or secondary sources without incurring material additional costs and delays, since we do not currently have qualified alternative or replacement contract manufacturers beyond these key partners. Furthermore, a large number of our contract manufacturers’ primary facilities are located in Taiwan, China and Thailand. Our business could be adversely affected if one or more of our suppliers is impacted by tensions, hostilities, or trade disputes affecting the region, a natural disaster, an epidemic, or other interruption at a particular location. Such interruptions may be due to, among other things, temporary closures of the facilities of our contract manufacturers and other vendors in our supply chain; restrictions on or delays surrounding travel or the import/export of goods and services from certain ports that we use; and local quarantines or other public safety measures. We may also be impacted by contract manufacturing and supply chain disruptions due to contract manufacturer or supplier financial distress, particularly where we rely on a manufacturer or supplier that may depend on us for a significant proportion of its business. In such a case, we may be required to renegotiate the terms of our agreement or to pursue a strategic transaction or other alternative arrangement with that supplier or manufacturer or others. We may in the future increase our reliance on third-party suppliers, which could increase these risks.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For example, if we require additional manufacturing support, it may take a significant amount of time to identify a manufacturer that has the capability and resources to build our products to our specifications in sufficient volume. Similarly, in times of decreased demand, or due to changes in our product portfolio or strategy, we have in the past and may in the future deem it necessary or advisable to renegotiate agreements with our supply partners in order to appropriately scale our inventory, which could impair our relationship with these counterparties if we are unable to arrive at mutually acceptable terms, and significantly increase our inventory position and working capital and/or negatively impact their viability. See “—</w:t>
      </w:r>
      <w:r>
        <w:rPr>
          <w:color w:val="000000"/>
        </w:rPr>
        <w:t xml:space="preserve"> </w:t>
      </w:r>
      <w:r>
        <w:rPr>
          <w:rFonts w:ascii="Roboto;sans-serif" w:hAnsi="Roboto;sans-serif"/>
          <w:b w:val="false"/>
          <w:i/>
          <w:color w:val="000000"/>
          <w:sz w:val="18"/>
        </w:rPr>
        <w:t>Our operating results have been, and could in the future be, adversely affected if we are unable to accurately forecast consumer demand for our products and services and adequately manage our inventory</w:t>
      </w:r>
      <w:r>
        <w:rPr>
          <w:rFonts w:ascii="Roboto;sans-serif" w:hAnsi="Roboto;sans-serif"/>
          <w:b w:val="false"/>
          <w:color w:val="000000"/>
          <w:sz w:val="18"/>
        </w:rPr>
        <w:t>.” A loss of or poor performance by any of our significant suppliers, contract manufacturers, or logistics partners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We have limited control over our suppliers, contract manufacturers, and logistics partners, which may subject us to significant risks, including the potential inability to produce or obtain quality products and services on a timely basis or in sufficient quantity.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limited control over our suppliers, contract manufacturers, and logistics partners, which subjects us to the following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inability to satisfy demand for our Connected Fitness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reduced control over delivery timing and related customer experience and product reliability;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reduced ability to monitor the manufacturing process and components used in our Connected Fitness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limited ability to develop comprehensive manufacturing specifications that take into account any materials shortages or substitutions;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variance in the manufacturing capability of our third-party manufacturers or in the quality of services provided by our third-party last mile partners;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price increases;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product safety issues, including actual or perceived design or manufacturing defects;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failure of a significant supplier, manufacturer, or logistics partner to perform its obligations to us for technical, market, or other reasons;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lack of adherence to our supplier code of conduct;</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difficulties in establishing additional supplier, manufacturer, or logistics partner relationships if we experience difficulties with our existing suppliers, manufacturers, or logistics partners;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shortages of materials or components;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misappropriation of our intellectual property;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insufficient warranties and indemnities on components supplied to our manufacturers or performance by our partners.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occurrence of any of these risks, especially during seasons of peak demand, could cause us to experience a significant disruption in our ability to produce and deliver our products to our customers and could harm our brand and reputation.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operate in a highly competitive market, and we may be unable to compete successfully against existing and future competitors.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products and services are offered in a highly competitive market. We face significant competition in every aspect of our business, including from at-home fitness equipment and content, fitness clubs, in-studio fitness classes, health and wellness apps, GLP-1s, and other weight-management treatments. We also face significant competition within the commercial fitness market, including in gym and hospitality environments. Moreover, we expect the competition in our market to intensify in the future as new and existing competitors introduce new or enhanced products and services that compete with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competitors, some of whom are much larger companies with greater resources, may develop, or have already developed, products, features, content, apps, services, or technologies that are similar to ours or that achieve greater acceptance, may undertake more successful product development, marketing or music licensing efforts, be more efficient at meeting consumer demand or identifying new markets, create more compelling employment opportunities, adopt more aggressive pricing policies, or be better positioned to withstand substantial price competition. Our competitors may develop or acquire, or have already developed or acquired, intellectual property rights that significantly limit or prevent our ability to compete effectively in the public marketplace.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We depend upon third-party licenses for the use of music in our content. An adverse change to, loss of, or claim that we do not hold necessary licenses may have an adverse effect on our business, operating results, and financial condition.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Music is an element of the overall content proposition that we make available to our Members. To secure the rights to use music in our content, we enter into license agreements with the relevant rights holders, such as record labels, music publishers, collecting societies (e.g., performing rights organizations), artists and songwriters, and other copyright owners (or their agents). We pay royalties to such parties or their agents covering the territories where Peloton is made available.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process of obtaining licenses involves identifying and negotiating with many rights holders, which can generate myriad complex and evolving legal issues across many jurisdictions, including open questions of law as to which particular licenses are needed. In addition, our music licenses may not contemplate or cover new features, content, or offerings that we may wish to add to our service, in which case, an amendment to such licenses would be required. If we are unable to agree on license fees for a right holder, we may consider removing such right holder’s catalog of copyrighted works from our platform. We may also elect not to renew certain agreements with rights holders for other reasons, including, with regard to a specific songwriter or performing artist, actual or perceived reputational damage.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With respect to musical compositions, in addition to obtaining the synchronization and reproduction rights, we also obtain public performance or communication to the public rights. In the United States, public performance rights are typically obtained separately through collecting societies known as performing rights organizations, or PROs, which (a) issue blanket licenses with copyright users for the public performance of musical compositions in their repertory, (b) collect royalties under those licenses, and (c) distribute such royalties to their songwriter and publisher members. We have agreements with each of the following PROs in the United States: the American Society of Composers, Authors and Publishers, or ASCAP, Broadcast Music, Inc., or BMI, Global Music Rights, SESAC, and AllTrack. The royalty rates available to us from the PROs today may not be available to us in the future. The royalty rates under licenses provided by ASCAP and BMI currently are governed by consent decrees, which were issued by the U.S. Department of Justice (“DOJ”) in an effort to curb anti-competitive conduct. Removal of or changes to the terms or interpretation of these consent decrees could affect our ability to obtain licenses from these PROs on current and/or otherwise favorable terms, which could harm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other parts of the world, including in Canada and Europe, we obtain licenses covering both the reproduction and communication to the public of musical compositions through local collecting societies representing songwriters and publishers, and from certain publishers directly, or a combination thereof. Given the complex music licensing landscape in certain territories, together with the music ownership data problems faced by the industry as a whole, we cannot guarantee that our licenses provide full coverage.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in which such rights holders own a share.</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Although we expend significant resources to comply with applicable contractual, statutory, regulatory, and judicial frameworks, we cannot guarantee that we currently hold, or will always hold, every necessary right to use all of the music that is used on our service now or that may be used in our products and services in the future, and we cannot assure you that we are not infringing or violating any third-party intellectual property rights, or that we will not do so in the future. See “—</w:t>
      </w:r>
      <w:r>
        <w:rPr>
          <w:color w:val="000000"/>
        </w:rPr>
        <w:t xml:space="preserve"> </w:t>
      </w:r>
      <w:r>
        <w:rPr>
          <w:rFonts w:ascii="Roboto;sans-serif" w:hAnsi="Roboto;sans-serif"/>
          <w:b w:val="false"/>
          <w:i/>
          <w:color w:val="000000"/>
          <w:sz w:val="18"/>
        </w:rPr>
        <w:t>Risks Related to Our Intellectual Property</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These challenges, and others concerning the licensing of music on our platform, may subject us to significant liability for copyright infringement, breach of contract, or other claims. For additional information, see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in the Notes to our Consolidated Financial Statements in Part II, Item 8 of this Annual Report on Form 10-K and the section titled “</w:t>
      </w:r>
      <w:r>
        <w:rPr>
          <w:rFonts w:ascii="Roboto;sans-serif" w:hAnsi="Roboto;sans-serif"/>
          <w:b w:val="false"/>
          <w:i/>
          <w:color w:val="000000"/>
          <w:sz w:val="18"/>
        </w:rPr>
        <w:t>Legal Proceedings</w:t>
      </w:r>
      <w:r>
        <w:rPr>
          <w:color w:val="000000"/>
        </w:rPr>
        <w:t xml:space="preserve">” </w:t>
      </w:r>
      <w:r>
        <w:rPr>
          <w:rFonts w:ascii="Roboto;sans-serif" w:hAnsi="Roboto;sans-serif"/>
          <w:b w:val="false"/>
          <w:color w:val="000000"/>
          <w:sz w:val="18"/>
        </w:rPr>
        <w:t>in Part I, Item 3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Our business could be adversely affected by an accident, safety incident, or workforce disruption.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operate warehouse, manufacturing, and delivery operations that involve physical labor and carry inherent safety risks. A workplace accident or safety incident could result in injury to employees or third parties, and our liability insurance may not be adequate to cover all resulting claims fully. If our employees decide to join or form a labor union, we could become party to collective bargaining agreements, which could result in higher employee costs and increased risk of work stoppages. A union organizing effort could also result in negative publicity, reputational harm, or management distraction. Any of these outcomes could adversely affect our business, prospects, financial condition, and operating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business has historically been, and may continue to be, affected by seasonality.</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Our business has historically been influenced by seasonal trends, where we generated a disproportionate amount of sales activity related to our Connected Fitness Products from November through February due in large part to seasonal holiday demand, New Year’s resolutions, and cold weather in the Northern Hemisphere. During and leading up to periods of higher sales, our working capital needs typically may be greater. We have observed and may continue to observe lower sales and less demand for our products and services during warmer seasons. As a result of quarterly fluctuations caused by these and other factors, comparisons of our operating results across different fiscal quarters may not be accurate indicators of our future performance. See “—</w:t>
      </w:r>
      <w:r>
        <w:rPr>
          <w:color w:val="000000"/>
        </w:rPr>
        <w:t xml:space="preserve"> </w:t>
      </w:r>
      <w:r>
        <w:rPr>
          <w:rFonts w:ascii="Roboto;sans-serif" w:hAnsi="Roboto;sans-serif"/>
          <w:b w:val="false"/>
          <w:i/>
          <w:color w:val="000000"/>
          <w:sz w:val="18"/>
        </w:rPr>
        <w:t>Our quarterly operating results and other operating metrics may fluctuate from quarter to quarter, which makes these metrics difficult to predict</w:t>
      </w:r>
      <w:r>
        <w:rPr>
          <w:rFonts w:ascii="Roboto;sans-serif" w:hAnsi="Roboto;sans-serif"/>
          <w:b w:val="false"/>
          <w:color w:val="000000"/>
          <w:sz w:val="18"/>
        </w:rPr>
        <w:t>.” Seasonality in our business can also be affected by introductions of new or enhanced products and services, including the costs associated with such introductions, as well as external factors beyond our control.</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operating results and other operating metrics may fluctuate from quarter to quarter, which makes these metrics difficult to predict.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operating results and other operating metrics have fluctuated in the past and may continue to fluctuate from quarter to quarter. As a result, you should not rely on our past quarterly operating results as indicators of future performance. Our financial condition and operating results in any given quarter can be influenced by numerous factors, many of which we are unable to predict or are outside of our control,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continued market acceptance of, and the growth of the connected fitness and wellness market;</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evolving consumer demand and our ability to maintain and attract new Subscriptions;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continued development and upgrading of the Peloton experience and proprietary technology platform;</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new product, service, feature, and content introductions by us or our competitors or any other change in our competitive landscape;</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pricing pressure as a result of competition or otherwise, and changes in pricing by us or by our competitors, whether to connected fitness equipment, subscriptions, or both;</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delays or disruptions in our supply chain;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errors in our forecasting of the demand for our products and services, which could lead to lower revenue or increased costs, or both;</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increases in marketing, sales, and other operating expenses;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short-term expenditures and initiatives we may undertake in furtherance of long-term cost savings, including the Restructuring Plans;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reliance on third-party delivery and maintenance services for our Connected Fitness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successful expansion into international markets;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seasonal fluctuations in subscriptions and usage of Connected Fitness Products by our Members, which may change;</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diversification and growth of our revenue sources;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gross margins and operating margins;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constraints on the availability of consumer financing or increased down payment requirements to finance purchases of our Connected Fitness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system failures or breaches of security or privacy;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adverse litigation judgments, settlements, or other litigation-related costs;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changes in the legislative or regulatory environment, including with respect to privacy, consumer product safety, and advertising, or enforcement by government regulators, including fines, orders, or consent decrees;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changes in our effective tax rate, including as a result of potential changes in tax laws;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changes in accounting standards, policies, guidance, interpretations, or principles;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changes in business or macroeconomic conditions, including global supply chain issues, lower consumer confidence, inflation, foreign currency exchange rate fluctuations, rising interest rates, recessionary conditions, political instability, volatility in the credit markets, market conditions in our industry, increased unemployment rates, or stagnant or declining wages.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one of the factors above or the cumulative effect of some of the factors above may result in significant fluctuations in our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variability and unpredictability of our quarterly operating results or other operating metrics could result in our failure to meet our expectations or those of analysts that cover us or investors with respect to revenue or other operating results for a particular period.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passion and focus on delivering a high-quality and engaging Peloton experience may not maximize short-term financial results, which may conflict with the market’s expectations and could result in decreases in our stock price.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passionate about continually enhancing the Peloton experience with a focus on driving long-term Member engagement through innovation, immersive content, technologically advanced Connected Fitness Products, multiple tiers of the Peloton Apps, and community support, which may not necessarily maximize short-term financial results. While we have recently announced our intention to stabilize our cash flows, we frequently make business decisions that may reduce our short-term financial results if we believe that the decisions are consistent with our goals to improve the Peloton experience, which we believe will improve our financial results over the long term. See Part II, Item 7, “Management’s Discussion and Analysis of Financial Condition and Results of Operations —Overview—Restructuring.” These decisions may not be consistent with the expectations of our stockholders and may not produce the long-term benefits that we expect, in which case our membership growth and Member engagement, and our business, financial condition, and operating results could be harmed.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integration and operation of Precor presents risks and we may not realize our anticipated strategic and financial goals from our ownership of Precor.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continue to further integrate Precor into our business, including our Commercial Business Unit, and risks we may face in connection with such efforts and our operation of Precor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We may not realize the benefits we expect to receive from the integration and ownership of Precor, such as anticipated synergies;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We may have difficulties managing Precor as a separate entity, including with respect to its operations, technologies and lines of business, retaining and appointing key personnel, and maintaining effective corporate governance and oversight of Precor;</w:t>
      </w:r>
    </w:p>
    <w:p>
      <w:pPr>
        <w:pStyle w:val="TextBody"/>
        <w:bidi w:val="0"/>
        <w:spacing w:lineRule="auto" w:line="268" w:before="0" w:after="0"/>
        <w:ind w:left="0" w:right="0" w:hanging="360"/>
        <w:jc w:val="both"/>
        <w:rPr/>
      </w:pPr>
      <w:r>
        <w:rPr>
          <w:color w:val="000000"/>
        </w:rPr>
        <w:t>•</w:t>
      </w:r>
      <w:r>
        <w:rPr>
          <w:rFonts w:ascii="Roboto;sans-serif" w:hAnsi="Roboto;sans-serif"/>
          <w:b w:val="false"/>
          <w:color w:val="000000"/>
          <w:sz w:val="18"/>
        </w:rPr>
        <w:t>In connection with our original acquisition of Precor, we may have failed to identify or assess the magnitude of, and we may not be able to sufficiently address, (i) claims or liabilities related to Precor’s business, including, among others, claims from government agencies, terminated employees, current or former customers, consumers or business partners, users, or other third parties, unexpected litigation or regulatory exposure, or intellectual property disputes;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other shortcomings or risks in Precor’s business;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Precor operates in segments of the commercial market that we traditionally have less experience with, including traditional gyms, multifamily residences, hotels and college and corporate campuses, and expansion of Precor and Commercial Business Unit operations in these segments could present various challenges and result in increased costs and other unforeseen challenges;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We may be unable to maintain effective controls within and over Precor or successfully integrate Precor and its operations into our control environment;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Precor serves customers in more than 60 countries worldwide and our operations have therefore expanded into new jurisdictions, which could present significant challenges and result in significant increased risks and costs inherent in doing business in international markets (see “— </w:t>
      </w:r>
      <w:r>
        <w:rPr>
          <w:rFonts w:ascii="Roboto;sans-serif" w:hAnsi="Roboto;sans-serif"/>
          <w:b w:val="false"/>
          <w:i/>
          <w:color w:val="000000"/>
          <w:sz w:val="18"/>
        </w:rPr>
        <w:t>Expansion into international markets will expose us to significant risks</w:t>
      </w:r>
      <w:r>
        <w:rPr>
          <w:color w:val="000000"/>
        </w:rPr>
        <w:t>”</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occurrence of any of these risks could have a material adverse effect on our business, financial condition, and operating results. See “— </w:t>
      </w:r>
      <w:r>
        <w:rPr>
          <w:rFonts w:ascii="Roboto;sans-serif" w:hAnsi="Roboto;sans-serif"/>
          <w:b w:val="false"/>
          <w:i/>
          <w:color w:val="000000"/>
          <w:sz w:val="18"/>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Expansion into international markets will expose us to significant risks.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intend over time to expand our operations to other countries, which may require significant resources and management attention and could subject us to regulatory, economic, and political risks in addition to those we already face in the markets in which we operate. There are significant risks and costs inherent in doing business in international markets,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difficulty of establishing and managing an international distribution network, including leveraging owned or third-party distribution, retail, local delivery service and customer service operations, and legal compliance costs associated with locations in different countries or regions;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need to vary pricing and margins to effectively compete in international markets;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need to adapt and localize products and software for specific countries, including obtaining rights to third-party intellectual property, including music, used in each country;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increased competition from local providers of similar products and services;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ability to protect and enforce intellectual property rights abroad;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need to offer engaging content and customer support in various languages and across various cultures;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difficulties in understanding and complying with local laws, regulations, and customs in other jurisdictions;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compliance with anti-bribery laws, such as the U.S. Foreign Corrupt Practices Act (the “FCPA”), and the U.K. Bribery Act 2010 (the “U.K. Bribery Act”), by us, our employees, and our business partners;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complexity and other risks associated with current and future legal requirements in other countries, including legal requirements related to sustainability disclosure, artificial intelligence, consumer protection, consumer product safety, content moderation, and data privacy frameworks, such as the General Data Protection Regulation 2016/679;</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varying levels of internet technology adoption and infrastructure, and increased or varying network and hosting service provider costs;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tariffs and other non-tariff barriers, such as quotas and local content rules, customs detentions, as well as tax consequences;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fluctuations in currency exchange rates and the requirements of currency control regulations, which might restrict or prohibit conversion of other currencies into U.S. dollars;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political or social unrest or economic instability in a specific country or region in which we operate or in which our products are manufactured, including, for example, escalating tensions, hostilities, or trade disputes between China and Taiwan which could have an adverse impact on our manufacturing and operations in such locations.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 addition to expanding our operations into international markets through the sale of our Connected Fitness Products and the production of our platform content, we have expanded, and may in the future expand, our international operations through partnerships with, acquisitions of, or investments in, foreign entities, which may result in additional operational costs and risks. See “— </w:t>
      </w:r>
      <w:r>
        <w:rPr>
          <w:rFonts w:ascii="Roboto;sans-serif" w:hAnsi="Roboto;sans-serif"/>
          <w:b w:val="false"/>
          <w:i/>
          <w:color w:val="000000"/>
          <w:sz w:val="18"/>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rely on access to our production studios (or alternate venues) and the creativity of our fitness Instructors to generate content. If we are unable to access or use our studios, or if our Instructors do not generate content that engages our Members, our business could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Most of the fitness and wellness content offered on our platform is produced in one of our production studios located in New York City or London, with some content (including audio-only content) recorded out of studio or in non-Peloton studios. Due to our reliance on a limited number of studios in a concentrated location, any incident involving our studios, or affecting New York City or London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and other content. Our standard employment contract with our global cast of Instructors has a fixed term or terms of employment. However, any of our Instructors may leave Peloton prior to the end of their contracts. If we are unable to attract or retain creative and experienced Instructors, we may not be able to generate content on a scale or of a quality sufficient to grow our business. If this does not occur or if we fail to produce content that our Members find engaging and relatable, our business, financial condition, and operating results may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part of our business strategy, we have made and, in the future, may make investments in other companies, products, or technologies, including acquisitions that may result in our entering markets or lines of business in which we do not currently have expertise. </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acquisitions, investments, or business relationships have resulted in, and may in the future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have required us, and may in the future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 success of these transactions also depends in part on our ability to leverage them to enhance our existing products and services or develop compelling new ones, as well as the acquired companies’ ability to meet our policies and processes in areas such as data governance, privacy, and cybersecurity.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pay for any such acquisitions, we would have to use cash, incur debt, or issue equity securities, each of which may affect our financial condition or the value of our capital stock and could result in dilution to our stockholders. If we incur more debt, it will result in increased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and our board of directors, disrupt the ordinary functioning of our business, and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 in connection with our restructuring initiatives, we have divested some of our assets, including through site closures. We may in the future decide to divest other assets or a business.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are subject to payment processing risk.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customers pay for our products and services using a variety of different payment methods, including credit and debit cards, gift cards, lines of credit, “buy now pay later” financial products,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Cybersecurity risks could adversely affect our business and disrupt our operations.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addition to relying on critical information technology systems, we collect, maintain and transmit data about employees, suppliers, Members and others, including payment card data and personal information, as well as proprietary business information. Threats to the 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integrity and security of our systems and data are increasingly diverse and sophisticated. Our systems and data, as well as those of critical third parties, are vulnerable to cyber-attacks involving, for example, malware, social engineering/phishing, ransomware or other extortion-based attacks, denial-of-service attacks, physical or electronic break-ins, third-party or current/former employee theft or misuse, and similar disruptions from unauthorized tampering with our servers and computer systems or those of third parties that we use in our operations, as well as cyber-risks attributable to software or hardware (e.g., tablets) vulnerabilities, coding errors and misconfigurations (e.g., involving APIs). As artificial intelligence capabilities improve and are increasingly adopted, we may see cyberattacks created through artificial intelligence.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Despite our efforts to create security barriers to protect our systems and data, we cannot entirely mitigate these risks. Cyberattacks are expected to accelerate on a global basis in both frequency and magnitude as threat actors are becoming increasingly sophisticated in using techniques and tools (including artificial intelligence) that circumvent controls, evade detection, and remove forensic evidence, which means that we and others may be unable to detect, investigate, contain or recover from future attacks or incidents in a timely or effective manner. In addition, our employees, service providers and third parties work more frequently on a remote or hybrid arrangement basis, which may involve relying on less secure systems and may increase the risk of cybersecurity-related incidents. We cannot guarantee these private work environments and electronic connections to our work environment have the same robust security measures deployed in our physical offices.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cyber-attack that impacts our or our Members’ data and assets, disrupts our service, or otherwise compromises the availability, integrity or security of our systems, or those of third parties we use could adversely affect our business, financial condition, and operating results, be expensive to remedy, and damage our reputation. In addition, any such attacks or breaches may negatively impact our Members’ experience, result in negative publicity, adversely affect our brand, impact demand for our products and services, and subject us to litigation (including class actions), regulatory investigations and/or penalties and fines, any or all of which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While we maintain cyber insurance that may help provide coverage for security breaches or other covered incidents, such insurance may not be adequate to cover the costs and liabilities related to them. Our costs associated with such breaches and incidents, including, for example, those stemming from one or more large claims against us that exceed our available insurance coverage, or that results in changes to our insurance policies, could impact our operating results and/or financial condition. In addition, our insurance policy may change as a result of such incidents or for other reasons, including overall insurance market conditions, new cyber-attack campaigns, premium increases, or the imposition of large, self-insured retentions or other co-insurance requirements.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Our Member engagement on mobile devices and through television depends upon effective operation with mobile and streaming device operating systems, networks, and standards that we do not control.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Members may access our platform through the Peloton Apps, and we have recently expanded our offerings with the Peloton Strength+ App. There is no guarantee that popular mobile devices or television streaming devices will continue to support the Peloton Apps or that device users will choose our Peloton Apps over competing products. We are dependent on the interoperability of the Peloton Apps with popular mobile and television streaming operating systems that we do not control, such as Android and iOS. Any changes in these systems that degrade the functionality of our Peloton App offerings or give preferential treatment to competitors could adversely affect our platforms’ usage on mobile devices and televisions. We may face challenges in effectively designing and maintaining apps that deliver high-quality content and work well with a range of mobile and streaming technologies, systems, networks, and standards that we do not control. App store license agreements are not negotiable, which requires us to be responsive to changing requirements under those agreements. We may not be successful in developing relationships with key participants in the mobile and streaming industry or in developing products that operate effectively with these technologies, systems, networks, or standards. If it becomes more difficult for our Members to access or use our platforms on their mobile devices or televisions, Members find that the Peloton Apps do not effectively meet their needs, our competitors develop products and services that are perceived to operate more effectively on mobile devices or televisions, or if our Members choose not to access or use our platforms on their mobile devices or televisions or use products that do not offer access to our platforms, our Member growth and Member engagement could be adversely impacted.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Peloton Strength+ App, which is designed for commercial and home gym settings and is currently available only on iOS in the U.S., has a limited operating history and our ability to capture the intended market segment of gym-goers or scale the adoption of a specialized strength-focused app on a single operating system is unproven.</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If we are unable to anticipate appropriate pricing levels for our Connected Fitness Products and subscriptions, our business could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we are unable to anticipate appropriate pricing levels for our portfolio of Connected Fitness Products and subscription services, whether due to consumer sentiment and spending power, availability and terms of consumer financing, brand perception, competitive pressure, or otherwise, our revenues and/or gross margins could be significantly reduced. Our decisions around the development of new products and services are in part based upon assumptions around pricing levels. If there are price fluctuations in the market after these decisions are made, it could have a negative effect on our business. Additionally, any decision to change the prices of our products and services may lead to negative consumer sentiment, reduced demand for our products and services, or otherwise harm our reputation and our Members’ perception of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Further, in March 2022, we began offering Peloton Rental in select markets. In May 2023, we relaunched the Peloton App, and in August 2024 we announced the Used Equipment Activation Fee applicable to Connected Fitness Products purchased in the secondary market. In June 2025, we launched Peloton Repowered, an equipment and accessories resale marketplace. No assurance can be given that these offerings or any other new products or services will be successful and will not adversely affect our reputation, operating results, and financial condition.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Changes in how we market our products and services could adversely affect our marketing expenses and subscription levels.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We use a broad mix of marketing and other brand-building measures to attract Members. This includes advertising on television and digital properties, including social media platforms such as Instagram and TikTok. As media platforms continue to rapidly evolve or grow more competitive, we must continue to maintain a presence on these platforms and establish a presence on new or emerging popular advertising and marketing platforms. If we cannot use these marketing tools in a cost-effective manner, if we fail to promote our products and services efficiently and effectively, or if our marketing campaigns attract negative media attention, our ability to acquire new Members and our financial condition may suffer and the price of our stock could decline. In addition, an increase in the use of television and digital media for product promotion and marketing may increase the burden on us to monitor compliance of such materials and increase the risk that such materials could contain problematic product or marketing claims in violation of applicable regulations. We may not be able to control the adjacency of our marketing to objectionable content. Negative commentary, claims or publicity regarding us, our products or influencers and other third parties who are affiliated with us could adversely affect our reputation and sales regardless of whether such claims are accurate. See “–</w:t>
      </w:r>
      <w:r>
        <w:rPr>
          <w:rFonts w:ascii="Roboto;sans-serif" w:hAnsi="Roboto;sans-serif"/>
          <w:b w:val="false"/>
          <w:i/>
          <w:color w:val="000000"/>
          <w:sz w:val="18"/>
        </w:rPr>
        <w:t>Our success depends on our ability to maintain the value and reputation of the Peloton brand</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An economic downturn or economic uncertainty may adversely affect consumer discretionary spending and demand for our products and services.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products and services may be considered discretionary items for consumers. Factors affecting the level of consumer spending for such discretionary items include general economic conditions, including inflation, rising interest rates, recessionary conditions, and other factors such 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and fluctuations. Unfavorable economic conditions may lead consumers to delay or reduce purchases of our products and services and consumer demand for our products and services may not grow as we expect. For example, in more recent quarters, we have experienced reduced consumer demand, partially contributing to a decrease in Connected Fitness Products Revenue relative to prior year periods. Our sensitivity to economic cycles and any related fluctuation in consumer demand for our products and services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Our revenue could decline due to changes in credit markets and decisions made by credit providers.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Many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have a limited operating history with which to predict the profitability of our subscription model. Additionally, we may introduce new revenue models in the future.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majority of our subscribers are on month-to-month subscription terms and may cancel their subscriptions at any time. In addition, subscription renewals can fluctuate based on a variety of factors such as consumer preferences, competitive products and services and macroeconomic conditions.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changes to our pricing or that of our competitors, or new offering introductions by us or our competitors. If our subscribers do not renew their subscriptions, our revenue may decline, and our business will suffer.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we have offered and may in the future offer, new subscription products, implement promotions, or replace or modify current subscription models and pricing, any of which could result in additional costs or could adversely impact subscriber retention. For example, we offer Peloton Rental in select markets, and we have launched a Used Equipment Activation Fee applicable to Connected Fitness Products purchased in the secondary market. In the future, we may introduce shipping and return fees, or tariff surcharges. It is unknown how our subscribers will react to new models and whether the costs or logistics of implementing these models will adversely impact our business. If the adoption of new revenue models adversely impacts our subscriber relationships, subscriber growth, subscriber engagement, and our business, financial condition, and operating results could be harmed.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track certain operational and business metrics with internal methods that are subject to inherent challenges in measurement, and real or perceived inaccuracies in such metrics may harm our reputation and negatively affect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track certain operational and business metrics, including Members, Ending Paid Connected Fitness Subscriptions, Average Net Monthly Paid Connected Fitness Subscription Churn, and Ending Paid App Subscription, with internal methods, which are not independently verified by any third-party and, including for the Peloton Apps, are often reliant upon an interface with mobile operating systems, networks and standards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do not control. These metrics, and our internal methods for measuring such metrics, are subject to change from time to time. Our internal methods have limitations and our process for tracking these metrics may change over time, which could result in unexpected changes to our metrics, including the metrics we report. If the internal methods we use under-count or over-count metrics that are important to our business, for example, as a result of algorithmic or other technical errors, the operational and business metrics that we report publicly, or those that we report to regulatory bodies or otherwise use to manage our business, may not be accurate. In addition, limitations or errors with respect to how we measure certain operational and business metrics or a cybersecurity incident that impacts the accuracy of this information may affect our understanding of certain details of our business, which could affect our longer-term strategies, and jeopardize our credibility with Members, partners and regulators.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or if investors, analysts, or customers do not believe that they do, our reputation may be harmed, and our operating and financial results could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or our subscribers may be subject to sales and other taxes, and we may be subject to liabilities on past sales for taxes, surcharges, and fees.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and consumers have contested, and may in the future contest, the appropriateness of our tax collection practices through litigation or other means.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Covenants in the credit agreement and the security agreement governing our Term Loan (as defined below) and revolving credit facility may restrict our operations, and if we do not effectively manage our business to comply with these covenants, our financial condition could be adversely impacted.</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Our Term Loan and revolving credit facility contain various restrictive covenants, including, among other things, minimum liquidity and subscription revenue requirements applicable solely to drawings under the revolving credit facility,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revolving credit facility, as recently amended, requires us, when revolving loans are outstanding, to maintain a total level of liquidity of not less than $250.0 million and to maintain Subscription Revenue of the company and its subsidiaries of at least $1.2 billion for the four-quarter trailing period. This may restrict our current and future operations, particularly our ability to respond to certain changes in our business or industry or take future actions. Pursuant to the security agreement, we granted the parties thereto a security interest in substantially all of our assets. See </w:t>
      </w:r>
      <w:r>
        <w:rPr>
          <w:rFonts w:ascii="Roboto;sans-serif" w:hAnsi="Roboto;sans-serif"/>
          <w:b w:val="false"/>
          <w:i/>
          <w:color w:val="000000"/>
          <w:sz w:val="18"/>
        </w:rPr>
        <w:t>Note 11, Debt</w:t>
      </w:r>
      <w:r>
        <w:rPr>
          <w:color w:val="000000"/>
        </w:rPr>
        <w:t xml:space="preserve"> </w:t>
      </w:r>
      <w:r>
        <w:rPr>
          <w:rFonts w:ascii="Roboto;sans-serif" w:hAnsi="Roboto;sans-serif"/>
          <w:b w:val="false"/>
          <w:color w:val="000000"/>
          <w:sz w:val="18"/>
        </w:rPr>
        <w:t>in the Notes to our Consolidated Financial Statements in Part II, Item 8 of this Annual Report on Form 10-K and the section titled “</w:t>
      </w:r>
      <w:r>
        <w:rPr>
          <w:rFonts w:ascii="Roboto;sans-serif" w:hAnsi="Roboto;sans-serif"/>
          <w:b w:val="false"/>
          <w:i/>
          <w:color w:val="000000"/>
          <w:sz w:val="18"/>
        </w:rPr>
        <w:t>Management’s Discussion and Analysis of Financial Condition and Results of Operations - Liquidity and Capital Resources - Third Amended and Restated Credit Agreement</w:t>
      </w:r>
      <w:r>
        <w:rPr>
          <w:color w:val="000000"/>
        </w:rPr>
        <w:t xml:space="preserve">” </w:t>
      </w:r>
      <w:r>
        <w:rPr>
          <w:rFonts w:ascii="Roboto;sans-serif" w:hAnsi="Roboto;sans-serif"/>
          <w:b w:val="false"/>
          <w:color w:val="000000"/>
          <w:sz w:val="18"/>
        </w:rPr>
        <w:t>in Part II, Item 7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ability to meet these restrictive covenants can be impacted by events beyond our control and we may be unable to do so. Our credit agreement provides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credit agreement and the security agreement. If the debt under our credit agreement were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We previously identified material weaknesses in our internal control over financial reporting, and if our remediation of such material weaknesses does not remain effective, or if we fail to develop and maintain an effective system of disclosure controls and internal control over financial reporting, our ability to produce timely and accurate financial statements or comply with applicable laws and regulations could be impaired.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fiscal 2021, fiscal 2022, fiscal 2023, and fiscal 2024, we identified certain material weaknesses in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litigation or investigations by the stock exchange on which our securities are listed, the SEC or other regulatory authorities, which could require additional financial and management resources.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we cannot assure you that the measures we have taken to date, and actions we may take in the future, will be sufficient to prevent or avoid potential future material weaknesses, including with regard to the matters previously remediated. Our current controls and any new controls that we develop may become inadequate because of changes in conditions in our business, processes, staffing or oversight of third parties. For example, as we continue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Failure to maintain effective internal control over our financial and management systems may strain our resources, divert management’s attention, and impact our ability to attract and retain executive management and qualified board members.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subject to the reporting requirements of the Exchange Act, the Sarbanes-Oxley Act, the rules and regulations promulgated thereunder by the SEC and any rules and regulations subsequently implemented by the SEC, the listing standards of The Nasdaq Stock Market LLC and other applicable securities rules and regulations. Compliance with these rules, regulations and standards has increased our legal and financial compliance costs and strains our financial and management systems, internal controls, and employees.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Effective internal control is necessary for us to produce reliable financial reports and is important to prevent fraud. See “— </w:t>
      </w:r>
      <w:r>
        <w:rPr>
          <w:rFonts w:ascii="Roboto;sans-serif" w:hAnsi="Roboto;sans-serif"/>
          <w:b w:val="false"/>
          <w:i/>
          <w:color w:val="000000"/>
          <w:sz w:val="18"/>
        </w:rPr>
        <w:t>We previously identified material weaknesses in our internal control over financial reporting, and if our remediation of such material weaknesses does not remain effective, or if we fail to develop and maintain an effective system of disclosure controls and internal control over financial reporting, our ability to produce timely and accurate financial statements or comply with applicable laws and regulations could be impaired</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that our internal control over financial reporting is effective.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are exposed to changes to the global macroeconomic environment beyond our control, including fluctuations in inflation and foreign currency exchange rates.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exposed to fluctuations in inflation, which could negatively affect our business, financial condition and operating results. When the inflation rate increases, it will likely affect our expenses, including, but not limited to, employee compensation expenses and increased costs for supplies. Any attempts to offset cost increases with price increases may result in reduced sales, increased customer dissatisfaction or otherwise harm our reputation. Moreover, to the extent inflation results in rising interest rates, reduces discretionary spending, and has other adverse effects on the market, it may adversely affect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have used, and may in the future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Stockholder activism could disrupt our business, cause us to incur significant expenses, hinder execution of our business strategy, and impact our stock price.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been and may in the future be subject to stockholder activism, which can result in substantial costs and divert management and our board attention from executing our business strategy. Activism may also create perceived uncertainty regarding our long-term direction, which could adversely affect our relationships with our Members, business partners, and employees, and make it more difficult to attract and retain qualified personnel. We may incur significant advisory, legal, and other expenses related to activist campaigns, and our stock price could be subject to increased volatility in connection with such activity.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ability to achieve our current or future environmental, social and governance objectives, targets or goals, is subject to numerous risks, many of which are outside of our control.</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Our goals and targets related to environmental, social or governance matters are subject to risks, uncertainties, third-party information or action, and conditions, many of which are outside of our control. Progressing towards our targets and commitments requires us to invest effort, resources, and management time, and circumstances may arise, including those beyond our control, that may require us to revise our timelines or our commitments. All our disclosures with respect to these matters are also subject to certain assumptions, estimations, methodologies, and third-party information that we believed to be reasonable at the time, but which may subsequently be determined to be erroneous, insufficient, or otherwise misaligned with stakeholder expectations. Additionally, if we fail, or are perceived to be failing, to meet the standards included in any sustainability disclosure or the expectations of our various stakeholders, it could negatively impact our reputation, customer attraction and retention, access to capital and employee retention. Our failure to comply with any applicable sustainability rules or regulations or other criticisms of our sustainability disclosures could lead to penalties or claims and other litigation and adversely impact our reputation, customer attraction and retention, access to capital and employee retention.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there are efforts by some governmental authorities and stakeholders to influence companies’ efforts on certain environmental, social and governance related matters, resulting in rapidly shifting government regulations and stakeholder expectations. We may face increased scrutiny and changing expectations from investors, consumers, employees, regulators, and others, regarding our environmental, social and governance practices, and reporting. Both advocates and opponents are increasingly resorting to a range of activism forms to advance their perspectives, including media campaigns, litigation, and, with respect to governmental authorities, regulations, investigations, enforcement of anti-discrimination laws, boycotts or the cessation of business with certain companies. To the extent we are subject to such stakeholder scrutiny, stockholder activism, or government regulation, it may require us to incur costs or otherwise adversely impact our business. This and other stakeholder expectations will likely lead to increased compliance costs as well as scrutiny that could heighten all of the risks identified above and other similar risks.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business is vulnerable to damage or interruption from extreme weather events, earthquakes, fires, floods, hurricanes, and other power losses, telecommunications failures, ransomware and other cybersecurity attacks, labor disputes, terrorist attacks, acts of war and international geopolitical conflicts, human errors, break-ins, industrial accidents, public health crises, including pandemics, epidemics, and other unforeseen events or events that we cannot control. The third-party providers, systems and operations and contract manufacturers, logistics providers and business partners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We may also see significant increases to employee healthcare and benefits costs.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which house our servers, or from which we generate content. As we rely heavily on our computer and communications systems, and the internet to conduct our business and provide high-quality customer service, these disruptions, including disruptions due to weather-related events that could stress the power grid, could negatively impact our ability to run our business and either directly or indirectly disrupt suppliers’ and our contract manufacturers’ businesses, which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the extent any of the foregoing or similar events adversely affects our business or financial results, it may also have the effect of heightening many of the other risks described in this “Risk Factors” section. Any of the foregoing factors, or other cascading effects that are not foreseeable, could adversely impact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Risks Related to Our Connected Fitness Products and Members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products and services may be affected from time to time by design and manufacturing defects or product safety issues, real or perceived, that could adversely affect our business and result in harm to our reputation.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offer complex hardware and software products and services that may be alleged, and have been alleged, to be affected by design and manufacturing defects or potential product safety issues. Defects may also exist in components and products that we source from third parties, or may arise from upgrades or changes to hardware that we or our third-party manufacturing partners may make in the ordinary course of a product’s lifecycle. Actual or perceived defects may not be identified until after a product is in market. Any defects could impact our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experience, tarnish our brand reputation or make our products and services unsafe and create a risk of environmental or property damage and/or personal injury. Our products have been, and may in the future be, subject to product liability and product recall.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been and may in the future be exposed to product-related liabilities, which in some instances have resulted in and may result in product redesigns, product recalls, or other corrective actions and enforcement risks. For example, in May 2021 we initiated a voluntary recall of our Original Series Tread+ product in coordination with the U.S. Consumer Product Safety Commission (“CPSC”) in response to reports of injuries associated with our Original Series Tread+. In May 2023, in collaboration with the CPSC, we announced a voluntary recall of certain Original Series Bike units in the U.S. and in Canada. In November 2025, in collaboration with the CPSC and Health Canada, we announced a voluntary recall of certain Original Series Bike+ units in the U.S. and in Canada. We may continue to incur additional costs in connection with the voluntary recall, and such additional costs may be material. We are now, and may in the future be, involved in other product recalls for which insurance is not available or provides only limited coverage.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have been and in some cases continue to be subject to class action litigation, private personal injury claims and other regulatory proceedings, government inquiries and investigations related to the Tread+ and Bike recalls and other matters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 defend or settle any claims or government inquiries and our brand and reputation may be harmed. See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in the Notes to our Consolidated Financial Statements in Part II, Item 8 of this Annual Report on Form 10-K and the section titled “</w:t>
      </w:r>
      <w:r>
        <w:rPr>
          <w:rFonts w:ascii="Roboto;sans-serif" w:hAnsi="Roboto;sans-serif"/>
          <w:b w:val="false"/>
          <w:i/>
          <w:color w:val="000000"/>
          <w:sz w:val="18"/>
        </w:rPr>
        <w:t>Legal Proceedings</w:t>
      </w:r>
      <w:r>
        <w:rPr>
          <w:color w:val="000000"/>
        </w:rPr>
        <w:t xml:space="preserve">” </w:t>
      </w:r>
      <w:r>
        <w:rPr>
          <w:rFonts w:ascii="Roboto;sans-serif" w:hAnsi="Roboto;sans-serif"/>
          <w:b w:val="false"/>
          <w:color w:val="000000"/>
          <w:sz w:val="18"/>
        </w:rPr>
        <w:t>in Part I, Item 3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Design and manufacturing defects, real or perceived, and claims or investigations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or potential liability,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Members use their Connected Fitness Products, subscriptions, and fitness accessories, such as our heart rate monitor, to track and record certain metrics and data related to their workouts. Examples of data tracked on our platform include heart rate, calories burned, distance traveled and Strive Score as well as cadence, resistance, and output in the case of Bike; pace, speed, elevation, and output in the case of Tread; Movement Tracker in the case of Guide; and stroke rate, pace, and output in the case of Row. Taken together, these metrics assist our Members in tracking their fitness journey and understanding the effectiveness of their Peloton workouts, both during and after a workout. We anticipate introducing new metrics and features in the future and may update or remove existing metrics or features. If the software used in our Connected Fitness Products or on our platform malfunctions and fails to accurately track, display, record, or retain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 Members’ experience may be negatively impacted, we may become the subject of negative publicity, litigation, regulatory proceedings, and warranty claims, and our brand, operating results, and business could be harmed.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If we fail to offer high-quality Member support, our business and reputation will suffer.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Providing a high-quality Member experience is vital to our success in generating word-of-mouth referrals to drive sales and for retaining existing Members. We have faced, and in the future may face, challenges to our ability to provide high-quality Member support. Additionally, our use of, and expansion of, other distribution channels and our reliance on third-party Member support, third-party partners for in-home delivery and set up services, and Member self-assembly of certain of our Connected Fitness Products may challenge our ability to control Members’ experience of such services. If we or our third-party partners do not help our Members quickly resolve issues and provide effective ongoing support, our reputation may suffer, and our ability to retain and attract Members, or to sell additional products and services to existing Members,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We may be subject to warranty claims that could result in significant direct or indirect costs, or we could experience greater product returns than expected, either of which could have an adverse effect on our business, financial condition, and operating results.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generally provide a minimum 12-month limited warranty on all of our Connected Fitness Products. In addition, we generally permit returns of certain new Bikes, Rows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consumer demand.</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 addition, we have been, and in the future could be, subject to costs related to product recalls and other potential corrective actions,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We are presently, and may in the future be, subject to warranty claims and lawsuits related to injuries sustained by Members or their friends and family members, or others who use or purchase our Connected Fitness Products that, regardless of their merits, could harm our reputation, divert management’s attention from our operations and result in substantial legal fees and other costs. See “ — </w:t>
      </w:r>
      <w:r>
        <w:rPr>
          <w:rFonts w:ascii="Roboto;sans-serif" w:hAnsi="Roboto;sans-serif"/>
          <w:b w:val="false"/>
          <w:i/>
          <w:color w:val="000000"/>
          <w:sz w:val="18"/>
        </w:rPr>
        <w:t>Our products and services may be affected from time to time by design and manufacturing defects or product safety issues, real or perceived, that could adversely affect our business and result in harm to our reputation</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to warranties supplied by us, we also offer the option for customers to purchase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and service plans vary from country to country. Changes in interpretation of the insurance regulations or other laws and regulations concerning extended warranties and service plans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Regulations related to conflict minerals may cause us to incur additional expenses and could limit the supply and increase the costs of certain metals used in the manufacturing of our Connected Fitness Products.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required under the Dodd-Frank Wall Street Reform and Consumer Protection Act of 2010 to conduct due diligence on and disclose whether certain conflict minerals (tin, tungsten, tantalum, and gold) are necessary to the functionality or production of our products. We have determined that these minerals are likely necessary for certain of our Connected Fitness Products and Precor commercial equipment, which contain metal and electronic components sourced through a multi-tiered global supply chain. Compliance with these requirements, including our Reasonable Country of Origin Inquiry and supply chain due diligence program, results in additional costs. If we are unable to sufficiently verify the origins of these minerals, or if our products are found to contain minerals sourced from conflict-affected regions, we could face reputational harm, supply chain disruptions, and increased sourcing costs.</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Laws, Regulation, and Legal Proceedings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From time to time, we may be subject to legal proceedings, government inquiries or investigations, or disputes that could cause us to incur significant expenses, divert our management’s attention, and materially harm our business, financial condition, and operating results.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been, currently are, or in the future may be, subject to claims, lawsuits, regulatory and government inquiries, investigations, demands, disputes, enforcement actions, and other proceedings involving matters that could adversely affect our business operations and financial condition. As our product portfolio, subscription offerings, commercial relationship, and regulatory profile have evolved, we continue to see a number of these disputes and inquiries.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Personal injuries sustained or damages claimed by Members or their friends and family members, or others who use or purchase our Connected Fitness Products, services, or other offerings, have subjected us to, and could in the future subject us to, regulatory proceedings, government inquiries, investigations and actions, or private litigation, among others, that, regardless of their merits, could harm our reputation, divert management’s attention from our operations, and result in substantial adverse judgments or awards, legal fees, settlements, penalties and other costs. Additionally, we have in the past been subject to intense media scrutiny, which exposes us to additional claims, regulation, government investigations, legal actions and penalties. For example, we are presently subject to litigation and disputes related to injury or damage claims by Members and others who used or purchased Connected Fitness Products. Product recalls, repairs, refunds, replacements, warnings, software updates, corrective action plans, consent decrees, settlements, or other programs or requirements may give rise to regulatory investigations, enforcement matters, private litigation, penalties, operational changes, monitoring, reporting, remediation obligations, and other costs. The implementation, scope, timing, or effectiveness of any such program or requirement may be challenged by regulators, Members, consumers, or plaintiffs, which could increase our costs, extend regulatory oversight, or result in additional claims or proceedings. See “ — </w:t>
      </w:r>
      <w:r>
        <w:rPr>
          <w:rFonts w:ascii="Roboto;sans-serif" w:hAnsi="Roboto;sans-serif"/>
          <w:b w:val="false"/>
          <w:i/>
          <w:color w:val="000000"/>
          <w:sz w:val="18"/>
        </w:rPr>
        <w:t>Our products and services may be affected from time to time by design and manufacturing defects or product safety issues, real or perceived, that could adversely affect our business and result in harm to our reputation</w:t>
      </w:r>
      <w:r>
        <w:rPr>
          <w:rFonts w:ascii="Roboto;sans-serif" w:hAnsi="Roboto;sans-serif"/>
          <w:b w:val="false"/>
          <w:color w:val="000000"/>
          <w:sz w:val="18"/>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Additionally, from time to time, we have been, currently are, or in the future may be, subject to inquiries from regulators or other governmental authorities in which they seek information about us or our practices, Connected Fitness Products and services, and other offerings. Such inquiries could result in more formal investigations, proceedings, enforcement actions, consent decrees, settlements, corrective action requirements, penalties, or operational changes, which could adversely impact our business, financial condition, and operating results.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Litigation, regulatory and government inquiries, investigations, enforcement actions, proceedings, and other matters that we are currently facing or could face, can be protracted and expensive, and their outcomes are difficult to predict. Determining reserves for such matters requires significant judgment, and there can be no assurance that our expectations or estimates will prove correct. Certain of these matters may include speculative claims for substantial or indeterminate amounts of damages and include claims for injunctive or equitable relief. Additionally, our legal costs for any of these matters, either alone or in the aggregate could be significant. Adverse outcomes with respect to any of these matters may result in significant settlement costs, judgments or awards, penalties and fines, or require us to modify our products or services, or take or cease actions, among other things, any of which could negatively affect our membership and revenue growth. Even if these proceedings are resolved in our favor, the time and resources necessary to resolve them, or public scrutiny related to them, could divert the resources of our management, harm our brand or reputation, or require significant expenditures. See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in the Notes to our Consolidated Financial Statements in Part II, Item 8 of this Annual Report on Form 10-K and the section titled “</w:t>
      </w:r>
      <w:r>
        <w:rPr>
          <w:rFonts w:ascii="Roboto;sans-serif" w:hAnsi="Roboto;sans-serif"/>
          <w:b w:val="false"/>
          <w:i/>
          <w:color w:val="000000"/>
          <w:sz w:val="18"/>
        </w:rPr>
        <w:t>Legal Proceedings</w:t>
      </w:r>
      <w:r>
        <w:rPr>
          <w:color w:val="000000"/>
        </w:rPr>
        <w:t xml:space="preserve">” </w:t>
      </w:r>
      <w:r>
        <w:rPr>
          <w:rFonts w:ascii="Roboto;sans-serif" w:hAnsi="Roboto;sans-serif"/>
          <w:b w:val="false"/>
          <w:color w:val="000000"/>
          <w:sz w:val="18"/>
        </w:rPr>
        <w:t>in Part I, Item 3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collect, store, process, and use personal and other data, which subjects us to legal obligations and laws and regulations related to security and privacy, and any actual or perceived failure to meet those obligations could harm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collect, process, store, and use a wide variety of data from current and prospective Members, and those individuals who interact with our products, services, platform, apps and websites, including personal data (some of which is considered sensitive data under applicable laws), such as precise geolocation data and data related to fitness and wellness. U.S. federal, state, and international laws and regulations governing privacy, data protection, and e-commerce transactions impose obligations on what we can do with personal data. These obligations include heightened transparency about data collection, use and sharing practices, new data privacy rights, and rules in respect to cross-border data transfers, which carry significant enforcement penalties for non-compliance. Compliance with existing, proposed and recently enacted laws and regulations can be costly and time consuming, and any failure to comply with these legal or regulatory standards could subject us to legal, operational and reputational risks. These laws and regulations also require us to safeguard personal data. Although we have established security measures, policies and procedures designed to protect this information, our and our third-party service providers’ security and testing measures may not prevent security breaches. Further, advances in computer capabilities, artificial intelligence and machine learning, new discoveries in the field of cryptography, inadequate facility security, or other developments may result in a compromise or breach of the technology we use to protect data. Any compromise of our security or breach of privacy could result in litigation or harm our reputation or financial condition and, therefore,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a party who circumvents our security measures or exploits inadequacies in our security measures, could, among other effects, misappropriate personal data or other proprietary information, cause interruptions in our operations, or expose Members, prospective Members or other individuals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data, we may also have obligations to provide notifications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and there can be no assurances that we will be successful in our efforts to comply with these obligations. Complying with these obligations could cause us to incur substantial costs and could increase negative publicity surrounding any incident that compromises our data.</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we may legally be required to disclose personal data pursuant to demands from individuals, privacy advocates, regulators, government agencies, and law enforcement agencies in various jurisdictions with conflicting privacy and security laws. This disclosure of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new laws or regulations, or changes to or re-interpretations of the laws and regulations that govern our collection, use, and disclosure of data could impose additional requirements with respect to the retention and security of our data, could limit our marketing activities, and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and legal proceedings,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(including under laws such as in California that provide statutory damage remedies for certain types of breaches) or settlements, as well as associated costs, diversion of internal resources, and reputational harm.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are subject to global trade-related laws and regulations for the export and import of goods, articles, materials and technology, as well as forced labor and economic sanctions regulations that could subject us to liability, detention of goods, and impair our ability to compete in international markets.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United States and various foreign governments have imposed controls, export license requirements, duties, and restrictions on the import or export of certain goods and technologies. Our products may be subject to U.S. export controls and compliance with applicable regulatory requirements regarding the export of our products, technology and services may create delays in the introduction of our products and services in international markets, prevent our international Members from accessing our products and services, and, in some cases, prevent the export of our products, technology and services to some countries altogether.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U.S. export control laws and economic sanctions regulations prohibit the provision of products, technology and services to certain countries, regions, governments, and persons subject to U.S. and other applicable sanctions regulations. Even though we take precautions to prevent our products and technology from being provided to targets of applicable sanctions regulations, our products and services, including our firmware updates, could be provided to those targets. Our failure to comply with these laws and regulations could have negative consequences, including government investigations, penalties, reputational harm and could harm our international and domestic sales and adversely affect our revenue.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Numerous laws prohibit the importation of goods made with forced labor or compulsory prison labor, including for example the Tariff Act of 1930, as well as the Uyghur Forced Labor Prevention Act (“UFLPA”), and other global laws against forced labor. The UFLPA prohibits the importation of articles, merchandise, apparel, and goods mined, produced, or manufactured wholly or in part in the Xinjiang Uyghur Autonomous Region (Xinjiang) of the People’s Republic of China (PRC), or by entities identified by the U.S. government on the UFLPA Entity List. Forced labor concerns have rapidly become a global area of interest, and is a topic that will likely be subject to new regulations in the markets in which we operate. If we fail to comply with these laws and regulations, the Company may be subject to detention, seizure, and exclusion of imports, as well as penalties, costs, and restrictions on export and import privileges that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operate a global business and may have direct or indirect interactions with public officials and employees of government agencies or state-owned or affiliated entities. We are subject to the FCPA, the U.S. domestic bribery statute contained in 18 U.S.C. § 201, Honest Services Wire Fraud, 18 U.S.C. § 1346, the U.S. Travel Act, the USA PATRIOT Act, the U.K. Bribery Act, and possibly other anti-bribery and anti-money laundering laws in countries in which we conduct activities. These laws prohibit companies and their employees and third-party representatives from corruptly promising, authorizing, offering, or providing, directly or indirectly, improper payments or anything of value to foreign public officials, political parties, and private-sector recipients for the purpose of obtaining or retaining business, directing business to any person, or securing any advantage. In addition, U.S. public companies are required to maintain books and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Governmental enforcement authorities could seek to impose substantial civil and/or criminal fines and penalties for violations of these laws by any director, officer, employee, or third-party representative, which could have a material adverse effect on our business, reputation, operating results and financial condition.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violation of the FCPA, other applicable anti-corruption laws, or anti-money laundering laws could result in whistleblower complaints, adverse media coverage, investigations, loss of export privileges, substantial criminal or civil sanctions and suspension or debarment from U.S. government contracts, any of which could have a material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Changes in legislation in the U.S. and foreign taxation of international business activities or the adoption of other tax reform policies, as well as the application of such laws, could adversely impact our financial position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 The Organisation for Economic Co-operation and Development (OECD) is continuing to work on fundamental changes in the allocation of profits among tax jurisdictions in which companies do business (Pillar One), as well as the implementation of a global minimum tax (Pillar Two). Global minimum tax legislation has been proposed and/or enacted in various jurisdictions. These two pillars combined represent a significant change in the international tax regime, and there is risk of an adverse impact to our effective tax rate, but the amount of such impact remains uncertain at this time.</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ability to use our net operating loss to offset future taxable income may be subject to certain limitations.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we had U.S. federal net operating loss carryforwards, or NOLs, and state NOLs of approximately $3,497.9 million and $2,728.6 million, respectively, due to prior period losses. Of our federal NOLs, $58.3 million will begin to expire in 2034, while the remaining balance may be carried forward indefinitely. Our state NOLs began to expire at various dates starting in 2024. Realization of these NOLs depends on our ability to generate sufficient future taxable income. If we fail to generate adequate taxable income, or if future ownership changes trigger limitations under Section 382 of the Internal Revenue Code, our existing NOLs could expire unused or become subject to strict annual usage limits, which could adversely affect our operating results and financial condition.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general, under Section 382 of the Internal Revenue Code of 1986, as amended, or the Code, a corporation that undergoes an “ownership change” is subject to limitations on its ability to utilize its NOLs to offset future taxable income. We have undergone ownership changes in the past,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For these reasons, we may not be able to realize a tax benefit from the use of our NOLs, whether or not we attain profitability.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 may also be limited under state laws. For these reasons, we may not be able to realize a tax benefit from the use of our NOLs, whether or not we attain profitability.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Our Intellectual Property</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intellectual property rights are valuable, and any inability to protect them could reduce the value of our products, services, and brand.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success depends in large part on our proprietary technology and our patents, trade secrets, trademarks, copyrights and other intellectual property rights. We rely on, and expect to continue to rely on, a combination of trademark, trade dress, domain name, copyright, trade secret and patent protection,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of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Effective protection of intellectual property, including but not limited to patents, trademarks, copyrights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spend significant resources to monitor and protect our brand and other intellectual property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limited if we shift our strategy or we may be met with defenses, counterclaims, and countersuits attacking the validity and enforceability of our intellectual property rights. Accordingly, we may not be able to prevent third parties from infringing upon or misappropriating our intellectual property. Our inability to secure, protect, and enforce our intellectual property rights could seriously damage our brand and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have been, and in the future may be, sued by third parties for alleged infringement of their intellectual property rights, including by music rights holders.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There is considerable patent and other intellectual property development activity in our market. Litigation, based on allegations of infringement or other violations of intellectual property rights, is frequent in the fitness and technology industries. Furthermore, it is common for individuals and groups to purchase patents and other intellectual property assets for the purpose of making claims of infringement to extract licenses and/or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in the Notes to our Consolidated Financial Statements in Part II, Item 8 of this Annual Report on Form 10-K. Any claims or litigation could cause us to incur significant expenses and, if successfully asserted against us, could require that we pay substantial damages or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Further, we cannot compel patent or trademark rights holders to license their rights to us, and our business may be adversely impacted if our access to technology is limited. Accordingly, our exposure to demands for royalty licenses or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avoid or to resolve them, could divert the resources of our management and require significant expenditures. See “</w:t>
      </w:r>
      <w:r>
        <w:rPr>
          <w:rFonts w:ascii="Roboto;sans-serif" w:hAnsi="Roboto;sans-serif"/>
          <w:b w:val="false"/>
          <w:i/>
          <w:color w:val="000000"/>
          <w:sz w:val="18"/>
        </w:rPr>
        <w:t>Risks Related to Laws, Regulation, and Legal Proceedings</w:t>
      </w:r>
      <w:r>
        <w:rPr>
          <w:rFonts w:ascii="Roboto;sans-serif" w:hAnsi="Roboto;sans-serif"/>
          <w:b w:val="false"/>
          <w:color w:val="000000"/>
          <w:sz w:val="18"/>
        </w:rPr>
        <w:t>.” Any of the foregoing could prevent us from competing effectively and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cannot compel music rights holders to license their rights to us, and our business may be adversely affected if our access to music is limited. The concentration of control of content by major music licensors means that the actions of one or a few licensors may adversely affect our ability to provide our service.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enter into license agreements to obtain rights to use music in our service, including with major record companies, independent record labels, major music publishers, and independent music publishers and administrators who collectively hold the rights to a significant number of sound recordings and musical compositions.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Comprehensive and accurate ownership information for the musical compositions embodied in sound recordings is sometimes unavailable because songwriters' catalogs are frequently bought and sold between rights holders, meaning ownership and share information can change at any time without notification and it may take a while for the appropriate parties to be notified. In some cases, we obtain ownership information directly from music publishers, PROs, collecting societies, or record labels and in other cases we rely on the assistance of third parties to determine ownership information.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administer, control or own all rights on a worldwide basis, it may become difficult or impossible to identify the appropriate rights holders to whom to pay royalties. This may make it difficult to comply with the obligations of agreements with those rights holders or to secure the appropriate licenses with all necessary parties.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license agreements are complex and impose numerous obligations on us, including obligations to,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calculate and make payments based on complex royalty structures, which requires tracking usage of content in our service that may at times have inaccurate or incomplete metadata necessary for such calculation;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periodic reports on the exploitation of the content in specified formats;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comply with certain marketing and advertising restrictions.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If certain of our license agreements contain payment guarantees, which could be tied to our number of Subscriptions or stream counts for music used in our service, our ability to achieve and sustain profitability and operating leverage could depend in part on our ability to increase our revenue through increased sales of subscriptions on terms that maintain an adequate gross margin. Our license agreements typically have terms of between one and three years, but our subscribers may cancel their subscriptions at any time. We rely on estimates to forecast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guaranteed payments against royalties could be recouped against our actual content costs incurred over the term of the license agreement. To the extent that our estimates underperform relative to our expectations, and our content costs do not exceed such guaranteed payments, our margins may be adversely affected.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could require consent to undertake new business initiatives utilizing the licensed content (e.g., alternative distribution models), and without such consent, our ability to undertake new business initiatives may be limited and our competitive position could be impacted.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we use content in ways that are found to exceed the scope of such agreements, we could be subject to monetary penalties or claims of infringement, and our rights under such agreements could be terminated.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face risk of unforeseen costs and potential liability in connection with content we produce, license, and distribute.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producer and distributor of content, we face potential liability for negligence, intellectual property infringement, or other claims based on the nature and content of materials that we produce, license, and distribute, both on our platform as well as third-party platforms. We also may face potential liability for content used in promoting our service, including marketing materials. We may decide to alter or remove content from our service or third-party platforms, not to place certain content on our service or third-party platforms, or to discontinue or alter our production of certain types of content for any reason, including if we believe such content might not be well received by our Members or could be damaging to our brand and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business. We may not be indemnified against claims or costs of these types and we may not have insurance coverage for these types of claims.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Some of our products and services contain open source software, which may pose particular risks to our proprietary software, technologies, products, and services in a manner that could harm our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open source code included in such software product or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This re-engineering process could require us to expend significant additional research and development resources, and we cannot guarantee that we will be successful.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Service Providers and Our Employees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rely heavily on third parties for most of our computing, storage, processing, and similar services, and for last mile distribution and Member support. Any disruption of or interference with our use of these third-party services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outsourced our cloud infrastructure to third-party providers, and we currently use these providers to host and stream our services and content. We are therefore vulnerable to service interruptions experienced by these providers, and we have in the past and expect in the future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In addition, hosting costs will increase as membership engagement grows, which could harm our business if we are unable to grow our revenue faster than the cost of using these services or the services of similar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Additionally, we rely on last mile partners for the delivery and installation of our products and have increased our reliance on third-party Member support partners. The level or quality of service provided by these providers and partners, or regular or prolonged delays or interruptions in that service, could also affect the use of, and our Members’ satisfaction with, our products and services and could harm our business and reputation.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Furthermore, some providers, such as shipping and software vendors,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of these factors could further reduce our revenue, subject us to liability, and cause our subscribers to decline to renew their subscriptions, any of which could have an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fails to indemnify us, adversely impact our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future success depends on the continuing efforts of our key employees, including our Instructors, and our ability to attract and retain highly skilled personnel and senior management.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future success depends, in part, on our ability to continue to identify, attract, develop, integrate, and retain qualified and highly skilled personnel, including senior management, engineers, producers, designers, product managers, logistics and supply chain personnel, and Instructors. We are highly dependent on the services of our senior management team, and the loss of key personnel could make it more difficult to manage our business effectively, and as a result, our business and operating results could be harmed. We do not maintain key person life insurance policies on any of our employees.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our future success is dependent on our ability to continue to enhance and introduce new products and services, we are particularly dependent on our ability to hire and retain qualified and skilled engineers, including with significant experience in hardware development, designing and developing software and internet-related services, and with background in the areas of artificial intelligence and machine learning.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Instructors serve as brand ambassadors, and are critical to our business. There can be no assurance that our Instructors will remain with us or retain their current appeal, that the costs associated with retaining current Instructors and hiring new Instructors will be favorable or acceptable to us, or that new Instructors will be as successful as their predecessors. The loss of key Instructors could reduce Member engagement and revenue, and impair our ability to compete.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Competition for highly skilled personnel is often intense, especially in New York City, where we have a substantial presence. We have from time to time experienced, and we expect to continue to experience, difficulty in hiring and retaining highly skilled employees with appropriate qualifications, and we may lose new employees to our competitors before we realize the benefit of our investment in recruiting and training them. Job candidates and existing employees often consider the value of the equity awards they receive in connection with their employment, and our employees’ inability to sell their shares in the public market at times and/or at prices desired may lead to a larger than normal turnover rate. If the actual or perceived value of our Class A common stock declines, it may adversely affect our ability to hire or retain employees. We may also periodically change our equity compensation practices, which may include changes to eligibility, award size, or award type, and such changes may prove to be unsuccessful retention mechanisms. If we are unable to attract, integrate, or retain the qualified and highly skilled personnel required to fulfill our current or future needs, our business and future growth prospects could be harmed.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Instructors and many of our employees are subject to certain restrictive covenants, including post-employment non-compete agreements. Actual and proposed federal, state or local laws may limit the ability of employers to deploy and/or enforce certain non-compete agreements, which may limit our ability to protect legitimate interests through such agreements.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If we cannot maintain our culture, we could lose the innovation, teamwork, and passion that we believe contribute to our success and our business may be harmed.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believe that a significant component of our success has been our corporate culture. We have invested substantial time and resources in building our culture and as we continue to evolve, we will need to maintain our culture among our employees dispersed across various geographic regions or who work remotely. We have faced, and may continue to face, challenges arising from the management of certain remote, geographically dispersed teams. As we continue to develop our infrastructure, and particularly in light of reductions in headcount, including as part of our restructuring initiatives,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the Ownership of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The stock price of our Class A common stock has been, and will likely continue to be, volatile and you could lose all or part of your investment. </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 xml:space="preserve">The market price of our Class A common stock has been, and will likely continue to be, volatile.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to the factors discussed in this Annual Report on Form 10-K, the market price of our Class A common stock has fluctuated and may in the future fluctuate significantly in response to numerous factors, some of which are beyond our control,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overall performance of the equity markets and the performance of technology companies in particular;</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our ability to execute our business strategy, including our ability to achieve targeted cost savings and operational efficiencies;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variations in our operating results, cash flows, and other financial and non-financial metrics;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changes in the financial projections we may provide to the public or our failure to meet these projections;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failure of securities analysts to initiate or maintain coverage of us, changes in financial estimates by any securities analysts who follow our company, or our failure to meet expectations of analysts or investors;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recruitment, satisfaction or departure of key personnel;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general economic conditions, including inflation, tariffs, interest rates, and foreign currency exchange rate fluctuations;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past or future investments, acquisitions or dispositions;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negative publicity related to individuals associated with our content, problems with our suppliers or partners, or the real or perceived quality of our products, as well as the failure to timely launch new products or services that gain market acceptance;</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rumors and market speculation involving us or other companies in our industry;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actions and investment positions taken by institutional investors and other stockholders, including activist investors or short sellers;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announcements by us or our competitors of new products, pricing, services, features and content, significant technical innovations, acquisitions, dispositions, strategic partnerships, joint ventures, or capital commitments;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new laws or regulations or new interpretations of existing laws or regulations applicable to our business;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lawsuits threatened or filed against us, litigation involving our industry, or both;</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regulatory action involving us, our industry, or both, or investigations by regulators and other third parties into our operations or those of our competitors;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developments or disputes concerning our or other parties’ products, services, or intellectual property rights;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significant security breaches, technical difficulties and interruptions of service affecting our services and products;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events or factors, including those resulting from war, incidents of terrorism, or responses to these events;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sales of shares of our Class A common stock by us or our stockholders or repurchases of such shares by us pursuant to a share repurchase program.</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 addition, the stock markets have experienced extreme price and volume fluctuations that have affected and continue to affect the market prices of equity securities of many companies in a manner unrelated or disproportionate to the operating performance of those companies. In the past, stockholders have instituted securities class action litigation following periods of market volatility. We have been named in securities class action lawsuits and stockholder derivative actions, and these lawsuits and any other securities or stockholder litigation actions could subject us to substantial costs, divert resources and the attention of management from our business, and adversely affect our business. See </w:t>
      </w:r>
      <w:r>
        <w:rPr>
          <w:color w:val="000000"/>
        </w:rPr>
        <w:t>“</w:t>
      </w:r>
      <w:r>
        <w:rPr>
          <w:rFonts w:ascii="Roboto;sans-serif" w:hAnsi="Roboto;sans-serif"/>
          <w:b w:val="false"/>
          <w:i/>
          <w:color w:val="000000"/>
          <w:sz w:val="18"/>
        </w:rPr>
        <w:t>Risks Related to Laws, Regulation, and Legal Proceedings</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Sales of a substantial amount of our Class A common stock in the public markets, or the perception that such sales might occur, could cause the price of our Class A common stock to decline.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market price of our Class A common stock could decline as a result of sales of a substantial number of shares of our Class A common stock in the public market, or the perception that these sales might occur. Many of our existing security holders have substantial unrecognized gains on the value of the equity they hold, and may take steps to sell their shares or otherwise limit the risk to the value of any unrecognized gains.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There were a total of 438,639,374 shares of our Class A common stock and Class B common stock outstanding as of June 30, 2026. All shares of our Class A common stock and Class B common stock are freely tradable, except for certain limitations, on any shares purchased by our “affiliates” as defined in Rule 144 under the Securities Act of 1933, as amended (the “Securities Act”).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and could cause the trading price of our Class A common stock to fall.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we had 36,744,751 shares of Class A common stock underlying restricted stock units that were outstanding but not yet vested, 5,789,169 shares of Class A common stock underlying performance stock units that were outstanding but not yet vested, and stock options outstanding that, if fully exercised, would result in the issuance of 4,943,664 shares of Class B common stock and 13,771,031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The dual class structure of our common stock has the effect of concentrating voting control among certain directors and other holders of our Class B common stock; this will limit or preclude your ability to influence corporate matters, including the election of directors and the approval of any change of control transaction.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Class B common stock has 20 votes per share and our Class A common stock has one vote per share. Because of the twenty-to-one voting ratio between our Class B and Class A common stock, the holders of our Class B common stock will be able to control or significantly influence the outcome of most matters submitted to our stockholders for approval until the earlier of (i) the date specified by a vote of the holders of 66 2/3% of the then-outstanding shares of Class B common stock, (ii) ten years from the closing of our initial public offering,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 In the past we have granted options to purchase Class B common stock and any exercise of such options will result in additional Class B common stock outstanding, which may further concentrate control among holders of our Class B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The dual class structure of our common stock may adversely affect the trading market for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Certain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Large institutional investors may decline to purchase shares of our Class A common stock, which could result in a less active trading market and adversely affect the value of our Class A common stock. Any actions or publications by stockholder advisory firms, institutional investors, or other third parties critical of our corporate governance practices or capital structure could also adversely affect the value of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do not pay dividends and historically have not repurchased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never declared or paid any cash dividends on our common stock and do not currently intend to pay any cash dividends. Our ability to pay dividends on our common stock is limited by restrictions under the terms of our credit agreement. We have also not engaged in share repurchases of our Class A common stock. We anticipate that, for the foreseeable future, we will retain all of our future earnings for use in the development of our business and for general corporate purposes. Any determination to pay dividends or initiate a share repurchase program in the future will be at the discretion of our Board of Directors. Accordingly, investors must rely on sales of their Class A common stock after price appreciation, which may never occur, to realize gains on their investments.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Provisions in our charter documents and under Delaware law could make an acquisition of us, which may be beneficial to our stockholders, more difficult and may limit attempts by our stockholders to replace or remove our current management.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Provisions in our restated certificate of incorporation and second amended and restated bylaws may have the effect of delaying or preventing a merger, acquisition or other change of control of our company that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second amended and restated bylaws include provisions that: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that our Board of Directors is classified into three classes of directors with staggered three-year terms;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permit the Board of Directors to establish the number of directors and fill any vacancies and newly created directorships;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require super-majority voting to amend some provisions in our restated certificate of incorporation and restated bylaws;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authorize the issuance of “blank check” preferred stock that our Board of Directors could use to implement a stockholder rights plan;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that only the chairman of our Board of Directors, our chief executive officer, or a majority of our Board of Directors will be authorized to call a special meeting of stockholders;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eliminate the ability of our stockholders to call special meetings of stockholders;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prohibit cumulative voting;</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that directors may only be removed “for cause” and only with the approval of two-thirds of our stockholders;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prohibit stockholder action by written consent, which requires all stockholder actions to be taken at a meeting of our stockholders;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provide that the Board of Directors is expressly authorized to make, alter, or repeal our bylaws;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establish advance notice requirements for nominations for election to our Board of Directors or for proposing matters that can be acted upon by stockholders at annual stockholder meetings.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Section 203 of the General Corporation Law of the State of Delaware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Our restated certificate of incorporation and second amended and restated bylaws contain exclusive forum provisions for certain claims, which may limit our stockholders’ ability to obtain a favorable judicial forum for disputes with us or our directors, officers, or employees.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second amended and restated bylaws, or any action asserting a claim against us that is governed by the internal affairs doctrine.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Section 22 of the Securities Act creates concurrent jurisdiction for federal and state courts over all claims brought to enforce any duty or liability created by the Securities Act or the rules and regulations thereunder. Our second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While there can be no assurance that federal or state courts will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Section 27 of the Exchange Act creates exclusive federal jurisdiction over all claims brought to enforce any duty or liability created by the Exchange Act or the rules and regulations thereunder.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stockholders will not be deemed to have waived our compliance with the federal securities laws and the regulations promulgated thereunder.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certificate of incorporation and/or second amended and restated bylaws to be inapplicable or unenforceable in an action, we may incur additional costs associated with resolving such action in other jurisdictions, which could harm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Short sellers of our stock may be manipulative and may drive down the market price of our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reputation, business, financial condition, and operating results. There are no assurances that we will not face short sellers’ efforts or similar tactics in the future, and the market price of our Class A common stock may decline as a result of their actions.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Risks Related to Our Indebtedness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The Notes are effectively subordinated to our existing and future secured indebtedness and structurally subordinated to the liabilities of our subsidiaries.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5.50% Convertible Senior Notes due 2029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2026, we had approximately $1.3 billion in total indebtedness ($350.0 million of which was the Notes) and approximately $100.0 million of available borrowing capacity under our revolving credit facility. Our subsidiaries had no outstanding additional indebtedness as of June 30, 2026. The indentures governing the Notes do not prohibit us or our subsidiaries from incurring additional indebtedness, including senior or secured indebtedness, in the future.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claims of that subsidiary’s creditors, including trade creditors and preferred equity holders. We may never receive any amounts from that subsidiary to satisfy amounts due under the Notes.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 xml:space="preserve">Our indebtedness and liabilities could limit the cash flow available for our operations, expose us to risks that could adversely affect our business, financial condition and results of operations and impair our ability to satisfy our obligations under the Notes.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we had approximately $1.3 billion aggregate principal amount in total indebtedness ($980.0 million of which was secured indebtedness) and approximately $100.0 million of available borrowing capacity under our revolving credit facility. Our indebtedness could have significant negative consequences for our security holders and our business, results of operations and financial condition by, among other things: increasing our vulnerability to adverse economic and industry conditions; limiting our ability to obtain additional financing; requiring the dedication of a substantial portion of our cash flow from operations to service our indebtedness, which will reduce the amount of cash available for other purposes; limiting our flexibility to plan for, or react to, changes in our business; diluting the interests of our existing stockholders as a result of issuing shares of our Class A common stock upon conversion of the Notes; and placing us at a possible competitive disadvantage with competitors that are less leveraged than us or have better access to capital.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business may not generate sufficient funds, and we may otherwise be unable to maintain sufficient cash reserves, to pay amounts due under our indebtedness, including the Notes, and our cash needs may increase in the future. Our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Noteholders may, subject to a limited exception, require us to repurchase their Notes following a fundamental change at a cash repurchase price generally equal to the principal amount of the Notes to be repurchased, plus accrued and unpaid interest, if any. In addition, upon conversion, we may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default under the indenture governing the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We may require additional capital to support business growth and objectives, and this capital might not be available to us on reasonable terms, if at all, and may result in stockholder dilution.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1B. Unresolved Staff Comments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1C. Cybersecurity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Cybersecurity Risk Management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developed and implemented a cybersecurity risk management program intended to preserve the confidentiality, integrity and availability of Peloton’s systems and information, including our Members’ data, APIs and web and mobile applications. Our cybersecurity program is guided by industry standards developed by the National Institute of Standards and Technology (”NIST”). We seek to address cybersecurity risks through a comprehensive, cross-functional approach that focuses on protecting the information that we collect and store by identifying, preventing, and mitigating cybersecurity threats and effectively responding to cybersecurity incidents when they occur. Our cybersecurity program is also integrated with Peloton’s broader enterprise risk management program, through which we manage business, cybersecurity, information technology, privacy, legal, and geopolitical risks, among others.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While no organization can eliminate cybersecurity risk entirely, we believe our cybersecurity program is reasonably designed to mitigate our cybersecurity and information technology risks. Our cybersecurity program is supported by our information security team, which is primarily responsible for identifying, monitoring and preventing cybersecurity threats and our data privacy team, which is primarily responsible for developing, creating, maintaining and enforcing privacy policies, standards and procedures. Our information security team reviews potential identified incidents through various internal and external resources; identifies potential or actual cybersecurity threats; evaluates and prioritizes threats based on severity; investigates and mitigates the cause and impact of such incidents; administers our documented response procedures with respect to any data breach; and implements safeguards to help prevent recurrence.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Education, training and preparedness are important elements of our cybersecurity program. Peloton requires new employees to undertake a cybersecurity training and provides regular training updates to other employees. Additional trainings are mandatory for those employees who handle confidential (including personal) information. We also conduct regular cybersecurity awareness trainings for employees across all levels and departments, including phishing simulations and other targeted exercises.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perform due diligence regarding our third-party suppliers, service providers and other business partners. This may include requiring evidence demonstrating third parties’ ability to meet our cybersecurity and data handling requirements. In addition, Peloton’s business partners who process data are contractually obligated to notify us if they experience certain incidents impacting our or our Members’ data. Our ability to monitor the cybersecurity practices of third parties is limited and there can be no assurance that we can prevent or mitigate the risk of any compromise or failure in the information systems, software, network or other cybersecurity assets owned or controlled by third parties.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regularly perform internal testing and engage independent third parties to perform audits and assessments as we deem appropriate. For example, our alignment with NIST standards has been reviewed by an industry-leading auditing firm. We also maintain a cyber insurance policy to help manage, in part, costs associated with significant cybersecurity incidents that may occur. We continue to invest in our cybersecurity program and to enhance our internal controls and processes, which are designed to help protect our systems and infrastructure, and the information they contain.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For a discussion regarding risks from cybersecurity threats, see our risk factors, including the risk factors titled </w:t>
      </w:r>
      <w:r>
        <w:rPr>
          <w:color w:val="000000"/>
        </w:rPr>
        <w:t>“–</w:t>
      </w:r>
      <w:r>
        <w:rPr>
          <w:rFonts w:ascii="Roboto;sans-serif" w:hAnsi="Roboto;sans-serif"/>
          <w:b w:val="false"/>
          <w:i/>
          <w:color w:val="000000"/>
          <w:sz w:val="18"/>
        </w:rPr>
        <w:t>Any major disruption or failure of our information technology systems or websites, or our failure to successfully implement upgrades and new technology effectively, could adversely affect our business and operations”, “–Cybersecurity risks could adversely affect our business and disrupt our operations”, “–Our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 “–We collect, store, process, and use personal and other data, which subjects us to legal obligations and laws and regulations related to security and privacy, and any actual or perceived failure to meet those obligations could harm our business</w:t>
      </w:r>
      <w:r>
        <w:rPr>
          <w:color w:val="000000"/>
        </w:rPr>
        <w:t>”</w:t>
      </w:r>
      <w:r>
        <w:rPr>
          <w:rFonts w:ascii="Roboto;sans-serif" w:hAnsi="Roboto;sans-serif"/>
          <w:b w:val="false"/>
          <w:color w:val="000000"/>
          <w:sz w:val="18"/>
        </w:rPr>
        <w:t>, “–</w:t>
      </w:r>
      <w:r>
        <w:rPr>
          <w:rFonts w:ascii="Roboto;sans-serif" w:hAnsi="Roboto;sans-serif"/>
          <w:b w:val="false"/>
          <w:i/>
          <w:color w:val="000000"/>
          <w:sz w:val="18"/>
        </w:rPr>
        <w:t>Our growing use of artificial intelligence and machine learning technologies may present additional risks and challenges, which could result in reputational and competitive harm, legal liability and adversely affect our results of operations</w:t>
      </w:r>
      <w:r>
        <w:rPr>
          <w:color w:val="000000"/>
        </w:rPr>
        <w:t>”</w:t>
      </w:r>
      <w:r>
        <w:rPr>
          <w:rFonts w:ascii="Roboto;sans-serif" w:hAnsi="Roboto;sans-serif"/>
          <w:b w:val="false"/>
          <w:color w:val="000000"/>
          <w:sz w:val="18"/>
        </w:rPr>
        <w:t>, under the heading “</w:t>
      </w:r>
      <w:r>
        <w:rPr>
          <w:rFonts w:ascii="Roboto;sans-serif" w:hAnsi="Roboto;sans-serif"/>
          <w:b w:val="false"/>
          <w:i/>
          <w:color w:val="000000"/>
          <w:sz w:val="18"/>
        </w:rPr>
        <w:t>Risk Factors — Risks Related to Our Business</w:t>
      </w:r>
      <w:r>
        <w:rPr>
          <w:color w:val="000000"/>
        </w:rPr>
        <w:t xml:space="preserve">” </w:t>
      </w:r>
      <w:r>
        <w:rPr>
          <w:rFonts w:ascii="Roboto;sans-serif" w:hAnsi="Roboto;sans-serif"/>
          <w:b w:val="false"/>
          <w:color w:val="000000"/>
          <w:sz w:val="18"/>
        </w:rPr>
        <w:t>in Part I, Item 1A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we are not aware of any cybersecurity threats or incidents that have materially affected or are reasonably likely to materially affect us, including our business strategy, results of operations, or financial condition. For additional information regarding cybersecurity risks, see “Risk Factors” in Part I, Item 1A of this Annual Report on Form 10-K.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Cybersecurity Governance</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While everyone at Peloton has a role in managing cybersecurity risks, our Board of Directors and senior management team are actively involved in the oversight of our cybersecurity program. Our Board of Directors and the Audit Committee of our Board of Directors oversee Peloton’s cybersecurity matters through regular reports and reviews, as well as reporting on material cybersecurity incidents. These include presentations by the Company’s Senior Vice President, Chief Information Officer (“CIO”) to the Audit Committee on a quarterly basis, along with ad hoc reports on cybersecurity incidents, threat detection and mitigation plans to the Audit Committee, our Board of Directors, and our executive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CIO leads our information security team and has more than 20 years of cybersecurity experience across four public companies. He is supported by our Vice President of Privacy Compliance, who leads our data privacy team. Our cybersecurity program is supported by other members of our senior management team as well, including our Chief Legal Officer and members of Peloton’s disclosure committee. Members of executive leadership are informed about and monitor the prevention, mitigation, detection, and remediation of cybersecurity incidents through their management of, and participation in, the cybersecurity risk management process. The CIO also provides updates to Peloton’s senior management regarding cybersecurity risks, and meets regularly with Peloton’s finance, enterprise technology, disclosure and internal audit teams.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2. Properties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As of June 30, 2026, our principal properties included our corporate offices, warehouses and distribution facilities, and production studio facilities.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 xml:space="preserve">We are headquartered in New York City, where we occupy or sublease facilities totaling approximately 336,000 square feet under a head lease that expires in 2035. We also lease our international corporate headquarters, which is located in London, United Kingdom. </w:t>
      </w:r>
      <w:r>
        <w:rPr>
          <w:rFonts w:ascii="Roboto;sans-serif" w:hAnsi="Roboto;sans-serif"/>
          <w:b w:val="false"/>
          <w:color w:val="000000"/>
          <w:sz w:val="18"/>
        </w:rPr>
        <w:t>We</w:t>
      </w:r>
      <w:r>
        <w:rPr>
          <w:color w:val="050505"/>
        </w:rPr>
        <w:t xml:space="preserve"> </w:t>
      </w:r>
      <w:r>
        <w:rPr>
          <w:rFonts w:ascii="Roboto;sans-serif" w:hAnsi="Roboto;sans-serif"/>
          <w:b w:val="false"/>
          <w:color w:val="050505"/>
          <w:sz w:val="18"/>
        </w:rPr>
        <w:t xml:space="preserve">primarily use these facilities for technology, product design, research and development, sales and marketing, supply chain and logistics, finance, legal, human resources, and information technology. We also have our Member Support team located in Plano, Texas.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 xml:space="preserve">During the </w:t>
      </w:r>
      <w:r>
        <w:rPr>
          <w:rFonts w:ascii="Roboto;sans-serif" w:hAnsi="Roboto;sans-serif"/>
          <w:b w:val="false"/>
          <w:color w:val="000000"/>
          <w:sz w:val="18"/>
        </w:rPr>
        <w:t>fiscal year ended June 30, 2026</w:t>
      </w:r>
      <w:r>
        <w:rPr>
          <w:rFonts w:ascii="Roboto;sans-serif" w:hAnsi="Roboto;sans-serif"/>
          <w:b w:val="false"/>
          <w:color w:val="050505"/>
          <w:sz w:val="18"/>
        </w:rPr>
        <w:t>, we leased retail properties, including microstores, in the United States, Canada, and Germany.</w:t>
      </w:r>
      <w:r>
        <w:rPr>
          <w:color w:val="000000"/>
        </w:rPr>
        <w:t xml:space="preserve"> </w:t>
      </w:r>
      <w:r>
        <w:rPr>
          <w:rFonts w:ascii="Roboto;sans-serif" w:hAnsi="Roboto;sans-serif"/>
          <w:b w:val="false"/>
          <w:color w:val="000000"/>
          <w:sz w:val="18"/>
        </w:rPr>
        <w:t>However, we have continued to reduce our retail showroom presence as part of the Restructuring Plans (as defined below).</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50505"/>
          <w:sz w:val="18"/>
        </w:rPr>
        <w:t>Our office space and retail locations are used to support both of our reportable segments (Connected Fitness Products and Subscription). We lease warehouse and distribution facilities primarily in North America, which are used to support our Connected Fitness Products segment. In addition, we lease our production studio facilities, which are located in New York City and London, and are used to support our Subscription segment.</w:t>
      </w:r>
      <w:r>
        <w:rPr>
          <w:color w:val="000000"/>
        </w:rPr>
        <w:t xml:space="preserve"> </w:t>
      </w:r>
      <w:r>
        <w:rPr>
          <w:rFonts w:ascii="Roboto;sans-serif" w:hAnsi="Roboto;sans-serif"/>
          <w:b w:val="false"/>
          <w:color w:val="000000"/>
          <w:sz w:val="18"/>
        </w:rPr>
        <w:t>We also have certain head-lease obligations for corporate offices, warehouses, and distribution facilities that we are currently subleasing to third parties, which do not support our day-to-day operations.</w:t>
      </w:r>
      <w:r>
        <w:rPr>
          <w:color w:val="050505"/>
        </w:rPr>
        <w:t xml:space="preserve"> </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50505"/>
          <w:sz w:val="18"/>
        </w:rPr>
        <w:t xml:space="preserve">We believe that our existing facilities are suitable and adequate for the conduct of our business. </w:t>
      </w:r>
      <w:r>
        <w:rPr>
          <w:rFonts w:ascii="Roboto;sans-serif" w:hAnsi="Roboto;sans-serif"/>
          <w:b w:val="false"/>
          <w:color w:val="000000"/>
          <w:sz w:val="18"/>
        </w:rPr>
        <w:t xml:space="preserve">Refer to </w:t>
      </w:r>
      <w:r>
        <w:rPr>
          <w:rFonts w:ascii="Roboto;sans-serif" w:hAnsi="Roboto;sans-serif"/>
          <w:b w:val="false"/>
          <w:i/>
          <w:color w:val="000000"/>
          <w:sz w:val="18"/>
        </w:rPr>
        <w:t>Note 17, Segment Information</w:t>
      </w:r>
      <w:r>
        <w:rPr>
          <w:color w:val="000000"/>
        </w:rPr>
        <w:t xml:space="preserve"> </w:t>
      </w:r>
      <w:r>
        <w:rPr>
          <w:rFonts w:ascii="Roboto;sans-serif" w:hAnsi="Roboto;sans-serif"/>
          <w:b w:val="false"/>
          <w:color w:val="000000"/>
          <w:sz w:val="18"/>
        </w:rPr>
        <w:t>in the Notes to Consolidated Financial Statements in Part II, Item 8 of this Annual Report on Form 10-K for further details regarding our segments.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 xml:space="preserve">In May 2021, we announced plans to build a U.S. manufacturing facility in Troy Township, Ohio, referred to as "Peloton Output Park". The facility was intended to provide additional manufacturing capacity for Connected Fitness Products, alongside our existing manufacturing facilities. In February 2022, as part of the 2022 Restructuring Plan (as defined below), we announced the closure </w:t>
      </w:r>
      <w:r>
        <w:rPr>
          <w:rFonts w:ascii="Roboto;sans-serif" w:hAnsi="Roboto;sans-serif"/>
          <w:b w:val="false"/>
          <w:color w:val="000000"/>
          <w:sz w:val="18"/>
        </w:rPr>
        <w:t>of several assembly and manufacturing plants, including plans to sell the Peloton Output Park</w:t>
      </w:r>
      <w:r>
        <w:rPr>
          <w:rFonts w:ascii="Roboto;sans-serif" w:hAnsi="Roboto;sans-serif"/>
          <w:b w:val="false"/>
          <w:color w:val="050505"/>
          <w:sz w:val="18"/>
        </w:rPr>
        <w:t xml:space="preserve">. </w:t>
      </w:r>
      <w:r>
        <w:rPr>
          <w:rFonts w:ascii="Roboto;sans-serif" w:hAnsi="Roboto;sans-serif"/>
          <w:b w:val="false"/>
          <w:color w:val="000000"/>
          <w:sz w:val="18"/>
        </w:rPr>
        <w:t>In January 2024, we completed the sale of the Peloton Output Park building and a portion of the adjacent land for net proceeds of approximately $31.9 million. Subsequently, in September 2024, we finalized the sale of the remaining land for net proceeds of $4.2 million.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3. Legal Proceedings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in the Notes to Consolidated Financial Statements in Part II, Item 8 of this Annual Report on Form 10-K.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Market Information for Common Stock</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Class A common stock began trading on The Nasdaq Global Select Market under the symbol "PTON" on September 26, 2019. Prior to that date, there was no public trading market for our Class A common stock.</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Class B common stock is not listed or traded on any stock exchange.</w:t>
      </w:r>
    </w:p>
    <w:p>
      <w:pPr>
        <w:pStyle w:val="TextBody"/>
        <w:bidi w:val="0"/>
        <w:spacing w:before="0" w:after="0"/>
        <w:jc w:val="left"/>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Holders of Record</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of July 30, 2026, there were 36 registered holders of our Class A common stock and 65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0" w:after="0"/>
        <w:jc w:val="left"/>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Dividend Policy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never declared or paid cash dividends on our capital stock. We do not expect to pay dividends on our capital stock for the foreseeable future. Instead, we anticipate that all of our earnings for the foreseeable future will be used for repayment of debt and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credit agreement and security agreement.</w:t>
      </w:r>
    </w:p>
    <w:p>
      <w:pPr>
        <w:pStyle w:val="TextBody"/>
        <w:bidi w:val="0"/>
        <w:spacing w:before="0" w:after="0"/>
        <w:jc w:val="left"/>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Performance Graph</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graph below compares the cumulative total stockholder return on our Class A common stock with the cumulative total return on the Russell 2000 Index and the Nasdaq Computer Index. The graph assumes an initial investment of $100 in our common stock and each index at the market close on the last trading day for the fiscal year ended June 30, 2021. Data for each index assumes reinvestment of dividends.</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comparisons in the graph below are based upon historical data and are not indicative of, nor intended to forecast, future performance of our common stock.</w:t>
      </w:r>
    </w:p>
    <w:p>
      <w:pPr>
        <w:pStyle w:val="TextBody"/>
        <w:bidi w:val="0"/>
        <w:spacing w:before="0" w:after="120"/>
        <w:jc w:val="center"/>
        <w:rPr/>
      </w:pPr>
      <w:r>
        <w:rPr/>
        <w:drawing>
          <wp:inline distT="0" distB="0" distL="0" distR="0">
            <wp:extent cx="6943725" cy="338137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943725" cy="33813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3"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pPr>
      <w:r>
        <w:rPr>
          <w:rFonts w:ascii="Roboto;sans-serif" w:hAnsi="Roboto;sans-serif"/>
          <w:b/>
          <w:color w:val="000000"/>
          <w:sz w:val="18"/>
        </w:rPr>
        <w:t>Item 7.</w:t>
      </w:r>
      <w:r>
        <w:rPr>
          <w:color w:val="000000"/>
        </w:rPr>
        <w:t xml:space="preserve"> </w:t>
      </w:r>
      <w:r>
        <w:rPr>
          <w:rFonts w:ascii="Roboto;sans-serif" w:hAnsi="Roboto;sans-serif"/>
          <w:b/>
          <w:color w:val="000000"/>
          <w:sz w:val="18"/>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uncertainties, assumptions, and other important factors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 Item 1A of this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A discussion of our results of operations for our fiscal year ended June 30, 2025 compared to the year ended June 30, 2024 is included in our Annual Report on Form 10-K for the fiscal year ended June 30, 2025, filed with the SEC on August 7, 2025 (File No. 001-39058) under the heading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68" w:before="0" w:after="0"/>
        <w:jc w:val="both"/>
        <w:rPr/>
      </w:pPr>
      <w:r>
        <w:rPr>
          <w:rFonts w:ascii="Roboto;sans-serif" w:hAnsi="Roboto;sans-serif"/>
          <w:b w:val="false"/>
          <w:color w:val="000000"/>
          <w:sz w:val="18"/>
        </w:rPr>
        <w:t xml:space="preserve">Peloton is a leading global fitness and wellness company that empowers people to live fit, strong, long, and happy, by bringing integrated fitness and wellness experiences to Members (as defined below) anytime, anywhere. </w:t>
      </w:r>
      <w:r>
        <w:rPr>
          <w:rFonts w:ascii="Roboto;sans-serif" w:hAnsi="Roboto;sans-serif"/>
          <w:b w:val="false"/>
          <w:color w:val="050505"/>
          <w:sz w:val="18"/>
        </w:rPr>
        <w:t xml:space="preserve">Founded in 2012 and headquartered in New York City, </w:t>
      </w:r>
      <w:r>
        <w:rPr>
          <w:rFonts w:ascii="Roboto;sans-serif" w:hAnsi="Roboto;sans-serif"/>
          <w:b w:val="false"/>
          <w:color w:val="000000"/>
          <w:sz w:val="18"/>
        </w:rPr>
        <w:t xml:space="preserve">we offer a breadth of fitness and wellness solutions to consumers worldwide, including our highly engaged community of approximately 5.5 million Members as of </w:t>
      </w:r>
      <w:r>
        <w:rPr>
          <w:rFonts w:ascii="Roboto;sans-serif" w:hAnsi="Roboto;sans-serif"/>
          <w:b w:val="false"/>
          <w:color w:val="050505"/>
          <w:sz w:val="18"/>
        </w:rPr>
        <w:t xml:space="preserve">June 30, 2026, across the United States, United Kingdom, Canada, Germany, Australia, and Austria, and Commercial Business Unit customers in </w:t>
      </w:r>
      <w:r>
        <w:rPr>
          <w:rFonts w:ascii="Roboto;sans-serif" w:hAnsi="Roboto;sans-serif"/>
          <w:b w:val="false"/>
          <w:color w:val="000000"/>
          <w:sz w:val="18"/>
        </w:rPr>
        <w:t>over 60</w:t>
      </w:r>
      <w:r>
        <w:rPr>
          <w:color w:val="050505"/>
        </w:rPr>
        <w:t xml:space="preserve"> </w:t>
      </w:r>
      <w:r>
        <w:rPr>
          <w:rFonts w:ascii="Roboto;sans-serif" w:hAnsi="Roboto;sans-serif"/>
          <w:b w:val="false"/>
          <w:color w:val="050505"/>
          <w:sz w:val="18"/>
        </w:rPr>
        <w:t xml:space="preserve">countries. As a category innovator at the nexus of fitness, wellness, technology, and media, we deliver integrated experiences through our world-renowned instructors (“Instructors”), premium hardware and innovative software, personalization, extensive modalities and an expansive content library.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define a “Member” as any individual who has a Peloton account through a Paid Connected Fitness Subscription (as defined below)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(guided, time, and distance-based routes filmed in locations around the world), and Lanebreak workouts (our game-inspired workout experience); (ii) at least 10 minutes of any activity tracking workout (such as “Just Ride”, “Just Run”, or “Just Row”), or Peloton Entertainment workout (video streaming); (iii) </w:t>
      </w:r>
      <w:r>
        <w:rPr>
          <w:rFonts w:ascii="Roboto;sans-serif" w:hAnsi="Roboto;sans-serif"/>
          <w:b w:val="false"/>
          <w:color w:val="050505"/>
          <w:sz w:val="18"/>
        </w:rPr>
        <w:t>at least 5 minutes of any</w:t>
      </w:r>
      <w:r>
        <w:rPr>
          <w:color w:val="000000"/>
        </w:rPr>
        <w:t xml:space="preserve"> </w:t>
      </w:r>
      <w:r>
        <w:rPr>
          <w:rFonts w:ascii="Roboto;sans-serif" w:hAnsi="Roboto;sans-serif"/>
          <w:b w:val="false"/>
          <w:color w:val="000000"/>
          <w:sz w:val="18"/>
        </w:rPr>
        <w:t xml:space="preserve">Strength+ workout </w:t>
      </w:r>
      <w:r>
        <w:rPr>
          <w:rFonts w:ascii="Roboto;sans-serif" w:hAnsi="Roboto;sans-serif"/>
          <w:b w:val="false"/>
          <w:color w:val="050505"/>
          <w:sz w:val="18"/>
        </w:rPr>
        <w:t>with 80% of sets marked complete; or (iv) at least 10 minutes of any Breathwrk class.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portfolio of Connected Fitness Products primarily consists of the Peloton Original Series, Peloton Cross Training Series, Peloton Pro Series, and Precor Products (collectively, the “Connected Fitness Products”), and related accessories, delivery and installation services, extended warranty and other service agreements, and branded apparel. In October 2025, we launched the Cross Training Series, a refreshed portfolio of Connected Fitness Products, which includes the Cross Training Bike, Bike+, Tread, Tread+, and Row+ (collectively, the “Cross Training Series”). We also launched the Peloton Pro Series, a refresh of our portfolio of commercial-ready Peloton-branded products, which now includes the Bike+ Pro, Tread+ Pro, and Row+ Pro (collectively, the “Pro Series”). In connection with the Cross Training Series launch, we discontinued the sale of our original series (the “Original Series”) Tread, Tread+, and Row; however we continue to sell the refurbished Original Series Bike and Bike+. Our Precor-branded fitness products include Precor Cardio, Precor Strength, Connected Fitness Solutions, and Wellness Solutions (collectively, the “Precor Products”).</w:t>
      </w:r>
    </w:p>
    <w:p>
      <w:pPr>
        <w:pStyle w:val="TextBody"/>
        <w:bidi w:val="0"/>
        <w:spacing w:lineRule="auto" w:line="288" w:before="0" w:after="240"/>
        <w:jc w:val="both"/>
        <w:rPr/>
      </w:pPr>
      <w:r>
        <w:rPr>
          <w:rFonts w:ascii="Roboto;sans-serif" w:hAnsi="Roboto;sans-serif"/>
          <w:b w:val="false"/>
          <w:color w:val="000000"/>
          <w:sz w:val="18"/>
        </w:rPr>
        <w:t>Access to the Peloton Apps is available with an All-Access Membership for Members who have Peloton-branded Connected Fitness Products or through a standalone App Membership (App+, App One, Strength+, and Breathwrk). Our revenue is generated primarily from recurring Subscription Revenue and the sale of our Connected Fitness Products. 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r>
        <w:rPr>
          <w:color w:val="050505"/>
        </w:rPr>
        <w:t xml:space="preserve"> </w:t>
      </w:r>
      <w:r>
        <w:rPr>
          <w:rFonts w:ascii="Roboto;sans-serif" w:hAnsi="Roboto;sans-serif"/>
          <w:b w:val="false"/>
          <w:color w:val="050505"/>
          <w:sz w:val="18"/>
        </w:rPr>
        <w:t>(a successful credit card billing or prepaid with subscription credits or waivers)</w:t>
      </w:r>
      <w:r>
        <w:rPr>
          <w:rFonts w:ascii="Roboto;sans-serif" w:hAnsi="Roboto;sans-serif"/>
          <w:b w:val="false"/>
          <w:color w:val="000000"/>
          <w:sz w:val="18"/>
        </w:rPr>
        <w:t>.</w:t>
      </w:r>
    </w:p>
    <w:p>
      <w:pPr>
        <w:pStyle w:val="TextBody"/>
        <w:bidi w:val="0"/>
        <w:spacing w:lineRule="auto" w:line="288" w:before="0" w:after="240"/>
        <w:jc w:val="both"/>
        <w:rPr/>
      </w:pPr>
      <w:r>
        <w:rPr>
          <w:rFonts w:ascii="Roboto;sans-serif" w:hAnsi="Roboto;sans-serif"/>
          <w:b w:val="false"/>
          <w:color w:val="050505"/>
          <w:sz w:val="18"/>
        </w:rPr>
        <w:t>Our financial profile has been characterized by strong retention, recurring revenue, and efficient customer acquisition. We believe that o</w:t>
      </w:r>
      <w:r>
        <w:rPr>
          <w:rFonts w:ascii="Roboto;sans-serif" w:hAnsi="Roboto;sans-serif"/>
          <w:b w:val="false"/>
          <w:color w:val="050505"/>
          <w:sz w:val="18"/>
          <w:shd w:fill="FFFFFF" w:val="clear"/>
        </w:rPr>
        <w:t xml:space="preserve">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w:t>
      </w:r>
      <w:r>
        <w:rPr>
          <w:rFonts w:ascii="Roboto;sans-serif" w:hAnsi="Roboto;sans-serif"/>
          <w:b w:val="false"/>
          <w:color w:val="050505"/>
          <w:sz w:val="18"/>
        </w:rPr>
        <w:t>an attractive LTV/CAC ratio is a primary goal of our customer acquisition strategy.</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In August 2025, we announced a restructuring plan (the “2025 Restructuring Plan”), which included a reduction in global headcount and was designed to improve our cost structure, operating efficiency, and profitability, while providing us the opportunity to return to growth by reinvesting expected savings into our differentiating capabilities. The 2025 Restructuring Plan has been substantially implemented as of June 30, 2026. We do not expect to incur material additional cash or non-cash restructuring charges under the 2025 Restructuring Plan.</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Global Trade Policies and Tariffs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February 20, 2026, the U.S. Supreme Court issued a decision invalidating tariffs imposed under the International Emergency Economic Powers Act ("IEEPA"). U.S. Customs and Border Protection (“CBP”) subsequently launched the Consolidated Administration and Processing of Entries (“CAPE”) process to permit importers to seek refunds on previously paid IEEPA tariffs. The Company submitted refund claims in CAPE in June 2026 for IEEPA tariffs previously paid by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4"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Subsequent to June 30, 2026, the Company began to receive refund payments for IEEPA tariffs previously paid. Consistent with ASC 450-30, we did not recognize these amounts in the Consolidated Statements of Operations and Comprehensive Income (Loss) for the period ending June 30, 2026. We continue to closely monitor updates from CBP and will recognize any IEEPA tariff refunds or related receivables when they are realized or realizable.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Following the ruling on IEEPA tariffs, we were subject to Section 122 tariffs of 10%, which expired on July 23, 2026. Concurrently, effective July 24, 2026, the U.S. government imposed new tariffs of 10.0% to 12.5% on goods from approximately 60 economies under Section 301 of the Trade Act of 1974, including from economies where we have significant operations or commercial presence, such as Taiwan and China.</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Additionally, on April 2, 2026, President Trump issued a presidential proclamation modifying the application of Section 232 tariffs on steel, aluminum, and their derivative products, which, among other things, removed fitness equipment from the scope of those tariffs. As a result, as of April 6, 2026, the steel and aluminum content in our Connected Fitness Products is no longer subject to Section 232 tariffs of 50%.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will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certain tariffs are ultimately implemented, the timing of implementation, any nullification or repeal, and the amount, scope and nature of the tariffs. </w:t>
      </w:r>
    </w:p>
    <w:p>
      <w:pPr>
        <w:pStyle w:val="TextBody"/>
        <w:bidi w:val="0"/>
        <w:spacing w:before="0" w:after="0"/>
        <w:jc w:val="left"/>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 xml:space="preserve">Voluntary Recall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previously disclosed, on November 6, 2025, in collaboration with the U.S. Consumer Product Safety Commission and Health Canada, we announced a voluntary recall of about 833,000 units in the U.S. and 44,800 units in Canada of the Original Series Bike+ (not Cross Training Bike+). We are offering Members a free replacement seat post as the approved remedy.</w:t>
      </w:r>
    </w:p>
    <w:p>
      <w:pPr>
        <w:pStyle w:val="TextBody"/>
        <w:bidi w:val="0"/>
        <w:spacing w:before="0" w:after="0"/>
        <w:jc w:val="both"/>
        <w:rPr/>
      </w:pPr>
      <w:r>
        <w:rPr/>
      </w:r>
    </w:p>
    <w:p>
      <w:pPr>
        <w:pStyle w:val="TextBody"/>
        <w:bidi w:val="0"/>
        <w:spacing w:lineRule="auto" w:line="276" w:before="0" w:after="0"/>
        <w:jc w:val="both"/>
        <w:rPr/>
      </w:pPr>
      <w:r>
        <w:rPr>
          <w:rFonts w:ascii="Roboto;sans-serif" w:hAnsi="Roboto;sans-serif"/>
          <w:b w:val="false"/>
          <w:color w:val="000000"/>
          <w:sz w:val="18"/>
        </w:rPr>
        <w:t xml:space="preserve">As of </w:t>
      </w:r>
      <w:r>
        <w:rPr>
          <w:rFonts w:ascii="Roboto;sans-serif" w:hAnsi="Roboto;sans-serif"/>
          <w:b w:val="false"/>
          <w:color w:val="050505"/>
          <w:sz w:val="18"/>
        </w:rPr>
        <w:t>June 30, 2026</w:t>
      </w:r>
      <w:r>
        <w:rPr>
          <w:rFonts w:ascii="Roboto;sans-serif" w:hAnsi="Roboto;sans-serif"/>
          <w:b w:val="false"/>
          <w:color w:val="000000"/>
          <w:sz w:val="18"/>
        </w:rPr>
        <w:t xml:space="preserve">, we have accrued $7.7 million to replace Original Series Bike+ seat posts, which is a reduction from our accrual of $16.5 million as of September 30, 2025. This reduction is primarily driven by the utilization of our previously established accrual. We have not established any incremental accruals since September 30, 2025. This accrual is based on an amount that we deem probable and estimable and is reflected in Connected Fitness Products Cost of revenue in our Consolidated Statements of Operations and Comprehensive Income (Loss). </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We may continue to incur additional costs beyond what we have currently estimated to be probable and reasonably estimable, including in connection with the voluntary recall, and if the number of reported incidents involving the Original Series Bike+ seat post materially increases, such additional costs may be material. See </w:t>
      </w:r>
      <w:r>
        <w:rPr>
          <w:color w:val="000000"/>
        </w:rPr>
        <w:t>“</w:t>
      </w:r>
      <w:r>
        <w:rPr>
          <w:rFonts w:ascii="Roboto;sans-serif" w:hAnsi="Roboto;sans-serif"/>
          <w:b w:val="false"/>
          <w:i/>
          <w:color w:val="000000"/>
          <w:sz w:val="18"/>
        </w:rPr>
        <w:t>Risk Factors — Risks Related to Our Connected Fitness Products and Members — Our products and services may be affected from time to time by design and manufacturing defects or product safety issues, real or perceived, that could adversely affect our business and result in harm to our reputation”</w:t>
      </w:r>
      <w:r>
        <w:rPr>
          <w:color w:val="000000"/>
        </w:rPr>
        <w:t xml:space="preserve"> </w:t>
      </w:r>
      <w:r>
        <w:rPr>
          <w:rFonts w:ascii="Roboto;sans-serif" w:hAnsi="Roboto;sans-serif"/>
          <w:b w:val="false"/>
          <w:color w:val="000000"/>
          <w:sz w:val="18"/>
        </w:rPr>
        <w:t>in Part I, Item 1A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 xml:space="preserve">Key Operational and Business Metrics </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In addition to the measures presented in our consolidated financial statements, we use the following key operational and business metrics to evaluate our business, measure our performance, develop financial forecasts, and make strategic decisions.</w:t>
      </w:r>
    </w:p>
    <w:tbl>
      <w:tblPr>
        <w:tblW w:w="10205" w:type="dxa"/>
        <w:jc w:val="left"/>
        <w:tblInd w:w="0" w:type="dxa"/>
        <w:tblLayout w:type="fixed"/>
        <w:tblCellMar>
          <w:top w:w="28" w:type="dxa"/>
          <w:left w:w="28" w:type="dxa"/>
          <w:bottom w:w="28" w:type="dxa"/>
          <w:right w:w="28" w:type="dxa"/>
        </w:tblCellMar>
      </w:tblPr>
      <w:tblGrid>
        <w:gridCol w:w="1939"/>
        <w:gridCol w:w="1704"/>
        <w:gridCol w:w="1712"/>
        <w:gridCol w:w="226"/>
        <w:gridCol w:w="886"/>
        <w:gridCol w:w="271"/>
        <w:gridCol w:w="109"/>
        <w:gridCol w:w="109"/>
        <w:gridCol w:w="109"/>
        <w:gridCol w:w="226"/>
        <w:gridCol w:w="886"/>
        <w:gridCol w:w="271"/>
        <w:gridCol w:w="109"/>
        <w:gridCol w:w="109"/>
        <w:gridCol w:w="109"/>
        <w:gridCol w:w="226"/>
        <w:gridCol w:w="886"/>
        <w:gridCol w:w="318"/>
      </w:tblGrid>
      <w:tr>
        <w:trPr/>
        <w:tc>
          <w:tcPr>
            <w:tcW w:w="193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5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 (in millions)</w:t>
            </w:r>
            <w:r>
              <w:rPr>
                <w:rFonts w:ascii="Roboto;sans-serif" w:hAnsi="Roboto;sans-serif"/>
                <w:b w:val="false"/>
                <w:color w:val="000000"/>
                <w:sz w:val="12"/>
              </w:rPr>
              <w:t>(1)</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Roboto;sans-serif" w:hAnsi="Roboto;sans-serif"/>
                <w:b w:val="false"/>
                <w:color w:val="000000"/>
                <w:sz w:val="12"/>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App Subscriptions (in millions)</w:t>
            </w:r>
            <w:r>
              <w:rPr>
                <w:rFonts w:ascii="Roboto;sans-serif" w:hAnsi="Roboto;sans-serif"/>
                <w:b w:val="false"/>
                <w:color w:val="000000"/>
                <w:sz w:val="12"/>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Roboto;sans-serif" w:hAnsi="Robo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(in millions)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Adjusted EBITDA (in millions)</w:t>
            </w:r>
            <w:r>
              <w:rPr>
                <w:rFonts w:ascii="Roboto;sans-serif" w:hAnsi="Roboto;sans-serif"/>
                <w:b w:val="false"/>
                <w:color w:val="000000"/>
                <w:sz w:val="12"/>
              </w:rPr>
              <w:t>(3)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 (in millions)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Beginning January 1, 2025, we migrated our subscription data model for reporting Ending Paid Connected Fitness Subscriptions, Average Net Monthly Paid Connected Fitness Subscription Churn, and Ending Paid App Subscriptions to a new data model that provides greater visibility to changes to a subscription's payment status when they occur. The new model gives us more precise and timely data on subscription pause and churn behavior. Prior period information has been revised to conform with current period presentation. The impact of this change in the model on Ending Paid Connected Fitness Subscriptions, Average Net Monthly Paid Connected Fitness Subscription Churn, and Ending Paid App Subscriptions for the fiscal years ended June 30, 2026, 2025, and 2024 is immaterial. Starting in fiscal 2026, we no longer report on Average Monthly Paid App Subscription Churn.</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(3) Please see the section titled “Non-GAAP Financial Measures—Adjusted EBITDA” for a reconciliation of Net income (loss) to Adjusted EBITDA and an explanation of why we consider Adjusted EBITDA to be a helpful measure for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5"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(4) Please see the section titled “Non-GAAP Financial Measures—Free Cash Flow” for a reconciliation of Net cash provided by (used in) operating activities to Free Cash Flow and an explanation of why we consider Free Cash Flow to be a helpful measure for investors.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 Our annual Average Net Monthly Paid Connected Fitness Subscription Churn for each of the fiscal years ended June 30, 2026, 2025, and 2024 is calculated in the same manner, divided by twelve months, during each respective fiscal year.</w: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240"/>
        <w:jc w:val="both"/>
        <w:rPr/>
      </w:pPr>
      <w:r>
        <w:rPr>
          <w:rFonts w:ascii="Roboto;sans-serif" w:hAnsi="Roboto;sans-serif"/>
          <w:b w:val="false"/>
          <w:color w:val="000000"/>
          <w:sz w:val="18"/>
        </w:rPr>
        <w:t>Ending Paid App Subscriptions includes all subscriptions to our Peloton Apps for which we are currently receiving payment</w:t>
      </w:r>
      <w:r>
        <w:rPr>
          <w:color w:val="050505"/>
        </w:rPr>
        <w:t xml:space="preserve"> </w:t>
      </w:r>
      <w:r>
        <w:rPr>
          <w:rFonts w:ascii="Roboto;sans-serif" w:hAnsi="Roboto;sans-serif"/>
          <w:b w:val="false"/>
          <w:color w:val="050505"/>
          <w:sz w:val="18"/>
        </w:rPr>
        <w:t>(a successful credit card billing or prepaid with subscription credits or waivers)</w:t>
      </w:r>
      <w:r>
        <w:rPr>
          <w:rFonts w:ascii="Roboto;sans-serif" w:hAnsi="Roboto;sans-serif"/>
          <w:b w:val="false"/>
          <w:color w:val="000000"/>
          <w:sz w:val="18"/>
        </w:rPr>
        <w:t>. Starting in fiscal 2026, we no longer report on Average Monthly Paid App Subscription Churn.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primarily consists of sales of our portfolio of Connected Fitness Products and related accessories, including Precor-branded fitness products, delivery and installation services, Peloton Bike portfolio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primarily consists of revenue generated from our Paid Connected Fitness Subscriptions and Paid Peloton App Subscriptions, which are offered on a month-to-month or annual prepaid basis, and revenue generated from content licensing arrangements.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 xml:space="preserve">June 30, 2026, 99% and 77% of </w:t>
      </w:r>
      <w:r>
        <w:rPr>
          <w:rFonts w:ascii="Roboto;sans-serif" w:hAnsi="Roboto;sans-serif"/>
          <w:b w:val="false"/>
          <w:color w:val="000000"/>
          <w:sz w:val="18"/>
          <w:shd w:fill="FFFFFF" w:val="clear"/>
        </w:rPr>
        <w:t>our Connected Fitness Subscription and Paid App Subscription bases, respectively, were paying month-to-month.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single Connected Fitness Subscription provides access to multiple, different Peloton-branded Connected Fitness Products (such as a Peloton Bike and Peloton Tread) in the same household. As of June 30, 2026, approximately 12% of our Connected Fitness Subscriptions owned multiple, different Connected Fitness Products.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Beginning in the first quarter of fiscal 2026, we now assign executive compensation and other corporate overhead costs associated with our corporate facilities, which were historically included in General and administrative expense, to the various expense captions that these costs relate to, including Cost of revenue, Sales and marketing, General and administrative, and Research and development.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Connected Fitness Products Cost of revenue primarily consists of our portfolio of Connected Fitness Products, related accessories, Precor-branded fitness products, and branded apparel product costs, including third-party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including stock-based compensation expense, associated with supply chain logistics. Inventory write-downs and related obsolescence reserve expense are also included within Connected Fitness Products Cost of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6"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primarily consists of costs associated with content creation and costs to stream content to our Members. Fixed costs primarily include Instructor, content, production, and management personnel-related expenses, including stock-based compensation expense, as well as certain costs related to facilities, including depreciation of property and equipment, studio rent and occupancy, and other studio overhead. Variable costs primarily include music royalty fees, third-party platform streaming costs, and payment processing fees for our monthly subscription billings.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and marketing expense primarily consists of performance marketing media spend, asset creation, and other brand creative, sales and marketing personnel-related expenses, including stock-based compensation expense, costs to operate our retail locations, including rent and occupancy charges, payment processing fees incurred in connection with the sale of our Connected Fitness Products, expenses related to the Peloton Apps, and depreciation of property and equipment.</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primarily consists of personnel-related expenses, including stock-based compensation expense, and facilities-related costs, primarily for our executive, finance, accounting, legal, human resources, IT functions, and Member support team. General and administrative expense also includes software and IT costs, fees for professional services principally comprising legal, audit, tax and accounting services, depreciation of property and equipment, insurance, and litigation settlement costs.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primarily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Additionally, long-lived assets are reviewed for impairment whenever events or changes in circumstances indicate that the carrying amount of an asset group may not be recoverable. Management disposes of fixed assets during the regular course of business due to damage, obsolescence, strategic shifts, and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 settlements are payments made to third-party suppliers to terminate certain future inventory purchase commitments or settle disputes with suppliers about and to terminate certain alleged past and future commitments.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Total other expense,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other expense, net primarily consists of interest (expense) income, unrealized and realized (losses) gains on investments, net gains relating to our refinancing activities, and foreign exchange (losses) gains.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(benefit)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provision for income taxes primarily consists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7"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pStyle w:val="TextBody"/>
        <w:bidi w:val="0"/>
        <w:spacing w:before="0" w:after="0"/>
        <w:jc w:val="both"/>
        <w:rPr/>
      </w:pPr>
      <w:r>
        <w:rPr/>
      </w:r>
    </w:p>
    <w:tbl>
      <w:tblPr>
        <w:tblW w:w="8097" w:type="dxa"/>
        <w:jc w:val="center"/>
        <w:tblInd w:w="0" w:type="dxa"/>
        <w:tblLayout w:type="fixed"/>
        <w:tblCellMar>
          <w:top w:w="28" w:type="dxa"/>
          <w:left w:w="28" w:type="dxa"/>
          <w:bottom w:w="28" w:type="dxa"/>
          <w:right w:w="28" w:type="dxa"/>
        </w:tblCellMar>
      </w:tblPr>
      <w:tblGrid>
        <w:gridCol w:w="1483"/>
        <w:gridCol w:w="1303"/>
        <w:gridCol w:w="1309"/>
        <w:gridCol w:w="226"/>
        <w:gridCol w:w="706"/>
        <w:gridCol w:w="109"/>
        <w:gridCol w:w="109"/>
        <w:gridCol w:w="109"/>
        <w:gridCol w:w="109"/>
        <w:gridCol w:w="226"/>
        <w:gridCol w:w="796"/>
        <w:gridCol w:w="109"/>
        <w:gridCol w:w="109"/>
        <w:gridCol w:w="109"/>
        <w:gridCol w:w="109"/>
        <w:gridCol w:w="226"/>
        <w:gridCol w:w="79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gain on debt refinancing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8"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7781" w:type="dxa"/>
        <w:jc w:val="left"/>
        <w:tblInd w:w="0" w:type="dxa"/>
        <w:tblLayout w:type="fixed"/>
        <w:tblCellMar>
          <w:top w:w="28" w:type="dxa"/>
          <w:left w:w="28" w:type="dxa"/>
          <w:bottom w:w="28" w:type="dxa"/>
          <w:right w:w="28" w:type="dxa"/>
        </w:tblCellMar>
      </w:tblPr>
      <w:tblGrid>
        <w:gridCol w:w="1434"/>
        <w:gridCol w:w="1257"/>
        <w:gridCol w:w="1268"/>
        <w:gridCol w:w="226"/>
        <w:gridCol w:w="706"/>
        <w:gridCol w:w="109"/>
        <w:gridCol w:w="109"/>
        <w:gridCol w:w="109"/>
        <w:gridCol w:w="109"/>
        <w:gridCol w:w="226"/>
        <w:gridCol w:w="706"/>
        <w:gridCol w:w="109"/>
        <w:gridCol w:w="109"/>
        <w:gridCol w:w="109"/>
        <w:gridCol w:w="109"/>
        <w:gridCol w:w="226"/>
        <w:gridCol w:w="70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fiscal year ended June 30, 2024, in connection with the transition of our former CEO, we recognized stock-based compensation expense of $41.9 million for one year of accelerated vesting of stock options, which had an exercise price of $38.77 per share and a grant date fair value of approximately $167.6 million. In addition, we recognized incremental stock-based compensation expense of $5.4 million for the modification of stock option awards related to extension of the exercise window through December 31, 2027. These expenses were recognized within General and administrative expense in the Consolidated Statements of Operations and Comprehensive Income (Loss).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7842" w:type="dxa"/>
        <w:jc w:val="left"/>
        <w:tblInd w:w="0" w:type="dxa"/>
        <w:tblLayout w:type="fixed"/>
        <w:tblCellMar>
          <w:top w:w="28" w:type="dxa"/>
          <w:left w:w="28" w:type="dxa"/>
          <w:bottom w:w="28" w:type="dxa"/>
          <w:right w:w="28" w:type="dxa"/>
        </w:tblCellMar>
      </w:tblPr>
      <w:tblGrid>
        <w:gridCol w:w="1543"/>
        <w:gridCol w:w="1353"/>
        <w:gridCol w:w="1364"/>
        <w:gridCol w:w="226"/>
        <w:gridCol w:w="586"/>
        <w:gridCol w:w="109"/>
        <w:gridCol w:w="109"/>
        <w:gridCol w:w="109"/>
        <w:gridCol w:w="109"/>
        <w:gridCol w:w="226"/>
        <w:gridCol w:w="586"/>
        <w:gridCol w:w="109"/>
        <w:gridCol w:w="109"/>
        <w:gridCol w:w="109"/>
        <w:gridCol w:w="109"/>
        <w:gridCol w:w="226"/>
        <w:gridCol w:w="70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fiscal years ended June 30, 2026 and 2025</w:t>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Revenue</w:t>
      </w:r>
    </w:p>
    <w:tbl>
      <w:tblPr>
        <w:tblW w:w="7230" w:type="dxa"/>
        <w:jc w:val="center"/>
        <w:tblInd w:w="0" w:type="dxa"/>
        <w:tblLayout w:type="fixed"/>
        <w:tblCellMar>
          <w:top w:w="28" w:type="dxa"/>
          <w:left w:w="28" w:type="dxa"/>
          <w:bottom w:w="28" w:type="dxa"/>
          <w:right w:w="28" w:type="dxa"/>
        </w:tblCellMar>
      </w:tblPr>
      <w:tblGrid>
        <w:gridCol w:w="954"/>
        <w:gridCol w:w="840"/>
        <w:gridCol w:w="845"/>
        <w:gridCol w:w="226"/>
        <w:gridCol w:w="886"/>
        <w:gridCol w:w="271"/>
        <w:gridCol w:w="109"/>
        <w:gridCol w:w="109"/>
        <w:gridCol w:w="109"/>
        <w:gridCol w:w="226"/>
        <w:gridCol w:w="886"/>
        <w:gridCol w:w="271"/>
        <w:gridCol w:w="109"/>
        <w:gridCol w:w="109"/>
        <w:gridCol w:w="109"/>
        <w:gridCol w:w="343"/>
        <w:gridCol w:w="343"/>
        <w:gridCol w:w="485"/>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(5.7)%</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0.1</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11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49"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decreased $46.8 million for the fiscal year ended June 30, 2026 compared to the fiscal year ended June 30, 2025, primarily attributable to lower sales of certain Peloton-branded Connected Fitness Products, partially offset by higher sales of Precor-branded fitness products during the fiscal year ended June 30,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increased $1.9 million for the fiscal year ended June 30, 2026 compared to the fiscal year ended June 30, 2025, primarily due to the subscription price increases that became effective during the three months ended December 31, 2025, and increases in content licensing revenue, partially offset by decreases in Paid Connected Fitness and App Subscriptions.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7230" w:type="dxa"/>
        <w:jc w:val="left"/>
        <w:tblInd w:w="0" w:type="dxa"/>
        <w:tblLayout w:type="fixed"/>
        <w:tblCellMar>
          <w:top w:w="28" w:type="dxa"/>
          <w:left w:w="28" w:type="dxa"/>
          <w:bottom w:w="28" w:type="dxa"/>
          <w:right w:w="28" w:type="dxa"/>
        </w:tblCellMar>
      </w:tblPr>
      <w:tblGrid>
        <w:gridCol w:w="956"/>
        <w:gridCol w:w="838"/>
        <w:gridCol w:w="845"/>
        <w:gridCol w:w="226"/>
        <w:gridCol w:w="886"/>
        <w:gridCol w:w="271"/>
        <w:gridCol w:w="109"/>
        <w:gridCol w:w="109"/>
        <w:gridCol w:w="109"/>
        <w:gridCol w:w="226"/>
        <w:gridCol w:w="886"/>
        <w:gridCol w:w="271"/>
        <w:gridCol w:w="109"/>
        <w:gridCol w:w="109"/>
        <w:gridCol w:w="109"/>
        <w:gridCol w:w="343"/>
        <w:gridCol w:w="343"/>
        <w:gridCol w:w="485"/>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(7.2)</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(18.7)%</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3.4</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1,286.7 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margin:</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$26.0 million for the fiscal year ended June 30, 2026, compared to the fiscal year ended June 30, 2025. This decrease was primarily driven by lower sales of certain Peloton-branded Connected Fitness Products, and lower warranty expense, partially offset by higher sales of Precor-branded fitness products, an increase in import tariff charges, and the $13.5 million expense incurred related to the Original Series Bike+ seat post recall.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Connected Fitness Products Gross Margin decreased to 11.7% for the fiscal year ended June 30, 2026 compared to 13.6% for the fiscal year ended June 30, 2025. This decrease was primarily driven by an increase in import tariff charges, the $13.5 million expense incurred related to the Original Series Bike+ seat post recall, and higher promotional discounts and a product mix shift towards lower-margin products, partially offset by lower warranty expense.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decreased $37.3 million for the fiscal year ended June 30, 2026, compared to the fiscal year ended June 30, 2025. This decrease was primarily attributable to lower costs associated with music royalties and platform streaming, and a reduction in depreciation and amortization expense, partially offset by an increase in personnel-related expenses, inclusive of stock-based compensation expense, primarily due to the assignment of executive compensation to the various expense captions beginning in fiscal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Gross Margin increased to 71.4% for the fiscal year ended June 30, 2026 compared to 69.1% for the fiscal year ended June 30, 2025. This increase was primarily driven by lower music royalties costs and related reserves, and the subscription price increases that became effective during the three months ended December 31, 2025, partially offset by decreases in Paid Connected Fitness and App Subscriptions.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7358" w:type="dxa"/>
        <w:jc w:val="left"/>
        <w:tblInd w:w="0" w:type="dxa"/>
        <w:tblLayout w:type="fixed"/>
        <w:tblCellMar>
          <w:top w:w="28" w:type="dxa"/>
          <w:left w:w="28" w:type="dxa"/>
          <w:bottom w:w="28" w:type="dxa"/>
          <w:right w:w="28" w:type="dxa"/>
        </w:tblCellMar>
      </w:tblPr>
      <w:tblGrid>
        <w:gridCol w:w="1115"/>
        <w:gridCol w:w="977"/>
        <w:gridCol w:w="983"/>
        <w:gridCol w:w="230"/>
        <w:gridCol w:w="720"/>
        <w:gridCol w:w="276"/>
        <w:gridCol w:w="111"/>
        <w:gridCol w:w="111"/>
        <w:gridCol w:w="111"/>
        <w:gridCol w:w="230"/>
        <w:gridCol w:w="720"/>
        <w:gridCol w:w="276"/>
        <w:gridCol w:w="109"/>
        <w:gridCol w:w="109"/>
        <w:gridCol w:w="109"/>
        <w:gridCol w:w="343"/>
        <w:gridCol w:w="343"/>
        <w:gridCol w:w="485"/>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(5.0)%</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0"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Sales and marketing expense decreased $21.3 million for the fiscal year ended June 30, 2026 compared to the fiscal year ended June 30, 2025, primarily driven by a decrease in acquisition marketing spend. </w:t>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7358" w:type="dxa"/>
        <w:jc w:val="left"/>
        <w:tblInd w:w="0" w:type="dxa"/>
        <w:tblLayout w:type="fixed"/>
        <w:tblCellMar>
          <w:top w:w="28" w:type="dxa"/>
          <w:left w:w="28" w:type="dxa"/>
          <w:bottom w:w="28" w:type="dxa"/>
          <w:right w:w="28" w:type="dxa"/>
        </w:tblCellMar>
      </w:tblPr>
      <w:tblGrid>
        <w:gridCol w:w="1114"/>
        <w:gridCol w:w="978"/>
        <w:gridCol w:w="983"/>
        <w:gridCol w:w="230"/>
        <w:gridCol w:w="720"/>
        <w:gridCol w:w="276"/>
        <w:gridCol w:w="111"/>
        <w:gridCol w:w="111"/>
        <w:gridCol w:w="111"/>
        <w:gridCol w:w="230"/>
        <w:gridCol w:w="720"/>
        <w:gridCol w:w="276"/>
        <w:gridCol w:w="109"/>
        <w:gridCol w:w="109"/>
        <w:gridCol w:w="109"/>
        <w:gridCol w:w="343"/>
        <w:gridCol w:w="343"/>
        <w:gridCol w:w="485"/>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(18.4)%</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General and administrative expense decreased $97.0 million for the fiscal year ended June 30, 2026 compared to the fiscal year ended June 30, 2025. This decrease was mainly driven by an $81.4 million decrease in personnel-related expenses, inclusive of stock-based compensation expense, primarily due to decreased average headcount and the assignment of executive compensation to the various expense captions beginning in fiscal 2026, a $16.0 million decrease in rent and occupancy charges, primarily due to the assignment of other corporate overhead costs to the various expense captions beginning in fiscal 2026, and a $5.7 million decrease in settlement costs and professional services fees, partially offset by a $23.8 million increase in accrued legal contingencies.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7357" w:type="dxa"/>
        <w:jc w:val="left"/>
        <w:tblInd w:w="0" w:type="dxa"/>
        <w:tblLayout w:type="fixed"/>
        <w:tblCellMar>
          <w:top w:w="28" w:type="dxa"/>
          <w:left w:w="28" w:type="dxa"/>
          <w:bottom w:w="28" w:type="dxa"/>
          <w:right w:w="28" w:type="dxa"/>
        </w:tblCellMar>
      </w:tblPr>
      <w:tblGrid>
        <w:gridCol w:w="1114"/>
        <w:gridCol w:w="979"/>
        <w:gridCol w:w="981"/>
        <w:gridCol w:w="230"/>
        <w:gridCol w:w="720"/>
        <w:gridCol w:w="276"/>
        <w:gridCol w:w="111"/>
        <w:gridCol w:w="111"/>
        <w:gridCol w:w="111"/>
        <w:gridCol w:w="230"/>
        <w:gridCol w:w="720"/>
        <w:gridCol w:w="276"/>
        <w:gridCol w:w="109"/>
        <w:gridCol w:w="109"/>
        <w:gridCol w:w="109"/>
        <w:gridCol w:w="343"/>
        <w:gridCol w:w="343"/>
        <w:gridCol w:w="485"/>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increased $8.6 million for the fiscal year ended June 30, 2026 compared to the fiscal year ended June 30, 2025. This increase was mainly driven by a $6.6 million increase in personnel-related expenses, inclusive of stock-based compensation expense, and a $6.4 million increase in rent and occupancy charges, both primarily due to the assignment of executive compensation and other corporate overhead costs, discussed above, partially offset by a $4.9 million decrease in product development costs, primarily due to a reduction in contractor spend.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6341" w:type="dxa"/>
        <w:jc w:val="left"/>
        <w:tblInd w:w="0" w:type="dxa"/>
        <w:tblLayout w:type="fixed"/>
        <w:tblCellMar>
          <w:top w:w="28" w:type="dxa"/>
          <w:left w:w="28" w:type="dxa"/>
          <w:bottom w:w="28" w:type="dxa"/>
          <w:right w:w="28" w:type="dxa"/>
        </w:tblCellMar>
      </w:tblPr>
      <w:tblGrid>
        <w:gridCol w:w="745"/>
        <w:gridCol w:w="653"/>
        <w:gridCol w:w="657"/>
        <w:gridCol w:w="290"/>
        <w:gridCol w:w="754"/>
        <w:gridCol w:w="140"/>
        <w:gridCol w:w="140"/>
        <w:gridCol w:w="140"/>
        <w:gridCol w:w="140"/>
        <w:gridCol w:w="290"/>
        <w:gridCol w:w="754"/>
        <w:gridCol w:w="140"/>
        <w:gridCol w:w="109"/>
        <w:gridCol w:w="109"/>
        <w:gridCol w:w="109"/>
        <w:gridCol w:w="343"/>
        <w:gridCol w:w="343"/>
        <w:gridCol w:w="485"/>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(45.9)%</w:t>
            </w:r>
          </w:p>
        </w:tc>
      </w:tr>
    </w:tbl>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Impairment expense decreased $29.4 million for the fiscal year ended June 30, 2026 compared to the fiscal year ended June 30, 2025. This decrease was mainly driven by a $10.3 million decrease in impairment expense related to manufacturing assets, a $9.5 million decrease in asset write-downs and write-offs related to plans to right-size portions of our corporate office footprint, and a $5.0 million decrease in impairment expense related to the exit of retail showroom locations.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1"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6460" w:type="dxa"/>
        <w:jc w:val="left"/>
        <w:tblInd w:w="0" w:type="dxa"/>
        <w:tblLayout w:type="fixed"/>
        <w:tblCellMar>
          <w:top w:w="28" w:type="dxa"/>
          <w:left w:w="28" w:type="dxa"/>
          <w:bottom w:w="28" w:type="dxa"/>
          <w:right w:w="28" w:type="dxa"/>
        </w:tblCellMar>
      </w:tblPr>
      <w:tblGrid>
        <w:gridCol w:w="788"/>
        <w:gridCol w:w="692"/>
        <w:gridCol w:w="694"/>
        <w:gridCol w:w="290"/>
        <w:gridCol w:w="754"/>
        <w:gridCol w:w="140"/>
        <w:gridCol w:w="140"/>
        <w:gridCol w:w="140"/>
        <w:gridCol w:w="140"/>
        <w:gridCol w:w="290"/>
        <w:gridCol w:w="754"/>
        <w:gridCol w:w="140"/>
        <w:gridCol w:w="109"/>
        <w:gridCol w:w="109"/>
        <w:gridCol w:w="109"/>
        <w:gridCol w:w="343"/>
        <w:gridCol w:w="343"/>
        <w:gridCol w:w="48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(47.2)%</w:t>
            </w:r>
          </w:p>
        </w:tc>
      </w:tr>
    </w:tbl>
    <w:p>
      <w:pPr>
        <w:pStyle w:val="TextBody"/>
        <w:bidi w:val="0"/>
        <w:spacing w:before="0" w:after="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decreased $16.0 million for the fiscal year ended June 30, 2026 compared to the fiscal year ended June 30, 2025, primarily due to a decrease in severance and other personnel costs in connection with the Restructuring Plans.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6277" w:type="dxa"/>
        <w:jc w:val="left"/>
        <w:tblInd w:w="0" w:type="dxa"/>
        <w:tblLayout w:type="fixed"/>
        <w:tblCellMar>
          <w:top w:w="28" w:type="dxa"/>
          <w:left w:w="28" w:type="dxa"/>
          <w:bottom w:w="28" w:type="dxa"/>
          <w:right w:w="28" w:type="dxa"/>
        </w:tblCellMar>
      </w:tblPr>
      <w:tblGrid>
        <w:gridCol w:w="723"/>
        <w:gridCol w:w="634"/>
        <w:gridCol w:w="637"/>
        <w:gridCol w:w="317"/>
        <w:gridCol w:w="569"/>
        <w:gridCol w:w="152"/>
        <w:gridCol w:w="152"/>
        <w:gridCol w:w="152"/>
        <w:gridCol w:w="152"/>
        <w:gridCol w:w="317"/>
        <w:gridCol w:w="822"/>
        <w:gridCol w:w="152"/>
        <w:gridCol w:w="109"/>
        <w:gridCol w:w="109"/>
        <w:gridCol w:w="109"/>
        <w:gridCol w:w="343"/>
        <w:gridCol w:w="343"/>
        <w:gridCol w:w="485"/>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(100.0)%</w:t>
            </w:r>
          </w:p>
        </w:tc>
      </w:tr>
    </w:tbl>
    <w:p>
      <w:pPr>
        <w:pStyle w:val="TextBody"/>
        <w:bidi w:val="0"/>
        <w:spacing w:before="60" w:after="283"/>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 settlements decreased $23.5 million for the fiscal year ended June 30, 2026 compared to the fiscal year ended June 30, 2025, due to the settlement of disputes with a third-party supplier about certain alleged past and future commitments during the fiscal year ended June 30,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Total other expense, net and Income tax (benefit) expense</w:t>
      </w:r>
    </w:p>
    <w:tbl>
      <w:tblPr>
        <w:tblW w:w="7090" w:type="dxa"/>
        <w:jc w:val="left"/>
        <w:tblInd w:w="0" w:type="dxa"/>
        <w:tblLayout w:type="fixed"/>
        <w:tblCellMar>
          <w:top w:w="28" w:type="dxa"/>
          <w:left w:w="28" w:type="dxa"/>
          <w:bottom w:w="28" w:type="dxa"/>
          <w:right w:w="28" w:type="dxa"/>
        </w:tblCellMar>
      </w:tblPr>
      <w:tblGrid>
        <w:gridCol w:w="1014"/>
        <w:gridCol w:w="892"/>
        <w:gridCol w:w="899"/>
        <w:gridCol w:w="243"/>
        <w:gridCol w:w="858"/>
        <w:gridCol w:w="117"/>
        <w:gridCol w:w="117"/>
        <w:gridCol w:w="117"/>
        <w:gridCol w:w="117"/>
        <w:gridCol w:w="243"/>
        <w:gridCol w:w="858"/>
        <w:gridCol w:w="117"/>
        <w:gridCol w:w="109"/>
        <w:gridCol w:w="109"/>
        <w:gridCol w:w="109"/>
        <w:gridCol w:w="343"/>
        <w:gridCol w:w="343"/>
        <w:gridCol w:w="485"/>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28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expense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(8.0)%</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income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11.3%</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(144.9)%</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(363.8)%</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(103.3)%</w:t>
            </w:r>
          </w:p>
        </w:tc>
      </w:tr>
    </w:tbl>
    <w:p>
      <w:pPr>
        <w:pStyle w:val="TextBody"/>
        <w:bidi w:val="0"/>
        <w:spacing w:before="0" w:after="60"/>
        <w:jc w:val="both"/>
        <w:rPr/>
      </w:pPr>
      <w:r>
        <w:rPr/>
      </w:r>
    </w:p>
    <w:p>
      <w:pPr>
        <w:pStyle w:val="TextBody"/>
        <w:bidi w:val="0"/>
        <w:spacing w:lineRule="auto" w:line="556" w:before="0" w:after="0"/>
        <w:jc w:val="both"/>
        <w:rPr>
          <w:rFonts w:ascii="Roboto;sans-serif" w:hAnsi="Roboto;sans-serif"/>
          <w:b w:val="false"/>
          <w:i/>
          <w:color w:val="000000"/>
          <w:sz w:val="18"/>
        </w:rPr>
      </w:pPr>
      <w:r>
        <w:rPr>
          <w:rFonts w:ascii="Roboto;sans-serif" w:hAnsi="Roboto;sans-serif"/>
          <w:b w:val="false"/>
          <w:i/>
          <w:color w:val="000000"/>
          <w:sz w:val="18"/>
        </w:rPr>
        <w:t>Fiscal Years Ended June 30, 2026 and 2025</w:t>
      </w:r>
    </w:p>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fiscal year ended June 30, 2026:</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(as defined below) and convertible notes of $123.8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Interest income from cash, cash equivalents, and short-term investments of $36.4 million;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losses of $10.1 million;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$0.2 million.</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fiscal year ended June 30, 2025:</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of $134.5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$32.7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gains of $22.4 million;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net of $0.1 million.</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Income tax benefit of $0.1 million for the fiscal year ended June 30, 2026 was primarily due to state and international taxes, offset by adjustments to the valuation allowance resulting from an acquisition. Income tax expense of $3.4 million for the fiscal year ended June 30, 2025 was primarily due to state and international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2"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rPr>
      </w:pPr>
      <w:r>
        <w:rPr>
          <w:rFonts w:ascii="Roboto;sans-serif" w:hAnsi="Roboto;sans-serif"/>
          <w:b w:val="false"/>
          <w:color w:val="050505"/>
          <w:sz w:val="18"/>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acquisition-related costs, including transaction and integration costs;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and gains (losses) on disposals of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w:t>
      </w:r>
      <w:r>
        <w:rPr>
          <w:color w:val="050505"/>
        </w:rPr>
        <w:t xml:space="preserve"> </w:t>
      </w:r>
      <w:r>
        <w:rPr>
          <w:rFonts w:ascii="Roboto;sans-serif" w:hAnsi="Roboto;sans-serif"/>
          <w:b w:val="false"/>
          <w:color w:val="050505"/>
          <w:sz w:val="18"/>
        </w:rPr>
        <w:t>costs associated with the Restructuring Plans and similar initiatives;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supplier settlements that are</w:t>
      </w:r>
      <w:r>
        <w:rPr>
          <w:color w:val="000000"/>
        </w:rPr>
        <w:t xml:space="preserve"> </w:t>
      </w:r>
      <w:r>
        <w:rPr>
          <w:rFonts w:ascii="Roboto;sans-serif" w:hAnsi="Roboto;sans-serif"/>
          <w:b w:val="false"/>
          <w:color w:val="000000"/>
          <w:sz w:val="18"/>
        </w:rPr>
        <w:t>outside of the ordinary course of business and are nonrecurring, infrequent or unusual based on factors such as the nature of the settlements, as well as our frequency and past practice of performing refinancing activities</w:t>
      </w:r>
      <w:r>
        <w:rPr>
          <w:rFonts w:ascii="Roboto;sans-serif" w:hAnsi="Roboto;sans-serif"/>
          <w:b w:val="false"/>
          <w:color w:val="050505"/>
          <w:sz w:val="18"/>
        </w:rPr>
        <w: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3"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income (loss), the most directly comparable financial measure prepared in accordance with GAAP, for each of the periods indicated:</w:t>
      </w:r>
    </w:p>
    <w:tbl>
      <w:tblPr>
        <w:tblW w:w="7662" w:type="dxa"/>
        <w:jc w:val="left"/>
        <w:tblInd w:w="0" w:type="dxa"/>
        <w:tblLayout w:type="fixed"/>
        <w:tblCellMar>
          <w:top w:w="28" w:type="dxa"/>
          <w:left w:w="28" w:type="dxa"/>
          <w:bottom w:w="28" w:type="dxa"/>
          <w:right w:w="28" w:type="dxa"/>
        </w:tblCellMar>
      </w:tblPr>
      <w:tblGrid>
        <w:gridCol w:w="1326"/>
        <w:gridCol w:w="1163"/>
        <w:gridCol w:w="1171"/>
        <w:gridCol w:w="226"/>
        <w:gridCol w:w="706"/>
        <w:gridCol w:w="109"/>
        <w:gridCol w:w="109"/>
        <w:gridCol w:w="109"/>
        <w:gridCol w:w="109"/>
        <w:gridCol w:w="226"/>
        <w:gridCol w:w="796"/>
        <w:gridCol w:w="109"/>
        <w:gridCol w:w="109"/>
        <w:gridCol w:w="109"/>
        <w:gridCol w:w="109"/>
        <w:gridCol w:w="226"/>
        <w:gridCol w:w="79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other expense, net</w:t>
            </w:r>
            <w:r>
              <w:rPr>
                <w:rFonts w:ascii="Roboto;sans-serif" w:hAnsi="Roboto;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Net gain on debt refinancing</w:t>
            </w:r>
            <w:r>
              <w:rPr>
                <w:rFonts w:ascii="Roboto;sans-serif" w:hAnsi="Roboto;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Supplier settlements</w:t>
            </w:r>
            <w:r>
              <w:rPr>
                <w:rFonts w:ascii="Roboto;sans-serif" w:hAnsi="Roboto;sans-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 xml:space="preserve">(1) Primarily consists of Interest expense of $123.8 million, $134.5 million, $112.5 million, Interest income of $(36.4) million, $(32.7) million, $(35.1) million, and Foreign exchange loss (gain) of $10.1 million, $(22.4) million, and zero, for the fiscal years ended June 30, 2026, 2025, and 2024, respectively. </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Represents the net charge resulting from our May 2024 refinancing efforts. The Company has not demonstrated a past practice of refinancing its previously issued and secured debt obligations, and considers these charges incurred in order to perform this refinancing to be nonrecurring, infrequent, unusual, and outside the ordinary course of business.</w:t>
      </w:r>
    </w:p>
    <w:p>
      <w:pPr>
        <w:pStyle w:val="TextBody"/>
        <w:bidi w:val="0"/>
        <w:spacing w:lineRule="auto" w:line="288" w:before="60" w:after="60"/>
        <w:jc w:val="both"/>
        <w:rPr/>
      </w:pPr>
      <w:r>
        <w:rPr>
          <w:rFonts w:ascii="Roboto;sans-serif" w:hAnsi="Roboto;sans-serif"/>
          <w:b w:val="false"/>
          <w:color w:val="000000"/>
          <w:sz w:val="14"/>
        </w:rPr>
        <w:t xml:space="preserve">(3) Represents charges incurred in connection with the Restructuring Plans; refer to </w:t>
      </w:r>
      <w:r>
        <w:rPr>
          <w:rFonts w:ascii="Roboto;sans-serif" w:hAnsi="Roboto;sans-serif"/>
          <w:b w:val="false"/>
          <w:i/>
          <w:color w:val="000000"/>
          <w:sz w:val="14"/>
        </w:rPr>
        <w:t>Note 4, Restructuring</w:t>
      </w:r>
      <w:r>
        <w:rPr>
          <w:color w:val="000000"/>
        </w:rPr>
        <w:t xml:space="preserve"> </w:t>
      </w:r>
      <w:r>
        <w:rPr>
          <w:rFonts w:ascii="Roboto;sans-serif" w:hAnsi="Roboto;sans-serif"/>
          <w:b w:val="false"/>
          <w:color w:val="000000"/>
          <w:sz w:val="14"/>
        </w:rPr>
        <w:t>in the Notes to Consolidated Financial Statements in Part II, Item 8 of this Annual Report on Form 10-K.</w:t>
      </w:r>
    </w:p>
    <w:p>
      <w:pPr>
        <w:pStyle w:val="TextBody"/>
        <w:bidi w:val="0"/>
        <w:spacing w:lineRule="auto" w:line="288" w:before="60" w:after="60"/>
        <w:jc w:val="both"/>
        <w:rPr/>
      </w:pPr>
      <w:r>
        <w:rPr>
          <w:rFonts w:ascii="Roboto;sans-serif" w:hAnsi="Roboto;sans-serif"/>
          <w:b w:val="false"/>
          <w:color w:val="000000"/>
          <w:sz w:val="14"/>
        </w:rPr>
        <w:t xml:space="preserve">(4) </w:t>
      </w:r>
      <w:r>
        <w:rPr>
          <w:rFonts w:ascii="Roboto;sans-serif" w:hAnsi="Roboto;sans-serif"/>
          <w:b w:val="false"/>
          <w:color w:val="050505"/>
          <w:sz w:val="14"/>
        </w:rPr>
        <w:t>Represents accruals</w:t>
      </w:r>
      <w:r>
        <w:rPr>
          <w:color w:val="000000"/>
        </w:rPr>
        <w:t xml:space="preserve"> </w:t>
      </w:r>
      <w:r>
        <w:rPr>
          <w:rFonts w:ascii="Roboto;sans-serif" w:hAnsi="Roboto;sans-serif"/>
          <w:b w:val="false"/>
          <w:color w:val="050505"/>
          <w:sz w:val="14"/>
        </w:rPr>
        <w:t xml:space="preserve">related to settlement of disputes with various third-party suppliers about certain alleged past and future commitments, which occurred due to part of an unusual, one-time effort to adjust the Company’s forecasted inventory during its fiscal years 2022 and 2023. With the settlement during the </w:t>
      </w:r>
      <w:r>
        <w:rPr>
          <w:rFonts w:ascii="Roboto;sans-serif" w:hAnsi="Roboto;sans-serif"/>
          <w:b w:val="false"/>
          <w:color w:val="000000"/>
          <w:sz w:val="14"/>
        </w:rPr>
        <w:t>fiscal year ended June 30, 2025</w:t>
      </w:r>
      <w:r>
        <w:rPr>
          <w:rFonts w:ascii="Roboto;sans-serif" w:hAnsi="Roboto;sans-serif"/>
          <w:b w:val="false"/>
          <w:color w:val="050505"/>
          <w:sz w:val="14"/>
        </w:rPr>
        <w: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(5) Represents adjustments and charges primarily associated with our Tread+ and Bike Seat Post product recall related matters, as well as accrual adjustments. These include recorded benefits in Connected Fitness Products Cost of revenue associated with recall related matters of $(9.5) million, and adjustments to Connected Fitness Products Revenue for actual and estimated future returns of $(4.5) million, for the fiscal year ended June 30, 2024.</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(6) Includes litigation-related expenses for certain patent infringement litigation, consumer arbitration, and product recalls for the fiscal year ended June 30, 2024, that arise outside of the ordinary course of business and are nonrecurring, infrequent, or unusual.</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4"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8507" w:type="dxa"/>
        <w:jc w:val="left"/>
        <w:tblInd w:w="0" w:type="dxa"/>
        <w:tblLayout w:type="fixed"/>
        <w:tblCellMar>
          <w:top w:w="28" w:type="dxa"/>
          <w:left w:w="28" w:type="dxa"/>
          <w:bottom w:w="28" w:type="dxa"/>
          <w:right w:w="28" w:type="dxa"/>
        </w:tblCellMar>
      </w:tblPr>
      <w:tblGrid>
        <w:gridCol w:w="1326"/>
        <w:gridCol w:w="1164"/>
        <w:gridCol w:w="1169"/>
        <w:gridCol w:w="226"/>
        <w:gridCol w:w="886"/>
        <w:gridCol w:w="271"/>
        <w:gridCol w:w="109"/>
        <w:gridCol w:w="109"/>
        <w:gridCol w:w="109"/>
        <w:gridCol w:w="226"/>
        <w:gridCol w:w="886"/>
        <w:gridCol w:w="271"/>
        <w:gridCol w:w="109"/>
        <w:gridCol w:w="109"/>
        <w:gridCol w:w="109"/>
        <w:gridCol w:w="226"/>
        <w:gridCol w:w="886"/>
        <w:gridCol w:w="316"/>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1,157.7 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1,231.6 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1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73.0 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Free Cash Flow</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(used in) operating activities, the most directly comparable financial measure prepared in accordance with GAAP, for each of the periods indicated:</w:t>
      </w:r>
    </w:p>
    <w:tbl>
      <w:tblPr>
        <w:tblW w:w="8501" w:type="dxa"/>
        <w:jc w:val="left"/>
        <w:tblInd w:w="0" w:type="dxa"/>
        <w:tblLayout w:type="fixed"/>
        <w:tblCellMar>
          <w:top w:w="28" w:type="dxa"/>
          <w:left w:w="28" w:type="dxa"/>
          <w:bottom w:w="28" w:type="dxa"/>
          <w:right w:w="28" w:type="dxa"/>
        </w:tblCellMar>
      </w:tblPr>
      <w:tblGrid>
        <w:gridCol w:w="1707"/>
        <w:gridCol w:w="1496"/>
        <w:gridCol w:w="1506"/>
        <w:gridCol w:w="226"/>
        <w:gridCol w:w="706"/>
        <w:gridCol w:w="109"/>
        <w:gridCol w:w="109"/>
        <w:gridCol w:w="109"/>
        <w:gridCol w:w="109"/>
        <w:gridCol w:w="226"/>
        <w:gridCol w:w="706"/>
        <w:gridCol w:w="109"/>
        <w:gridCol w:w="109"/>
        <w:gridCol w:w="109"/>
        <w:gridCol w:w="109"/>
        <w:gridCol w:w="226"/>
        <w:gridCol w:w="67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our Term Loan (as defined below), as well as cash flows from operating activities. As of June 30, 2026, we had Cash and cash equivalents of approximately $1,206.6 million.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anticipate capital expenditures over the next 12 months to include investments in product development, content and our studios, systems implementation, and IT infrastructure. </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equivalents and cash flow from operations will be sufficient to meet our working capital and capital expenditure needs for the next 12 months and beyond. Our future capital requirements could vary materially from those currently planned and will depend on many factors and their timing, including:</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ability to generate and grow revenue and market acceptance of our Connected Fitness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5"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Adjustments to our supply chain and cost structures in response to material fluctuations in product demand;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Expenditures related to acquisitions;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Spending on research and development and manufacturing initiatives;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financial impact of product recalls and sales and marketing activities;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New product introductions;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Investments needed for international expansion; and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Overall economic conditions.</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additional indebtedness would result in increased debt service obligations and the instruments governing such debt could include operating and financing covenants that would restrict our operations. There can be no assurance that we will be able to raise additional capital. The inability to raise capital would adversely affect our ability to achieve our business objectives.</w:t>
      </w:r>
    </w:p>
    <w:p>
      <w:pPr>
        <w:pStyle w:val="TextBody"/>
        <w:bidi w:val="0"/>
        <w:spacing w:before="0" w:after="0"/>
        <w:jc w:val="both"/>
        <w:rPr/>
      </w:pPr>
      <w:r>
        <w:rPr/>
      </w:r>
    </w:p>
    <w:p>
      <w:pPr>
        <w:pStyle w:val="TextBody"/>
        <w:bidi w:val="0"/>
        <w:spacing w:lineRule="auto" w:line="288" w:before="0" w:after="120"/>
        <w:jc w:val="left"/>
        <w:rPr>
          <w:rFonts w:ascii="Roboto;sans-serif" w:hAnsi="Roboto;sans-serif"/>
          <w:b/>
          <w:i/>
          <w:color w:val="000000"/>
          <w:sz w:val="18"/>
        </w:rPr>
      </w:pPr>
      <w:r>
        <w:rPr>
          <w:rFonts w:ascii="Roboto;sans-serif" w:hAnsi="Roboto;sans-serif"/>
          <w:b/>
          <w:i/>
          <w:color w:val="000000"/>
          <w:sz w:val="18"/>
        </w:rPr>
        <w:t>Cash Flows</w:t>
      </w:r>
    </w:p>
    <w:tbl>
      <w:tblPr>
        <w:tblW w:w="8501" w:type="dxa"/>
        <w:jc w:val="left"/>
        <w:tblInd w:w="0" w:type="dxa"/>
        <w:tblLayout w:type="fixed"/>
        <w:tblCellMar>
          <w:top w:w="28" w:type="dxa"/>
          <w:left w:w="28" w:type="dxa"/>
          <w:bottom w:w="28" w:type="dxa"/>
          <w:right w:w="28" w:type="dxa"/>
        </w:tblCellMar>
      </w:tblPr>
      <w:tblGrid>
        <w:gridCol w:w="1707"/>
        <w:gridCol w:w="1496"/>
        <w:gridCol w:w="1506"/>
        <w:gridCol w:w="226"/>
        <w:gridCol w:w="706"/>
        <w:gridCol w:w="109"/>
        <w:gridCol w:w="109"/>
        <w:gridCol w:w="109"/>
        <w:gridCol w:w="109"/>
        <w:gridCol w:w="226"/>
        <w:gridCol w:w="706"/>
        <w:gridCol w:w="109"/>
        <w:gridCol w:w="109"/>
        <w:gridCol w:w="109"/>
        <w:gridCol w:w="109"/>
        <w:gridCol w:w="226"/>
        <w:gridCol w:w="67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operating activities of $387.6 million for the fiscal year ended June 30, 2026 was primarily related to non-cash adjustments of $359.8 million and a net income of $63.2 million, partially offset by a net increase in operating assets and liabilities of $35.5 million. Non-cash adjustments primarily consisted of $198.6 million of stock-based compensation expense, $57.2 million of depreciation and amortization, $49.8 million of non-cash operating lease expense, and $34.6 million of impairment expense. The net increase in operating assets and liabilities was primarily due to a $77.3 million decrease in net operating lease liabilities due to lease payments and lease terminations as we continued to reduce our real estate footprint in connection with the Restructuring Plans, and a $71.1 million decrease in accounts payable and accrued expenses, partially offset by an $81.3 million decrease in net inventory levels and a $34.2 million decrease in prepaid expenses and other current assets.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operating activities of $333.0 million for the fiscal year ended June 30, 2025 was primarily related to non-cash adjustments of $424.5 million and a net decrease in operating assets and liabilities of $27.4 million, partially offset by a net loss of $118.9 million. Non-cash adjustments primarily consisted of $229.6 million of stock-based compensation expense, $89.7 million of depreciation and amortization, $64.1 million of impairment expense, and $54.5 million of non-cash operating lease expense. The net decrease in operating assets and liabilities was primarily due to a $136.5 million decrease in net inventory levels and a $66.6 million decrease in prepaid expenses and other current assets, partially offset by a $94.0 million decrease in accounts payable and accrued expenses and an $82.3 million decrease in net operating lease liabilities due to lease payments and lease terminations as we continued to reduce our real estate footprint through our 2024 Restructuring Plan efforts.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investing activities of $21.4 million for the fiscal year ended June 30, 2026 was primarily related to $11.4 million used for business combinations and asset acquisitions, and $9.9 million used for capital expenditures.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investing activities of $5.1 million for the fiscal year ended June 30, 2025 was primarily related to $9.3 million used for capital expenditures, partially offset by $4.2 million in proceeds from the sale of the remaining Peloton Output Park land parcel.</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financing activities of $207.6 million for the fiscal year ended June 30, 2026 was primarily due to a $199.0 million repayment of the 2026 Notes (as defined below) upon maturity, $10.0 million in principal repayments on the Term Loan (as defined below), and $2.2 million of taxes withheld and paid on employee stock awards, partially offset by $4.0 million related to net proceeds from purchases under the Employee Stock Purchase Plan (“ESPP”) and option exercises under our employee stock plans.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financing activities of $1.7 million for the fiscal year ended June 30, 2025 was primarily related to net proceeds from option exercises under our employee stock plans and purchases under the ESPP of $15.3 million, partially offset by $10.0 million in principal repayments on the Term Loan (as defined below) and $3.5 million of taxes withheld and paid on employee stock awards.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Debt Obligations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2021, we issued $1.0 billion aggregate principal amount of 0.00% Convertible Senior Notes due 2026 (the “2026 Notes”) in a private offering. The net proceeds from the offering were approximately $977.2 million, after deducting the initial purchasers’ discounts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6"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commissions and our offering expenses. The 2026 Notes did not bear regular interest, and the principal amount of the 2026 Notes did not accrete. The 2026 Notes matured on February 15, 2026, and during the fiscal year ended June 30, 2026, we repaid in cash the remaining $199.0 million aggregate principal amount of the 2026 Notes.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2024, we issued $350.0 million aggregate principal amount of 5.50% Convertible Senior Notes due 2029 (the “2029 Notes”) in a private offering. The net proceeds from this offering were approximately $342.3 million, which were used, together with proceeds from the Term Loan (as defined below) and cash on hand, to repurchase approximately $801.0 million aggregate principal amount of the 2026 Notes. The 2029 Notes bear interest at a rate of 5.50% per annum, payable semi-annually in arrears on June 1 and December 1 of each year, beginning on December 1, 2024. The 2029 Notes will mature on December 1, 2029, unless earlier converted, redeemed, or repurchased. The 2029 Notes will be convertible at the option of the holders at certain times and upon the occurrence of certain events.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On May 30, 2024, we entered into a Third Amended and Restated Credit Agreement, which provides for a $1.0 billion term loan facility (the “Term Loan”) and a $100.0 million revolving credit facility (the “Revolving Facility”), both of which will mature on May 30, 2029. The Term Loan amortizes in quarterly installments of 0.25%, payable at the end of each fiscal quarter and on the maturity date. Interest on borrowings under the Term Loan and Revolving Facility are determined based on calculations using an alternate base rate or term SOFR rate (further described in </w:t>
      </w:r>
      <w:r>
        <w:rPr>
          <w:rFonts w:ascii="Roboto;sans-serif" w:hAnsi="Roboto;sans-serif"/>
          <w:b w:val="false"/>
          <w:i/>
          <w:color w:val="000000"/>
          <w:sz w:val="18"/>
        </w:rPr>
        <w:t>Note 11, Debt i</w:t>
      </w:r>
      <w:r>
        <w:rPr>
          <w:rFonts w:ascii="Roboto;sans-serif" w:hAnsi="Roboto;sans-serif"/>
          <w:b w:val="false"/>
          <w:color w:val="000000"/>
          <w:sz w:val="18"/>
        </w:rPr>
        <w:t>n the Notes to our Consolidated Financial Statements in Part II, Item 8 of this Annual Report on Form 10-K) at our option. We are also required to pay a quarterly commitment fee on the unused portion of the Revolving Facility, which accrues at a rate of 0.375% or 0.500% per annum depending on our First Lien Net Leverage Ratio (as defined in the Third Amended and Restated Credit Agreement). As of June 30, 2026, we had drawn the full amount of the Term Loan and had not drawn on the Revolving Facility, and we had $980.0 million total outstanding borrowings under the Third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of our material subsidiaries if, at the end of future financial quarters, certain conditions are not met. The Third Amended and Restated Credit Agreement contains customary affirmative covenants as well as customary negative covenants.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required to pledge or otherwise restrict a portion of cash and cash equivalents as collateral for standby letters of credit. As of June 30, 2026, we had outstanding letters of credit totaling $40.9 million, which are classified as Restricted cash on the Consolidated Balance Sheets.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11, Debt i</w:t>
      </w:r>
      <w:r>
        <w:rPr>
          <w:rFonts w:ascii="Roboto;sans-serif" w:hAnsi="Roboto;sans-serif"/>
          <w:b w:val="false"/>
          <w:color w:val="000000"/>
          <w:sz w:val="18"/>
        </w:rPr>
        <w:t>n the Notes to our Consolidated Financial Statements in Part II, Item 8 of this Annual Report on Form 10-K for further details regarding our debt obligations.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Contractual Obligations and Commitments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As of June 30, 2026,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886"/>
        <w:gridCol w:w="109"/>
        <w:gridCol w:w="109"/>
        <w:gridCol w:w="109"/>
        <w:gridCol w:w="109"/>
        <w:gridCol w:w="226"/>
        <w:gridCol w:w="70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royalty payments </w:t>
            </w:r>
            <w:r>
              <w:rPr>
                <w:rFonts w:ascii="Roboto;sans-serif" w:hAnsi="Roboto;sans-serif"/>
                <w:b w:val="false"/>
                <w:color w:val="000000"/>
                <w:sz w:val="12"/>
              </w:rPr>
              <w:t>(2)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219.3 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(1) 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$0.9 million, also included above.</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 xml:space="preserve">Risk Factors — Risks Related to Our Business — </w:t>
      </w:r>
      <w:r>
        <w:rPr>
          <w:rFonts w:ascii="Roboto;sans-serif" w:hAnsi="Roboto;sans-serif"/>
          <w:b w:val="false"/>
          <w:i/>
          <w:color w:val="000000"/>
          <w:sz w:val="14"/>
        </w:rPr>
        <w:t>We depend upon third-party licenses for the use of music in our content. An adverse change to, loss of, or claim that we do not hold necessary licenses may have an adverse effect on our business, operating results, and financial condition.”</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 The payments due by period in the table above are reflective of the rate as of June 30, 2026, which is 0.375%.</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other contractual obligations, which primarily relate to cloud computing and other service contracts.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11, Debt</w:t>
      </w:r>
      <w:r>
        <w:rPr>
          <w:color w:val="000000"/>
        </w:rPr>
        <w:t xml:space="preserve"> </w:t>
      </w:r>
      <w:r>
        <w:rPr>
          <w:rFonts w:ascii="Roboto;sans-serif" w:hAnsi="Roboto;sans-serif"/>
          <w:b w:val="false"/>
          <w:color w:val="000000"/>
          <w:sz w:val="14"/>
        </w:rPr>
        <w:t>in the Notes to Consolidated Financial Statements in Part II, Item 8 of this Annual Report on Form 10-K for further details regarding our 2029 Notes and Term Loan obligations.</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7"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We utilize a combination of in-house manufacturing and global sourcing with third-party manufacturing partners</w:t>
      </w:r>
      <w:r>
        <w:rPr>
          <w:color w:val="000000"/>
        </w:rPr>
        <w:t xml:space="preserve"> </w:t>
      </w:r>
      <w:r>
        <w:rPr>
          <w:rFonts w:ascii="Roboto;sans-serif" w:hAnsi="Roboto;sans-serif"/>
          <w:b w:val="false"/>
          <w:color w:val="000000"/>
          <w:sz w:val="18"/>
        </w:rPr>
        <w:t xml:space="preserve">to build our products and accessories. These contract manufacturers and component suppliers acquire inventory and build products based on demand forecast information we supply, which typically covers a rolling 12-month period. Consistent with industry practice, we acquire inventories from these suppliers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 and Precor-specific designs, and/or specific non-cancelable, non-returnable components based on our provided forecasts.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As of June 30, 2026, our commitments to contract with third-party manufacturers for their inventory on-hand and component purchase commitments related to the manufacture of our products were estimated to be approximately $77.2 million, which is due within one year, and excluded from the table above. See </w:t>
      </w:r>
      <w:r>
        <w:rPr>
          <w:color w:val="000000"/>
        </w:rPr>
        <w:t>“</w:t>
      </w:r>
      <w:r>
        <w:rPr>
          <w:rFonts w:ascii="Roboto;sans-serif" w:hAnsi="Roboto;sans-serif"/>
          <w:b w:val="false"/>
          <w:i/>
          <w:color w:val="000000"/>
          <w:sz w:val="18"/>
        </w:rPr>
        <w:t>Risk Factors — Risks Related to Our Business — Our operating results have been, and could in the future be, adversely affected if we are unable to accurately forecast consumer demand for our products and services and adequately manage our inventory</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 xml:space="preserve">in the Notes to Consolidated Financial Statements in Part II, Item 8 of this Annual Report on Form 10-K under the heading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Inventory Valuation and Reserves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review our inventory to ensure that its carrying value does not exceed its net realizable value (“NRV”), with NRV based on the estimated selling price of inventory in the ordinary course of business, less estimated costs of completion, disposal and transportation. When our expectations indicate that the carrying value of inventory may exceed its NRV, we calculate the approximate amount by which carrying value is greater than NRV and record a write-down for that difference as a component of Connected Fitness Products Cost of revenue. Once a write-down occurs, a new, lower cost basis is established. These assumptions about future disposition of inventory are inherently uncertain and should our estimates used in these calculations change in the future, such as estimated selling prices or disposal costs, additional and potentially material write-downs may occur.</w:t>
      </w:r>
    </w:p>
    <w:p>
      <w:pPr>
        <w:pStyle w:val="TextBody"/>
        <w:bidi w:val="0"/>
        <w:spacing w:lineRule="auto" w:line="288" w:before="0" w:after="0"/>
        <w:jc w:val="both"/>
        <w:rPr/>
      </w:pPr>
      <w:r>
        <w:rPr>
          <w:rFonts w:ascii="Roboto;sans-serif" w:hAnsi="Roboto;sans-serif"/>
          <w:b w:val="false"/>
          <w:color w:val="000000"/>
          <w:sz w:val="18"/>
        </w:rPr>
        <w:t xml:space="preserve">We also regularly monitor inventory quantities on-hand and in-transit and reserve for excess and obsolete inventories using estimates based on historical experience, historical and projected sales trends, specific categories of inventory, and age of on-hand inventory. Inventories presented in the Consolidated Balance Sheets are net of reserves for excess and obsolete inventory. If actual conditions or product demands are less favorable than our assumptions, additional inventory reserves may be required and could potentially be material. For additional information regarding these reserves, refer to </w:t>
      </w:r>
      <w:r>
        <w:rPr>
          <w:rFonts w:ascii="Roboto;sans-serif" w:hAnsi="Roboto;sans-serif"/>
          <w:b w:val="false"/>
          <w:i/>
          <w:color w:val="000000"/>
          <w:sz w:val="18"/>
        </w:rPr>
        <w:t>Note 6, Inventories</w:t>
      </w:r>
      <w:r>
        <w:rPr>
          <w:rFonts w:ascii="Roboto;sans-serif" w:hAnsi="Roboto;sans-serif"/>
          <w:b w:val="false"/>
          <w:color w:val="000000"/>
          <w:sz w:val="18"/>
        </w:rPr>
        <w:t>, in the Notes to our Consolidated Financial Statements in Part II, Item 8 of this Annual Report on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Impairment of Long-Lived Assets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review our long-lived asset groups for impairment whenever events or changes in circumstances indicate their carrying value may not be recoverable. Recoverability of our long-lived asset groups are measured by comparing the undiscounted future cash flows expected to be generated from the asset group to the carrying value of the asset group. If the test for recoverability identifies a possible impairment, the asset group’s fair value is measured relying primarily on a discounted cash flow method. An impairment charge is recognized for the amount by which the carrying value of the asset group exceeds its estimated fair value.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our Connected Fitness Products segment and Subscription segment, we evaluate long-lived tangible assets at the lowest level at which independent cash flows can be identified, which is dependent on the strategy and expected future use of our long-lived assets. We evaluate corporate assets or other long-lived assets that are not segment-specific at the consolidated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8"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measure the fair value of an asset group based on market prices (i.e., the amount for which the asset could be sold to a third-party) when available. When market prices are not available, we generally estimate the fair value of the asset group using the income approach and/or the market approach. The income approach uses cash flow projections. Inherent in our development of cash flow projections are assumptions and estimates derived from a review of our operating results, business plan forecasts, expected growth rates, and cost of capital, similar to those a market participant would use to assess fair value. We also make certain assumptions about future economic conditions and other data. Significant judgments and estimates are included in the determination of the fair value of our right-of-use assets, including the expected downtime period to the commencement of future subleases, projected sublease income over the remaining lease period, and discount rates that reflect the level of risk associated with the expected future cash flows.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estimates are subject to uncertainty and may be affected by a number of factors outside our control, including general economic conditions and the competitive environment. Unforeseen events, changes in circumstances and market conditions, and changes in assumptions and estimates of future cash flows could adversely affect the fair value of our long-lived asset groups and could result in future impairment charges.</w:t>
      </w:r>
    </w:p>
    <w:p>
      <w:pPr>
        <w:pStyle w:val="TextBody"/>
        <w:bidi w:val="0"/>
        <w:spacing w:lineRule="auto" w:line="288" w:before="240" w:after="283"/>
        <w:jc w:val="both"/>
        <w:rPr/>
      </w:pPr>
      <w:r>
        <w:rPr>
          <w:rFonts w:ascii="Roboto;sans-serif" w:hAnsi="Roboto;sans-serif"/>
          <w:b w:val="false"/>
          <w:color w:val="000000"/>
          <w:sz w:val="18"/>
        </w:rPr>
        <w:t xml:space="preserve">During fiscal 2024, 2025 and 2026,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 For details regarding the impairment charges recognized as a result of these triggering events, refer to </w:t>
      </w:r>
      <w:r>
        <w:rPr>
          <w:rFonts w:ascii="Roboto;sans-serif" w:hAnsi="Roboto;sans-serif"/>
          <w:b w:val="false"/>
          <w:i/>
          <w:color w:val="000000"/>
          <w:sz w:val="18"/>
        </w:rPr>
        <w:t>Note 7, Property and Equipment</w:t>
      </w:r>
      <w:r>
        <w:rPr>
          <w:rFonts w:ascii="Roboto;sans-serif" w:hAnsi="Roboto;sans-serif"/>
          <w:b w:val="false"/>
          <w:color w:val="000000"/>
          <w:sz w:val="18"/>
        </w:rPr>
        <w:t xml:space="preserve">, and </w:t>
      </w:r>
      <w:r>
        <w:rPr>
          <w:rFonts w:ascii="Roboto;sans-serif" w:hAnsi="Roboto;sans-serif"/>
          <w:b w:val="false"/>
          <w:i/>
          <w:color w:val="000000"/>
          <w:sz w:val="18"/>
        </w:rPr>
        <w:t>Note 10, Leases</w:t>
      </w:r>
      <w:r>
        <w:rPr>
          <w:rFonts w:ascii="Roboto;sans-serif" w:hAnsi="Roboto;sans-serif"/>
          <w:b w:val="false"/>
          <w:color w:val="000000"/>
          <w:sz w:val="18"/>
        </w:rPr>
        <w:t>, in the Notes to our Consolidated Financial Statements in Part II, Item 8 of this Annual Report on Form 10-K.</w:t>
      </w:r>
    </w:p>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Loss Contingencies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or may become, a party to legal proceedings, claims, and regulatory, tax, and government inquiries and investigations that arise in the ordinary course of business. The Company records a liability when it is probable that a loss has been incurred and the amount is reasonably estimable, the determination of which requires significant judgment. These estimates have been based on our assessment of the facts and circumstances at each balance sheet date and are subject to change based on new information and future events. For the matters we disclose in the accompanying notes to the consolidated financial statements that do not include an estimate of the amount of loss or range of losses, estimating such an amount is not possible or is immaterial.</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outcomes of our legal proceedings are inherently unpredictable and subject to significant uncertainties, and until the final resolution of any such matter, there may be exposure to a material loss in excess of the amount recorded. Given that our legal proceedings, claims, and regulatory, tax, and government inquiries and investigations are subject to uncertainty, there can be no assurance that such legal proceedings, either individually or in the aggregate, will not have a material adverse effect on our business, results of operations, financial condition or cash flows. For additional information regarding these contingencies, refer to </w:t>
      </w:r>
      <w:r>
        <w:rPr>
          <w:rFonts w:ascii="Roboto;sans-serif" w:hAnsi="Roboto;sans-serif"/>
          <w:b w:val="false"/>
          <w:i/>
          <w:color w:val="000000"/>
          <w:sz w:val="18"/>
        </w:rPr>
        <w:t>Note 12, Commitments and Contingencies</w:t>
      </w:r>
      <w:r>
        <w:rPr>
          <w:rFonts w:ascii="Roboto;sans-serif" w:hAnsi="Roboto;sans-serif"/>
          <w:b w:val="false"/>
          <w:color w:val="000000"/>
          <w:sz w:val="18"/>
        </w:rPr>
        <w:t>, in the Notes to our Consolidated Financial Statements in Part II, Item 8 of this Annual Report on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Product Warranty and Recall Related Provisions</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 xml:space="preserve">Product warranty costs are recognized as a component of Connected Fitness Products Cost of revenue upon the transfer of control of our Connected Fitness Products to our customers. We estimate our product warranty obligation based on factors including historical and current product warranty claims, historical service delivery and replacement costs, and warranty policies and business practices. Product warranty obligations are reviewed and adjusted quarterly to ensure that accruals are adequate to meet expected future warranty obligations.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 xml:space="preserve">We accrue cost of product recalls and other potential corrective actions based on management’s estimate of when it is probable that a liability has been incurred and the amount can be reasonably estimated, which occurs when management commits to either a corrective action plan or quality improvement plan, or when required by regulatory requirements. These costs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 xml:space="preserve">Estimating future product warranty and recall related provisions is highly subjective and requires significant management judgment. Based on information that is currently available, management believes that the product warranty and recall related provisions are adequate, however it is possible that substantial additional charges may be required in future periods based on new information, changes in facts and circumstances, and actions we may commit to or be required to undertake.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Music Royalty Fees</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To secure the rights to use music in our content, we enter into agreements to obtain licenses from rights holders such as performing rights organizations, record labels, music publishers, collecting societies, artists and songwriters, and other copyright owners (or their agents). Music royalty fees are calculated using negotiated rates in accordance with our license agreements or estimates of those rates where rights holders are not identified, which may involve significant judgment, assumptions, and estimates in addition to a significant volume of data to be processed and analyzed.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Certain of our license agreements contain payment guarantees. We rely on estimates to forecast whether guaranteed payments against royalties will be fully recouped against our actual content costs incurred over the term of the license agreement. To the extent that our content costs do not exceed such guaranteed payments, incremental music royalty fees may need to be expensed over the period we determine the guaranteed payment is no longer deemed recoverable.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59"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process of obtaining licenses involves identifying and negotiating with many rights holders, some of whom are unknown, or difficult to identify, or for whom we may have conflicting ownership information, and this can generate a myriad of complex and evolving legal issues across many jurisdictions, including open questions of law as to when and whether particular licenses are needed. As such, we may be required to estimate music royalty fees based on comparable contractual rates and our best estimate of usage of a licensor. These estimates are subject to change based on several factors, including new observable data from license negotiations and the execution of new license agreements.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with another licensor, these most-favored nations provisions could cause our payment or other obligations to escalate substantially. If a license agreement contains a most-favored nations provision, a reserve is established based on the “most-favored” rates within the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7A. Quantitative and Qualitative Disclosures About Market Risk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had Cash and cash equivalents of $1,206.6 million as of June 30, 2026.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Annual Report on Form 10-K would not have had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Term Loan. We monitor our cost of borrowing under our facilities, taking into account our funding requirements, and our expectations for short-term rates in the future. A hypothetical 10% change in the interest rate on our Term Loan for all periods presented would not have a material impact on our consolidated financial statements.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as are certain intercompany balances, and any unfavorable movement in the exchange rate between U.S. dollars and the currencies in which we conduct business in foreign countries could have an adverse impact on our results of operations.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experienced fluctuations in our net income (loss), primarily as a result of transaction gains and losses related to the remeasurement of our intercompany asset and liability balances that are denominated in currencies other than the functional currency of the entities in which they are recorded. Fluctuations in exchange rates between U.S. dollars and the currencies in which these balances are denominated contributed to Foreign exchange losses of $10.1 million for the fiscal year ended June 30, 2026 and Foreign exchange gains of $22.4 million for the fiscal year ended June 30, 2025. We had minimal foreign currency exposure for the fiscal year ended June 30,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a result of inflationary conditions, there have been and may continue to be additional pressures on the ongoing increases in supply chain and logistics costs, materials costs, and labor costs. The effect of U.S. and global tariffs may spur inflationary conditions and create further pressures on costs. Additionally, ongoing and future global conflicts may further drive inflationary pressures throughout the global economy and lead to potential market disruptions.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tariffs,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0"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225" w:after="283"/>
        <w:jc w:val="center"/>
        <w:rPr>
          <w:rFonts w:ascii="Roboto;sans-serif" w:hAnsi="Roboto;sans-serif"/>
          <w:b/>
          <w:color w:val="000000"/>
          <w:sz w:val="20"/>
        </w:rPr>
      </w:pPr>
      <w:r>
        <w:rPr>
          <w:rFonts w:ascii="Roboto;sans-serif" w:hAnsi="Roboto;sans-serif"/>
          <w:b/>
          <w:color w:val="000000"/>
          <w:sz w:val="20"/>
        </w:rPr>
        <w:t>INDEX TO CONSOLIDATED FINANCIAL STATEMENTS</w:t>
      </w:r>
    </w:p>
    <w:tbl>
      <w:tblPr>
        <w:tblW w:w="7501" w:type="dxa"/>
        <w:jc w:val="center"/>
        <w:tblInd w:w="0" w:type="dxa"/>
        <w:tblLayout w:type="fixed"/>
        <w:tblCellMar>
          <w:top w:w="28" w:type="dxa"/>
          <w:left w:w="28" w:type="dxa"/>
          <w:bottom w:w="28" w:type="dxa"/>
          <w:right w:w="28" w:type="dxa"/>
        </w:tblCellMar>
      </w:tblPr>
      <w:tblGrid>
        <w:gridCol w:w="2480"/>
        <w:gridCol w:w="2177"/>
        <w:gridCol w:w="2183"/>
        <w:gridCol w:w="193"/>
        <w:gridCol w:w="193"/>
        <w:gridCol w:w="275"/>
      </w:tblGrid>
      <w:tr>
        <w:trPr/>
        <w:tc>
          <w:tcPr>
            <w:tcW w:w="248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85">
              <w:r>
                <w:rPr>
                  <w:rStyle w:val="InternetLink"/>
                  <w:rFonts w:ascii="Roboto;sans-serif" w:hAnsi="Roboto;sans-serif"/>
                  <w:b w:val="false"/>
                  <w:color w:val="0000FF"/>
                  <w:sz w:val="18"/>
                  <w:u w:val="single"/>
                </w:rPr>
                <w:t>Report of Independent Registered Public Accounting Firm</w:t>
              </w:r>
            </w:hyperlink>
            <w:r>
              <w:rPr>
                <w:color w:val="000000"/>
              </w:rPr>
              <w:t xml:space="preserve"> </w:t>
            </w:r>
            <w:r>
              <w:rPr>
                <w:rFonts w:ascii="Roboto;sans-serif" w:hAnsi="Roboto;sans-serif"/>
                <w:b w:val="false"/>
                <w:color w:val="000000"/>
                <w:sz w:val="18"/>
              </w:rPr>
              <w:t>(PCAOB ID: 42)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85">
              <w:r>
                <w:rPr>
                  <w:rStyle w:val="InternetLink"/>
                  <w:rFonts w:ascii="Roboto;sans-serif" w:hAnsi="Roboto;sans-serif"/>
                  <w:b w:val="false"/>
                  <w:color w:val="0000FF"/>
                  <w:sz w:val="18"/>
                  <w:u w:val="single"/>
                </w:rPr>
                <w:t>60</w:t>
              </w:r>
            </w:hyperlink>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88">
              <w:r>
                <w:rPr>
                  <w:rStyle w:val="InternetLink"/>
                  <w:rFonts w:ascii="Roboto;sans-serif" w:hAnsi="Roboto;sans-serif"/>
                  <w:b w:val="false"/>
                  <w:color w:val="0000FF"/>
                  <w:sz w:val="18"/>
                  <w:u w:val="single"/>
                </w:rPr>
                <w:t>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88">
              <w:r>
                <w:rPr>
                  <w:rStyle w:val="InternetLink"/>
                  <w:rFonts w:ascii="Roboto;sans-serif" w:hAnsi="Roboto;sans-serif"/>
                  <w:b w:val="false"/>
                  <w:color w:val="0000FF"/>
                  <w:sz w:val="18"/>
                  <w:u w:val="single"/>
                </w:rPr>
                <w:t>63</w:t>
              </w:r>
            </w:hyperlink>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91">
              <w:r>
                <w:rPr>
                  <w:rStyle w:val="InternetLink"/>
                  <w:rFonts w:ascii="Roboto;sans-serif" w:hAnsi="Roboto;sans-serif"/>
                  <w:b w:val="false"/>
                  <w:color w:val="000080"/>
                  <w:sz w:val="18"/>
                  <w:u w:val="single"/>
                </w:rPr>
                <w:t xml:space="preserve">Consolidated Statements of Operations and Comprehensive </w:t>
              </w:r>
            </w:hyperlink>
            <w:hyperlink w:anchor="i08825b7f579d4eddac68d38d367170ab_91">
              <w:r>
                <w:rPr>
                  <w:rStyle w:val="InternetLink"/>
                  <w:rFonts w:ascii="Roboto;sans-serif" w:hAnsi="Roboto;sans-serif"/>
                  <w:b w:val="false"/>
                  <w:color w:val="000080"/>
                  <w:sz w:val="18"/>
                  <w:u w:val="single"/>
                </w:rPr>
                <w:t>Income (</w:t>
              </w:r>
            </w:hyperlink>
            <w:hyperlink w:anchor="i08825b7f579d4eddac68d38d367170ab_91">
              <w:r>
                <w:rPr>
                  <w:rStyle w:val="InternetLink"/>
                  <w:rFonts w:ascii="Roboto;sans-serif" w:hAnsi="Roboto;sans-serif"/>
                  <w:b w:val="false"/>
                  <w:color w:val="000080"/>
                  <w:sz w:val="18"/>
                  <w:u w:val="single"/>
                </w:rPr>
                <w:t>Loss</w:t>
              </w:r>
            </w:hyperlink>
            <w:r>
              <w:rPr>
                <w:rFonts w:ascii="Roboto;sans-serif" w:hAnsi="Roboto;sans-serif"/>
                <w:b w:val="false"/>
                <w:color w:val="000000"/>
                <w:sz w:val="18"/>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91">
              <w:r>
                <w:rPr>
                  <w:rStyle w:val="InternetLink"/>
                  <w:rFonts w:ascii="Roboto;sans-serif" w:hAnsi="Roboto;sans-serif"/>
                  <w:b w:val="false"/>
                  <w:color w:val="0000FF"/>
                  <w:sz w:val="18"/>
                  <w:u w:val="single"/>
                </w:rPr>
                <w:t>64</w:t>
              </w:r>
            </w:hyperlink>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94">
              <w:r>
                <w:rPr>
                  <w:rStyle w:val="InternetLink"/>
                  <w:rFonts w:ascii="Roboto;sans-serif" w:hAnsi="Roboto;sans-serif"/>
                  <w:b w:val="false"/>
                  <w:color w:val="0000FF"/>
                  <w:sz w:val="18"/>
                  <w:u w:val="single"/>
                </w:rPr>
                <w:t>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94">
              <w:r>
                <w:rPr>
                  <w:rStyle w:val="InternetLink"/>
                  <w:rFonts w:ascii="Roboto;sans-serif" w:hAnsi="Roboto;sans-serif"/>
                  <w:b w:val="false"/>
                  <w:color w:val="0000FF"/>
                  <w:sz w:val="18"/>
                  <w:u w:val="single"/>
                </w:rPr>
                <w:t>65</w:t>
              </w:r>
            </w:hyperlink>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97">
              <w:r>
                <w:rPr>
                  <w:rStyle w:val="InternetLink"/>
                  <w:rFonts w:ascii="Roboto;sans-serif" w:hAnsi="Roboto;sans-serif"/>
                  <w:b w:val="false"/>
                  <w:color w:val="000080"/>
                  <w:sz w:val="18"/>
                  <w:u w:val="single"/>
                </w:rPr>
                <w:t xml:space="preserve">Consolidated Statements of Stockholders’ </w:t>
              </w:r>
            </w:hyperlink>
            <w:hyperlink w:anchor="i08825b7f579d4eddac68d38d367170ab_97">
              <w:r>
                <w:rPr>
                  <w:rStyle w:val="InternetLink"/>
                  <w:rFonts w:ascii="Roboto;sans-serif" w:hAnsi="Roboto;sans-serif"/>
                  <w:b w:val="false"/>
                  <w:color w:val="000080"/>
                  <w:sz w:val="18"/>
                  <w:u w:val="single"/>
                </w:rPr>
                <w:t>Deficit</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97">
              <w:r>
                <w:rPr>
                  <w:rStyle w:val="InternetLink"/>
                  <w:rFonts w:ascii="Roboto;sans-serif" w:hAnsi="Roboto;sans-serif"/>
                  <w:b w:val="false"/>
                  <w:color w:val="0000FF"/>
                  <w:sz w:val="18"/>
                  <w:u w:val="single"/>
                </w:rPr>
                <w:t>67</w:t>
              </w:r>
            </w:hyperlink>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25b7f579d4eddac68d38d367170ab_100">
              <w:r>
                <w:rPr>
                  <w:rStyle w:val="InternetLink"/>
                  <w:rFonts w:ascii="Roboto;sans-serif" w:hAnsi="Roboto;sans-serif"/>
                  <w:b w:val="false"/>
                  <w:color w:val="0000FF"/>
                  <w:sz w:val="18"/>
                  <w:u w:val="single"/>
                </w:rPr>
                <w:t>Notes to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825b7f579d4eddac68d38d367170ab_100">
              <w:r>
                <w:rPr>
                  <w:rStyle w:val="InternetLink"/>
                  <w:rFonts w:ascii="Roboto;sans-serif" w:hAnsi="Roboto;sans-serif"/>
                  <w:b w:val="false"/>
                  <w:color w:val="0000FF"/>
                  <w:sz w:val="18"/>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1"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68" w:before="0" w:after="0"/>
        <w:jc w:val="center"/>
        <w:rPr>
          <w:rFonts w:ascii="Roboto;sans-serif" w:hAnsi="Roboto;sans-serif"/>
          <w:b/>
          <w:color w:val="000000"/>
          <w:sz w:val="18"/>
        </w:rPr>
      </w:pPr>
      <w:r>
        <w:rPr>
          <w:rFonts w:ascii="Roboto;sans-serif" w:hAnsi="Roboto;sans-serif"/>
          <w:b/>
          <w:color w:val="000000"/>
          <w:sz w:val="18"/>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To the Stockholders and the Board of Directors of Peloton Interactive, Inc.</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Opinion on the Financial Statements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We have audited the accompanying consolidated balance sheets of Peloton Interactive, Inc. (the Company) as of June 30, 2026 and 2025, the related consolidated statements of operations and comprehensive income (loss), stockholders' (deficit) and cash flows for each of the three years in the period ended June 30, 2026, and the related notes (collectively referred to as the “consolidated financial statements”). In our opinion, the consolidated financial statements present fairly, in all material respects, the financial position of the Company at June 30, 2026 and 2025, and the results of its operations and its cash flows for each of the three years in the period ended June 30, 2026,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We also have audited, in accordance with the standards of the Public Company Accounting Oversight Board (United States) (PCAOB), the Company's internal control over financial reporting as of June 30, 2026, based on criteria established in Internal Control—Integrated Framework issued by the Committee of Sponsoring Organizations of the Treadway Commission (2013 framework) and our report dated August 6,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Basis for Opinion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Critical Audit Matter</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2"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39"/>
        <w:gridCol w:w="474"/>
        <w:gridCol w:w="477"/>
        <w:gridCol w:w="2829"/>
        <w:gridCol w:w="2434"/>
        <w:gridCol w:w="3452"/>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Roboto;sans-serif" w:hAnsi="Roboto;sans-serif"/>
                <w:b/>
                <w:color w:val="000000"/>
                <w:sz w:val="18"/>
              </w:rPr>
            </w:pPr>
            <w:r>
              <w:rPr>
                <w:rFonts w:ascii="Roboto;sans-serif" w:hAnsi="Roboto;sans-serif"/>
                <w:b/>
                <w:color w:val="000000"/>
                <w:sz w:val="18"/>
              </w:rPr>
              <w:t>Existence of Inventory</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Roboto;sans-serif" w:hAnsi="Roboto;sans-serif"/>
                <w:b w:val="false"/>
                <w:i/>
                <w:color w:val="000000"/>
                <w:sz w:val="18"/>
              </w:rPr>
            </w:pPr>
            <w:r>
              <w:rPr>
                <w:rFonts w:ascii="Roboto;sans-serif" w:hAnsi="Roboto;sans-serif"/>
                <w:b w:val="false"/>
                <w:i/>
                <w:color w:val="000000"/>
                <w:sz w:val="18"/>
              </w:rPr>
              <w:t>Description of the Matter</w:t>
            </w:r>
          </w:p>
        </w:tc>
        <w:tc>
          <w:tcPr>
            <w:tcW w:w="8715"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Roboto;sans-serif" w:hAnsi="Roboto;sans-serif"/>
                <w:b w:val="false"/>
                <w:color w:val="000000"/>
                <w:sz w:val="18"/>
              </w:rPr>
              <w:t xml:space="preserve">At June 30, 2026, the Company held $135.4 million of inventory across its operations centers in the United States, Canada, Germany, the United Kingdom, and Australia. As described in Note 2 to the consolidated financial statements, inventories consist of finished goods and raw materials. </w:t>
              <w:br/>
            </w:r>
            <w:r>
              <w:rPr>
                <w:rFonts w:ascii="Roboto;sans-serif" w:hAnsi="Roboto;sans-serif"/>
                <w:b w:val="false"/>
                <w:sz w:val="18"/>
              </w:rPr>
              <w:br/>
            </w:r>
            <w:r>
              <w:rPr>
                <w:rFonts w:ascii="Roboto;sans-serif" w:hAnsi="Roboto;sans-serif"/>
                <w:b w:val="false"/>
                <w:color w:val="000000"/>
                <w:sz w:val="18"/>
              </w:rPr>
              <w:t>Auditing the existence of inventory involved especially challenging auditor judgment due to the dispersion of inventory across numerous operations centers that are either leased and operated by the Company or that are operated by contracted third-party logistics providers. This results in a degree of auditor judgment in determining the extent of procedures to be performed to validate the existence of inventory. For example, there is judgment required in determining the operations centers at which to perform testing procedures.</w:t>
            </w:r>
          </w:p>
        </w:tc>
      </w:tr>
      <w:tr>
        <w:trPr/>
        <w:tc>
          <w:tcPr>
            <w:tcW w:w="14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Roboto;sans-serif" w:hAnsi="Roboto;sans-serif"/>
                <w:b w:val="false"/>
                <w:i/>
                <w:color w:val="000000"/>
                <w:sz w:val="18"/>
              </w:rPr>
            </w:pPr>
            <w:r>
              <w:rPr>
                <w:rFonts w:ascii="Roboto;sans-serif" w:hAnsi="Roboto;sans-serif"/>
                <w:b w:val="false"/>
                <w:i/>
                <w:color w:val="000000"/>
                <w:sz w:val="18"/>
              </w:rPr>
              <w:t>How We Addressed the Matter in Our Audit</w:t>
            </w:r>
          </w:p>
        </w:tc>
        <w:tc>
          <w:tcPr>
            <w:tcW w:w="8715"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Roboto;sans-serif" w:hAnsi="Roboto;sans-serif"/>
                <w:b w:val="false"/>
                <w:color w:val="000000"/>
                <w:sz w:val="18"/>
              </w:rPr>
              <w:t xml:space="preserve">We obtained an understanding, evaluated the design and tested the operating effectiveness of controls over the Company’s inventory count process. For example, we tested controls over management’s review of the Company’s adherence to inventory count policy, monitoring of the results of inventory counts performed throughout the year, and reconciliation of inventory count results to the general ledger. </w:t>
              <w:br/>
            </w:r>
            <w:r>
              <w:rPr>
                <w:rFonts w:ascii="Roboto;sans-serif" w:hAnsi="Roboto;sans-serif"/>
                <w:b w:val="false"/>
                <w:sz w:val="18"/>
              </w:rPr>
              <w:br/>
            </w:r>
            <w:r>
              <w:rPr>
                <w:rFonts w:ascii="Roboto;sans-serif" w:hAnsi="Roboto;sans-serif"/>
                <w:b w:val="false"/>
                <w:color w:val="000000"/>
                <w:sz w:val="18"/>
              </w:rPr>
              <w:t>To test the existence of inventory at the balance sheet date, our audit procedures included, among others, performing test counts of inventory items at a sample of leased and operated operations centers and procedures to confirm and test inventory quantities held at operations centers operated by contracted third-party logistics providers. We compared our test counts and the quantities confirmed by the contracted third-party logistics providers to the Company’s records. We also tested inventory cutoff at the inventory count date by comparing a sample of inventory transactions from the Company’s records to the related supporting documentation.</w:t>
            </w:r>
          </w:p>
        </w:tc>
      </w:tr>
    </w:tbl>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/s/ Ernst &amp; Young LLP</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We have served as the Company’s auditor since 2017.</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 xml:space="preserve">New York, New York </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August 6,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63"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To the Stockholders and the Board of Directors of Peloton Interactive, Inc.</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Opinion on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Roboto;sans-serif" w:hAnsi="Roboto;sans-serif"/>
          <w:b w:val="false"/>
          <w:color w:val="000000"/>
          <w:sz w:val="18"/>
        </w:rPr>
        <w:t>We have audited Peloton Interactive, Inc.’s internal control over financial reporting as of June 30, 2026, based on criteria established in Internal Control—Integrated Framework issued by the Committee of Sponsoring Organizations of the Treadway Commission (2013 framework)</w:t>
      </w:r>
      <w:r>
        <w:rPr>
          <w:color w:val="000000"/>
        </w:rPr>
        <w:t xml:space="preserve"> </w:t>
      </w:r>
      <w:r>
        <w:rPr>
          <w:rFonts w:ascii="Roboto;sans-serif" w:hAnsi="Roboto;sans-serif"/>
          <w:b w:val="false"/>
          <w:color w:val="000000"/>
          <w:sz w:val="18"/>
        </w:rPr>
        <w:t>(the COSO criteria). In our opinion, Peloton Interactive, Inc. (the Company) maintained, in all material respects, effective internal control over financial reporting as of June 30, 2026, based on the COSO criteria.</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 xml:space="preserve">We also have audited, in accordance with the standards of the Public Company Accounting Oversight Board (United States) (PCAOB), the consolidated balance sheets of the Company as of June 30, 2026 and 2025, the related consolidated statements of operations and comprehensive income (loss), stockholders’ (deficit) and cash flows for each of the three years in the period ended June 30, 2026, and the related notes and our report dated August 6, 2026 expressed an unqualified opinion thereon. </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Basis for Opinion</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/s/ Ernst &amp; Young LLP</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New York, New York</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August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4"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62</w:t>
                      </w:r>
                    </w:p>
                  </w:txbxContent>
                </v:textbox>
                <w10:wrap type="none"/>
              </v:rect>
            </w:pict>
          </mc:Fallback>
        </mc:AlternateContent>
      </w:r>
    </w:p>
    <w:p>
      <w:pPr>
        <w:pStyle w:val="TextBody"/>
        <w:bidi w:val="0"/>
        <w:spacing w:lineRule="auto" w:line="288" w:before="225" w:after="283"/>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54"/>
        <w:gridCol w:w="2179"/>
        <w:gridCol w:w="2056"/>
        <w:gridCol w:w="226"/>
        <w:gridCol w:w="886"/>
        <w:gridCol w:w="109"/>
        <w:gridCol w:w="109"/>
        <w:gridCol w:w="109"/>
        <w:gridCol w:w="109"/>
        <w:gridCol w:w="226"/>
        <w:gridCol w:w="886"/>
        <w:gridCol w:w="156"/>
      </w:tblGrid>
      <w:tr>
        <w:trPr/>
        <w:tc>
          <w:tcPr>
            <w:tcW w:w="315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89"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Current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Accounts receivable, net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Inventories,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Goodwill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assets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Deferred revenue and customer deposits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803.9 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12)</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422,802,650 and 390,579,270 shares of Class A common stock issued and outstanding as of June 30, 2026 and June 30, 2025, respectively; 2,500,000,000 and 2,500,000,000 shares of Class B common stock authorized, 15,836,724 and 15,837,270 shares of Class B common stock issued and outstanding as of June 30, 2026 and June 30, 2025, respectively.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65"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STATEMENTS OF OPERATIONS AND COMPREHENSIVE INCOME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35"/>
        <w:gridCol w:w="1519"/>
        <w:gridCol w:w="1525"/>
        <w:gridCol w:w="331"/>
        <w:gridCol w:w="1035"/>
        <w:gridCol w:w="109"/>
        <w:gridCol w:w="109"/>
        <w:gridCol w:w="109"/>
        <w:gridCol w:w="109"/>
        <w:gridCol w:w="325"/>
        <w:gridCol w:w="1041"/>
        <w:gridCol w:w="109"/>
        <w:gridCol w:w="109"/>
        <w:gridCol w:w="109"/>
        <w:gridCol w:w="109"/>
        <w:gridCol w:w="325"/>
        <w:gridCol w:w="1041"/>
        <w:gridCol w:w="156"/>
      </w:tblGrid>
      <w:tr>
        <w:trPr/>
        <w:tc>
          <w:tcPr>
            <w:tcW w:w="203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2,700.5 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from operations</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(529.0)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gain on debt refinancing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attributable to Class A and Class B common stockholders</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Earnings (loss) per share:</w:t>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424,726,220 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365,546,334 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436,218,643 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365,546,334 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 (loss):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income (loss)</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income (loss)</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6"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96"/>
        <w:gridCol w:w="1831"/>
        <w:gridCol w:w="1836"/>
        <w:gridCol w:w="226"/>
        <w:gridCol w:w="886"/>
        <w:gridCol w:w="109"/>
        <w:gridCol w:w="109"/>
        <w:gridCol w:w="109"/>
        <w:gridCol w:w="109"/>
        <w:gridCol w:w="226"/>
        <w:gridCol w:w="886"/>
        <w:gridCol w:w="109"/>
        <w:gridCol w:w="109"/>
        <w:gridCol w:w="109"/>
        <w:gridCol w:w="109"/>
        <w:gridCol w:w="226"/>
        <w:gridCol w:w="765"/>
        <w:gridCol w:w="155"/>
      </w:tblGrid>
      <w:tr>
        <w:trPr/>
        <w:tc>
          <w:tcPr>
            <w:tcW w:w="229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Fiscal Year Ended June 30,</w:t>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income (loss) to Net cash provided by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sale of subsidiary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Gain on debt extinguishment of convertible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Loss on debt extinguishment of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and customer deposits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 and asset acquisitions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sales of subsidiary and net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Payment of principal on convertible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issuance of convertible notes, net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issuance of term loan,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Taxes withheld and paid on employee stock awards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7"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54"/>
        <w:gridCol w:w="2071"/>
        <w:gridCol w:w="2076"/>
        <w:gridCol w:w="226"/>
        <w:gridCol w:w="706"/>
        <w:gridCol w:w="109"/>
        <w:gridCol w:w="109"/>
        <w:gridCol w:w="109"/>
        <w:gridCol w:w="109"/>
        <w:gridCol w:w="226"/>
        <w:gridCol w:w="706"/>
        <w:gridCol w:w="109"/>
        <w:gridCol w:w="109"/>
        <w:gridCol w:w="109"/>
        <w:gridCol w:w="109"/>
        <w:gridCol w:w="226"/>
        <w:gridCol w:w="586"/>
        <w:gridCol w:w="156"/>
      </w:tblGrid>
      <w:tr>
        <w:trPr/>
        <w:tc>
          <w:tcPr>
            <w:tcW w:w="23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Term loan issuance costs recorded within 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8"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180" w:after="283"/>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STATEMENTS OF STOCKHOLDERS'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920" w:type="dxa"/>
        <w:jc w:val="center"/>
        <w:tblInd w:w="0" w:type="dxa"/>
        <w:tblLayout w:type="fixed"/>
        <w:tblCellMar>
          <w:top w:w="28" w:type="dxa"/>
          <w:left w:w="28" w:type="dxa"/>
          <w:bottom w:w="28" w:type="dxa"/>
          <w:right w:w="28" w:type="dxa"/>
        </w:tblCellMar>
      </w:tblPr>
      <w:tblGrid>
        <w:gridCol w:w="811"/>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8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2023</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356.8 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324.5 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2024</w:t>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376.3 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29.2 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231.7 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2025</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197.0 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2026</w:t>
            </w:r>
          </w:p>
        </w:tc>
        <w:tc>
          <w:tcPr>
            <w:tcW w:w="7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438.6 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5,384.7 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(5,539.4)</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(139.7)</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69"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a leading global fitness and wellness company that empowers people to live fit, strong, long, and happy, by providing fitness and wellness experiences to Members (as defined below) anytime, anywhere. Peloton has a highly engaged community of “Members”, which the Company defines as any individual who has a Peloton account through a Paid Connected Fitness Subscription or a Paid App Subscription, inclusive of the Peloton App+, App One, Strength+, and Breathwrk Memberships (the “Peloton Apps”), and engages in one or more workouts in the trailing 12-month period. As a category innovator at the nexus of fitness and wellness, technology, and media, the Company delivers integrated experiences through Peloton’s world-renowned Instructors, premium hardware and innovative software, personalization, extensive modalities and an expansive content library.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portfolio of Connected Fitness Products primarily consists of the Peloton Original Series, Peloton Cross Training Series, Peloton Pro Series, and Precor Products, and related accessories, delivery and installation services, extended warranty and other service agreements, and branded apparel. In October 2025, the Company launched the Cross Training Series, a refreshed portfolio of Connected Fitness Products, which includes the Cross Training Bike, Bike+, Tread, Tread+, and Row+. The Company also launched the Peloton Pro Series, a refresh of its portfolio of commercial-ready Peloton-branded products, which now includes the Bike+ Pro, Tread+ Pro, and Row+ Pro. In connection with the Cross Training Series launch, the Company discontinued the sale of its original series (the “Original Series”) Tread, Tread+, and Row; however the Company continues to sell the refurbished Original Series Bike and Bike+. The Company’s Precor-branded fitness products include Precor Cardio, Precor Strength, Connected Fitness Solutions, and Wellness Solutions (collectively, the “Precor Products”). The Original Series, Cross Training Series, Pro Series, and Precor Products are collectively referred to herein as “Connected Fitness Products.”</w:t>
      </w:r>
    </w:p>
    <w:p>
      <w:pPr>
        <w:pStyle w:val="TextBody"/>
        <w:bidi w:val="0"/>
        <w:spacing w:lineRule="auto" w:line="288" w:before="0" w:after="0"/>
        <w:jc w:val="both"/>
        <w:rPr/>
      </w:pPr>
      <w:r>
        <w:rPr>
          <w:rFonts w:ascii="Roboto;sans-serif" w:hAnsi="Roboto;sans-serif"/>
          <w:b w:val="false"/>
          <w:color w:val="000000"/>
          <w:sz w:val="18"/>
        </w:rPr>
        <w:t>The Company’s revenue is generated primarily from recurring Subscription revenue and the sale of its Connected Fitness Products. The Company defines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Strength+, or Breathwrk subscriptions for which the Company currently receives payment</w:t>
      </w:r>
      <w:r>
        <w:rPr>
          <w:color w:val="050505"/>
        </w:rPr>
        <w:t xml:space="preserve"> </w:t>
      </w:r>
      <w:r>
        <w:rPr>
          <w:rFonts w:ascii="Roboto;sans-serif" w:hAnsi="Roboto;sans-serif"/>
          <w:b w:val="false"/>
          <w:color w:val="050505"/>
          <w:sz w:val="18"/>
        </w:rPr>
        <w:t>(a successful credit card billing or prepaid with subscription credits or waivers)</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pStyle w:val="TextBody"/>
        <w:bidi w:val="0"/>
        <w:spacing w:lineRule="auto" w:line="288" w:before="0" w:after="240"/>
        <w:jc w:val="both"/>
        <w:rPr/>
      </w:pPr>
      <w:r>
        <w:rPr>
          <w:rFonts w:ascii="Roboto;sans-serif" w:hAnsi="Roboto;sans-serif"/>
          <w:b w:val="false"/>
          <w:color w:val="000000"/>
          <w:sz w:val="18"/>
        </w:rPr>
        <w:t xml:space="preserve">Except as described elsewhere in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 xml:space="preserve">in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there have been no material changes to the Company’s significant accounting policies as described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in conformity with GAAP requires the Company to make estimates and judgments that affect the reported amounts of assets, liabilities, stockholders’ deficit, revenue, expenses, and related disclosures. On an ongoing basis, the Company evaluates its estimates, including, but not limited to, those related to product warranty and recall related provisions, inventory valuation and reserves, revenue recognition and related reserves, music royalty fees, valuation of long-lived assets and their associated useful lives, valuation of goodwill, fair value measurements, stock-based compensation, income taxes, future restructuring charges, and contingencies. Actual results may differ from these estimates.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Cash and Cash Equivalents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considers all cash and short-term investments purchased with maturities of three months or less when acquired to be cash equivalents. As of June 30, 2026 and 2025, the Company’s cash and cash equivalents were primarily held in money market and operating accounts. At various times during the fiscal years ended June 30, 2026 and 2025, the balances of cash at financial institutions exceeded the federally insured limit. The Company has not experienced any losses in such accounts and believes its cash and cash equivalents are not subject to any significant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0"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Accounts Receivable, Net of Allowances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accounts receivable primarily represent amounts due from third-party retailers and commercial sales and amounts due from third-party payment processors. Accounts receivable are recorded at the invoiced amount less allowances for credit losses. 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Inventories</w:t>
      </w:r>
    </w:p>
    <w:p>
      <w:pPr>
        <w:pStyle w:val="TextBody"/>
        <w:bidi w:val="0"/>
        <w:spacing w:lineRule="auto" w:line="288" w:before="0" w:after="240"/>
        <w:jc w:val="both"/>
        <w:rPr/>
      </w:pPr>
      <w:r>
        <w:rPr>
          <w:rFonts w:ascii="Roboto;sans-serif" w:hAnsi="Roboto;sans-serif"/>
          <w:b w:val="false"/>
          <w:color w:val="000000"/>
          <w:sz w:val="18"/>
        </w:rPr>
        <w:t xml:space="preserve">Inventories consist of finished goods and raw materials. Finished goods are primarily purchased from contract manufacturers. Inventories are stated at the lower of cost or net realizable value. For Peloton-branded Connected Fitness products, accessories, apparel, and raw materials, cost is determined using a weighted-average cost method. For Precor-branded fitness products and raw materials, cost is determined using a first-in, first-out basis. Adjustments to reduce inventory to net realizable value are recognized in Connected Fitness Products Cost of revenue. The Company periodically assesses and adjusts the value of inventory for estimated excess and obsolete inventory based upon estimates of future demand and market conditions, as well as damaged or otherwise impaired goods. The Company may be required to write down the value of inventory if estimates of future demand and market conditions indicate excess and/or obsolete inventory. Inventory write-downs are recorded as a component of Connected Fitness Products Cost of revenue. Spare parts are recorded as inventory and recognized in cost of revenue as consumed. Refer to </w:t>
      </w:r>
      <w:r>
        <w:rPr>
          <w:rFonts w:ascii="Roboto;sans-serif" w:hAnsi="Roboto;sans-serif"/>
          <w:b w:val="false"/>
          <w:i/>
          <w:color w:val="000000"/>
          <w:sz w:val="18"/>
        </w:rPr>
        <w:t>Note 6</w:t>
      </w:r>
      <w:r>
        <w:rPr>
          <w:rFonts w:ascii="Roboto;sans-serif" w:hAnsi="Roboto;sans-serif"/>
          <w:b w:val="false"/>
          <w:color w:val="000000"/>
          <w:sz w:val="18"/>
        </w:rPr>
        <w:t xml:space="preserve">, </w:t>
      </w:r>
      <w:r>
        <w:rPr>
          <w:rFonts w:ascii="Roboto;sans-serif" w:hAnsi="Roboto;sans-serif"/>
          <w:b w:val="false"/>
          <w:i/>
          <w:color w:val="000000"/>
          <w:sz w:val="18"/>
        </w:rPr>
        <w:t>Inventories</w:t>
      </w:r>
      <w:r>
        <w:rPr>
          <w:color w:val="000000"/>
        </w:rPr>
        <w:t xml:space="preserve"> </w:t>
      </w:r>
      <w:r>
        <w:rPr>
          <w:rFonts w:ascii="Roboto;sans-serif" w:hAnsi="Roboto;sans-serif"/>
          <w:b w:val="false"/>
          <w:color w:val="000000"/>
          <w:sz w:val="18"/>
        </w:rPr>
        <w:t>for additional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Property and Equipment</w:t>
      </w:r>
    </w:p>
    <w:p>
      <w:pPr>
        <w:pStyle w:val="TextBody"/>
        <w:bidi w:val="0"/>
        <w:spacing w:lineRule="auto" w:line="288" w:before="0" w:after="240"/>
        <w:jc w:val="both"/>
        <w:rPr/>
      </w:pPr>
      <w:r>
        <w:rPr>
          <w:rFonts w:ascii="Roboto;sans-serif" w:hAnsi="Roboto;sans-serif"/>
          <w:b w:val="false"/>
          <w:color w:val="000000"/>
          <w:sz w:val="18"/>
        </w:rPr>
        <w:t xml:space="preserve">Property and equipment purchased by the Company are stated at cost less accumulated depreciation and impairment losses, if any. Depreciation and amortization of property and equipment is calculated using the straight-line method over the estimated useful lives of the assets. Leasehold improvements are amortized over the shorter of the useful life of those leasehold improvements and the remaining lease term. Depreciation and amortization expense is classified within the corresponding cost of revenue or operating expense categories on the Consolidated Statements of Operations and Comprehensive Income (Loss). Charges for repairs and maintenance that do not improve or extend the lives of the respective assets are expensed as incurred. Refer to </w:t>
      </w:r>
      <w:r>
        <w:rPr>
          <w:rFonts w:ascii="Roboto;sans-serif" w:hAnsi="Roboto;sans-serif"/>
          <w:b w:val="false"/>
          <w:i/>
          <w:color w:val="000000"/>
          <w:sz w:val="18"/>
        </w:rPr>
        <w:t>Note 7, Property and Equipment</w:t>
      </w:r>
      <w:r>
        <w:rPr>
          <w:color w:val="000000"/>
        </w:rPr>
        <w:t xml:space="preserve"> </w:t>
      </w:r>
      <w:r>
        <w:rPr>
          <w:rFonts w:ascii="Roboto;sans-serif" w:hAnsi="Roboto;sans-serif"/>
          <w:b w:val="false"/>
          <w:color w:val="000000"/>
          <w:sz w:val="18"/>
        </w:rPr>
        <w:t>for additional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Internal-Use Software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Impairment of Long-Lived Assets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Long-lived assets are reviewed for impairment whenever events or changes in circumstances (“triggering events”) indicate that the carrying amount of an asset group may not be recoverable. Recoverability of assets to be held and used is measured by comparing the carrying amount of an asset group to future undiscounted net cash flows expected to be generated by the asset group. If the carrying amount of an asset group exceeds its estimated undiscounted net future cash flows, an impairment charge is recognized within Impairment expense on the Consolidated Statements of Operations and Comprehensive Income (Loss) for the amount by which the carrying amount of the asset group exceeds its fair value, which is measured relying primarily on a discounted cash flow method.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Goodwill and Intangible Assets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Goodwill represents the excess of the aggregate of the consideration transferred and the amount recognized for non-controlling interest, if any, over the fair value of identifiable assets acquired and liabilities assumed in a business combination.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reviews goodwill for impairment annually on April 1 of each fiscal year or more frequently if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exceeds its fair value, an impairment loss equal to the excess is recorded.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 The Company has no intangible assets with indefinite useful lives.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The Company assesses the impairment of intangible assets whenever events or changes in circumstances indicate that the carrying amount may not be recoverable. Refer to </w:t>
      </w:r>
      <w:r>
        <w:rPr>
          <w:rFonts w:ascii="Roboto;sans-serif" w:hAnsi="Roboto;sans-serif"/>
          <w:b w:val="false"/>
          <w:i/>
          <w:color w:val="000000"/>
          <w:sz w:val="18"/>
        </w:rPr>
        <w:t xml:space="preserve">Note 8, Goodwill and Intangible Assets </w:t>
      </w:r>
      <w:r>
        <w:rPr>
          <w:rFonts w:ascii="Roboto;sans-serif" w:hAnsi="Roboto;sans-serif"/>
          <w:b w:val="false"/>
          <w:color w:val="000000"/>
          <w:sz w:val="18"/>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71"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Restricted Cash</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Restricted cash primarily relates to cash used to collateralize outstanding letters of credit.</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Leases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Lessee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leases facilities under operating leases with various expiration dates through 2039. The Company leases space for its corporate headquarters and the operation of its production studio facilities, distribution facilities, warehouses, retail locations, and other office spaces. The Company does not have any material finance leases. The Company determines if an arrangement is a lease, or contains a lease, at inception and records the leases in its financial statements upon lease commencement, which is the date when the underlying asset is made available for use by the lessor.</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 xml:space="preserve">Right-of-use assets and lease liabilities are established on the Consolidated Balance Sheets for leases with an expected term greater than one year. Lease liabilities are recognized at the present value of the fixed and determinable lease payments not yet paid, less any lease incentives payable to the Company. Right-of-use assets are recognized based on the initial measurement of the lease liability, plus any initial direct costs incurred by the Company and any lease payments made to the landlord at or before lease commencement, minus any lease incentives received. As the rate implicit in the lease is not determinable, the Company uses its secured incremental borrowing rate to determine the present value of the lease payments. Leases with an initial term of 12 months or less are not recorded on the Consolidated Balance Sheets.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has lease agreements with lease and non-lease components, and has elected the practical expedient to not separate lease and non-lease components for its real estate and equipment leases. Non-lease components include fixed payments for common area maintenance, utilities, insurance, and other costs.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recognizes lease expense for operating leases on a straight-line basis over the term of the lease. 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 Certain operating leases provide for annual increases to lease payments based on an index or rate. The Company calculates the present value of future lease payments based on the index or rate at the lease commencement date for new leases. Differences between the calculated lease payment and actual payment are expensed as incurred. Variable lease payments include, but are not limited to, percentage of sales, common area charges, taxes paid by the landlord that are charged to the Company, and changes to the consumer price index. Variable lease payments are expensed as incurred.</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The Company subleases certain corporate offices, warehouses and distribution facilities, and retail locations to third parties, which does not relieve the Company of its primary lease obligations with the lessor (the “head lease”). These subleases are classified as operating leases, and therefore the Company continues to account for the head lease as it did before the commencement date of the sublease. The Company recognizes sublease income on a straight-line basis over the sublease term. Variable lease payments include, but are not limited to, common area charges, real estate taxes, and utilities, and are recognized as variable sublease income in the period in which they are earned. Sublease income is presented within the same category of operating expenses as the underlying head lease expense on the Consolidated Statements of Operations and Comprehensive Income (Loss). If the lease cost for the term of the sublease exceeds the Company’s anticipated sublease income for the same period, the Company assesses the right-of-use asset associated with the head lease for impairment under the long-lived asset impairment provisions of Financial Accounting Standards Board (“FASB”) Accounting Standards Codification (“ASC”) 360, </w:t>
      </w:r>
      <w:r>
        <w:rPr>
          <w:rFonts w:ascii="Roboto;sans-serif" w:hAnsi="Roboto;sans-serif"/>
          <w:b w:val="false"/>
          <w:i/>
          <w:color w:val="000000"/>
          <w:sz w:val="18"/>
        </w:rPr>
        <w:t>Property, Plant, and Equipment</w:t>
      </w:r>
      <w:r>
        <w:rPr>
          <w:rFonts w:ascii="Roboto;sans-serif" w:hAnsi="Roboto;sans-serif"/>
          <w:b w:val="false"/>
          <w:color w:val="000000"/>
          <w:sz w:val="18"/>
        </w:rPr>
        <w:t xml:space="preserve">. </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Lessor arrangements</w:t>
      </w:r>
    </w:p>
    <w:p>
      <w:pPr>
        <w:pStyle w:val="TextBody"/>
        <w:bidi w:val="0"/>
        <w:spacing w:lineRule="auto" w:line="288" w:before="0" w:after="240"/>
        <w:jc w:val="both"/>
        <w:rPr/>
      </w:pPr>
      <w:r>
        <w:rPr>
          <w:rFonts w:ascii="Roboto;sans-serif" w:hAnsi="Roboto;sans-serif"/>
          <w:b w:val="false"/>
          <w:color w:val="000000"/>
          <w:sz w:val="18"/>
        </w:rPr>
        <w:t xml:space="preserve">The Company leases Peloton Bike portfolio products under the Peloton Rental program. The lease arrangement provides the customer with an option to purchase the underlying equipment or terminate the lease at any time. The price to purchase the underlying equipment is determined based on the number of months that the customer has leased the equipment, and is not considered a bargain purchase option. All Peloton Rental lease agreements are considered operating leases, and the Company currently does not have any sales-type or direct financing leases as a lessor. Refer to </w:t>
      </w:r>
      <w:r>
        <w:rPr>
          <w:rFonts w:ascii="Roboto;sans-serif" w:hAnsi="Roboto;sans-serif"/>
          <w:b w:val="false"/>
          <w:i/>
          <w:color w:val="000000"/>
          <w:sz w:val="18"/>
        </w:rPr>
        <w:t>Revenue Recognition</w:t>
      </w:r>
      <w:r>
        <w:rPr>
          <w:color w:val="000000"/>
        </w:rPr>
        <w:t xml:space="preserve"> </w:t>
      </w:r>
      <w:r>
        <w:rPr>
          <w:rFonts w:ascii="Roboto;sans-serif" w:hAnsi="Roboto;sans-serif"/>
          <w:b w:val="false"/>
          <w:color w:val="000000"/>
          <w:sz w:val="18"/>
        </w:rPr>
        <w:t xml:space="preserve">within this </w:t>
      </w:r>
      <w:r>
        <w:rPr>
          <w:rFonts w:ascii="Roboto;sans-serif" w:hAnsi="Roboto;sans-serif"/>
          <w:b w:val="false"/>
          <w:i/>
          <w:color w:val="000000"/>
          <w:sz w:val="18"/>
        </w:rPr>
        <w:t>Note 2, Summary of Significant Accounting Policies</w:t>
      </w:r>
      <w:r>
        <w:rPr>
          <w:rFonts w:ascii="Roboto;sans-serif" w:hAnsi="Roboto;sans-serif"/>
          <w:b w:val="false"/>
          <w:color w:val="000000"/>
          <w:sz w:val="18"/>
        </w:rPr>
        <w:t>, for further details regarding the Peloton Rental program.</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Senior Notes</w:t>
      </w:r>
    </w:p>
    <w:p>
      <w:pPr>
        <w:pStyle w:val="TextBody"/>
        <w:bidi w:val="0"/>
        <w:spacing w:lineRule="auto" w:line="288" w:before="0" w:after="0"/>
        <w:jc w:val="both"/>
        <w:rPr/>
      </w:pPr>
      <w:r>
        <w:rPr>
          <w:rFonts w:ascii="Roboto;sans-serif" w:hAnsi="Roboto;sans-serif"/>
          <w:b w:val="false"/>
          <w:color w:val="000000"/>
          <w:sz w:val="18"/>
        </w:rPr>
        <w:t xml:space="preserve">In February 2021, the Company issued in a private offering $1.0 billion aggregate principal amount of 0.00% Convertible Senior Notes due 2026 (the "2026 Notes"), including the initial purchasers’ exercise in full of their option to purchase additional notes. 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Roboto;sans-serif" w:hAnsi="Roboto;sans-serif"/>
          <w:b w:val="false"/>
          <w:i/>
          <w:color w:val="000000"/>
          <w:sz w:val="18"/>
        </w:rPr>
        <w:t>Debt–Modifications and Extinguishments</w:t>
      </w:r>
      <w:r>
        <w:rPr>
          <w:color w:val="000000"/>
        </w:rPr>
        <w:t xml:space="preserve"> </w:t>
      </w:r>
      <w:r>
        <w:rPr>
          <w:rFonts w:ascii="Roboto;sans-serif" w:hAnsi="Roboto;sans-serif"/>
          <w:b w:val="false"/>
          <w:color w:val="000000"/>
          <w:sz w:val="18"/>
        </w:rPr>
        <w:t>(“ASC 470-50”). In February 2026, the Company repaid in cash the remaining $199.0 million aggregate principal amount of the 2026 Notes upon maturity.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2024, the Company issued in a private offering $350.0 million aggregate principal amount of 5.50% Convertible Senior Notes due 2029 (the “2029 Notes”), including the initial purchasers’ exercise in full of the option to purchase additional notes.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2026 Notes and 2029 Notes (together, “the Notes”) are accounted for in accordance with ASC 470-20, </w:t>
      </w:r>
      <w:r>
        <w:rPr>
          <w:rFonts w:ascii="Roboto;sans-serif" w:hAnsi="Roboto;sans-serif"/>
          <w:b w:val="false"/>
          <w:i/>
          <w:color w:val="000000"/>
          <w:sz w:val="18"/>
        </w:rPr>
        <w:t>Debt–Debt with Conversion and Other Options</w:t>
      </w:r>
      <w:r>
        <w:rPr>
          <w:rFonts w:ascii="Roboto;sans-serif" w:hAnsi="Roboto;sans-serif"/>
          <w:b w:val="false"/>
          <w:color w:val="000000"/>
          <w:sz w:val="18"/>
        </w:rPr>
        <w:t xml:space="preserve">. Pursuant to ASC Subtopic 470-20, debt with an embedded conversion feature shall be accounted for in its entirety as a liability and no portion of the proceeds from the issuance of the convertible debt instrument shall be accounted for as attributable to the conversion feature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72"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the conversion feature is required to be accounted for separately as an embedded derivative or the conversion feature results in a premium that is subject to the guidance in ASC 470.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Notes are accounted for as a liability with no portion of the proceeds attributable to the conversion options as the conversion feature did not require separate accounting as a derivative, and the Notes did not involve a premium subject to the guidance in ASC 470.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11, Debt</w:t>
      </w:r>
      <w:r>
        <w:rPr>
          <w:color w:val="000000"/>
        </w:rPr>
        <w:t xml:space="preserve"> </w:t>
      </w:r>
      <w:r>
        <w:rPr>
          <w:rFonts w:ascii="Roboto;sans-serif" w:hAnsi="Roboto;sans-serif"/>
          <w:b w:val="false"/>
          <w:color w:val="000000"/>
          <w:sz w:val="18"/>
        </w:rPr>
        <w:t>for additional information.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of Financial Instruments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Level 1 inputs are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The Company’s material financial instruments consist primarily of cash and cash equivalents, accounts receivable, accounts payable and accrued expenses, Term Loan (as defined in </w:t>
      </w:r>
      <w:r>
        <w:rPr>
          <w:rFonts w:ascii="Roboto;sans-serif" w:hAnsi="Roboto;sans-serif"/>
          <w:b w:val="false"/>
          <w:i/>
          <w:color w:val="000000"/>
          <w:sz w:val="18"/>
        </w:rPr>
        <w:t>Note 11, Debt</w:t>
      </w:r>
      <w:r>
        <w:rPr>
          <w:rFonts w:ascii="Roboto;sans-serif" w:hAnsi="Roboto;sans-serif"/>
          <w:b w:val="false"/>
          <w:color w:val="000000"/>
          <w:sz w:val="18"/>
        </w:rPr>
        <w:t xml:space="preserve">), and convertible senior notes. The carrying values of the Company’s cash and cash equivalents, accounts receivable, and accounts payable and accrued expenses approximated their fair values at June 30, 2026 and 2025, due to the short period of time to maturity or repayment. Refer to </w:t>
      </w:r>
      <w:r>
        <w:rPr>
          <w:rFonts w:ascii="Roboto;sans-serif" w:hAnsi="Roboto;sans-serif"/>
          <w:b w:val="false"/>
          <w:i/>
          <w:color w:val="000000"/>
          <w:sz w:val="18"/>
        </w:rPr>
        <w:t>Note 5, Fair Value Measurements</w:t>
      </w:r>
      <w:r>
        <w:rPr>
          <w:color w:val="000000"/>
        </w:rPr>
        <w:t xml:space="preserve"> </w:t>
      </w:r>
      <w:r>
        <w:rPr>
          <w:rFonts w:ascii="Roboto;sans-serif" w:hAnsi="Roboto;sans-serif"/>
          <w:b w:val="false"/>
          <w:color w:val="000000"/>
          <w:sz w:val="18"/>
        </w:rPr>
        <w:t>for additional information regarding the Term Loan and convertible senior notes.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Loss Contingencies</w:t>
      </w:r>
    </w:p>
    <w:p>
      <w:pPr>
        <w:pStyle w:val="TextBody"/>
        <w:bidi w:val="0"/>
        <w:spacing w:lineRule="auto" w:line="288" w:before="0" w:after="240"/>
        <w:jc w:val="both"/>
        <w:rPr/>
      </w:pPr>
      <w:r>
        <w:rPr>
          <w:rFonts w:ascii="Roboto;sans-serif" w:hAnsi="Roboto;sans-serif"/>
          <w:b w:val="false"/>
          <w:color w:val="000000"/>
          <w:sz w:val="18"/>
        </w:rPr>
        <w:t xml:space="preserve">Liabilities for loss contingencies arising from claims, assessments, litigation, fines and penalties, and other sources are recorded when it is both probable that a liability has been incurred and the amount of the loss can be reasonably estimated. If a loss is reasonably possible, but not probable, and the loss or range of loss can be reasonably estimated, or if a loss is probable and the loss or range of loss cannot be reasonably estimated, the Company discloses the nature of the contingency and an estimate of the possible loss or range of loss or states that such an estimate cannot be made. Refer to </w:t>
      </w:r>
      <w:r>
        <w:rPr>
          <w:rFonts w:ascii="Roboto;sans-serif" w:hAnsi="Roboto;sans-serif"/>
          <w:b w:val="false"/>
          <w:i/>
          <w:color w:val="000000"/>
          <w:sz w:val="18"/>
        </w:rPr>
        <w:t>Note 12, Commitments and Contingencies</w:t>
      </w:r>
      <w:r>
        <w:rPr>
          <w:color w:val="000000"/>
        </w:rPr>
        <w:t xml:space="preserve"> </w:t>
      </w:r>
      <w:r>
        <w:rPr>
          <w:rFonts w:ascii="Roboto;sans-serif" w:hAnsi="Roboto;sans-serif"/>
          <w:b w:val="false"/>
          <w:color w:val="000000"/>
          <w:sz w:val="18"/>
        </w:rPr>
        <w:t>for additional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 Recognition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primary sources of revenue are its recurring content Subscription revenue and revenue from sales of its Connected Fitness Products and related accessories, including Precor-branded fitness products, delivery and installation services.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determines revenue recognition through the following steps: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Identification of the contract, or contracts, with a customer;</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Identification of the performance obligations in the contract;</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Determination of the transaction price;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Allocation of the transaction price to the performance obligations in the contract; and</w:t>
      </w:r>
    </w:p>
    <w:p>
      <w:pPr>
        <w:pStyle w:val="TextBody"/>
        <w:bidi w:val="0"/>
        <w:spacing w:lineRule="auto" w:line="288" w:before="0" w:after="240"/>
        <w:ind w:left="0" w:right="0" w:hanging="360"/>
        <w:jc w:val="both"/>
        <w:rPr/>
      </w:pPr>
      <w:r>
        <w:rPr>
          <w:color w:val="000000"/>
        </w:rPr>
        <w:t>•</w:t>
      </w:r>
      <w:r>
        <w:rPr>
          <w:rFonts w:ascii="Roboto;sans-serif" w:hAnsi="Roboto;sans-serif"/>
          <w:b w:val="false"/>
          <w:color w:val="000000"/>
          <w:sz w:val="18"/>
        </w:rPr>
        <w:t>Recognition of revenue when, or as, the Company satisfies a performance obligation.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An estimated amount of variable consideration is included in the transaction price to the extent that it is probable that a significant reversal in the amount of cumulative revenue recognized would not occur once the uncertainty is resolved. The Company’s transaction price estimate includes its estimate for product returns and concessions based on the terms and conditions of home trial programs, historical return trends by product category, impact of seasonality, an evaluation of current economic and market conditions, and current business practices, and the Company records the expected customer refund liability as a reduction to revenue, and the expected inventory right to return asset as a reduction of cost of revenue. If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73"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return costs differ from previous estimates, the amount of the liability and corresponding revenue are adjusted in the period in which such costs occur.</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Company applies the practical expedient as per ASC 606-10-50-14, </w:t>
      </w:r>
      <w:r>
        <w:rPr>
          <w:rFonts w:ascii="Roboto;sans-serif" w:hAnsi="Roboto;sans-serif"/>
          <w:b w:val="false"/>
          <w:i/>
          <w:color w:val="000000"/>
          <w:sz w:val="18"/>
        </w:rPr>
        <w:t>Revenue from Contracts with Customers</w:t>
      </w:r>
      <w:r>
        <w:rPr>
          <w:color w:val="000000"/>
        </w:rPr>
        <w:t xml:space="preserve"> </w:t>
      </w:r>
      <w:r>
        <w:rPr>
          <w:rFonts w:ascii="Roboto;sans-serif" w:hAnsi="Roboto;sans-serif"/>
          <w:b w:val="false"/>
          <w:color w:val="000000"/>
          <w:sz w:val="18"/>
        </w:rPr>
        <w:t xml:space="preserve">and does not disclose information related to remaining performance obligations due to their original expected terms being one year or less. </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The Company applies the practical expedient as per ASC 340-40-25-4, </w:t>
      </w:r>
      <w:r>
        <w:rPr>
          <w:rFonts w:ascii="Roboto;sans-serif" w:hAnsi="Roboto;sans-serif"/>
          <w:b w:val="false"/>
          <w:i/>
          <w:color w:val="000000"/>
          <w:sz w:val="18"/>
        </w:rPr>
        <w:t>Other Assets and Deferred Costs–Contracts with Customers</w:t>
      </w:r>
      <w:r>
        <w:rPr>
          <w:color w:val="000000"/>
        </w:rPr>
        <w:t xml:space="preserve"> </w:t>
      </w:r>
      <w:r>
        <w:rPr>
          <w:rFonts w:ascii="Roboto;sans-serif" w:hAnsi="Roboto;sans-serif"/>
          <w:b w:val="false"/>
          <w:color w:val="000000"/>
          <w:sz w:val="18"/>
        </w:rPr>
        <w:t>and expenses sales commissions when incurred if the amortization period of the asset that the Company otherwise would have recognized is one year or less. These costs are recorded in Sales and marketing in the Company’s Consolidated Statements of Operations and Comprehensive Income (Loss).</w:t>
      </w:r>
    </w:p>
    <w:p>
      <w:pPr>
        <w:pStyle w:val="TextBody"/>
        <w:bidi w:val="0"/>
        <w:spacing w:lineRule="auto" w:line="288" w:before="0" w:after="240"/>
        <w:jc w:val="both"/>
        <w:rPr/>
      </w:pPr>
      <w:r>
        <w:rPr>
          <w:rFonts w:ascii="Roboto;sans-serif" w:hAnsi="Roboto;sans-serif"/>
          <w:b w:val="false"/>
          <w:color w:val="000000"/>
          <w:sz w:val="18"/>
        </w:rPr>
        <w:t xml:space="preserve">Some of the Company’s revenues relate to arrangements for Peloton Bike portfolio rental products. The Peloton Rental program allows Members to lease Peloton Bike portfolio products with a Peloton Rental Membership for a single monthly cost and a one-time assembly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Roboto;sans-serif" w:hAnsi="Roboto;sans-serif"/>
          <w:b w:val="false"/>
          <w:i/>
          <w:color w:val="000000"/>
          <w:sz w:val="18"/>
        </w:rPr>
        <w:t>Leases</w:t>
      </w:r>
      <w:r>
        <w:rPr>
          <w:rFonts w:ascii="Roboto;sans-serif" w:hAnsi="Roboto;sans-serif"/>
          <w:b w:val="false"/>
          <w:color w:val="000000"/>
          <w:sz w:val="18"/>
        </w:rPr>
        <w:t>. Lease revenue is recognized on a straight-line basis over the term of the lease within Connected Fitness Products Revenue, while the underlying customer-leased equipment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Income (Loss). Non-lease components primarily consist of an All-Access Membership, which is recognized ratably over the subscription term within Subscription Revenue and the one-time assembly fee which is recognized upon completion.</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primarily consists of sales of the Company’s portfolio of Connected Fitness Products and related accessories, including Precor-branded fitness products, delivery and installation services, Peloton Bike portfolio rental products,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ratably over the warranty coverage period and service revenue that is recognized over the term of the service contract. Payment is typically due at the time of sale for Connected Fitness Products sold through the Company’s website and at retail locations. The Company generally allows customers to return Peloton-branded Connected Fitness Products within thirty days of purchase, as stated in its return policy.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Income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primarily consists of revenue generated from the Company’s Paid Connected Fitness Subscriptions and Paid Peloton App Subscriptions, which are offered on a month-to-month or annual prepaid basis, and revenue generated from content licensing arrangements.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subscriptions provide access to Peloton content and its library of live and on-demand fitness classes. Members are billed in advance of the start of their subscription term, and amounts paid for subscription fees, net of refunds are included within Deferred revenue and customer deposits on the Company’s Consolidated Balance Sheets and recognized ratably over the subscription term. The Company records payment processing fees for its monthly subscription charges within Subscription Cost of revenue in the Company’s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Revenue from content licensing arrangements includes the licensing of Peloton content to third-party partners, which is considered functional intellectual property (“IP”). Revenue for IP rights is accounted for based on the nature of the promise to grant the license. In determining whether the Company’s promise is to provide a right to access its IP or a right to use its IP, the Company considers the delivery pattern and nature of the IP to which the customer will have rights. Revenue from right-to-use licenses is recognized at the point in time when control of the distinct Peloton content is transferred to the customer, whereas revenue from right-to-access licenses is recognized over the access period to the Peloton content. Revenues from sales-based and usage-based royalties promised in exchange for a license of Peloton content is recognized at the later of when the underlying sale occurs, or the performance obligation to which some or all of the sales-based or usage-based royalty has been allocated is satisfied.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tax collected from customers and remitted to governmental authorities is not included in revenue and is reflected as a liability on the Company’s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74"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Beginning in the first quarter of fiscal 2026, the Company assigns executive compensation and other corporate overhead costs associated with its corporate facilities, which were historically included in General and administrative expense, to the various expense captions that these costs relate to, including Cost of revenue, Sales and marketing, General and administrative, and Research and development.</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Connected Fitness Products Cost of revenue primarily consists of the Company’s portfolio of Connected Fitness Products, related accessories, Precor-branded fitness products, and branded apparel product costs, including third-party manufacturing costs, duties and other applicable importing costs, shipping and handling costs, packaging, warranty replacement and service costs, fulfillment costs, warehousing costs, costs related to the Company’s commercial business, depreciation of property and equipment, and certain costs related to management, facilities, and personnel-related expenses, including stock-based compensation expense, associated with supply chain logistics. Inventory write-downs and related obsolescence reserve expense are also included within Connected Fitness Products Cost of revenue. </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primarily consists of costs associated with content creation and costs to stream content to Members. Fixed costs primarily include Instructor, content, production, and management personnel-related expenses, including stock-based compensation expense, as well as certain costs related to facilities, including depreciation of property and equipment, studio rent and occupancy, and other studio overhead. Variable costs primarily include music royalty fees, third-party platform streaming costs, and payment processing fees for monthly subscription billings.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Royalty Fees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has entered into agreements with music rights holders for the music included in the operation of Peloton’s service. The Company pays and recognizes music royalty fees in accordance with the terms of the relevant license agreement with the music rights holder. This can include royalties incurred for paid subscriptions and royalties incurred as part of free-trial offers, which are recognized within Subscription Cost of revenue and Sales and marketing in the Company’s Consolidated Statements of Operations and Comprehensive Income (Loss), respectively. The Company has certain license agreements whereby music royalty fees are subject to payment guarantees. When a guaranteed payment is made in advance, the amount is recorded as a prepaid asset and amortized over the shorter of the period consumed or the term of the license agreement. When actual music royalty fees to be incurred during a contractual period are expected to fall short of the guaranteed payment, the expected under-recoupment is expensed pro-rata across the contractual period.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license agreements also include so-called “most-favored nations” provisions, which require that certain terms (including material financial terms) are no less favorable than those provided to any similarly situated licensor. When it is probable that the Company will incur incremental music royalty fees under a most-favored nations provision, a liability is established within Accounts payable and accrued expenses on the Company’s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Given the at times migratory, uncertain, or opaque nature of music rights ownership, the Company’s archived library may continue to include music for which certain rights or fractional interests have unknowingly changed and require updated licensing. Prior to the execution of a music license agreement, the Company estimates and records a charge based upon license agreements previously entered into and the respective music rights holdings.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Advertising Costs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Advertising and other promotional costs to market the Company's products and services are expensed as incurred. Advertising expenses were $224.2 million, $247.0 million, and $435.0 million for the fiscal years ended June 30, 2026, 2025, and 2024, respectively, and are included within Sales and marketing expenses in the Consolidated Statements of Operations and Comprehensive Income (Loss).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Research and Development Costs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Substantially all of the Company’s research and development expenses are related to developing new products and services and improving existing products and services. Research and development expenses are expensed as incurred. Certain qualified costs incurred in connection with the development of internal-use software are capitalized that may also cause research and development expenses to vary from period to period.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Employee Stock Purchase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eligible employees to purchase shares of the Company's Class A common stock at a 15 percent discount through accumulated payroll deductions. The ESPP became effective on September 25, 2019, the date the registration statement filed in connection with the Company’s initial public offering was declared effective by the SEC (the “Effective Date”). The number of shares of Class A common stock that are available for issuance and sale to eligible employees under the ESPP increases automatically on the first day of each fiscal year of the Company beginning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350"/>
                <wp:effectExtent l="0" t="0" r="0" b="0"/>
                <wp:wrapNone/>
                <wp:docPr id="75" name="Frame7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2025, the number of shares of Class A common stock available for issuance under the ESPP was automatically increased according to its terms by 4,064,165 shares. As of June 30, 2026, a total of 21,151,488 shares of Class A common stock were available for sale to employees under the ESPP.</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Unless otherwise determined by the Board of Directors, each offering period will consist of four six-month purchase periods, commencing on September 1 and March 1 and ending on August 31 and February 28 of each two-year period or each six-month period, respectively, subject to a reset provision. If the closing price of Class A common stock on the first day of an offering period is higher than the closing price of Class A common stock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Roboto;sans-serif" w:hAnsi="Roboto;sans-serif"/>
          <w:b w:val="false"/>
          <w:i/>
          <w:color w:val="000000"/>
          <w:sz w:val="18"/>
        </w:rPr>
        <w:t>Compensation–Stock Compensation</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estimates the fair value of shares expected to be purchased at the commencement of the ESPP offering periods using the Black-Scholes option pricing model. The Company estimates the expected term based on each offering period's respective purchase date. The expected volatility is based on the historical volatility of the price of Class A common stock. The risk-free interest rate is based on the United States Treasury yield curve in effect at the time of grant. Expected dividend yield is zero as the Company has not paid and does not currently anticipate paying dividends on its common stock.</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2019 Equity Incentive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stock option and restricted stock unit grants, vesting generally occurs over two to four years. Stock option grants are not exercisable after the expiration of ten years from the date of grant or such shorter period as specified in a stock award agreement. Restricted stock units (“RSU”) are generally granted with only a service condition. The Company also grants awards subject to performance or market conditions, in addition to a service condition, to certain executives from time to time (“performance stock units” or “PSU”).</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During the fiscal years ended June 30, 2026 and 2025, the Company granted PSUs with performance conditions to certain members of management. The PSUs generally cliff vest, if earned, two and one-half months after the end of the fiscal year. The number of shares that can be earned generally ranges from 0% to 200% of the target number based on the achievement of the performance condition over the respective measurement period. For performance-based awards issued, the value of the instrument is measured at the grant date as the fair value of the award and expensed over the vesting term under an accelerated attribution method when the performance targets are considered probable of being achieved.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fiscal year ended June 30, 2026, the Company also granted PSUs with market conditions to certain members of management. For awards granted with a market condition, the Company estimated the grant date fair value using a Monte Carlo simulation model that incorporated the likelihood of the achievement of meeting stock price targets. For market-based awards issued which also require a service period, stock-based compensation expense is recognized using the accelerated attribution method over the longer of the explicit service period or when the market condition is satisfied and will not be reversed if market conditions are unmet.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The expected volatility is based on the historical volatility of the price of Class A common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2019 Plan serves as the successor to the 2015 Stock Plan. The 2015 Stock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Generally, the 2015 Stock Plan permitted the early exercise of stock options granted prior to the IPO. The unvested portion of shares exercised was recorded within Other current liabilities on the Company’s Consolidated Balance Sheets and reclassified to equity as vesting occurred.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number of shares reserved for issuance under the 2019 Plan will increase automatically on July 1 of each of 2020 through 2029 by the number of shares of Class A common stock equal to 5% of the total outstanding shares of all of the Company’s classes of common stock as of each June 30 immediately preceding the date of increase (the “evergreen feature”), or a lesser amount as determined by the Board of Directors. On July 1, 2025, the number of shares of Class A common stock available for issuance under the 2019 Plan was automatically increased according to its terms by 20,320,827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76" name="Frame7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June 30, 2026, 66,030,564 shares of Class A common stock were available for future award under the 2019 Plan.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Common Stock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holder of each share of Class A common stock is entitled to one vote, while the holder of each share of Class B common stock is entitled to twenty votes. Each outstanding share of the Company’s Class B common stock is convertible into an equivalent number of shares of Class A common stock and generally convert into shares of Class A common stock upon transfer.</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Preferred Stock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Effective September 2019, the Board of Directors authorized the issuance of undesignated preferred stock, with a par value of $0.000025 per share. As of June 30, 2026 and June 30, 2025, there were 50,000,000 shares of preferred stock authorized and no shares of preferred stock issued and outstanding.</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Defined Contribution Plan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maintains a defined contribution 401(k) plan offered to its U.S.-based employees, as well as various defined contribution plans at certain foreign and domestic subsidiaries. For the fiscal years ended June 30, 2026, 2025, and 2024, the Company's matching contributions totaled $14.0 million, $14.5 million, and $18.5 million, respectively, and were expensed as contributed.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Restructuring</w:t>
      </w:r>
    </w:p>
    <w:p>
      <w:pPr>
        <w:pStyle w:val="TextBody"/>
        <w:bidi w:val="0"/>
        <w:spacing w:lineRule="auto" w:line="288" w:before="0" w:after="0"/>
        <w:jc w:val="both"/>
        <w:rPr/>
      </w:pPr>
      <w:r>
        <w:rPr>
          <w:rFonts w:ascii="Roboto;sans-serif" w:hAnsi="Roboto;sans-serif"/>
          <w:b w:val="false"/>
          <w:color w:val="000000"/>
          <w:sz w:val="18"/>
        </w:rPr>
        <w:t xml:space="preserve">The Company's restructuring charges consist of employee severance and other personnel costs, including stock-based compensation expense, one-time termination benefits and ongoing benefits related to the reduction of its workforce, professional services, facility closures and other costs associated with exit and disposal activities. One-time termination benefits are expensed when the plan of termination has been communicated to the employee, unless the employee must provide future service beyond a minimum retention period, in which case the benefits are expensed ratably over the future service period. Ongoing benefits are expensed when it is probable that the employee is entitled to the severance benefits and the benefit amounts are reasonably estimable. Other costs primarily consist of termination fees, idle rent and related expenses for exited locations, professional services, and other costs related to restructuring activities, and are expensed when incurred. Refer to </w:t>
      </w:r>
      <w:r>
        <w:rPr>
          <w:rFonts w:ascii="Roboto;sans-serif" w:hAnsi="Roboto;sans-serif"/>
          <w:b w:val="false"/>
          <w:i/>
          <w:color w:val="000000"/>
          <w:sz w:val="18"/>
        </w:rPr>
        <w:t>Note 4, Restructuring</w:t>
      </w:r>
      <w:r>
        <w:rPr>
          <w:color w:val="000000"/>
        </w:rPr>
        <w:t xml:space="preserve"> </w:t>
      </w:r>
      <w:r>
        <w:rPr>
          <w:rFonts w:ascii="Roboto;sans-serif" w:hAnsi="Roboto;sans-serif"/>
          <w:b w:val="false"/>
          <w:color w:val="000000"/>
          <w:sz w:val="18"/>
        </w:rPr>
        <w:t>for additional information.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reporting currency is the U.S. dollar while the functional currencies of non-U.S. subsidiaries are determined based on the primary economic environment in which the subsidiary operates. Assets and liabilities of these subsidiaries are translated into U.S. dollars using exchange rates in effect at the end of each period, revenues and expenses are translated using average rates for the period, and equity is translated using historical rates. Change in foreign currency translation adjustment is included in Other comprehensive income (loss) on the Consolidated Statements of Operations and Comprehensive Income (Loss), and in Accumulated other comprehensive income on the Consolidated Balance Sheets and Consolidated Statements of Stockholders' Deficit. Transaction gains and losses are a result of the effect of exchange rates on transactions denominated in currencies other than the functional currency of the respective subsidiary and are included in Foreign exchange (loss) gain on the Consolidated Statements of Operations and Comprehensive Income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Income Taxes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utilizes the asset and liability method for computing its income tax provision, which consists primarily of income taxes related to state and international taxes for jurisdictions in which the Company conducts business.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of its deferred tax assets is not more-likely-than-not, a valuation allowance is established. </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a valuation allowance continues to be maintained on a majority of the Company’s deferred tax assets. Based on management’s assessment of historical results and forecasts, management is continuously monitoring the weight of both positive and negative evidence. Based on these trends, it is reasonably possible that within the next 12 months, management may conclude that it is more likely than not that a substantial portion of these deferred tax assets will be realized. </w:t>
      </w:r>
    </w:p>
    <w:p>
      <w:pPr>
        <w:pStyle w:val="TextBody"/>
        <w:bidi w:val="0"/>
        <w:spacing w:before="0" w:after="0"/>
        <w:jc w:val="left"/>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If such a determination is made, it would result in the recognition of net deferred tax assets on the Company’s Consolidated Balance Sheets and a corresponding benefit recorded within the income tax provision in the period of release. However, management’s judgment regarding future earnings and the exact timing and amount of any valuation allowance release are subject to change due to many factors, including but not limited to, future market conditions and the ability to successfully execute the Company’s business plans.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The Company utilizes a two-step approach to recognize and measure unrecognized tax benefits. The first step is to evaluate the tax position for recognition by determining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350"/>
                <wp:effectExtent l="0" t="0" r="0" b="0"/>
                <wp:wrapNone/>
                <wp:docPr id="77" name="Frame7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pPr>
      <w:r>
        <w:rPr>
          <w:rFonts w:ascii="Roboto;sans-serif" w:hAnsi="Roboto;sans-serif"/>
          <w:b w:val="false"/>
          <w:color w:val="000000"/>
          <w:sz w:val="18"/>
        </w:rPr>
        <w:t xml:space="preserve">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 Interest and penalties related to unrecognized tax benefits, which to date have not been material, are recognized within Income tax (benefit) expense in the Consolidated Statements of Operations and Comprehensive Income (Loss). Refer to </w:t>
      </w:r>
      <w:r>
        <w:rPr>
          <w:rFonts w:ascii="Roboto;sans-serif" w:hAnsi="Roboto;sans-serif"/>
          <w:b w:val="false"/>
          <w:i/>
          <w:color w:val="000000"/>
          <w:sz w:val="18"/>
        </w:rPr>
        <w:t>Note 15, Income Taxes</w:t>
      </w:r>
      <w:r>
        <w:rPr>
          <w:color w:val="000000"/>
        </w:rPr>
        <w:t xml:space="preserve"> </w:t>
      </w:r>
      <w:r>
        <w:rPr>
          <w:rFonts w:ascii="Roboto;sans-serif" w:hAnsi="Roboto;sans-serif"/>
          <w:b w:val="false"/>
          <w:color w:val="000000"/>
          <w:sz w:val="18"/>
        </w:rPr>
        <w:t>for additional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Earnings (Loss) Per Share</w:t>
      </w:r>
    </w:p>
    <w:p>
      <w:pPr>
        <w:pStyle w:val="TextBody"/>
        <w:bidi w:val="0"/>
        <w:spacing w:lineRule="auto" w:line="288" w:before="0" w:after="0"/>
        <w:jc w:val="both"/>
        <w:rPr/>
      </w:pPr>
      <w:r>
        <w:rPr>
          <w:rFonts w:ascii="Roboto;sans-serif" w:hAnsi="Roboto;sans-serif"/>
          <w:b w:val="false"/>
          <w:color w:val="000000"/>
          <w:sz w:val="18"/>
        </w:rPr>
        <w:t xml:space="preserve">The Company computes basic earnings (loss) per share based on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vesting of restricted stock units and awards, and performance stock units, when the related performance criterion has been met, using the treasury stock method, and convertible senior notes, using the if-converted method. Refer to </w:t>
      </w:r>
      <w:r>
        <w:rPr>
          <w:rFonts w:ascii="Roboto;sans-serif" w:hAnsi="Roboto;sans-serif"/>
          <w:b w:val="false"/>
          <w:i/>
          <w:color w:val="000000"/>
          <w:sz w:val="18"/>
        </w:rPr>
        <w:t>Note 16, Earnings (Loss) Per Share</w:t>
      </w:r>
      <w:r>
        <w:rPr>
          <w:color w:val="000000"/>
        </w:rPr>
        <w:t xml:space="preserve"> </w:t>
      </w:r>
      <w:r>
        <w:rPr>
          <w:rFonts w:ascii="Roboto;sans-serif" w:hAnsi="Roboto;sans-serif"/>
          <w:b w:val="false"/>
          <w:color w:val="000000"/>
          <w:sz w:val="18"/>
        </w:rPr>
        <w:t>for additional information.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Recently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FASB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 xml:space="preserve">This ASU enhances income tax information primarily through changes in the rate reconciliation and income taxes paid information. It is effective for fiscal years beginning after December 15, 2024, and should be applied on a prospective basis; however, retrospective application is permitted. The Company adopted this ASU for the fiscal year ended June 30, 2026 on a prospective basis. The adoption of this new standard did not have a material impact on the consolidated financial statements. For additional information, refer to </w:t>
      </w:r>
      <w:r>
        <w:rPr>
          <w:rFonts w:ascii="Roboto;sans-serif" w:hAnsi="Roboto;sans-serif"/>
          <w:b w:val="false"/>
          <w:i/>
          <w:color w:val="000000"/>
          <w:sz w:val="18"/>
        </w:rPr>
        <w:t>Note 15</w:t>
      </w:r>
      <w:r>
        <w:rPr>
          <w:rFonts w:ascii="Roboto;sans-serif" w:hAnsi="Roboto;sans-serif"/>
          <w:b w:val="false"/>
          <w:color w:val="000000"/>
          <w:sz w:val="18"/>
        </w:rPr>
        <w:t xml:space="preserve">, </w:t>
      </w:r>
      <w:r>
        <w:rPr>
          <w:rFonts w:ascii="Roboto;sans-serif" w:hAnsi="Roboto;sans-serif"/>
          <w:b w:val="false"/>
          <w:i/>
          <w:color w:val="000000"/>
          <w:sz w:val="18"/>
        </w:rPr>
        <w:t>Income Taxes</w:t>
      </w:r>
      <w:r>
        <w:rPr>
          <w:rFonts w:ascii="Roboto;sans-serif" w:hAnsi="Roboto;sans-serif"/>
          <w:b w:val="false"/>
          <w:color w:val="000000"/>
          <w:sz w:val="18"/>
        </w:rPr>
        <w:t>.</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2024-03</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2024-03, </w:t>
      </w:r>
      <w:r>
        <w:rPr>
          <w:rFonts w:ascii="Roboto;sans-serif" w:hAnsi="Roboto;sans-serif"/>
          <w:b w:val="false"/>
          <w:i/>
          <w:color w:val="000000"/>
          <w:sz w:val="18"/>
        </w:rPr>
        <w:t xml:space="preserve">Income Statement-Reporting Comprehensive Income-Expense Disaggregation Disclosures (Subtopic 220-40). </w:t>
      </w:r>
      <w:r>
        <w:rPr>
          <w:rFonts w:ascii="Roboto;sans-serif" w:hAnsi="Roboto;sans-serif"/>
          <w:b w:val="false"/>
          <w:color w:val="000000"/>
          <w:sz w:val="18"/>
        </w:rPr>
        <w:t>This ASU requires the disaggregation of certain expense captions on the face of the income statement into specified categories in disclosures within the footnotes to the financial statements. It is effective for fiscal years beginning after December 15, 2026 and for interim periods within fiscal years beginning after December 15, 2027,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2024-04</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2024-04, </w:t>
      </w:r>
      <w:r>
        <w:rPr>
          <w:rFonts w:ascii="Roboto;sans-serif" w:hAnsi="Roboto;sans-serif"/>
          <w:b w:val="false"/>
          <w:i/>
          <w:color w:val="000000"/>
          <w:sz w:val="18"/>
        </w:rPr>
        <w:t xml:space="preserve">Debt—Debt with Conversion and Other Options (Subtopic 470-20): Induced Conversions of Convertible Debt Instruments. </w:t>
      </w:r>
      <w:r>
        <w:rPr>
          <w:rFonts w:ascii="Roboto;sans-serif" w:hAnsi="Roboto;sans-serif"/>
          <w:b w:val="false"/>
          <w:color w:val="000000"/>
          <w:sz w:val="18"/>
        </w:rPr>
        <w:t>This ASU clarifies the requirements for determining whether certain settlements of convertible debt instruments should be accounted for as an induced conversion. It is effective for fiscal years beginning after December 15, 2025 and interim reporting periods within those annual reporting periods,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2025-03</w:t>
      </w:r>
    </w:p>
    <w:p>
      <w:pPr>
        <w:pStyle w:val="TextBody"/>
        <w:bidi w:val="0"/>
        <w:spacing w:lineRule="auto" w:line="288" w:before="0" w:after="240"/>
        <w:jc w:val="both"/>
        <w:rPr/>
      </w:pPr>
      <w:r>
        <w:rPr>
          <w:rFonts w:ascii="Roboto;sans-serif" w:hAnsi="Roboto;sans-serif"/>
          <w:b w:val="false"/>
          <w:color w:val="000000"/>
          <w:sz w:val="18"/>
        </w:rPr>
        <w:t xml:space="preserve">In May 2025, the FASB issued ASU 2025-03, </w:t>
      </w:r>
      <w:r>
        <w:rPr>
          <w:rFonts w:ascii="Roboto;sans-serif" w:hAnsi="Roboto;sans-serif"/>
          <w:b w:val="false"/>
          <w:i/>
          <w:color w:val="000000"/>
          <w:sz w:val="18"/>
        </w:rPr>
        <w:t>Business Combinations (Topic 805) and Consolidation (Topic 810): Determining the Accounting Acquirer in the Acquisition of a Variable Interest Entity</w:t>
      </w:r>
      <w:r>
        <w:rPr>
          <w:rFonts w:ascii="Roboto;sans-serif" w:hAnsi="Roboto;sans-serif"/>
          <w:b w:val="false"/>
          <w:color w:val="000000"/>
          <w:sz w:val="18"/>
        </w:rPr>
        <w:t>. This ASU improves the requirements for identifying the accounting acquirer in a business combination that is effected primarily by exchanging equity interests in which a variable interest entity is acquired. It is effective for fiscal years beginning after December 15, 2026 and interim reporting periods within those annual reporting periods, and is required to be applied prospectively to acquisitions occurring on or after the effective date. The Company will continue to evaluate the impact of this guidance, which will depend on the legal acquiree in future business combinations.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2025-05</w:t>
      </w:r>
    </w:p>
    <w:p>
      <w:pPr>
        <w:pStyle w:val="TextBody"/>
        <w:bidi w:val="0"/>
        <w:spacing w:lineRule="auto" w:line="288" w:before="0" w:after="240"/>
        <w:jc w:val="both"/>
        <w:rPr/>
      </w:pPr>
      <w:r>
        <w:rPr>
          <w:rFonts w:ascii="Roboto;sans-serif" w:hAnsi="Roboto;sans-serif"/>
          <w:b w:val="false"/>
          <w:color w:val="000000"/>
          <w:sz w:val="18"/>
        </w:rPr>
        <w:t xml:space="preserve">In July 2025, the FASB issued ASU 2025-05, </w:t>
      </w:r>
      <w:r>
        <w:rPr>
          <w:rFonts w:ascii="Roboto;sans-serif" w:hAnsi="Roboto;sans-serif"/>
          <w:b w:val="false"/>
          <w:i/>
          <w:color w:val="000000"/>
          <w:sz w:val="18"/>
        </w:rPr>
        <w:t>Financial Instruments—Credit Losses (Topic 326): Measurement of Credit Losses for Accounts Receivable and Contract Assets</w:t>
      </w:r>
      <w:r>
        <w:rPr>
          <w:rFonts w:ascii="Roboto;sans-serif" w:hAnsi="Roboto;sans-serif"/>
          <w:b w:val="false"/>
          <w:color w:val="000000"/>
          <w:sz w:val="18"/>
        </w:rPr>
        <w:t>. This ASU provides a practical expedient when estimating expected credit losses for current accounts receivable and current contract assets arising from transactions accounted for under Topic 606. It is effective for fiscal years beginning after December 15, 2025 and interim reporting periods within those annual reporting periods, and should be applied prospectively.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2025-06</w:t>
      </w:r>
    </w:p>
    <w:p>
      <w:pPr>
        <w:pStyle w:val="TextBody"/>
        <w:bidi w:val="0"/>
        <w:spacing w:lineRule="auto" w:line="288" w:before="0" w:after="0"/>
        <w:jc w:val="both"/>
        <w:rPr/>
      </w:pPr>
      <w:r>
        <w:rPr>
          <w:rFonts w:ascii="Roboto;sans-serif" w:hAnsi="Roboto;sans-serif"/>
          <w:b w:val="false"/>
          <w:color w:val="000000"/>
          <w:sz w:val="18"/>
        </w:rPr>
        <w:t xml:space="preserve">In September 2025, the FASB issued ASU 2025-06, </w:t>
      </w:r>
      <w:r>
        <w:rPr>
          <w:rFonts w:ascii="Roboto;sans-serif" w:hAnsi="Roboto;sans-serif"/>
          <w:b w:val="false"/>
          <w:i/>
          <w:color w:val="000000"/>
          <w:sz w:val="18"/>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18"/>
        </w:rPr>
        <w:t>to clarify and modernize the accounting for costs related to internal-use software. This ASU is effective for fiscal years beginning after December 15, 2027 and interim reporting periods within those annual reporting periods, and is permitted to be applied using a prospective, modified, or retrospective transition approach. The Company is currently evaluating the impact of adopting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78" name="Frame7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0"/>
        <w:jc w:val="both"/>
        <w:rPr/>
      </w:pPr>
      <w:r>
        <w:rPr>
          <w:rFonts w:ascii="Roboto;sans-serif" w:hAnsi="Roboto;sans-serif"/>
          <w:b w:val="false"/>
          <w:color w:val="000000"/>
          <w:sz w:val="18"/>
        </w:rPr>
        <w:t xml:space="preserve">The Company’s revenue disaggregated by segment, excluding sales-based taxes, is included in </w:t>
      </w:r>
      <w:r>
        <w:rPr>
          <w:rFonts w:ascii="Roboto;sans-serif" w:hAnsi="Roboto;sans-serif"/>
          <w:b w:val="false"/>
          <w:i/>
          <w:color w:val="000000"/>
          <w:sz w:val="18"/>
        </w:rPr>
        <w:t>Note 17, Segment Information</w:t>
      </w:r>
      <w:r>
        <w:rPr>
          <w:rFonts w:ascii="Roboto;sans-serif" w:hAnsi="Roboto;sans-serif"/>
          <w:b w:val="false"/>
          <w:color w:val="000000"/>
          <w:sz w:val="18"/>
        </w:rPr>
        <w:t>. The Company’s revenue disaggregated by geographic region was as follows:</w:t>
      </w:r>
    </w:p>
    <w:tbl>
      <w:tblPr>
        <w:tblW w:w="5787" w:type="dxa"/>
        <w:jc w:val="left"/>
        <w:tblInd w:w="0" w:type="dxa"/>
        <w:tblLayout w:type="fixed"/>
        <w:tblCellMar>
          <w:top w:w="28" w:type="dxa"/>
          <w:left w:w="28" w:type="dxa"/>
          <w:bottom w:w="28" w:type="dxa"/>
          <w:right w:w="28" w:type="dxa"/>
        </w:tblCellMar>
      </w:tblPr>
      <w:tblGrid>
        <w:gridCol w:w="516"/>
        <w:gridCol w:w="453"/>
        <w:gridCol w:w="456"/>
        <w:gridCol w:w="226"/>
        <w:gridCol w:w="886"/>
        <w:gridCol w:w="109"/>
        <w:gridCol w:w="109"/>
        <w:gridCol w:w="109"/>
        <w:gridCol w:w="109"/>
        <w:gridCol w:w="226"/>
        <w:gridCol w:w="886"/>
        <w:gridCol w:w="109"/>
        <w:gridCol w:w="109"/>
        <w:gridCol w:w="109"/>
        <w:gridCol w:w="109"/>
        <w:gridCol w:w="226"/>
        <w:gridCol w:w="88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North America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Company’s revenue attributable to the United States, included within North America above, was $2,117.1 million, $2,185.7 million, and $2,389.2 million, representing 87%, 88%, and 88% of Total revenue for the fiscal years ended June 30, 2026, 2025, and 2024, respectively.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and June 30, 2025, deferred revenue of $93.9 million and $91.7 million, respectively, and customer deposits of $45.7 million and $59.0 million, respectively, were included in Deferred revenue and customer deposits on the Company’s Consolidated Balance Sheets.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fiscal years ended June 30, 2026 and 2025, the Company recognized revenue of $90.2 million and $91.8 million, respectively, that was included in the deferred revenue balance as of June 30, 2025 and 2024,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provides a limited warranty for its Connected Fitness Products, including coverage for the touchscreen and most original components, which warrants that the product will operate in accordance with its published specifications and shall be free from defects in the materials and workmanship under normal use for the relevant warranty period. The Company has the obligation to either repair or replace the defective product, at its option. At the time revenue is recognized for the product, an estimate of future warranty costs is recorded as a component of cost of revenue. Factors that affect the warranty obligation include historical, as well as current product warranty claims,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TextBody"/>
        <w:bidi w:val="0"/>
        <w:spacing w:lineRule="auto" w:line="288" w:before="0" w:after="12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its estimated future product warranty obligation was as follows:</w:t>
      </w:r>
    </w:p>
    <w:tbl>
      <w:tblPr>
        <w:tblW w:w="5726" w:type="dxa"/>
        <w:jc w:val="left"/>
        <w:tblInd w:w="0" w:type="dxa"/>
        <w:tblLayout w:type="fixed"/>
        <w:tblCellMar>
          <w:top w:w="28" w:type="dxa"/>
          <w:left w:w="28" w:type="dxa"/>
          <w:bottom w:w="28" w:type="dxa"/>
          <w:right w:w="28" w:type="dxa"/>
        </w:tblCellMar>
      </w:tblPr>
      <w:tblGrid>
        <w:gridCol w:w="1048"/>
        <w:gridCol w:w="922"/>
        <w:gridCol w:w="925"/>
        <w:gridCol w:w="289"/>
        <w:gridCol w:w="750"/>
        <w:gridCol w:w="139"/>
        <w:gridCol w:w="139"/>
        <w:gridCol w:w="139"/>
        <w:gridCol w:w="139"/>
        <w:gridCol w:w="289"/>
        <w:gridCol w:w="750"/>
        <w:gridCol w:w="197"/>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Extended warranty revenue is recognized ratably over the extended warranty coverage period and is included in Connected Fitness Products Revenue in the Consolidated Statements of Operations and Comprehensive Income (Loss). The Company’s revenue attributable to extended warranty was $16.0 million, $21.3 million and $36.0 million, representing 1% of total revenue during each of the fiscal years ended June 30, 2026,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lineRule="auto" w:line="276" w:before="0" w:after="240"/>
        <w:jc w:val="both"/>
        <w:rPr>
          <w:rFonts w:ascii="Roboto;sans-serif" w:hAnsi="Roboto;sans-serif"/>
          <w:b w:val="false"/>
          <w:color w:val="000000"/>
          <w:sz w:val="18"/>
        </w:rPr>
      </w:pPr>
      <w:r>
        <w:rPr>
          <w:rFonts w:ascii="Roboto;sans-serif" w:hAnsi="Roboto;sans-serif"/>
          <w:b w:val="false"/>
          <w:color w:val="000000"/>
          <w:sz w:val="18"/>
        </w:rPr>
        <w:t xml:space="preserve">The Company’s current restructuring efforts began with the implementation of a restructuring plan approved by the Company’s Board of Directors (“Board of Directors”) and announced in 2022 (the “2022 Restructuring Plan”), which was subsequently expanded upon and replaced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350"/>
                <wp:effectExtent l="0" t="0" r="0" b="0"/>
                <wp:wrapNone/>
                <wp:docPr id="79" name="Frame7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76" w:before="0" w:after="240"/>
        <w:jc w:val="both"/>
        <w:rPr>
          <w:rFonts w:ascii="Roboto;sans-serif" w:hAnsi="Roboto;sans-serif"/>
          <w:b w:val="false"/>
          <w:color w:val="000000"/>
          <w:sz w:val="18"/>
        </w:rPr>
      </w:pPr>
      <w:r>
        <w:rPr>
          <w:rFonts w:ascii="Roboto;sans-serif" w:hAnsi="Roboto;sans-serif"/>
          <w:b w:val="false"/>
          <w:color w:val="000000"/>
          <w:sz w:val="18"/>
        </w:rPr>
        <w:t>a new plan approved by the Board of Directors and announced in 2024 (as expanded and collectively with the 2022 Restructuring Plan, the “2024 Restructuring Plan”).</w:t>
      </w:r>
    </w:p>
    <w:p>
      <w:pPr>
        <w:pStyle w:val="TextBody"/>
        <w:bidi w:val="0"/>
        <w:spacing w:lineRule="auto" w:line="276" w:before="0" w:after="240"/>
        <w:jc w:val="both"/>
        <w:rPr>
          <w:rFonts w:ascii="Roboto;sans-serif" w:hAnsi="Roboto;sans-serif"/>
          <w:b w:val="false"/>
          <w:color w:val="000000"/>
          <w:sz w:val="18"/>
        </w:rPr>
      </w:pPr>
      <w:r>
        <w:rPr>
          <w:rFonts w:ascii="Roboto;sans-serif" w:hAnsi="Roboto;sans-serif"/>
          <w:b w:val="false"/>
          <w:color w:val="000000"/>
          <w:sz w:val="18"/>
        </w:rPr>
        <w:t>In August 2025, the Company announced a subsequent restructuring plan (the “2025 Restructuring Plan” and, together with the 2024 Restructuring Plan, the “Restructuring Plans”), which included a reduction in global headcount and was designed to improve the Company’s cost structure, operating efficiency, and profitability, while providing the opportunity to return to growth by reinvesting savings into Peloton’s differentiating capabilities. The Restructuring Plans have been substantially completed as of June 30, 2026. The Company does not expect to incur material additional cash or non-cash restructuring charges under the 2025 Restructuring Plan.</w:t>
      </w:r>
    </w:p>
    <w:p>
      <w:pPr>
        <w:pStyle w:val="TextBody"/>
        <w:bidi w:val="0"/>
        <w:spacing w:lineRule="auto" w:line="288" w:before="0" w:after="0"/>
        <w:jc w:val="both"/>
        <w:rPr/>
      </w:pPr>
      <w:r>
        <w:rPr>
          <w:rFonts w:ascii="Roboto;sans-serif" w:hAnsi="Roboto;sans-serif"/>
          <w:b w:val="false"/>
          <w:color w:val="000000"/>
          <w:sz w:val="18"/>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fiscal years ended June 30, 2026, 2025, and 2024,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 See further discussion in</w:t>
      </w:r>
      <w:r>
        <w:rPr>
          <w:color w:val="000000"/>
        </w:rPr>
        <w:t xml:space="preserve"> </w:t>
      </w:r>
      <w:r>
        <w:rPr>
          <w:rFonts w:ascii="Roboto;sans-serif" w:hAnsi="Roboto;sans-serif"/>
          <w:b w:val="false"/>
          <w:i/>
          <w:color w:val="000000"/>
          <w:sz w:val="18"/>
        </w:rPr>
        <w:t>Note 7,</w:t>
      </w:r>
      <w:r>
        <w:rPr>
          <w:color w:val="000000"/>
        </w:rPr>
        <w:t xml:space="preserve"> </w:t>
      </w:r>
      <w:r>
        <w:rPr>
          <w:rFonts w:ascii="Roboto;sans-serif" w:hAnsi="Roboto;sans-serif"/>
          <w:b w:val="false"/>
          <w:i/>
          <w:color w:val="000000"/>
          <w:sz w:val="18"/>
        </w:rPr>
        <w:t xml:space="preserve">Property and Equipment </w:t>
      </w:r>
      <w:r>
        <w:rPr>
          <w:rFonts w:ascii="Roboto;sans-serif" w:hAnsi="Roboto;sans-serif"/>
          <w:b w:val="false"/>
          <w:color w:val="000000"/>
          <w:sz w:val="18"/>
        </w:rPr>
        <w:t xml:space="preserve">and </w:t>
      </w:r>
      <w:r>
        <w:rPr>
          <w:rFonts w:ascii="Roboto;sans-serif" w:hAnsi="Roboto;sans-serif"/>
          <w:b w:val="false"/>
          <w:i/>
          <w:color w:val="000000"/>
          <w:sz w:val="18"/>
        </w:rPr>
        <w:t>Note 10, Leases</w:t>
      </w:r>
      <w:r>
        <w:rPr>
          <w:color w:val="000000"/>
        </w:rPr>
        <w:t xml:space="preserve"> </w:t>
      </w:r>
      <w:r>
        <w:rPr>
          <w:rFonts w:ascii="Roboto;sans-serif" w:hAnsi="Roboto;sans-serif"/>
          <w:b w:val="false"/>
          <w:color w:val="000000"/>
          <w:sz w:val="18"/>
        </w:rPr>
        <w:t xml:space="preserve">in the Notes to Consolidated Financial Statements in Part II, Item 8 of this Annual Report on Form 10-K. </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As a result of the Restructuring Plans, the Company incurred the charges shown in the following table. Asset write-downs and write-offs are included within Impairment expense, Write-offs of inventory related to restructuring activities are included within Connected Fitness Products Cost of revenue, and the remaining charges incurred during the relevant periods are included within Restructuring expense, in the Consolidated Statements of Operations and Comprehensive Income (Loss):</w:t>
      </w:r>
    </w:p>
    <w:tbl>
      <w:tblPr>
        <w:tblW w:w="8906" w:type="dxa"/>
        <w:jc w:val="left"/>
        <w:tblInd w:w="0" w:type="dxa"/>
        <w:tblLayout w:type="fixed"/>
        <w:tblCellMar>
          <w:top w:w="28" w:type="dxa"/>
          <w:left w:w="28" w:type="dxa"/>
          <w:bottom w:w="28" w:type="dxa"/>
          <w:right w:w="28" w:type="dxa"/>
        </w:tblCellMar>
      </w:tblPr>
      <w:tblGrid>
        <w:gridCol w:w="1930"/>
        <w:gridCol w:w="1695"/>
        <w:gridCol w:w="1699"/>
        <w:gridCol w:w="226"/>
        <w:gridCol w:w="586"/>
        <w:gridCol w:w="109"/>
        <w:gridCol w:w="109"/>
        <w:gridCol w:w="109"/>
        <w:gridCol w:w="109"/>
        <w:gridCol w:w="226"/>
        <w:gridCol w:w="586"/>
        <w:gridCol w:w="109"/>
        <w:gridCol w:w="109"/>
        <w:gridCol w:w="109"/>
        <w:gridCol w:w="109"/>
        <w:gridCol w:w="226"/>
        <w:gridCol w:w="706"/>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Cash restructuring charges:</w:t>
            </w:r>
            <w:r>
              <w:rPr>
                <w:rFonts w:ascii="Roboto;sans-serif" w:hAnsi="Roboto;sans-serif"/>
                <w:b/>
                <w:color w:val="000000"/>
                <w:sz w:val="12"/>
              </w:rPr>
              <w:t>(1)</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Severance and other personnel costs</w:t>
            </w:r>
            <w:r>
              <w:rPr>
                <w:rFonts w:ascii="Roboto;sans-serif" w:hAnsi="Robo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Exit and disposal costs and professional fees</w:t>
            </w:r>
            <w:r>
              <w:rPr>
                <w:rFonts w:ascii="Roboto;sans-serif" w:hAnsi="Roboto;sans-serif"/>
                <w:b w:val="false"/>
                <w:color w:val="000000"/>
                <w:sz w:val="12"/>
              </w:rPr>
              <w:t>(3)</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restructuring charges</w:t>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Non-cash restructuring charges:</w:t>
            </w:r>
            <w:r>
              <w:rPr>
                <w:rFonts w:ascii="Roboto;sans-serif" w:hAnsi="Roboto;sans-serif"/>
                <w:b/>
                <w:color w:val="000000"/>
                <w:sz w:val="12"/>
              </w:rPr>
              <w:t>(1)</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Asset write-downs and write-offs</w:t>
            </w:r>
            <w:r>
              <w:rPr>
                <w:rFonts w:ascii="Roboto;sans-serif" w:hAnsi="Roboto;sans-serif"/>
                <w:b w:val="false"/>
                <w:color w:val="000000"/>
                <w:sz w:val="12"/>
              </w:rPr>
              <w:t>(4)</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Stock-based compensation expense</w:t>
            </w:r>
            <w:r>
              <w:rPr>
                <w:rFonts w:ascii="Roboto;sans-serif" w:hAnsi="Roboto;sans-serif"/>
                <w:b w:val="false"/>
                <w:color w:val="000000"/>
                <w:sz w:val="12"/>
              </w:rPr>
              <w:t>(5)</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Write-offs of inventory related to restructuring activities</w:t>
            </w:r>
            <w:r>
              <w:rPr>
                <w:rFonts w:ascii="Roboto;sans-serif" w:hAnsi="Roboto;sans-serif"/>
                <w:b w:val="false"/>
                <w:color w:val="000000"/>
                <w:sz w:val="12"/>
              </w:rPr>
              <w:t>(6)</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Loss on sale of subsidiary</w:t>
            </w:r>
            <w:r>
              <w:rPr>
                <w:rFonts w:ascii="Roboto;sans-serif" w:hAnsi="Roboto;sans-serif"/>
                <w:b w:val="false"/>
                <w:color w:val="000000"/>
                <w:sz w:val="12"/>
              </w:rPr>
              <w:t>(7)</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restructuring charges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 xml:space="preserve">(1) All cash and non-cash restructuring charges for the fiscal year ended June 30, 2026 related to the 2025 Restructuring Plan. </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 xml:space="preserve">(2) Includes $0.1 million and $23.2 million of severance and other personnel costs related to the 2024 Restructuring Plan and 2025 Restructuring Plan, respectively, for the fiscal year ended June 30, 2025. Includes $7.5 million and $29.0 million of severance and other personnel costs related to the 2022 Restructuring Plan and 2024 Restructuring Plan, respectively, for the fiscal year ended June 30, 2024. </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(3) All charges for the fiscal year ended June 30, 2025 relate to the 2024 Restructuring Plan. Includes $16.1 million and $3.1 million of exit and disposal costs and professional fees related to the 2022 Restructuring Plan and 2024 Restructuring Plan, respectively, for the fiscal year ended June 30, 2024. </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All charges for the fiscal year ended June 30, 2025 relate to the 2024 Restructuring Plan. Includes $31.1 million and $9.7 million of asset write-downs and write-offs related to the 2022 Restructuring Plan and 2024 Restructuring Plan, respectively, for the fiscal year ended June 30, 2024.</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(5) All charges for the fiscal year ended June 30, 2025 relate to the 2025 Restructuring Plan. Includes $7.2 million and $(0.6) million of stock-based compensation expense related to the 2022 Restructuring Plan and 2024 Restructuring Plan, respectively, for the fiscal year ended June 30, 2024.</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(6) Includes write-offs of inventory related to the 2022 Restructuring Plan.</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(7) Includes loss on sale of subsidiary recognized in connection with the 2022 Restructuring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80" name="Frame7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presents a roll-forward of cash restructuring-related liabilities, which are included within Accounts payable and accrued expenses in the Consolidated Balance Sheets:</w:t>
      </w:r>
    </w:p>
    <w:tbl>
      <w:tblPr>
        <w:tblW w:w="10205" w:type="dxa"/>
        <w:jc w:val="left"/>
        <w:tblInd w:w="0" w:type="dxa"/>
        <w:tblLayout w:type="fixed"/>
        <w:tblCellMar>
          <w:top w:w="28" w:type="dxa"/>
          <w:left w:w="28" w:type="dxa"/>
          <w:bottom w:w="28" w:type="dxa"/>
          <w:right w:w="28" w:type="dxa"/>
        </w:tblCellMar>
      </w:tblPr>
      <w:tblGrid>
        <w:gridCol w:w="910"/>
        <w:gridCol w:w="659"/>
        <w:gridCol w:w="662"/>
        <w:gridCol w:w="711"/>
        <w:gridCol w:w="1845"/>
        <w:gridCol w:w="344"/>
        <w:gridCol w:w="109"/>
        <w:gridCol w:w="109"/>
        <w:gridCol w:w="109"/>
        <w:gridCol w:w="973"/>
        <w:gridCol w:w="2006"/>
        <w:gridCol w:w="472"/>
        <w:gridCol w:w="109"/>
        <w:gridCol w:w="109"/>
        <w:gridCol w:w="109"/>
        <w:gridCol w:w="226"/>
        <w:gridCol w:w="586"/>
        <w:gridCol w:w="157"/>
      </w:tblGrid>
      <w:tr>
        <w:trPr/>
        <w:tc>
          <w:tcPr>
            <w:tcW w:w="9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2023</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(37.4)</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7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both"/>
        <w:rPr>
          <w:rFonts w:ascii="Roboto;sans-serif" w:hAnsi="Roboto;sans-serif"/>
          <w:b w:val="false"/>
          <w:color w:val="000000"/>
          <w:sz w:val="14"/>
        </w:rPr>
      </w:pPr>
      <w:r>
        <w:rPr>
          <w:rFonts w:ascii="Roboto;sans-serif" w:hAnsi="Roboto;sans-serif"/>
          <w:b w:val="false"/>
          <w:color w:val="000000"/>
          <w:sz w:val="14"/>
        </w:rPr>
        <w:t>(1) Includes $7.5 million and $29.0 million of cash charges for severance and other personnel costs related to the 2022 Restructuring Plan and 2024 Restructuring Plan, respectively, and $16.1 million and $3.1 million of cash charges for exit and disposal costs and professional fees related to the 2022 Restructuring Plan and 2024 Restructuring Plan, respectively, for the fiscal year ended June 30, 2024.</w:t>
      </w:r>
    </w:p>
    <w:tbl>
      <w:tblPr>
        <w:tblW w:w="10205" w:type="dxa"/>
        <w:jc w:val="left"/>
        <w:tblInd w:w="0" w:type="dxa"/>
        <w:tblLayout w:type="fixed"/>
        <w:tblCellMar>
          <w:top w:w="28" w:type="dxa"/>
          <w:left w:w="28" w:type="dxa"/>
          <w:bottom w:w="28" w:type="dxa"/>
          <w:right w:w="28" w:type="dxa"/>
        </w:tblCellMar>
      </w:tblPr>
      <w:tblGrid>
        <w:gridCol w:w="910"/>
        <w:gridCol w:w="659"/>
        <w:gridCol w:w="662"/>
        <w:gridCol w:w="711"/>
        <w:gridCol w:w="1845"/>
        <w:gridCol w:w="344"/>
        <w:gridCol w:w="109"/>
        <w:gridCol w:w="109"/>
        <w:gridCol w:w="109"/>
        <w:gridCol w:w="973"/>
        <w:gridCol w:w="2006"/>
        <w:gridCol w:w="472"/>
        <w:gridCol w:w="109"/>
        <w:gridCol w:w="109"/>
        <w:gridCol w:w="109"/>
        <w:gridCol w:w="226"/>
        <w:gridCol w:w="586"/>
        <w:gridCol w:w="157"/>
      </w:tblGrid>
      <w:tr>
        <w:trPr/>
        <w:tc>
          <w:tcPr>
            <w:tcW w:w="9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(2)</w:t>
            </w:r>
          </w:p>
        </w:tc>
        <w:tc>
          <w:tcPr>
            <w:tcW w:w="2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2025</w:t>
            </w:r>
          </w:p>
        </w:tc>
        <w:tc>
          <w:tcPr>
            <w:tcW w:w="7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3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4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both"/>
        <w:rPr>
          <w:rFonts w:ascii="Roboto;sans-serif" w:hAnsi="Roboto;sans-serif"/>
          <w:b w:val="false"/>
          <w:color w:val="000000"/>
          <w:sz w:val="14"/>
        </w:rPr>
      </w:pPr>
      <w:r>
        <w:rPr>
          <w:rFonts w:ascii="Roboto;sans-serif" w:hAnsi="Roboto;sans-serif"/>
          <w:b w:val="false"/>
          <w:color w:val="000000"/>
          <w:sz w:val="14"/>
        </w:rPr>
        <w:t>(2) Includes $0.1 million and $23.2 million of cash charges for severance and other personnel costs related to the 2024 Restructuring Plan and 2025 Restructuring Plan, respectively, and $9.6 million of cash charges for exit and disposal costs and professional fees related to the 2024 Restructuring Plan, for the fiscal year ended June 30, 2025.</w:t>
      </w:r>
    </w:p>
    <w:tbl>
      <w:tblPr>
        <w:tblW w:w="10205" w:type="dxa"/>
        <w:jc w:val="left"/>
        <w:tblInd w:w="0" w:type="dxa"/>
        <w:tblLayout w:type="fixed"/>
        <w:tblCellMar>
          <w:top w:w="28" w:type="dxa"/>
          <w:left w:w="28" w:type="dxa"/>
          <w:bottom w:w="28" w:type="dxa"/>
          <w:right w:w="28" w:type="dxa"/>
        </w:tblCellMar>
      </w:tblPr>
      <w:tblGrid>
        <w:gridCol w:w="910"/>
        <w:gridCol w:w="659"/>
        <w:gridCol w:w="662"/>
        <w:gridCol w:w="711"/>
        <w:gridCol w:w="1845"/>
        <w:gridCol w:w="344"/>
        <w:gridCol w:w="109"/>
        <w:gridCol w:w="109"/>
        <w:gridCol w:w="109"/>
        <w:gridCol w:w="973"/>
        <w:gridCol w:w="2006"/>
        <w:gridCol w:w="472"/>
        <w:gridCol w:w="109"/>
        <w:gridCol w:w="109"/>
        <w:gridCol w:w="109"/>
        <w:gridCol w:w="226"/>
        <w:gridCol w:w="586"/>
        <w:gridCol w:w="157"/>
      </w:tblGrid>
      <w:tr>
        <w:trPr/>
        <w:tc>
          <w:tcPr>
            <w:tcW w:w="9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2025</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(3)</w:t>
            </w:r>
          </w:p>
        </w:tc>
        <w:tc>
          <w:tcPr>
            <w:tcW w:w="2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2026</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(3) All cash restructuring charges for the fiscal year ended June 30, 2026 related to the 2025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presents the estimated fair values and carrying amounts of the Company’s financial instruments that are not recorded at fair value on the Consolidated Balance Sheets. All of these liabilities’ fair value are considered Level 2:</w:t>
      </w:r>
    </w:p>
    <w:tbl>
      <w:tblPr>
        <w:tblW w:w="10205" w:type="dxa"/>
        <w:jc w:val="left"/>
        <w:tblInd w:w="0" w:type="dxa"/>
        <w:tblLayout w:type="fixed"/>
        <w:tblCellMar>
          <w:top w:w="28" w:type="dxa"/>
          <w:left w:w="28" w:type="dxa"/>
          <w:bottom w:w="28" w:type="dxa"/>
          <w:right w:w="28" w:type="dxa"/>
        </w:tblCellMar>
      </w:tblPr>
      <w:tblGrid>
        <w:gridCol w:w="1161"/>
        <w:gridCol w:w="990"/>
        <w:gridCol w:w="995"/>
        <w:gridCol w:w="332"/>
        <w:gridCol w:w="1302"/>
        <w:gridCol w:w="159"/>
        <w:gridCol w:w="109"/>
        <w:gridCol w:w="109"/>
        <w:gridCol w:w="109"/>
        <w:gridCol w:w="226"/>
        <w:gridCol w:w="886"/>
        <w:gridCol w:w="109"/>
        <w:gridCol w:w="109"/>
        <w:gridCol w:w="109"/>
        <w:gridCol w:w="109"/>
        <w:gridCol w:w="332"/>
        <w:gridCol w:w="1302"/>
        <w:gridCol w:w="159"/>
        <w:gridCol w:w="109"/>
        <w:gridCol w:w="109"/>
        <w:gridCol w:w="109"/>
        <w:gridCol w:w="226"/>
        <w:gridCol w:w="886"/>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0.00% Convertible Senior Notes due 2026</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5.50% Convertible Senior Notes due 2029</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due and payable on May 30, 2029</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1,330.0 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1,539.0 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1,818.1 </w:t>
            </w:r>
          </w:p>
        </w:tc>
        <w:tc>
          <w:tcPr>
            <w:tcW w:w="159" w:type="dxa"/>
            <w:tcBorders>
              <w:top w:val="single" w:sz="8" w:space="0" w:color="000000"/>
              <w:bottom w:val="doub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(1) Carrying Amount excludes unamortized debt discount and issuance costs of $17.7 million and $13.2 million, respectively, as of June 30, 2026, and unamortized debt discount and issuance costs of $22.7 million and $17.4 million, respectively,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350"/>
                <wp:effectExtent l="0" t="0" r="0" b="0"/>
                <wp:wrapNone/>
                <wp:docPr id="81" name="Frame8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estimated fair value of the 2026 Notes and the estimated fair value of the 2029 Notes (each as defined in </w:t>
      </w:r>
      <w:r>
        <w:rPr>
          <w:rFonts w:ascii="Roboto;sans-serif" w:hAnsi="Roboto;sans-serif"/>
          <w:b w:val="false"/>
          <w:i/>
          <w:color w:val="000000"/>
          <w:sz w:val="18"/>
        </w:rPr>
        <w:t>Note 11, Debt</w:t>
      </w:r>
      <w:r>
        <w:rPr>
          <w:rFonts w:ascii="Roboto;sans-serif" w:hAnsi="Roboto;sans-serif"/>
          <w:b w:val="false"/>
          <w:color w:val="000000"/>
          <w:sz w:val="18"/>
        </w:rPr>
        <w:t>) are determined based on the respective closing prices on the last trading day of the reporting period. The 2026 Notes matured on February 15, 2026, and during the fiscal year ended June 30, 2026, the Company repaid in cash the remaining $199.0 million aggregate principal amount of the 2026 Notes.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carrying value of the Term Loan (as defined in </w:t>
      </w:r>
      <w:r>
        <w:rPr>
          <w:rFonts w:ascii="Roboto;sans-serif" w:hAnsi="Roboto;sans-serif"/>
          <w:b w:val="false"/>
          <w:i/>
          <w:color w:val="000000"/>
          <w:sz w:val="18"/>
        </w:rPr>
        <w:t>Note 11, Debt</w:t>
      </w:r>
      <w:r>
        <w:rPr>
          <w:rFonts w:ascii="Roboto;sans-serif" w:hAnsi="Roboto;sans-serif"/>
          <w:b w:val="false"/>
          <w:color w:val="000000"/>
          <w:sz w:val="18"/>
        </w:rPr>
        <w:t>) approximates the fair value of the Term Loan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Inventories, net consisted of the following:</w:t>
      </w:r>
    </w:p>
    <w:tbl>
      <w:tblPr>
        <w:tblW w:w="4478" w:type="dxa"/>
        <w:jc w:val="left"/>
        <w:tblInd w:w="0" w:type="dxa"/>
        <w:tblLayout w:type="fixed"/>
        <w:tblCellMar>
          <w:top w:w="28" w:type="dxa"/>
          <w:left w:w="28" w:type="dxa"/>
          <w:bottom w:w="28" w:type="dxa"/>
          <w:right w:w="28" w:type="dxa"/>
        </w:tblCellMar>
      </w:tblPr>
      <w:tblGrid>
        <w:gridCol w:w="732"/>
        <w:gridCol w:w="644"/>
        <w:gridCol w:w="648"/>
        <w:gridCol w:w="226"/>
        <w:gridCol w:w="706"/>
        <w:gridCol w:w="109"/>
        <w:gridCol w:w="109"/>
        <w:gridCol w:w="109"/>
        <w:gridCol w:w="109"/>
        <w:gridCol w:w="226"/>
        <w:gridCol w:w="70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inventories</w:t>
            </w:r>
            <w:r>
              <w:rPr>
                <w:rFonts w:ascii="Roboto;sans-serif" w:hAnsi="Roboto;sans-serif"/>
                <w:b w:val="false"/>
                <w:color w:val="000000"/>
                <w:sz w:val="12"/>
              </w:rPr>
              <w:t>(2)</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Includes $16.4 million and $40.3 million of finished goods inventory in transit, products owned by the Company that have not yet been received at a Company distribution center, as of June 30, 2026 and 2025, respectively.</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(2) As of June 30, 2026 and 2025, there was no work-in-process within inventories.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June 30, 2026 primarily consisted of $43.0 million related to excess accessories and apparel inventory and $22.7 million related to excess Connected Fitness Products. The Company’s recorded inventory reserves as of June 30, 2025 primarily consisted of $66.8 million related to excess accessories and apparel inventory and $64.9 million related to excess returned Connected Fitness Products, including Guide.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Roboto;sans-serif" w:hAnsi="Roboto;sans-serif"/>
          <w:b/>
          <w:color w:val="000000"/>
          <w:sz w:val="18"/>
        </w:rPr>
        <w:t>7.</w:t>
      </w:r>
      <w:r>
        <w:rPr>
          <w:color w:val="000000"/>
        </w:rPr>
        <w:t xml:space="preserve"> </w:t>
      </w:r>
      <w:r>
        <w:rPr>
          <w:rFonts w:ascii="Roboto;sans-serif" w:hAnsi="Roboto;sans-serif"/>
          <w:b/>
          <w:color w:val="000000"/>
          <w:sz w:val="18"/>
        </w:rPr>
        <w:t>Property and Equipment</w:t>
      </w:r>
    </w:p>
    <w:p>
      <w:pPr>
        <w:pStyle w:val="TextBody"/>
        <w:bidi w:val="0"/>
        <w:spacing w:lineRule="auto" w:line="288" w:before="240" w:after="283"/>
        <w:jc w:val="left"/>
        <w:rPr>
          <w:rFonts w:ascii="Roboto;sans-serif" w:hAnsi="Roboto;sans-serif"/>
          <w:b w:val="false"/>
          <w:color w:val="000000"/>
          <w:sz w:val="18"/>
        </w:rPr>
      </w:pPr>
      <w:r>
        <w:rPr>
          <w:rFonts w:ascii="Roboto;sans-serif" w:hAnsi="Roboto;sans-serif"/>
          <w:b w:val="false"/>
          <w:color w:val="000000"/>
          <w:sz w:val="18"/>
        </w:rPr>
        <w:t>Property and equipment consisted of the following:</w:t>
      </w:r>
    </w:p>
    <w:tbl>
      <w:tblPr>
        <w:tblW w:w="6548" w:type="dxa"/>
        <w:jc w:val="left"/>
        <w:tblInd w:w="0" w:type="dxa"/>
        <w:tblLayout w:type="fixed"/>
        <w:tblCellMar>
          <w:top w:w="28" w:type="dxa"/>
          <w:left w:w="28" w:type="dxa"/>
          <w:bottom w:w="28" w:type="dxa"/>
          <w:right w:w="28" w:type="dxa"/>
        </w:tblCellMar>
      </w:tblPr>
      <w:tblGrid>
        <w:gridCol w:w="1483"/>
        <w:gridCol w:w="1303"/>
        <w:gridCol w:w="1308"/>
        <w:gridCol w:w="226"/>
        <w:gridCol w:w="706"/>
        <w:gridCol w:w="109"/>
        <w:gridCol w:w="109"/>
        <w:gridCol w:w="109"/>
        <w:gridCol w:w="109"/>
        <w:gridCol w:w="226"/>
        <w:gridCol w:w="70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Leasehold Improvements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Machinery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Customer-leased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Software </w:t>
            </w:r>
            <w:r>
              <w:rPr>
                <w:rFonts w:ascii="Roboto;sans-serif" w:hAnsi="Roboto;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property and equipment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property and equipment, net</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both"/>
        <w:rPr>
          <w:rFonts w:ascii="Roboto;sans-serif" w:hAnsi="Roboto;sans-serif"/>
          <w:b w:val="false"/>
          <w:color w:val="000000"/>
          <w:sz w:val="14"/>
        </w:rPr>
      </w:pPr>
      <w:r>
        <w:rPr>
          <w:rFonts w:ascii="Roboto;sans-serif" w:hAnsi="Roboto;sans-serif"/>
          <w:b w:val="false"/>
          <w:color w:val="000000"/>
          <w:sz w:val="14"/>
        </w:rPr>
        <w:t>(1) Includes $2.6 million and $1.0 million of software under development as of June 30, 2026 and 2025, respectively.</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During fiscal 2024, 2025, and 2026,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 The Company determined that the estimated undiscounted future cash flows were less than the carrying values for certain asset groups. The Company recognized impairment charges for the fiscal year ended June 30, 2026, primarily consisting of $11.9 million related to plans to right-size portions of the Company’s corporate office footprint, and $5.7 million relating to exiting retail showrooms.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350"/>
                <wp:effectExtent l="0" t="0" r="0" b="0"/>
                <wp:wrapNone/>
                <wp:docPr id="82" name="Frame8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The Company recognized impairment charges for the fiscal year ended June 30, 2025, primarily consisting of $17.2 million related to plans to right-size portions of the Company’s corporate office footprint, $11.5 million relating to exiting retail showrooms, and $6.1 million related to other manufacturing assets. The Company recognized impairment charges for the fiscal year ended June 30, 2024, primarily consisting of $14.9 million relating to exiting retail showrooms and $5.0 million related to Connected Fitness assets.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72% and 27% of the Company's total Property and equipment, net was attributable to the United States and the United Kingdom, respectively. As of June 30, 2025, 76% and 22% of the Company's total Property and equipment, net was attributable to the United States and the United Kingdom, respectively.</w:t>
      </w:r>
    </w:p>
    <w:p>
      <w:pPr>
        <w:pStyle w:val="TextBody"/>
        <w:bidi w:val="0"/>
        <w:spacing w:before="0" w:after="0"/>
        <w:jc w:val="left"/>
        <w:rPr/>
      </w:pPr>
      <w:r>
        <w:rPr/>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estimated useful lives of property and equipment are as follows:</w:t>
      </w:r>
    </w:p>
    <w:tbl>
      <w:tblPr>
        <w:tblW w:w="6854" w:type="dxa"/>
        <w:jc w:val="left"/>
        <w:tblInd w:w="0" w:type="dxa"/>
        <w:tblLayout w:type="fixed"/>
        <w:tblCellMar>
          <w:top w:w="28" w:type="dxa"/>
          <w:left w:w="28" w:type="dxa"/>
          <w:bottom w:w="28" w:type="dxa"/>
          <w:right w:w="28" w:type="dxa"/>
        </w:tblCellMar>
      </w:tblPr>
      <w:tblGrid>
        <w:gridCol w:w="967"/>
        <w:gridCol w:w="850"/>
        <w:gridCol w:w="852"/>
        <w:gridCol w:w="1225"/>
        <w:gridCol w:w="1225"/>
        <w:gridCol w:w="1735"/>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4185"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Leasehold Improvements</w:t>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Shorter of remaining lease term or useful life</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Machinery</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Three to ten years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Equipment</w:t>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Two to seven years</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Customer-leased equipment</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Three to five years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Furniture and Fixtures</w:t>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Two to ten years</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Software</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Two to seven years</w:t>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Depreciation and amortization expense amounted to $51.6 million, $80.2 million, and $98.2 million for the fiscal years ended June 30, 2026, 2025, and 2024, respectively, of which $18.0 million, $33.6 million, and $42.8 million related to amortization of capitalized software costs for the fiscal years ended June 30,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Goodwill and Intangible Assets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June 30, 2025, and June 30, 2024, the carrying amount of goodwill, which is allocated to the Subscription segment, did not contain any accumulated impairment losses. The changes in the carrying value of goodwill during the fiscal years ended June 30, 2026, 2025, and 2024 are as follows:</w:t>
      </w:r>
    </w:p>
    <w:tbl>
      <w:tblPr>
        <w:tblW w:w="2775" w:type="dxa"/>
        <w:jc w:val="left"/>
        <w:tblInd w:w="0" w:type="dxa"/>
        <w:tblLayout w:type="fixed"/>
        <w:tblCellMar>
          <w:top w:w="28" w:type="dxa"/>
          <w:left w:w="28" w:type="dxa"/>
          <w:bottom w:w="28" w:type="dxa"/>
          <w:right w:w="28" w:type="dxa"/>
        </w:tblCellMar>
      </w:tblPr>
      <w:tblGrid>
        <w:gridCol w:w="515"/>
        <w:gridCol w:w="452"/>
        <w:gridCol w:w="458"/>
        <w:gridCol w:w="316"/>
        <w:gridCol w:w="819"/>
        <w:gridCol w:w="215"/>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30, 2024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30, 2025</w:t>
            </w:r>
          </w:p>
        </w:tc>
        <w:tc>
          <w:tcPr>
            <w:tcW w:w="1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Acquisition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30, 2026</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Company reviews goodwill for impairment annually on April 1 or more frequently if events or changes in circumstances indicate that an impairment may exist (“a triggering event”). During the fiscal years ended June 30, 2026, 2025, and 2024, management identified no qualitative factors that collectively indicated that the Company had triggering events. The Company did not recognize goodwill impairment for the fiscal years ended June 30, 2026, 2025, and 2024.</w:t>
      </w:r>
    </w:p>
    <w:p>
      <w:pPr>
        <w:pStyle w:val="TextBody"/>
        <w:bidi w:val="0"/>
        <w:spacing w:lineRule="auto" w:line="288" w:before="240" w:after="120"/>
        <w:jc w:val="both"/>
        <w:rPr>
          <w:rFonts w:ascii="Roboto;sans-serif" w:hAnsi="Roboto;sans-serif"/>
          <w:b w:val="false"/>
          <w:color w:val="000000"/>
          <w:sz w:val="18"/>
        </w:rPr>
      </w:pPr>
      <w:r>
        <w:rPr>
          <w:rFonts w:ascii="Roboto;sans-serif" w:hAnsi="Roboto;sans-serif"/>
          <w:b w:val="false"/>
          <w:color w:val="000000"/>
          <w:sz w:val="18"/>
        </w:rPr>
        <w:t>The gross carrying amount and accumulated amortization of the Company's Intangible assets, net, as of June 30, 2026 were as follows:</w:t>
      </w:r>
    </w:p>
    <w:tbl>
      <w:tblPr>
        <w:tblW w:w="10205" w:type="dxa"/>
        <w:jc w:val="left"/>
        <w:tblInd w:w="0" w:type="dxa"/>
        <w:tblLayout w:type="fixed"/>
        <w:tblCellMar>
          <w:top w:w="28" w:type="dxa"/>
          <w:left w:w="28" w:type="dxa"/>
          <w:bottom w:w="28" w:type="dxa"/>
          <w:right w:w="28" w:type="dxa"/>
        </w:tblCellMar>
      </w:tblPr>
      <w:tblGrid>
        <w:gridCol w:w="726"/>
        <w:gridCol w:w="536"/>
        <w:gridCol w:w="539"/>
        <w:gridCol w:w="109"/>
        <w:gridCol w:w="109"/>
        <w:gridCol w:w="109"/>
        <w:gridCol w:w="353"/>
        <w:gridCol w:w="917"/>
        <w:gridCol w:w="171"/>
        <w:gridCol w:w="109"/>
        <w:gridCol w:w="109"/>
        <w:gridCol w:w="109"/>
        <w:gridCol w:w="447"/>
        <w:gridCol w:w="1192"/>
        <w:gridCol w:w="217"/>
        <w:gridCol w:w="109"/>
        <w:gridCol w:w="109"/>
        <w:gridCol w:w="109"/>
        <w:gridCol w:w="338"/>
        <w:gridCol w:w="877"/>
        <w:gridCol w:w="164"/>
        <w:gridCol w:w="109"/>
        <w:gridCol w:w="109"/>
        <w:gridCol w:w="109"/>
        <w:gridCol w:w="707"/>
        <w:gridCol w:w="707"/>
        <w:gridCol w:w="1006"/>
      </w:tblGrid>
      <w:tr>
        <w:trPr/>
        <w:tc>
          <w:tcPr>
            <w:tcW w:w="7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 Average Remaining Useful Life (Years)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Acquired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definite-lived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89.5 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(77.8)</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Roboto;sans-serif" w:hAnsi="Roboto;sans-serif"/>
          <w:b w:val="false"/>
          <w:color w:val="000000"/>
          <w:sz w:val="18"/>
        </w:rPr>
      </w:pPr>
      <w:r>
        <w:rPr>
          <w:rFonts w:ascii="Roboto;sans-serif" w:hAnsi="Roboto;sans-serif"/>
          <w:b w:val="false"/>
          <w:color w:val="000000"/>
          <w:sz w:val="18"/>
        </w:rPr>
        <w:t>The gross carrying amount and accumulated amortization of the Company's Intangible assets, net, as of June 30, 2025 were as follows:</w:t>
      </w:r>
    </w:p>
    <w:tbl>
      <w:tblPr>
        <w:tblW w:w="10205" w:type="dxa"/>
        <w:jc w:val="left"/>
        <w:tblInd w:w="0" w:type="dxa"/>
        <w:tblLayout w:type="fixed"/>
        <w:tblCellMar>
          <w:top w:w="28" w:type="dxa"/>
          <w:left w:w="28" w:type="dxa"/>
          <w:bottom w:w="28" w:type="dxa"/>
          <w:right w:w="28" w:type="dxa"/>
        </w:tblCellMar>
      </w:tblPr>
      <w:tblGrid>
        <w:gridCol w:w="726"/>
        <w:gridCol w:w="536"/>
        <w:gridCol w:w="539"/>
        <w:gridCol w:w="109"/>
        <w:gridCol w:w="109"/>
        <w:gridCol w:w="109"/>
        <w:gridCol w:w="353"/>
        <w:gridCol w:w="917"/>
        <w:gridCol w:w="171"/>
        <w:gridCol w:w="109"/>
        <w:gridCol w:w="109"/>
        <w:gridCol w:w="109"/>
        <w:gridCol w:w="447"/>
        <w:gridCol w:w="1192"/>
        <w:gridCol w:w="217"/>
        <w:gridCol w:w="109"/>
        <w:gridCol w:w="109"/>
        <w:gridCol w:w="109"/>
        <w:gridCol w:w="388"/>
        <w:gridCol w:w="802"/>
        <w:gridCol w:w="189"/>
        <w:gridCol w:w="109"/>
        <w:gridCol w:w="109"/>
        <w:gridCol w:w="109"/>
        <w:gridCol w:w="707"/>
        <w:gridCol w:w="707"/>
        <w:gridCol w:w="1006"/>
      </w:tblGrid>
      <w:tr>
        <w:trPr/>
        <w:tc>
          <w:tcPr>
            <w:tcW w:w="7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 Average Remaining Useful Life (Years)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Acquired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definite-lived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350"/>
                <wp:effectExtent l="0" t="0" r="0" b="0"/>
                <wp:wrapNone/>
                <wp:docPr id="83" name="Frame8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fiscal years ended June 30, 2026, 2025, and 2024, the Company recognized no intangible asset impairment losses.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recognized intangible asset amortization expense in the Consolidated Statements of Operations and Comprehensive Income (Loss) in the amount of $5.6 million, $9.4 million, and $10.6 million for the fiscal years ended June 30, 2026, 2025, and 2024, respectively.</w:t>
      </w:r>
    </w:p>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As of June 30, 2026, estimated amortization expense related to the Company's identifiable acquisition-related intangible assets in future periods were as follows:</w:t>
      </w:r>
    </w:p>
    <w:tbl>
      <w:tblPr>
        <w:tblW w:w="4557" w:type="dxa"/>
        <w:jc w:val="left"/>
        <w:tblInd w:w="0" w:type="dxa"/>
        <w:tblLayout w:type="fixed"/>
        <w:tblCellMar>
          <w:top w:w="28" w:type="dxa"/>
          <w:left w:w="28" w:type="dxa"/>
          <w:bottom w:w="28" w:type="dxa"/>
          <w:right w:w="28" w:type="dxa"/>
        </w:tblCellMar>
      </w:tblPr>
      <w:tblGrid>
        <w:gridCol w:w="1041"/>
        <w:gridCol w:w="918"/>
        <w:gridCol w:w="921"/>
        <w:gridCol w:w="109"/>
        <w:gridCol w:w="109"/>
        <w:gridCol w:w="109"/>
        <w:gridCol w:w="316"/>
        <w:gridCol w:w="819"/>
        <w:gridCol w:w="215"/>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Ending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Roboto;sans-serif" w:hAnsi="Roboto;sans-serif"/>
          <w:b/>
          <w:color w:val="000000"/>
          <w:sz w:val="18"/>
        </w:rPr>
        <w:t>9.</w:t>
      </w:r>
      <w:r>
        <w:rPr>
          <w:color w:val="000000"/>
        </w:rPr>
        <w:t xml:space="preserve"> </w:t>
      </w:r>
      <w:r>
        <w:rPr>
          <w:rFonts w:ascii="Roboto;sans-serif" w:hAnsi="Roboto;sans-serif"/>
          <w:b/>
          <w:color w:val="000000"/>
          <w:sz w:val="18"/>
        </w:rPr>
        <w:t>Accounts Payable and Accrued Expenses</w:t>
      </w:r>
    </w:p>
    <w:p>
      <w:pPr>
        <w:pStyle w:val="TextBody"/>
        <w:bidi w:val="0"/>
        <w:spacing w:lineRule="auto" w:line="288" w:before="24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 consisted of the following:</w:t>
      </w:r>
    </w:p>
    <w:tbl>
      <w:tblPr>
        <w:tblW w:w="6758" w:type="dxa"/>
        <w:jc w:val="left"/>
        <w:tblInd w:w="0" w:type="dxa"/>
        <w:tblLayout w:type="fixed"/>
        <w:tblCellMar>
          <w:top w:w="28" w:type="dxa"/>
          <w:left w:w="28" w:type="dxa"/>
          <w:bottom w:w="28" w:type="dxa"/>
          <w:right w:w="28" w:type="dxa"/>
        </w:tblCellMar>
      </w:tblPr>
      <w:tblGrid>
        <w:gridCol w:w="1560"/>
        <w:gridCol w:w="1370"/>
        <w:gridCol w:w="1374"/>
        <w:gridCol w:w="226"/>
        <w:gridCol w:w="706"/>
        <w:gridCol w:w="109"/>
        <w:gridCol w:w="109"/>
        <w:gridCol w:w="109"/>
        <w:gridCol w:w="109"/>
        <w:gridCol w:w="226"/>
        <w:gridCol w:w="70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music licensing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received but not billed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Accrued general and administrative</w:t>
            </w:r>
            <w:r>
              <w:rPr>
                <w:rFonts w:ascii="Roboto;sans-serif" w:hAnsi="Roboto;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legal contingencies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accounts payable and accrued expenses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Roboto;sans-serif" w:hAnsi="Roboto;sans-serif"/>
          <w:b/>
          <w:color w:val="000000"/>
          <w:sz w:val="18"/>
        </w:rPr>
        <w:t>10.</w:t>
      </w:r>
      <w:r>
        <w:rPr>
          <w:color w:val="000000"/>
        </w:rPr>
        <w:t xml:space="preserve"> </w:t>
      </w:r>
      <w:r>
        <w:rPr>
          <w:rFonts w:ascii="Roboto;sans-serif" w:hAnsi="Roboto;sans-serif"/>
          <w:b/>
          <w:color w:val="000000"/>
          <w:sz w:val="18"/>
        </w:rPr>
        <w:t>Leases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Lessee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has entered into various non-cancellable operating lease agreements for its corporate headquarters offices, warehouses and distribution facilities, production studio facilities, retail locations, and other office spaces. The Company subleases certain corporate offices, warehouses and distribution facilities, and retail locations to third parties.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350"/>
                <wp:effectExtent l="0" t="0" r="0" b="0"/>
                <wp:wrapNone/>
                <wp:docPr id="84" name="Frame8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Total operating lease expense, net, for the fiscal years ended June 30, 2026, 2025, and 2024 was as follows:</w:t>
      </w:r>
    </w:p>
    <w:tbl>
      <w:tblPr>
        <w:tblW w:w="7481" w:type="dxa"/>
        <w:jc w:val="left"/>
        <w:tblInd w:w="0" w:type="dxa"/>
        <w:tblLayout w:type="fixed"/>
        <w:tblCellMar>
          <w:top w:w="28" w:type="dxa"/>
          <w:left w:w="28" w:type="dxa"/>
          <w:bottom w:w="28" w:type="dxa"/>
          <w:right w:w="28" w:type="dxa"/>
        </w:tblCellMar>
      </w:tblPr>
      <w:tblGrid>
        <w:gridCol w:w="1370"/>
        <w:gridCol w:w="1203"/>
        <w:gridCol w:w="1206"/>
        <w:gridCol w:w="226"/>
        <w:gridCol w:w="586"/>
        <w:gridCol w:w="109"/>
        <w:gridCol w:w="109"/>
        <w:gridCol w:w="109"/>
        <w:gridCol w:w="109"/>
        <w:gridCol w:w="226"/>
        <w:gridCol w:w="706"/>
        <w:gridCol w:w="109"/>
        <w:gridCol w:w="109"/>
        <w:gridCol w:w="109"/>
        <w:gridCol w:w="109"/>
        <w:gridCol w:w="226"/>
        <w:gridCol w:w="70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 Operating Lease Expense, Net</w:t>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expense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Variable lease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Short-term lease expense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lease expense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Sublease income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Variable sublease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lease expense, net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As of June 30, 2026, the total remaining lease payments included in the measurement of operating lease liabilities were as follows:</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2027</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2031</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524.6 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As of June 30, 2026, future minimum lease payments to be received from operating subleases were as follows:</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2031</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2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104.5 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Roboto;sans-serif" w:hAnsi="Roboto;sans-serif"/>
          <w:b w:val="false"/>
          <w:color w:val="000000"/>
          <w:sz w:val="18"/>
        </w:rPr>
      </w:pPr>
      <w:r>
        <w:rPr>
          <w:rFonts w:ascii="Roboto;sans-serif" w:hAnsi="Roboto;sans-serif"/>
          <w:b w:val="false"/>
          <w:color w:val="000000"/>
          <w:sz w:val="18"/>
        </w:rPr>
        <w:t>Supplemental information related to operating leases was as follows:</w:t>
      </w:r>
    </w:p>
    <w:tbl>
      <w:tblPr>
        <w:tblW w:w="7518" w:type="dxa"/>
        <w:jc w:val="left"/>
        <w:tblInd w:w="0" w:type="dxa"/>
        <w:tblLayout w:type="fixed"/>
        <w:tblCellMar>
          <w:top w:w="28" w:type="dxa"/>
          <w:left w:w="28" w:type="dxa"/>
          <w:bottom w:w="28" w:type="dxa"/>
          <w:right w:w="28" w:type="dxa"/>
        </w:tblCellMar>
      </w:tblPr>
      <w:tblGrid>
        <w:gridCol w:w="1717"/>
        <w:gridCol w:w="1509"/>
        <w:gridCol w:w="1514"/>
        <w:gridCol w:w="226"/>
        <w:gridCol w:w="706"/>
        <w:gridCol w:w="271"/>
        <w:gridCol w:w="109"/>
        <w:gridCol w:w="109"/>
        <w:gridCol w:w="109"/>
        <w:gridCol w:w="226"/>
        <w:gridCol w:w="706"/>
        <w:gridCol w:w="316"/>
      </w:tblGrid>
      <w:tr>
        <w:trPr/>
        <w:tc>
          <w:tcPr>
            <w:tcW w:w="171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Reconciliation of Operating Lease Liabilities</w:t>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As of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 Undiscounted Operating Lease Liability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 Discounted Operating Lease Liability</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operating lease liabilities</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Non-current portion of operating lease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3350"/>
                <wp:effectExtent l="0" t="0" r="0" b="0"/>
                <wp:wrapNone/>
                <wp:docPr id="85" name="Frame8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Supplemental cash flow and 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2310"/>
        <w:gridCol w:w="2034"/>
        <w:gridCol w:w="2037"/>
        <w:gridCol w:w="226"/>
        <w:gridCol w:w="706"/>
        <w:gridCol w:w="109"/>
        <w:gridCol w:w="109"/>
        <w:gridCol w:w="109"/>
        <w:gridCol w:w="109"/>
        <w:gridCol w:w="226"/>
        <w:gridCol w:w="706"/>
        <w:gridCol w:w="109"/>
        <w:gridCol w:w="109"/>
        <w:gridCol w:w="109"/>
        <w:gridCol w:w="109"/>
        <w:gridCol w:w="226"/>
        <w:gridCol w:w="706"/>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amounts included in the measurement of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cash flows from operating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Right-of-use assets obtained in exchange for operating lease liabilities (non-cash)</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Right-of-use asset reductions related to operating lease modifications and terminations (non-cash)</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Roboto;sans-serif" w:hAnsi="Roboto;sans-serif"/>
          <w:b w:val="false"/>
          <w:color w:val="000000"/>
          <w:sz w:val="18"/>
        </w:rPr>
        <w:t xml:space="preserve">As discussed in </w:t>
      </w:r>
      <w:r>
        <w:rPr>
          <w:rFonts w:ascii="Roboto;sans-serif" w:hAnsi="Roboto;sans-serif"/>
          <w:b w:val="false"/>
          <w:i/>
          <w:color w:val="000000"/>
          <w:sz w:val="18"/>
        </w:rPr>
        <w:t>Note 7, Property and Equipment</w:t>
      </w:r>
      <w:r>
        <w:rPr>
          <w:rFonts w:ascii="Roboto;sans-serif" w:hAnsi="Roboto;sans-serif"/>
          <w:b w:val="false"/>
          <w:color w:val="000000"/>
          <w:sz w:val="18"/>
        </w:rPr>
        <w:t xml:space="preserve">, management identified various qualitative factors that collectively indicated that the Company had triggering events for its long-lived assets, including the Company’s operating lease right-of-use assets. The Company recognized impairment charges for the fiscal year ended June 30, 2026, primarily consisting of $10.6 million related to certain corporate office right-of-use assets, and $5.9 million related to retail showroom right-of-use assets. </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For the fiscal year ended June 30, 2025, the Company recognized impairment charges of $15.0 million related to certain corporate office right-of-use assets, $13.5 million related to retail showroom right-of-use assets, and $4.2 million related to other manufacturing right-of-use assets. For the fiscal year ended June 30, 2024, the Company recognized impairment charges of $16.6 million related to retail showroom right-of-use assets and $7.5 million related to Connected Fitness right-of-use assets.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As of June 30, 2026 and 2025, 91% and 7% of the Company's total Operating lease right-of-use assets, net was attributable to the United States and the United Kingdom, respectively.</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Lessor arrangements</w:t>
      </w:r>
    </w:p>
    <w:p>
      <w:pPr>
        <w:pStyle w:val="TextBody"/>
        <w:bidi w:val="0"/>
        <w:spacing w:lineRule="auto" w:line="288" w:before="0" w:after="0"/>
        <w:jc w:val="both"/>
        <w:rPr/>
      </w:pPr>
      <w:r>
        <w:rPr>
          <w:rFonts w:ascii="Roboto;sans-serif" w:hAnsi="Roboto;sans-serif"/>
          <w:b w:val="false"/>
          <w:color w:val="000000"/>
          <w:sz w:val="18"/>
        </w:rPr>
        <w:t xml:space="preserve">As discussed in </w:t>
      </w:r>
      <w:r>
        <w:rPr>
          <w:rFonts w:ascii="Roboto;sans-serif" w:hAnsi="Roboto;sans-serif"/>
          <w:b w:val="false"/>
          <w:i/>
          <w:color w:val="000000"/>
          <w:sz w:val="18"/>
        </w:rPr>
        <w:t>Note 2, Summary of Significant Accounting Policies</w:t>
      </w:r>
      <w:r>
        <w:rPr>
          <w:rFonts w:ascii="Adelle Sans;sans-serif" w:hAnsi="Adelle Sans;sans-serif"/>
          <w:b w:val="false"/>
          <w:color w:val="000000"/>
          <w:sz w:val="18"/>
        </w:rPr>
        <w:t>,</w:t>
      </w:r>
      <w:r>
        <w:rPr>
          <w:color w:val="000000"/>
        </w:rPr>
        <w:t xml:space="preserve"> </w:t>
      </w:r>
      <w:r>
        <w:rPr>
          <w:rFonts w:ascii="Roboto;sans-serif" w:hAnsi="Roboto;sans-serif"/>
          <w:b w:val="false"/>
          <w:color w:val="000000"/>
          <w:sz w:val="18"/>
        </w:rPr>
        <w:t>the Company leases Peloton Bike portfolio products under the Peloton Rental program. For the fiscal years ended June 30, 2026, 2025, and 2024, the Company recognized lease revenue on the Peloton Rental program of $29.6 million, $45.8 million and $47.3 million, respectively, within Connected Fitness Products Revenue in the Company’s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2029</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2024, the Company issued $350.0 million aggregate principal amount of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Class A common stock did not exceed 130% of the conversion price of the 2029 Notes for more than 20 trading days during the 30 consecutive trading days, including the last trading day, ended June 30, 2026. Accordingly, as of July 1, 2026, the 2029 Notes may not be converted at the option of the applicable holder through September 30,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applicable holder.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satisfy any conversion obligation under the 2029 Notes by paying and/or delivering, as the case may be, cash, shares of Class A common stock, or a combination of cash and shares of Class A common stock, at the Company’s election, in the manner and subject to the terms and conditions provided in the 2029 Notes Indenture.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3350"/>
                <wp:effectExtent l="0" t="0" r="0" b="0"/>
                <wp:wrapNone/>
                <wp:docPr id="86" name="Frame8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was the effective interest rate as of June 30, 2026.</w:t>
      </w:r>
    </w:p>
    <w:p>
      <w:pPr>
        <w:pStyle w:val="TextBody"/>
        <w:bidi w:val="0"/>
        <w:spacing w:before="0" w:after="0"/>
        <w:jc w:val="both"/>
        <w:rPr/>
      </w:pPr>
      <w:r>
        <w:rPr/>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net carrying amount of the 2029 Notes was as follows:</w:t>
      </w:r>
    </w:p>
    <w:tbl>
      <w:tblPr>
        <w:tblW w:w="5574" w:type="dxa"/>
        <w:jc w:val="left"/>
        <w:tblInd w:w="0" w:type="dxa"/>
        <w:tblLayout w:type="fixed"/>
        <w:tblCellMar>
          <w:top w:w="28" w:type="dxa"/>
          <w:left w:w="28" w:type="dxa"/>
          <w:bottom w:w="28" w:type="dxa"/>
          <w:right w:w="28" w:type="dxa"/>
        </w:tblCellMar>
      </w:tblPr>
      <w:tblGrid>
        <w:gridCol w:w="1130"/>
        <w:gridCol w:w="993"/>
        <w:gridCol w:w="997"/>
        <w:gridCol w:w="226"/>
        <w:gridCol w:w="706"/>
        <w:gridCol w:w="109"/>
        <w:gridCol w:w="109"/>
        <w:gridCol w:w="109"/>
        <w:gridCol w:w="109"/>
        <w:gridCol w:w="226"/>
        <w:gridCol w:w="70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2029 Notes:</w:t>
      </w:r>
    </w:p>
    <w:tbl>
      <w:tblPr>
        <w:tblW w:w="8959" w:type="dxa"/>
        <w:jc w:val="left"/>
        <w:tblInd w:w="0" w:type="dxa"/>
        <w:tblLayout w:type="fixed"/>
        <w:tblCellMar>
          <w:top w:w="28" w:type="dxa"/>
          <w:left w:w="28" w:type="dxa"/>
          <w:bottom w:w="28" w:type="dxa"/>
          <w:right w:w="28" w:type="dxa"/>
        </w:tblCellMar>
      </w:tblPr>
      <w:tblGrid>
        <w:gridCol w:w="1957"/>
        <w:gridCol w:w="1717"/>
        <w:gridCol w:w="1725"/>
        <w:gridCol w:w="226"/>
        <w:gridCol w:w="586"/>
        <w:gridCol w:w="109"/>
        <w:gridCol w:w="109"/>
        <w:gridCol w:w="109"/>
        <w:gridCol w:w="109"/>
        <w:gridCol w:w="226"/>
        <w:gridCol w:w="586"/>
        <w:gridCol w:w="109"/>
        <w:gridCol w:w="109"/>
        <w:gridCol w:w="109"/>
        <w:gridCol w:w="109"/>
        <w:gridCol w:w="226"/>
        <w:gridCol w:w="466"/>
        <w:gridCol w:w="109"/>
        <w:gridCol w:w="109"/>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non-cash interest expense related to the 2029 Notes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2029 Notes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2026</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2021, the Company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the Company and U.S. Bank National Association, as trustee. The net proceeds from the offering were approximately $977.2 million, after deducting the initial purchasers’ discounts and commissions and the Company’s offering expenses. The 2026 Notes did not bear regular interest, and the principal amount of the 2026 Notes did not accrete. The effective interest rate upon issuance of the 2026 Notes was 0.45%.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May 2024, the Company entered into separate, privately negotiated transactions with certain holders of the 2026 Notes to repurchase $801.0 million of aggregate principal amount of the 2026 Notes for an aggregate of $724.9 million of cash. The Company recorded a $69.8 million gain on early extinguishment of debt during the fiscal year ended June 30, 2024, inclusive of a write-off of previously deferred debt issuance costs of $6.3 million. This amount was included within Net gain on debt refinancing on the Consolidated Statements of Operations and Comprehensive Income (Loss) for the fiscal year ended June 30,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3350"/>
                <wp:effectExtent l="0" t="0" r="0" b="0"/>
                <wp:wrapNone/>
                <wp:docPr id="87" name="Frame8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2026 Notes matured on February 15, 2026, and during the fiscal year ended June 30, 2026, the Company repaid in cash the remaining $199.0 million aggregate principal amount of the 2026 Notes. As of June 30, 2025, the 2026 Notes were classified as Current portion of debt on the Consolidated Balance Sheets due to their upcoming maturity date.</w:t>
      </w:r>
    </w:p>
    <w:p>
      <w:pPr>
        <w:pStyle w:val="TextBody"/>
        <w:bidi w:val="0"/>
        <w:spacing w:before="0" w:after="0"/>
        <w:jc w:val="both"/>
        <w:rPr/>
      </w:pPr>
      <w:r>
        <w:rPr/>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net carrying amount of the 2026 Notes was as follows:</w:t>
      </w:r>
    </w:p>
    <w:tbl>
      <w:tblPr>
        <w:tblW w:w="5574" w:type="dxa"/>
        <w:jc w:val="left"/>
        <w:tblInd w:w="0" w:type="dxa"/>
        <w:tblLayout w:type="fixed"/>
        <w:tblCellMar>
          <w:top w:w="28" w:type="dxa"/>
          <w:left w:w="28" w:type="dxa"/>
          <w:bottom w:w="28" w:type="dxa"/>
          <w:right w:w="28" w:type="dxa"/>
        </w:tblCellMar>
      </w:tblPr>
      <w:tblGrid>
        <w:gridCol w:w="1129"/>
        <w:gridCol w:w="992"/>
        <w:gridCol w:w="999"/>
        <w:gridCol w:w="226"/>
        <w:gridCol w:w="706"/>
        <w:gridCol w:w="109"/>
        <w:gridCol w:w="109"/>
        <w:gridCol w:w="109"/>
        <w:gridCol w:w="109"/>
        <w:gridCol w:w="226"/>
        <w:gridCol w:w="70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2026 Notes:</w:t>
      </w:r>
    </w:p>
    <w:tbl>
      <w:tblPr>
        <w:tblW w:w="7616" w:type="dxa"/>
        <w:jc w:val="left"/>
        <w:tblInd w:w="0" w:type="dxa"/>
        <w:tblLayout w:type="fixed"/>
        <w:tblCellMar>
          <w:top w:w="28" w:type="dxa"/>
          <w:left w:w="28" w:type="dxa"/>
          <w:bottom w:w="28" w:type="dxa"/>
          <w:right w:w="28" w:type="dxa"/>
        </w:tblCellMar>
      </w:tblPr>
      <w:tblGrid>
        <w:gridCol w:w="1636"/>
        <w:gridCol w:w="1436"/>
        <w:gridCol w:w="1442"/>
        <w:gridCol w:w="226"/>
        <w:gridCol w:w="466"/>
        <w:gridCol w:w="109"/>
        <w:gridCol w:w="109"/>
        <w:gridCol w:w="109"/>
        <w:gridCol w:w="109"/>
        <w:gridCol w:w="226"/>
        <w:gridCol w:w="466"/>
        <w:gridCol w:w="109"/>
        <w:gridCol w:w="109"/>
        <w:gridCol w:w="109"/>
        <w:gridCol w:w="109"/>
        <w:gridCol w:w="226"/>
        <w:gridCol w:w="466"/>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2026 Notes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Termination of 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3350"/>
                <wp:effectExtent l="0" t="0" r="0" b="0"/>
                <wp:wrapNone/>
                <wp:docPr id="88" name="Frame8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fiscal years ended June 30, 2026, 2025, and 2024, the Company incurred total commitment fees of $0.4 million, $0.5 million, and $1.3 million, respectively, which are included in Interest expense in the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the Company had drawn the full amount of the Term Loan and had not drawn on the Revolving Facility, and the Company had $980.0 million total outstanding borrowings under the Third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Income (Loss) for the fiscal year ended June 30, 2024.</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June 30, 2026, the Company had outstanding letters of credit totaling $40.9 million, which are classified as Restricted cash on the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June 30, 2026 is 10.2%.</w:t>
      </w:r>
    </w:p>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5934" w:type="dxa"/>
        <w:jc w:val="left"/>
        <w:tblInd w:w="0" w:type="dxa"/>
        <w:tblLayout w:type="fixed"/>
        <w:tblCellMar>
          <w:top w:w="28" w:type="dxa"/>
          <w:left w:w="28" w:type="dxa"/>
          <w:bottom w:w="28" w:type="dxa"/>
          <w:right w:w="28" w:type="dxa"/>
        </w:tblCellMar>
      </w:tblPr>
      <w:tblGrid>
        <w:gridCol w:w="1128"/>
        <w:gridCol w:w="989"/>
        <w:gridCol w:w="1003"/>
        <w:gridCol w:w="226"/>
        <w:gridCol w:w="886"/>
        <w:gridCol w:w="109"/>
        <w:gridCol w:w="109"/>
        <w:gridCol w:w="109"/>
        <w:gridCol w:w="109"/>
        <w:gridCol w:w="226"/>
        <w:gridCol w:w="88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9132" w:type="dxa"/>
        <w:jc w:val="left"/>
        <w:tblInd w:w="0" w:type="dxa"/>
        <w:tblLayout w:type="fixed"/>
        <w:tblCellMar>
          <w:top w:w="28" w:type="dxa"/>
          <w:left w:w="28" w:type="dxa"/>
          <w:bottom w:w="28" w:type="dxa"/>
          <w:right w:w="28" w:type="dxa"/>
        </w:tblCellMar>
      </w:tblPr>
      <w:tblGrid>
        <w:gridCol w:w="1924"/>
        <w:gridCol w:w="1689"/>
        <w:gridCol w:w="1697"/>
        <w:gridCol w:w="226"/>
        <w:gridCol w:w="706"/>
        <w:gridCol w:w="109"/>
        <w:gridCol w:w="109"/>
        <w:gridCol w:w="109"/>
        <w:gridCol w:w="109"/>
        <w:gridCol w:w="226"/>
        <w:gridCol w:w="706"/>
        <w:gridCol w:w="109"/>
        <w:gridCol w:w="109"/>
        <w:gridCol w:w="109"/>
        <w:gridCol w:w="109"/>
        <w:gridCol w:w="226"/>
        <w:gridCol w:w="706"/>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Term Loan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3350"/>
                <wp:effectExtent l="0" t="0" r="0" b="0"/>
                <wp:wrapNone/>
                <wp:docPr id="89" name="Frame8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Maturities of Debt Instruments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sets forth maturities of the Company’s debt instruments, including convertible notes payable, gross of debt issuance costs and debt discounts, as of June 30, 2026:</w:t>
      </w:r>
    </w:p>
    <w:tbl>
      <w:tblPr>
        <w:tblW w:w="5744" w:type="dxa"/>
        <w:jc w:val="left"/>
        <w:tblInd w:w="0" w:type="dxa"/>
        <w:tblLayout w:type="fixed"/>
        <w:tblCellMar>
          <w:top w:w="28" w:type="dxa"/>
          <w:left w:w="28" w:type="dxa"/>
          <w:bottom w:w="28" w:type="dxa"/>
          <w:right w:w="28" w:type="dxa"/>
        </w:tblCellMar>
      </w:tblPr>
      <w:tblGrid>
        <w:gridCol w:w="1014"/>
        <w:gridCol w:w="893"/>
        <w:gridCol w:w="897"/>
        <w:gridCol w:w="525"/>
        <w:gridCol w:w="2058"/>
        <w:gridCol w:w="357"/>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2027</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2028</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5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1,330.0 </w:t>
            </w:r>
          </w:p>
        </w:tc>
        <w:tc>
          <w:tcPr>
            <w:tcW w:w="3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12. Commitments and Contingencies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License Agreements</w:t>
      </w:r>
    </w:p>
    <w:p>
      <w:pPr>
        <w:pStyle w:val="TextBody"/>
        <w:bidi w:val="0"/>
        <w:spacing w:lineRule="auto" w:line="288" w:before="0" w:after="0"/>
        <w:jc w:val="both"/>
        <w:rPr/>
      </w:pPr>
      <w:r>
        <w:rPr>
          <w:rFonts w:ascii="Roboto;sans-serif" w:hAnsi="Roboto;sans-serif"/>
          <w:b w:val="false"/>
          <w:color w:val="000000"/>
          <w:sz w:val="18"/>
          <w:shd w:fill="FFFFFF" w:val="clear"/>
        </w:rPr>
        <w:t xml:space="preserve">The Company is subject to minimum royalty payments associated with certain music license agreements. The following represents the Company's guaranteed payments under music license agreements, as of </w:t>
      </w:r>
      <w:r>
        <w:rPr>
          <w:rFonts w:ascii="Roboto;sans-serif" w:hAnsi="Roboto;sans-serif"/>
          <w:b w:val="false"/>
          <w:color w:val="000000"/>
          <w:sz w:val="18"/>
        </w:rPr>
        <w:t>June 30, 2026</w:t>
      </w:r>
      <w:r>
        <w:rPr>
          <w:rFonts w:ascii="Roboto;sans-serif" w:hAnsi="Roboto;sans-serif"/>
          <w:b w:val="false"/>
          <w:color w:val="000000"/>
          <w:sz w:val="18"/>
          <w:shd w:fill="FFFFFF" w:val="clear"/>
        </w:rPr>
        <w:t>:</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105.2 </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Commitments to Suppliers</w:t>
      </w:r>
    </w:p>
    <w:p>
      <w:pPr>
        <w:pStyle w:val="TextBody"/>
        <w:bidi w:val="0"/>
        <w:spacing w:lineRule="auto" w:line="288" w:before="0" w:after="0"/>
        <w:jc w:val="both"/>
        <w:rPr/>
      </w:pPr>
      <w:r>
        <w:rPr>
          <w:rFonts w:ascii="Roboto;sans-serif" w:hAnsi="Roboto;sans-serif"/>
          <w:b w:val="false"/>
          <w:color w:val="000000"/>
          <w:sz w:val="18"/>
        </w:rPr>
        <w:t xml:space="preserve">The Company utilizes a combination of in-house manufacturing and </w:t>
      </w:r>
      <w:r>
        <w:rPr>
          <w:rFonts w:ascii="Roboto;sans-serif" w:hAnsi="Roboto;sans-serif"/>
          <w:b w:val="false"/>
          <w:color w:val="050505"/>
          <w:sz w:val="18"/>
        </w:rPr>
        <w:t>global sourcing with third-party manufacturing partners</w:t>
      </w:r>
      <w:r>
        <w:rPr>
          <w:color w:val="000000"/>
        </w:rPr>
        <w:t xml:space="preserve"> </w:t>
      </w:r>
      <w:r>
        <w:rPr>
          <w:rFonts w:ascii="Roboto;sans-serif" w:hAnsi="Roboto;sans-serif"/>
          <w:b w:val="false"/>
          <w:color w:val="000000"/>
          <w:sz w:val="18"/>
        </w:rPr>
        <w:t>to build its products and accessories. These contract manufacturers and component suppliers acquire inventory and build products based on demand forecast information the Company supplies, which typically covers a rolling 12-month period. Consistent with industry practice, the Company acquires inventories from these suppliers through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 and Precor-specific designs, and/or specific non-cancellable, non-returnable components based on the Company’s provided forecasts.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3350"/>
                <wp:effectExtent l="0" t="0" r="0" b="0"/>
                <wp:wrapNone/>
                <wp:docPr id="90" name="Frame8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As previously disclosed, the Company was subpoenaed by the U.S. Department of Justice and Department of Homeland Security for documents and other information related to the Company’s statutory obligations, including under the CPSA.</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Series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 On May 21, 2025, defendants served a motion to dismiss the second amended complaint. Briefing on defendants’ motion to dismiss the second amended complaint in the 2023 Securities Litigation was completed on July 28, 2025. On March 31, 2026, the court issued a memorandum and order granting defendants’ motion to dismiss and dismissing the second amended complaint with prejudice. On April 30, 2026, plaintiffs filed a notice of appeal with the United States Court of Appeals for the Second Circuit (the “Second Circuit”).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 including that any appeals have been concluded.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Second Circuit and filed their brief in support of their appeal on December 10, 2024. Defendants filed their responsive brief on January 28, 2025. The Second Circuit heard argument on the appeal on April 11, 2025. On August 27, 2025, the Second Circuit affirmed the Order in part, vacated the Order in part, and remanded the action to the district court for further proceedings, including to consider whether plaintiffs have sufficiently alleged other elements of their claims. The mandate to the district court was issued on September 18, 2025. Consistent with the Second Circuit’s decision, the district court dismissed three defendants from the case on September 10, 2025. The remaining defendants filed a renewed motion to dismiss plaintiffs’ claims in full on October 15, 2025. Briefing on defendants’ renewed motion to dismiss the SDNY Class Action was completed on December 10, 2025.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all motions to dismiss in the SDNY Class Action, including that any appeals have been concluded.</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July 28, 2022, NEC Corporation (“NEC”) filed suit against the Company in the United States District Court for the District of Delaware, Case No. 1:22-cv-00987, alleging that the Company’s use of third-party media players infringed three patents related to specific content streaming technologies and sought damages and injunctive relief. On April 8, 2024, the court stayed the case pending the resolution of inter partes review proceedings instituted by the Company against two of the patents-in-suit before the Patent Trial &amp; Appeal Board (“PTAB”) of the United States Patent and Trademark Office. After the PTAB invalidated one of the patents-in-suit, on March 25, 2025, the court lifted the stay and the case proceeded with respect to the remaining two patents-in-suit (the “‘101 patent” and the “‘809 patent”). On June 30, 2026, the court granted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3350"/>
                <wp:effectExtent l="0" t="0" r="0" b="0"/>
                <wp:wrapNone/>
                <wp:docPr id="91" name="Frame9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Company’s motion for summary judgment of non-infringement of the ‘809 patent. On July 10, 2026, the court granted NEC’s motion for summary judgment regarding the claim construction of certain terms in the ‘101 patent. On July 23, 2026, the court granted the Company’s motion for summary judgment of no pre-suit damages. The court held a jury trial on the ‘101 patent from July 27 to July 31, 2026. On July 31, 2026, the jury returned a verdict, finding that the ‘101 patent was infringed and not invalid on the basis of lack of written description, and awarded $20.5 million in past damages in the form of a running royalty through the date of the trial. The jury found that the Company was not liable for induced infringement, contributory infringement, or willful infringement of the ‘101 patent. The Company disagrees with the verdict with respect to direct infringement and invalidity, and is evaluating post-trial motion and appellate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 xml:space="preserve">13. Equity-Based Compensation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2019 Equity Incentive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the 2019 Equity Incentive Plan (the “2019 Plan”), which serves as the successor the 2015 Stock Plan. The 2019 Plan provides for the grant of equity-based awards to employees, directors and consultants, including stock options, restricted stock units, and performance stock units.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 Options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summary sets forth the stock option activity under the 2019 Plan:</w:t>
      </w:r>
    </w:p>
    <w:tbl>
      <w:tblPr>
        <w:tblW w:w="10205" w:type="dxa"/>
        <w:jc w:val="left"/>
        <w:tblInd w:w="0" w:type="dxa"/>
        <w:tblLayout w:type="fixed"/>
        <w:tblCellMar>
          <w:top w:w="28" w:type="dxa"/>
          <w:left w:w="28" w:type="dxa"/>
          <w:bottom w:w="28" w:type="dxa"/>
          <w:right w:w="28" w:type="dxa"/>
        </w:tblCellMar>
      </w:tblPr>
      <w:tblGrid>
        <w:gridCol w:w="621"/>
        <w:gridCol w:w="489"/>
        <w:gridCol w:w="490"/>
        <w:gridCol w:w="889"/>
        <w:gridCol w:w="417"/>
        <w:gridCol w:w="377"/>
        <w:gridCol w:w="109"/>
        <w:gridCol w:w="109"/>
        <w:gridCol w:w="109"/>
        <w:gridCol w:w="472"/>
        <w:gridCol w:w="1477"/>
        <w:gridCol w:w="229"/>
        <w:gridCol w:w="109"/>
        <w:gridCol w:w="109"/>
        <w:gridCol w:w="109"/>
        <w:gridCol w:w="813"/>
        <w:gridCol w:w="813"/>
        <w:gridCol w:w="814"/>
        <w:gridCol w:w="109"/>
        <w:gridCol w:w="109"/>
        <w:gridCol w:w="109"/>
        <w:gridCol w:w="350"/>
        <w:gridCol w:w="725"/>
        <w:gridCol w:w="248"/>
      </w:tblGrid>
      <w:tr>
        <w:trPr/>
        <w:tc>
          <w:tcPr>
            <w:tcW w:w="6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 Outstanding</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Aggregate</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xml:space="preserve">Intrinsic </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Value (in millions)</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2025</w:t>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20,958,757 </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21.51 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Exercised</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(81,817)</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(2,162,245)</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2026</w:t>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18,714,695 </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Vested and Exercisable— June 30, 2026</w:t>
            </w:r>
          </w:p>
        </w:tc>
        <w:tc>
          <w:tcPr>
            <w:tcW w:w="13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18,102,794 </w:t>
            </w:r>
          </w:p>
        </w:tc>
        <w:tc>
          <w:tcPr>
            <w:tcW w:w="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Unvested option activity is as follows:</w:t>
      </w:r>
    </w:p>
    <w:tbl>
      <w:tblPr>
        <w:tblW w:w="8621" w:type="dxa"/>
        <w:jc w:val="left"/>
        <w:tblInd w:w="0" w:type="dxa"/>
        <w:tblLayout w:type="fixed"/>
        <w:tblCellMar>
          <w:top w:w="28" w:type="dxa"/>
          <w:left w:w="28" w:type="dxa"/>
          <w:bottom w:w="28" w:type="dxa"/>
          <w:right w:w="28" w:type="dxa"/>
        </w:tblCellMar>
      </w:tblPr>
      <w:tblGrid>
        <w:gridCol w:w="890"/>
        <w:gridCol w:w="782"/>
        <w:gridCol w:w="787"/>
        <w:gridCol w:w="607"/>
        <w:gridCol w:w="608"/>
        <w:gridCol w:w="301"/>
        <w:gridCol w:w="109"/>
        <w:gridCol w:w="109"/>
        <w:gridCol w:w="109"/>
        <w:gridCol w:w="897"/>
        <w:gridCol w:w="2807"/>
        <w:gridCol w:w="615"/>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2025</w:t>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1,735,457 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9.39 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(1,005,585)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11.27 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(117,971)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8.81 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2026</w:t>
            </w:r>
          </w:p>
        </w:tc>
        <w:tc>
          <w:tcPr>
            <w:tcW w:w="121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611,901 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6.39 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intrinsic value of options outstanding and vested and exercisable, were calculated as the difference between the exercise price of the options and the fair value of the Company’s common stock as of June 30, 2026. The fair value of the common stock is the closing stock price of Class A common stock as reported on The Nasdaq Global Select Market. The aggregate intrinsic value of exercised options was $0.4 million, $9.2 million, and $12.7 million for the fiscal years ended June 30,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3350"/>
                <wp:effectExtent l="0" t="0" r="0" b="0"/>
                <wp:wrapNone/>
                <wp:docPr id="92" name="Frame9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No stock options were granted during the fiscal year ended June 30, 2026. For the fiscal years ended June 30, 2025 and 2024, the weighted-average grant date fair value per option was $5.53, and $2.46, respectively. The fair value of each option was estimated at the grant date using the Black-Scholes method with the following assumptions:</w:t>
      </w:r>
    </w:p>
    <w:tbl>
      <w:tblPr>
        <w:tblW w:w="7718" w:type="dxa"/>
        <w:jc w:val="left"/>
        <w:tblInd w:w="0" w:type="dxa"/>
        <w:tblLayout w:type="fixed"/>
        <w:tblCellMar>
          <w:top w:w="28" w:type="dxa"/>
          <w:left w:w="28" w:type="dxa"/>
          <w:bottom w:w="28" w:type="dxa"/>
          <w:right w:w="28" w:type="dxa"/>
        </w:tblCellMar>
      </w:tblPr>
      <w:tblGrid>
        <w:gridCol w:w="1581"/>
        <w:gridCol w:w="1387"/>
        <w:gridCol w:w="1396"/>
        <w:gridCol w:w="109"/>
        <w:gridCol w:w="109"/>
        <w:gridCol w:w="382"/>
        <w:gridCol w:w="228"/>
        <w:gridCol w:w="569"/>
        <w:gridCol w:w="228"/>
        <w:gridCol w:w="228"/>
        <w:gridCol w:w="228"/>
        <w:gridCol w:w="382"/>
        <w:gridCol w:w="228"/>
        <w:gridCol w:w="663"/>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risk-free interest rate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expected term (in years)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expected volatility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87.5 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Expected dividend yield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60"/>
        <w:jc w:val="left"/>
        <w:rPr/>
      </w:pPr>
      <w:r>
        <w:rPr>
          <w:rFonts w:ascii="Roboto;sans-serif" w:hAnsi="Roboto;sans-serif"/>
          <w:b w:val="false"/>
          <w:color w:val="000000"/>
          <w:sz w:val="14"/>
        </w:rPr>
        <w:t xml:space="preserve">(1) Refer to </w:t>
      </w:r>
      <w:r>
        <w:rPr>
          <w:rFonts w:ascii="Roboto;sans-serif" w:hAnsi="Roboto;sans-serif"/>
          <w:b w:val="false"/>
          <w:i/>
          <w:color w:val="000000"/>
          <w:sz w:val="14"/>
        </w:rPr>
        <w:t>2019 Equity Incentive Plan</w:t>
      </w:r>
      <w:r>
        <w:rPr>
          <w:color w:val="000000"/>
        </w:rPr>
        <w:t xml:space="preserve"> </w:t>
      </w:r>
      <w:r>
        <w:rPr>
          <w:rFonts w:ascii="Roboto;sans-serif" w:hAnsi="Roboto;sans-serif"/>
          <w:b w:val="false"/>
          <w:color w:val="000000"/>
          <w:sz w:val="14"/>
        </w:rPr>
        <w:t xml:space="preserve">within </w:t>
      </w:r>
      <w:r>
        <w:rPr>
          <w:rFonts w:ascii="Roboto;sans-serif" w:hAnsi="Roboto;sans-serif"/>
          <w:b w:val="false"/>
          <w:i/>
          <w:color w:val="000000"/>
          <w:sz w:val="14"/>
        </w:rPr>
        <w:t>Note 2, Summary of Significant Accounting Policies</w:t>
      </w:r>
      <w:r>
        <w:rPr>
          <w:color w:val="000000"/>
        </w:rPr>
        <w:t xml:space="preserve"> </w:t>
      </w:r>
      <w:r>
        <w:rPr>
          <w:rFonts w:ascii="Roboto;sans-serif" w:hAnsi="Roboto;sans-serif"/>
          <w:b w:val="false"/>
          <w:color w:val="000000"/>
          <w:sz w:val="14"/>
        </w:rPr>
        <w:t>for further details regarding how these assumptions are calculated.</w:t>
      </w:r>
    </w:p>
    <w:p>
      <w:pPr>
        <w:pStyle w:val="TextBody"/>
        <w:bidi w:val="0"/>
        <w:spacing w:before="60" w:after="6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Restricted Stock Units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restricted stock units:</w:t>
      </w:r>
    </w:p>
    <w:tbl>
      <w:tblPr>
        <w:tblW w:w="10158" w:type="dxa"/>
        <w:jc w:val="left"/>
        <w:tblInd w:w="0" w:type="dxa"/>
        <w:tblLayout w:type="fixed"/>
        <w:tblCellMar>
          <w:top w:w="28" w:type="dxa"/>
          <w:left w:w="28" w:type="dxa"/>
          <w:bottom w:w="28" w:type="dxa"/>
          <w:right w:w="28" w:type="dxa"/>
        </w:tblCellMar>
      </w:tblPr>
      <w:tblGrid>
        <w:gridCol w:w="1113"/>
        <w:gridCol w:w="980"/>
        <w:gridCol w:w="982"/>
        <w:gridCol w:w="668"/>
        <w:gridCol w:w="668"/>
        <w:gridCol w:w="666"/>
        <w:gridCol w:w="254"/>
        <w:gridCol w:w="254"/>
        <w:gridCol w:w="254"/>
        <w:gridCol w:w="1010"/>
        <w:gridCol w:w="2621"/>
        <w:gridCol w:w="68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Outstanding</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Outstanding — June 30, 2025</w:t>
            </w:r>
            <w:r>
              <w:rPr>
                <w:color w:val="000000"/>
              </w:rPr>
              <w:t xml:space="preserve"> </w:t>
            </w:r>
            <w:r>
              <w:rPr>
                <w:rFonts w:ascii="Roboto;sans-serif" w:hAnsi="Roboto;sans-serif"/>
                <w:b w:val="false"/>
                <w:color w:val="000000"/>
                <w:sz w:val="12"/>
              </w:rPr>
              <w:t>(1)</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54,154,272 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23,136,469 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6.44 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(29,512,773)</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6.10 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(11,033,217)</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6.07 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2026</w:t>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36,744,751 </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6.06 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240"/>
        <w:jc w:val="both"/>
        <w:rPr>
          <w:rFonts w:ascii="Roboto;sans-serif" w:hAnsi="Roboto;sans-serif"/>
          <w:b w:val="false"/>
          <w:color w:val="000000"/>
          <w:sz w:val="14"/>
        </w:rPr>
      </w:pPr>
      <w:r>
        <w:rPr>
          <w:rFonts w:ascii="Roboto;sans-serif" w:hAnsi="Roboto;sans-serif"/>
          <w:b w:val="false"/>
          <w:color w:val="000000"/>
          <w:sz w:val="14"/>
        </w:rPr>
        <w:t>(1) During the fiscal year ended June 30, 2026, the Company updated its equity-based compensation disclosures to separately present the activity of RSUs and PSUs. Outstanding awards as of June 30, 2025, and weighted-average grant-date fair values for the prior year have been reclassified to conform to the current-year presentation. This change in presentation had no impact on previously reported consolidated net loss, total cash flows, or financial position.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the fiscal years ended June 30, 2026, 2025, and 2024, the weighted-average grant date fair value per restricted stock unit was $6.44, $5.18, and $5.46,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Performance Stock Units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performance stock units, inclusive of awards with performance conditions and market conditions:</w:t>
      </w:r>
    </w:p>
    <w:tbl>
      <w:tblPr>
        <w:tblW w:w="10202" w:type="dxa"/>
        <w:jc w:val="left"/>
        <w:tblInd w:w="0" w:type="dxa"/>
        <w:tblLayout w:type="fixed"/>
        <w:tblCellMar>
          <w:top w:w="28" w:type="dxa"/>
          <w:left w:w="28" w:type="dxa"/>
          <w:bottom w:w="28" w:type="dxa"/>
          <w:right w:w="28" w:type="dxa"/>
        </w:tblCellMar>
      </w:tblPr>
      <w:tblGrid>
        <w:gridCol w:w="1113"/>
        <w:gridCol w:w="980"/>
        <w:gridCol w:w="982"/>
        <w:gridCol w:w="664"/>
        <w:gridCol w:w="664"/>
        <w:gridCol w:w="666"/>
        <w:gridCol w:w="271"/>
        <w:gridCol w:w="271"/>
        <w:gridCol w:w="271"/>
        <w:gridCol w:w="1011"/>
        <w:gridCol w:w="2621"/>
        <w:gridCol w:w="68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Performance Stock Units Outstanding</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Outstanding — June 30, 2025</w:t>
            </w:r>
            <w:r>
              <w:rPr>
                <w:color w:val="000000"/>
              </w:rPr>
              <w:t xml:space="preserve"> </w:t>
            </w:r>
            <w:r>
              <w:rPr>
                <w:rFonts w:ascii="Roboto;sans-serif" w:hAnsi="Roboto;sans-serif"/>
                <w:b w:val="false"/>
                <w:color w:val="000000"/>
                <w:sz w:val="12"/>
              </w:rPr>
              <w:t>(1)</w:t>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1,147,446 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5.76 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5,242,805 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7.30 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Performance adjustment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1,719,709 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(1,999,524)</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5.77 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(321,267)</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7.58 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2026</w:t>
            </w:r>
          </w:p>
        </w:tc>
        <w:tc>
          <w:tcPr>
            <w:tcW w:w="13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5,789,169 </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7.36 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240"/>
        <w:jc w:val="both"/>
        <w:rPr>
          <w:rFonts w:ascii="Roboto;sans-serif" w:hAnsi="Roboto;sans-serif"/>
          <w:b w:val="false"/>
          <w:color w:val="000000"/>
          <w:sz w:val="14"/>
        </w:rPr>
      </w:pPr>
      <w:r>
        <w:rPr>
          <w:rFonts w:ascii="Roboto;sans-serif" w:hAnsi="Roboto;sans-serif"/>
          <w:b w:val="false"/>
          <w:color w:val="000000"/>
          <w:sz w:val="14"/>
        </w:rPr>
        <w:t>(1) During the fiscal year ended June 30, 2026, the Company updated its equity-based compensation disclosures to separately present the activity of RSUs and PSUs. Outstanding awards as of June 30, 2025, and weighted-average grant-date fair values for the prior year have been reclassified to conform to the current-year presentation. This change in presentation had no impact on previously reported consolidated net loss, total cash flows, or financial position.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the fiscal years ended June 30, 2026 and 2025, the weighted-average grant date fair value per performance stock unit was $7.30 and $5.76, respectively. There were no PSU awards granted prior to fiscal year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3350"/>
                <wp:effectExtent l="0" t="0" r="0" b="0"/>
                <wp:wrapNone/>
                <wp:docPr id="93" name="Frame9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 Expense</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Company's total stock-based compensation expense was as follows:</w:t>
      </w:r>
    </w:p>
    <w:tbl>
      <w:tblPr>
        <w:tblW w:w="7781" w:type="dxa"/>
        <w:jc w:val="center"/>
        <w:tblInd w:w="0" w:type="dxa"/>
        <w:tblLayout w:type="fixed"/>
        <w:tblCellMar>
          <w:top w:w="28" w:type="dxa"/>
          <w:left w:w="28" w:type="dxa"/>
          <w:bottom w:w="28" w:type="dxa"/>
          <w:right w:w="28" w:type="dxa"/>
        </w:tblCellMar>
      </w:tblPr>
      <w:tblGrid>
        <w:gridCol w:w="1434"/>
        <w:gridCol w:w="1257"/>
        <w:gridCol w:w="1268"/>
        <w:gridCol w:w="226"/>
        <w:gridCol w:w="706"/>
        <w:gridCol w:w="109"/>
        <w:gridCol w:w="109"/>
        <w:gridCol w:w="109"/>
        <w:gridCol w:w="109"/>
        <w:gridCol w:w="226"/>
        <w:gridCol w:w="706"/>
        <w:gridCol w:w="109"/>
        <w:gridCol w:w="109"/>
        <w:gridCol w:w="109"/>
        <w:gridCol w:w="109"/>
        <w:gridCol w:w="226"/>
        <w:gridCol w:w="70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June 30, 2026, the Company had $222.9 million of unrecognized stock-based compensation expense related to unvested stock-based awards that is expected to be recognized over a weighted-average period of 2.1 years.</w:t>
      </w:r>
    </w:p>
    <w:p>
      <w:pPr>
        <w:pStyle w:val="TextBody"/>
        <w:bidi w:val="0"/>
        <w:spacing w:lineRule="auto" w:line="288" w:before="0" w:after="240"/>
        <w:jc w:val="both"/>
        <w:rPr/>
      </w:pPr>
      <w:r>
        <w:rPr>
          <w:rFonts w:ascii="Roboto;sans-serif" w:hAnsi="Roboto;sans-serif"/>
          <w:b w:val="false"/>
          <w:color w:val="000000"/>
          <w:sz w:val="18"/>
        </w:rPr>
        <w:t>During the fiscal year ended June 30, 2026, three</w:t>
      </w:r>
      <w:r>
        <w:rPr>
          <w:color w:val="000000"/>
        </w:rPr>
        <w:t xml:space="preserve"> </w:t>
      </w:r>
      <w:r>
        <w:rPr>
          <w:rFonts w:ascii="Roboto;sans-serif" w:hAnsi="Roboto;sans-serif"/>
          <w:b w:val="false"/>
          <w:color w:val="000000"/>
          <w:sz w:val="18"/>
        </w:rPr>
        <w:t>employees who were eligible to participate in the Company’s Severance and Change in Control Plan (the “Severance Plan”) terminated employment. Certain modifications were made to their equity awards, including the extension of the post-termination period during which the employees could exercise their outstanding stock options from 90 days to one year (or the option expiration date, if earlier). In one instance during the fiscal year ended June 30, 2026, the employee transitioned to a non-executive advisory role. As a result of these modifications, the Company recognized incremental stock-based compensation expense of $1.2 million within General and administrative expense in the Consolidated Statements of Operations and Comprehensive Income (Loss).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fiscal year ended June 30, 2025, five employees who were eligible to participate in the Company’s Severance Plan terminated employment. Certain modifications were made to their equity awards, including the extension of the post-termination period during which the employees could exercise their outstanding stock options from 90 days to one year (or the option expiration date, if earlier). In two instances during the fiscal year ended June 30, 2025, the employees transitioned to non-executive advisory roles. As a result of these modifications, the Company recognized incremental stock-based compensation expense of $4.2 million within General and administrative expense in the Consolidated Statements of Operations and Comprehensive Income (Loss).</w:t>
      </w:r>
    </w:p>
    <w:p>
      <w:pPr>
        <w:pStyle w:val="TextBody"/>
        <w:bidi w:val="0"/>
        <w:spacing w:lineRule="auto" w:line="288" w:before="0" w:after="240"/>
        <w:jc w:val="both"/>
        <w:rPr/>
      </w:pPr>
      <w:r>
        <w:rPr>
          <w:rFonts w:ascii="Roboto;sans-serif" w:hAnsi="Roboto;sans-serif"/>
          <w:b w:val="false"/>
          <w:color w:val="000000"/>
          <w:sz w:val="18"/>
        </w:rPr>
        <w:t>During the fiscal year ended June 30, 2024, certain modifications were made to equity awards for four</w:t>
      </w:r>
      <w:r>
        <w:rPr>
          <w:color w:val="000000"/>
        </w:rPr>
        <w:t xml:space="preserve"> </w:t>
      </w:r>
      <w:r>
        <w:rPr>
          <w:rFonts w:ascii="Roboto;sans-serif" w:hAnsi="Roboto;sans-serif"/>
          <w:b w:val="false"/>
          <w:color w:val="000000"/>
          <w:sz w:val="18"/>
        </w:rPr>
        <w:t>employees, who were eligible to participate in the Severance Plan, excluding the impact separately disclosed below, of the Company’s former President and Chief Executive Officer (“CEO”) who was also covered under the Severance Plan. For the fiscal year ended June 30, 2024, this included the extension of the post-termination period during which an employee may exercise outstanding stock options from 90 days to one year (or the option expiration date, if earlier). In one instance during the fiscal year ended June 30, 2024, the post-termination period during which an employee may exercise outstanding stock options was extended from 90 days to the earlier of the original expiration date or 3 years. This employee transitioned to a non-executive advisory role. As a result of these modifications, the Company recognized incremental stock-based compensation expense of $5.6 million for the fiscal year ended June 30, 2024 within Restructuring expense in the Consolidated Statements of Operations and Comprehensive Income (Loss).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February 7, 2022, the Board of Directors granted the Company’s former President and CEO, 8,000,000 shares of the Class A common stock (the "Option Award"). The Option Award had an exercise price of $38.77 per share, equal to the closing price of the Class A common stock on the CEO Commencement Date of February 9, 2022. The awards were to vest and become exercisable over four years, with 1/48th vesting on each monthly anniversary of the CEO Commencement Date, subject to the provision of the CEO’s continued service to the Company through each vesting date. The awards were to be exercisable through February 8, 2032. On May 2, 2024, Mr. McCarthy transitioned to a non-executive, strategic advisory role and was granted a new option award (the "Advisory Award") that vested in equal monthly installments through December 31, 2024. Mr. McCarthy also received one year of accelerated vesting on all outstanding stock options (other than the Advisory Award), which will remain exercisable until December 31, 2027. During the fiscal year ended June 30, 2024, in connection with the CEO transition, the Company recognized stock-based compensation expense of $41.9 million for the one year of accelerated vesting of the Option Award, which had an exercise price of $38.77 per share and a grant date fair value of approximately $167.6 million. In addition, the Company recognized incremental stock-based compensation expense of $5.4 million for the modification of stock option awards related to the extension of the exercise window through December 31, 2027. These expenses were recognized within General and administrative expense 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3350"/>
                <wp:effectExtent l="0" t="0" r="0" b="0"/>
                <wp:wrapNone/>
                <wp:docPr id="94" name="Frame9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14. Concentration of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the fiscal years ended June 30, 2026, 2025, and 2024, there were no customers representing greater than 10% of the Company’s Total revenue.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procures components from a broad group of suppliers. Some of the Company’s products require one or more components that are available from only a single source. In the event of an interruption from any of these suppliers, the Company may not be able to increase capacity from other sources or develop alternate or secondary sources without incurring material additional costs and delays. Accordingly, a loss of or poor performance by any of the Company’s significant suppliers could have an adverse effect on the Company’s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15. Income Taxes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components of Income (loss) before income taxes are as follows:</w:t>
      </w:r>
    </w:p>
    <w:tbl>
      <w:tblPr>
        <w:tblW w:w="8592" w:type="dxa"/>
        <w:jc w:val="left"/>
        <w:tblInd w:w="0" w:type="dxa"/>
        <w:tblLayout w:type="fixed"/>
        <w:tblCellMar>
          <w:top w:w="28" w:type="dxa"/>
          <w:left w:w="28" w:type="dxa"/>
          <w:bottom w:w="28" w:type="dxa"/>
          <w:right w:w="28" w:type="dxa"/>
        </w:tblCellMar>
      </w:tblPr>
      <w:tblGrid>
        <w:gridCol w:w="1706"/>
        <w:gridCol w:w="1497"/>
        <w:gridCol w:w="1507"/>
        <w:gridCol w:w="226"/>
        <w:gridCol w:w="586"/>
        <w:gridCol w:w="109"/>
        <w:gridCol w:w="109"/>
        <w:gridCol w:w="109"/>
        <w:gridCol w:w="109"/>
        <w:gridCol w:w="226"/>
        <w:gridCol w:w="796"/>
        <w:gridCol w:w="109"/>
        <w:gridCol w:w="109"/>
        <w:gridCol w:w="109"/>
        <w:gridCol w:w="109"/>
        <w:gridCol w:w="226"/>
        <w:gridCol w:w="79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from operations before income taxes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components of Income tax (benefit) expense are as follows:</w:t>
      </w:r>
    </w:p>
    <w:tbl>
      <w:tblPr>
        <w:tblW w:w="4242" w:type="dxa"/>
        <w:jc w:val="left"/>
        <w:tblInd w:w="0" w:type="dxa"/>
        <w:tblLayout w:type="fixed"/>
        <w:tblCellMar>
          <w:top w:w="28" w:type="dxa"/>
          <w:left w:w="28" w:type="dxa"/>
          <w:bottom w:w="28" w:type="dxa"/>
          <w:right w:w="28" w:type="dxa"/>
        </w:tblCellMar>
      </w:tblPr>
      <w:tblGrid>
        <w:gridCol w:w="347"/>
        <w:gridCol w:w="305"/>
        <w:gridCol w:w="308"/>
        <w:gridCol w:w="226"/>
        <w:gridCol w:w="556"/>
        <w:gridCol w:w="109"/>
        <w:gridCol w:w="109"/>
        <w:gridCol w:w="109"/>
        <w:gridCol w:w="109"/>
        <w:gridCol w:w="226"/>
        <w:gridCol w:w="466"/>
        <w:gridCol w:w="109"/>
        <w:gridCol w:w="109"/>
        <w:gridCol w:w="109"/>
        <w:gridCol w:w="109"/>
        <w:gridCol w:w="226"/>
        <w:gridCol w:w="55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State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State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605" cy="14605"/>
                <wp:effectExtent l="0" t="0" r="0" b="0"/>
                <wp:wrapNone/>
                <wp:docPr id="95" name="Frame9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 reconciliation from the U.S. statutory federal income tax rate to the effective income tax rate pursuant to the requirements of ASU 2023-09 for the fiscal year ended June 30, 2026 is as follows:</w:t>
      </w:r>
    </w:p>
    <w:tbl>
      <w:tblPr>
        <w:tblW w:w="8555" w:type="dxa"/>
        <w:jc w:val="left"/>
        <w:tblInd w:w="0" w:type="dxa"/>
        <w:tblLayout w:type="fixed"/>
        <w:tblCellMar>
          <w:top w:w="28" w:type="dxa"/>
          <w:left w:w="28" w:type="dxa"/>
          <w:bottom w:w="28" w:type="dxa"/>
          <w:right w:w="28" w:type="dxa"/>
        </w:tblCellMar>
      </w:tblPr>
      <w:tblGrid>
        <w:gridCol w:w="1783"/>
        <w:gridCol w:w="1562"/>
        <w:gridCol w:w="1575"/>
        <w:gridCol w:w="428"/>
        <w:gridCol w:w="1110"/>
        <w:gridCol w:w="206"/>
        <w:gridCol w:w="206"/>
        <w:gridCol w:w="206"/>
        <w:gridCol w:w="206"/>
        <w:gridCol w:w="337"/>
        <w:gridCol w:w="338"/>
        <w:gridCol w:w="598"/>
      </w:tblGrid>
      <w:tr>
        <w:trPr/>
        <w:tc>
          <w:tcPr>
            <w:tcW w:w="178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 2026</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Percent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 income tax rate</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Tax credits</w:t>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Research and development credit</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Nontaxable or nondeductible items</w:t>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Excess officer’s compensation</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 based compensation</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valuation allowance</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(50.8)</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State and local income taxes, net of federal benefit</w:t>
            </w:r>
            <w:r>
              <w:rPr>
                <w:rFonts w:ascii="Roboto;sans-serif" w:hAnsi="Roboto;sans-serif"/>
                <w:b w:val="false"/>
                <w:color w:val="000000"/>
                <w:sz w:val="12"/>
              </w:rPr>
              <w:t>(1)</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tax effects</w:t>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United Kingdom</w:t>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Valuation allowance</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rate differential</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Other foreign jurisdictions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Effective income tax rate</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68" w:before="0" w:after="0"/>
        <w:jc w:val="left"/>
        <w:rPr>
          <w:rFonts w:ascii="Roboto;sans-serif" w:hAnsi="Roboto;sans-serif"/>
          <w:b w:val="false"/>
          <w:color w:val="000000"/>
          <w:sz w:val="14"/>
        </w:rPr>
      </w:pPr>
      <w:r>
        <w:rPr>
          <w:rFonts w:ascii="Roboto;sans-serif" w:hAnsi="Roboto;sans-serif"/>
          <w:b w:val="false"/>
          <w:color w:val="000000"/>
          <w:sz w:val="14"/>
        </w:rPr>
        <w:t>(1) The states and local jurisdictions that contribute to greater than 50% of the tax effect in this category include California.</w:t>
      </w:r>
    </w:p>
    <w:p>
      <w:pPr>
        <w:pStyle w:val="TextBody"/>
        <w:bidi w:val="0"/>
        <w:spacing w:before="0" w:after="12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 reconciliation from the U.S. statutory federal income tax rate to the effective income tax rate for the fiscal years ended June 30, 2025 and 2024 is as follows:</w:t>
      </w:r>
    </w:p>
    <w:tbl>
      <w:tblPr>
        <w:tblW w:w="8238" w:type="dxa"/>
        <w:jc w:val="left"/>
        <w:tblInd w:w="0" w:type="dxa"/>
        <w:tblLayout w:type="fixed"/>
        <w:tblCellMar>
          <w:top w:w="28" w:type="dxa"/>
          <w:left w:w="28" w:type="dxa"/>
          <w:bottom w:w="28" w:type="dxa"/>
          <w:right w:w="28" w:type="dxa"/>
        </w:tblCellMar>
      </w:tblPr>
      <w:tblGrid>
        <w:gridCol w:w="1723"/>
        <w:gridCol w:w="1509"/>
        <w:gridCol w:w="1522"/>
        <w:gridCol w:w="109"/>
        <w:gridCol w:w="109"/>
        <w:gridCol w:w="423"/>
        <w:gridCol w:w="252"/>
        <w:gridCol w:w="569"/>
        <w:gridCol w:w="228"/>
        <w:gridCol w:w="228"/>
        <w:gridCol w:w="228"/>
        <w:gridCol w:w="423"/>
        <w:gridCol w:w="252"/>
        <w:gridCol w:w="663"/>
      </w:tblGrid>
      <w:tr>
        <w:trPr/>
        <w:tc>
          <w:tcPr>
            <w:tcW w:w="172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Return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Effects of rates different than statutory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State and local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Rate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State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primary differences from the U.S. statutory rate and the Company’s effective tax rate for the fiscal year ended June 30, 2026 are due to the change in valuation allowance, nontaxable or nondeductible items, and federal credits. The primary differences from the U.S. statutory rate and the Company’s effective tax rate for the fiscal year ended June 30, 2025 were due to the change in valuation allowance, stock-based compensation, permanent differences relating to excess officer compensation, and federal credits. The primary differences from the U.S. statutory rate and the Company’s effective tax rate for the fiscal year ended June 30, 2024 were due to the change in valuation allowance, stock-based compensation, and state and international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3350"/>
                <wp:effectExtent l="0" t="0" r="0" b="0"/>
                <wp:wrapNone/>
                <wp:docPr id="96" name="Frame9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July 4, 2025, the One Big Beautiful Bill Act (“OBBBA”) was signed into law in the United States, which made permanent or extended many of the provisions from the Tax Cuts and Jobs Act of 2017. The immediate expensing of domestic research and experimental expenditures for tax years beginning after December 31, 2024 is now permanent, as is 100% bonus depreciation for qualified property acquired and placed in service after January 19, 2025. The bill permanently reinstates the more favorable EBITDA approach for calculating the business interest deduction limitation under Section 163(j), among implementing other changes. The Company has accounted for the provisions of the OBBBA in its consolidated financial statements. The changes are not expected to affect the Company’s U.S. net deferred tax assets or liabilities, as the Company continues to maintain a full valuation allowance against those balances.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August 16, 2022, the Inflation Reduction Act was signed into law in the United States. Among other provisions, the Inflation Reduction Act includes a 15% minimum tax rate applied to corporations with profits in excess of $1 billion and also includes an excise tax on the repurchase of corporate stock. The Company has reviewed the provisions of the law and does not believe that any of the provisions will have a material impact on the business.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law and determined it had no material impact for the fiscal year ended June 30,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and June 30, 2025, the Company’s deferred tax assets were primarily the result of U.S. federal and state net operating losses (“NOLs”), Section 174 capitalized expenditures, disallowed interest carryover, lease liability, non-qualified stock options, and research and development tax credits. A valuation allowance was maintained and/or established in substantially all jurisdictions on the Company’s gross deferred tax asset balances as of June 30, 2026 and 2025.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2026 and June 30, 2025, the Company continued to maintain that it is not at the more likely than not standard, wherein deferred taxes will be realized due to the recent history of losses and management’s expectation of continued tax losses.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Based on management’s assessment of historical results and forecasts, management is continuously monitoring the weight of both positive and negative evidence. Based on these trends, it is reasonably possible that within the next 12 months, management may conclude that it is more likely than not that a substantial portion of these deferred tax assets will be realized. If such a determination is made, it would result in the recognition of net deferred tax assets on the Company’s Consolidated Balance Sheets and a corresponding benefit recorded within the income tax provision in the period of release. However, management’s judgment regarding future earnings and the exact timing and amount of any valuation allowance release are subject to change due to many factors, including but not limited to, future market conditions and the ability to successfully execute the Company’s business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3350"/>
                <wp:effectExtent l="0" t="0" r="0" b="0"/>
                <wp:wrapNone/>
                <wp:docPr id="97" name="Frame9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tbl>
      <w:tblPr>
        <w:tblW w:w="6129" w:type="dxa"/>
        <w:jc w:val="left"/>
        <w:tblInd w:w="0" w:type="dxa"/>
        <w:tblLayout w:type="fixed"/>
        <w:tblCellMar>
          <w:top w:w="28" w:type="dxa"/>
          <w:left w:w="28" w:type="dxa"/>
          <w:bottom w:w="28" w:type="dxa"/>
          <w:right w:w="28" w:type="dxa"/>
        </w:tblCellMar>
      </w:tblPr>
      <w:tblGrid>
        <w:gridCol w:w="1195"/>
        <w:gridCol w:w="1050"/>
        <w:gridCol w:w="1055"/>
        <w:gridCol w:w="227"/>
        <w:gridCol w:w="892"/>
        <w:gridCol w:w="109"/>
        <w:gridCol w:w="109"/>
        <w:gridCol w:w="109"/>
        <w:gridCol w:w="109"/>
        <w:gridCol w:w="227"/>
        <w:gridCol w:w="892"/>
        <w:gridCol w:w="155"/>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tax assets: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operating loss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Accruals and reserves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R&amp;D credit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legal and professional fees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Non-qualified stock options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stock options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Disallowed interest carryover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amortization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Capitalized R&amp;E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capitalization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Lease liability</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Construction in progress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deferred tax assets:</w:t>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Valuation allowance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tax liabilities: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Right-of-use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deferred tax liabilities:</w:t>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tax assets, net</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As of June 30, 2026 and 2025, the Company had federal NOLs of approximately $3,497.9 million and $3,290.0 million, respectively, of which $58.3 million will begin to expire in 2034 and the remainder will be carried forward indefinitely. The Company has undergone three ownership changes in the past which have historically subjected its NOLs to a Section 382 limitation. The resulting Section 382 limitations are large enough to avail the Section 382 limited NOLs by June 30, 2022, therefore no NOLs are currently limited. As of June 30, 2026 and 2025, the Company had state NOLs of approximately $2,728.6 million and $2,657.9 million, respectively, which began to expire at various dates beginning in 2024. As of June 30, 2026 and 2025, the Company had foreign NOLs of approximately $769.4 million and $771.6 million, respectively, generated primarily from its operations in the United Kingdom, which will be carried forward indefinitely. As of June 30, 2026 and 2025, the Company had $87.1 million and $79.4 million, respectively, of federal U.S. research and development credit carryovers that will begin to expire in 2036.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fiscal years ended June 30, 2026, 2025, and 2024, the Company recorded additions to the valuation allowance of $0.2 million, $46.8 million and $73.7 million, respectively. These additions primarily related to increases in deferred tax assets arising from capitalized Section 174 costs, Section 163(j) interest expense disallowance, net operating losses and other deductible temporary differences.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fiscal years ended June 30, 2026, 2025, and 2024, the Company recorded reductions to the valuation allowance of $27.1 million, $2.7 million and $3.7 million, respectively. These reductions primarily related to decreases in deferred tax assets due to the deductibility of previously capitalized Section 174 amounts and the derecognition of certain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3350"/>
                <wp:effectExtent l="0" t="0" r="0" b="0"/>
                <wp:wrapNone/>
                <wp:docPr id="98" name="Frame9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At both June 30, 2026 and 2025, the Company had no unrecognized tax benefits included as a component of income taxes payable within accrued expenses within the accompanying Consolidated Balance Sheets. The Company has the following activity relating to unrecognized tax benefits:</w:t>
      </w:r>
    </w:p>
    <w:tbl>
      <w:tblPr>
        <w:tblW w:w="7990" w:type="dxa"/>
        <w:jc w:val="left"/>
        <w:tblInd w:w="0" w:type="dxa"/>
        <w:tblLayout w:type="fixed"/>
        <w:tblCellMar>
          <w:top w:w="28" w:type="dxa"/>
          <w:left w:w="28" w:type="dxa"/>
          <w:bottom w:w="28" w:type="dxa"/>
          <w:right w:w="28" w:type="dxa"/>
        </w:tblCellMar>
      </w:tblPr>
      <w:tblGrid>
        <w:gridCol w:w="1867"/>
        <w:gridCol w:w="1643"/>
        <w:gridCol w:w="1649"/>
        <w:gridCol w:w="345"/>
        <w:gridCol w:w="621"/>
        <w:gridCol w:w="166"/>
        <w:gridCol w:w="166"/>
        <w:gridCol w:w="166"/>
        <w:gridCol w:w="166"/>
        <w:gridCol w:w="345"/>
        <w:gridCol w:w="621"/>
        <w:gridCol w:w="235"/>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Beginning balance</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(decrease) increase in unrecognized tax positions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balance</w:t>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2022 and later remain open to examination by tax authorities in the United States and United Kingdom. </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Cash paid for income taxes, net of refunds received, pursuant to the requirements of ASU 2023-09 for the fiscal year ended June 30, 2026 is as follows:</w:t>
      </w:r>
    </w:p>
    <w:tbl>
      <w:tblPr>
        <w:tblW w:w="5938" w:type="dxa"/>
        <w:jc w:val="left"/>
        <w:tblInd w:w="0" w:type="dxa"/>
        <w:tblLayout w:type="fixed"/>
        <w:tblCellMar>
          <w:top w:w="28" w:type="dxa"/>
          <w:left w:w="28" w:type="dxa"/>
          <w:bottom w:w="28" w:type="dxa"/>
          <w:right w:w="28" w:type="dxa"/>
        </w:tblCellMar>
      </w:tblPr>
      <w:tblGrid>
        <w:gridCol w:w="928"/>
        <w:gridCol w:w="814"/>
        <w:gridCol w:w="822"/>
        <w:gridCol w:w="901"/>
        <w:gridCol w:w="1859"/>
        <w:gridCol w:w="614"/>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 2026</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Federal </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State and local</w:t>
            </w:r>
          </w:p>
        </w:tc>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California</w:t>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All other states</w:t>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Australia</w:t>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Canada – Federal </w:t>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Canada – Ontario </w:t>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China </w:t>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Germany – Federal </w:t>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Germany – Munich</w:t>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Taiwan</w:t>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All other foreign</w:t>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5.5 </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16. Earnings (Loss) Per Share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Basic earnings (loss) per share is computed by dividing net income (loss) by the weighted-average number of outstanding shares of common stock during the period. Diluted earnings (loss) per share is computed using the treasury stock method for stock-based awards, and the if-converted method for convertible senior notes. Under the treasury stock method, the denominator is adjusted to include, when dilutive, incremental shares issuable upon the assumed exercise of stock options, ESPP shares to be issued, and vesting of restricted stock units and awards, and performance stock units. Under the if-converted method, the numerator is adjusted to add back interest expense on the convertible senior notes, net of tax, and the denominator is adjusted to include incremental shares issuable upon conversion of the convertible senior notes, when the effect of applying this method is dilutive. Basic and diluted earnings (loss) per share are the same for each class of common stock because they are entitled to the same liquidation and dividend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3350"/>
                <wp:effectExtent l="0" t="0" r="0" b="0"/>
                <wp:wrapNone/>
                <wp:docPr id="99" name="Frame9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97</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computation of basic and diluted earnings (loss) per share is as follows:</w:t>
      </w:r>
    </w:p>
    <w:tbl>
      <w:tblPr>
        <w:tblW w:w="10205" w:type="dxa"/>
        <w:jc w:val="left"/>
        <w:tblInd w:w="0" w:type="dxa"/>
        <w:tblLayout w:type="fixed"/>
        <w:tblCellMar>
          <w:top w:w="28" w:type="dxa"/>
          <w:left w:w="28" w:type="dxa"/>
          <w:bottom w:w="28" w:type="dxa"/>
          <w:right w:w="28" w:type="dxa"/>
        </w:tblCellMar>
      </w:tblPr>
      <w:tblGrid>
        <w:gridCol w:w="1862"/>
        <w:gridCol w:w="1464"/>
        <w:gridCol w:w="1467"/>
        <w:gridCol w:w="380"/>
        <w:gridCol w:w="986"/>
        <w:gridCol w:w="137"/>
        <w:gridCol w:w="137"/>
        <w:gridCol w:w="137"/>
        <w:gridCol w:w="137"/>
        <w:gridCol w:w="305"/>
        <w:gridCol w:w="1072"/>
        <w:gridCol w:w="137"/>
        <w:gridCol w:w="137"/>
        <w:gridCol w:w="137"/>
        <w:gridCol w:w="137"/>
        <w:gridCol w:w="305"/>
        <w:gridCol w:w="1072"/>
        <w:gridCol w:w="196"/>
      </w:tblGrid>
      <w:tr>
        <w:trPr/>
        <w:tc>
          <w:tcPr>
            <w:tcW w:w="186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 except share and per share amounts)</w:t>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Basic earnings (loss) per share:</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424,726,220 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365,546,334 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Earnings (loss) per share, basic</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Diluted earnings (loss) per share:</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attributable to common stockholders, diluted</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424,726,220 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365,546,334 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effect of dilutive securities:</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awards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11,492,423 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 average common shares outstanding, diluted</w:t>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436,218,643 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365,546,334 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Earnings (loss) per share, diluted</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June 30, 2026, June 30, 2025, and June 30, 2024, 39,217,172, 81,664,586, and 89,951,736 potentially dilutive stock-based awards, respectively, calculated as the total outstanding shares as of those period ends, were excluded from the computation of diluted earnings (loss) per share. Additionally, 76,452,600, 77,284,420, and 77,284,420 of potentially dilutive shares related to convertible senior notes, calculated under the if-converted method, were excluded from the computation of diluted loss per share as of June 30, 2026, June 30, 2025, and June 30, 2024, respectively. These amounts were excluded as they would have been anti-dilutive.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Capped Calls</w:t>
      </w:r>
    </w:p>
    <w:p>
      <w:pPr>
        <w:pStyle w:val="TextBody"/>
        <w:bidi w:val="0"/>
        <w:spacing w:lineRule="auto" w:line="288" w:before="0" w:after="0"/>
        <w:jc w:val="both"/>
        <w:rPr/>
      </w:pPr>
      <w:r>
        <w:rPr>
          <w:rFonts w:ascii="Roboto;sans-serif" w:hAnsi="Roboto;sans-serif"/>
          <w:b w:val="false"/>
          <w:color w:val="000000"/>
          <w:sz w:val="18"/>
        </w:rPr>
        <w:t xml:space="preserve">For the fiscal year ended June 30, 2024, the denominator for basic and diluted loss per share does not include any effect from the Capped Call Transactions the Company entered into concurrently with the issuance of the 2026 Notes as this effect would be anti-dilutive. During the fiscal year ended June 30, 2024, the Capped Call Transactions were terminated. Refer to </w:t>
      </w:r>
      <w:r>
        <w:rPr>
          <w:rFonts w:ascii="Roboto;sans-serif" w:hAnsi="Roboto;sans-serif"/>
          <w:b w:val="false"/>
          <w:i/>
          <w:color w:val="000000"/>
          <w:sz w:val="18"/>
        </w:rPr>
        <w:t>Note 11, Debt</w:t>
      </w:r>
      <w:r>
        <w:rPr>
          <w:color w:val="000000"/>
        </w:rPr>
        <w:t xml:space="preserve"> </w:t>
      </w:r>
      <w:r>
        <w:rPr>
          <w:rFonts w:ascii="Roboto;sans-serif" w:hAnsi="Roboto;sans-serif"/>
          <w:b w:val="false"/>
          <w:color w:val="000000"/>
          <w:sz w:val="18"/>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17. Segment Information</w:t>
      </w:r>
    </w:p>
    <w:p>
      <w:pPr>
        <w:pStyle w:val="TextBody"/>
        <w:bidi w:val="0"/>
        <w:spacing w:lineRule="auto" w:line="288" w:before="0" w:after="0"/>
        <w:jc w:val="both"/>
        <w:rPr/>
      </w:pPr>
      <w:r>
        <w:rPr>
          <w:rFonts w:ascii="Roboto;sans-serif" w:hAnsi="Roboto;sans-serif"/>
          <w:b w:val="false"/>
          <w:color w:val="000000"/>
          <w:sz w:val="18"/>
        </w:rPr>
        <w:t>The Company applies ASC 280, </w:t>
      </w:r>
      <w:r>
        <w:rPr>
          <w:rFonts w:ascii="Roboto;sans-serif" w:hAnsi="Roboto;sans-serif"/>
          <w:b w:val="false"/>
          <w:i/>
          <w:color w:val="000000"/>
          <w:sz w:val="18"/>
        </w:rPr>
        <w:t>Segment Reporting</w:t>
      </w:r>
      <w:r>
        <w:rPr>
          <w:rFonts w:ascii="Roboto;sans-serif" w:hAnsi="Roboto;sans-serif"/>
          <w:b w:val="false"/>
          <w:color w:val="000000"/>
          <w:sz w:val="18"/>
        </w:rPr>
        <w:t>, in determining reportable segments. The Company has two reportable segments: Connected Fitness Products and Subscription. The Connected Fitness Products segment primarily derives revenue from the sale of the Company's portfolio of Connected Fitness Products and related accessories, including Precor-branded fitness products, delivery and installation services, Peloton Bike portfolio rental products, extended warranty agreements, branded apparel, and commercial service contracts. The Subscription segment primarily derives revenue from monthly Subscription fees. There are no internal revenue transactions between the Company’s segments. Segment information is presented in the same manner that the chief operating decision maker ("CODM"), the Chief Executive Officer and President, reviews the operating results in assessing performance and allocating resources. No operating segments have been aggregated to form the reportable segments.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Beginning in the first quarter of fiscal 2026, the Company changed its measure of segment profitability to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to better align with the manner in which the CODM evaluates segment performance and makes resource allocation decisions. Segment results for the comparable prior period have been recast to reflect these changes. </w:t>
      </w:r>
    </w:p>
    <w:p>
      <w:pPr>
        <w:pStyle w:val="TextBody"/>
        <w:bidi w:val="0"/>
        <w:spacing w:lineRule="auto" w:line="288" w:before="0" w:after="0"/>
        <w:jc w:val="both"/>
        <w:rPr/>
      </w:pP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is defined as Revenue less Adjusted Cost of revenue incurred by the segment. Adjusted Cost of revenue includes costs directly related to the function of each segment, including certain corporate overhead costs, such as a portion of depreciation, rent and occupancy charges related to the Company’s corporate facilities, and personnel-related expenses for certain executives and departments (“Allocated overhead costs”).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CODM reviews Revenue and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for both of the reportable segments, primarily by monitoring actual results compared to forecasted results as well as by reviewing year-over-year results and trending historical performance. No other significant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3350"/>
                <wp:effectExtent l="0" t="0" r="0" b="0"/>
                <wp:wrapNone/>
                <wp:docPr id="100" name="Frame9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98</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categories or performance metrics are regularly provided to the CODM on a disaggregated basis.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120"/>
        <w:jc w:val="both"/>
        <w:rPr/>
      </w:pPr>
      <w:r>
        <w:rPr>
          <w:rFonts w:ascii="Roboto;sans-serif" w:hAnsi="Roboto;sans-serif"/>
          <w:b w:val="false"/>
          <w:color w:val="000000"/>
          <w:sz w:val="18"/>
          <w:shd w:fill="FFFFFF" w:val="clear"/>
        </w:rPr>
        <w:t xml:space="preserve">Operating expenditures, interest income and other expense, and taxes are not allocated to individual segments as these are managed on an entity wide group basis. </w:t>
      </w:r>
      <w:r>
        <w:rPr>
          <w:rFonts w:ascii="Roboto;sans-serif" w:hAnsi="Roboto;sans-serif"/>
          <w:b w:val="false"/>
          <w:color w:val="000000"/>
          <w:sz w:val="18"/>
        </w:rPr>
        <w:t>Information on reportable segments and reconciliation to consolidated Income (loss) before income taxes</w:t>
      </w:r>
      <w:r>
        <w:rPr>
          <w:color w:val="000000"/>
          <w:shd w:fill="FFFFFF" w:val="clear"/>
        </w:rPr>
        <w:t xml:space="preserve"> </w:t>
      </w:r>
      <w:r>
        <w:rPr>
          <w:rFonts w:ascii="Roboto;sans-serif" w:hAnsi="Roboto;sans-serif"/>
          <w:b w:val="false"/>
          <w:color w:val="000000"/>
          <w:sz w:val="18"/>
          <w:shd w:fill="FFFFFF" w:val="clear"/>
        </w:rPr>
        <w:t>is as follows:</w:t>
      </w:r>
    </w:p>
    <w:tbl>
      <w:tblPr>
        <w:tblW w:w="10205" w:type="dxa"/>
        <w:jc w:val="left"/>
        <w:tblInd w:w="0" w:type="dxa"/>
        <w:tblLayout w:type="fixed"/>
        <w:tblCellMar>
          <w:top w:w="28" w:type="dxa"/>
          <w:left w:w="28" w:type="dxa"/>
          <w:bottom w:w="28" w:type="dxa"/>
          <w:right w:w="28" w:type="dxa"/>
        </w:tblCellMar>
      </w:tblPr>
      <w:tblGrid>
        <w:gridCol w:w="1605"/>
        <w:gridCol w:w="1382"/>
        <w:gridCol w:w="1391"/>
        <w:gridCol w:w="539"/>
        <w:gridCol w:w="1690"/>
        <w:gridCol w:w="263"/>
        <w:gridCol w:w="109"/>
        <w:gridCol w:w="109"/>
        <w:gridCol w:w="109"/>
        <w:gridCol w:w="261"/>
        <w:gridCol w:w="1023"/>
        <w:gridCol w:w="127"/>
        <w:gridCol w:w="109"/>
        <w:gridCol w:w="109"/>
        <w:gridCol w:w="109"/>
        <w:gridCol w:w="226"/>
        <w:gridCol w:w="886"/>
        <w:gridCol w:w="158"/>
      </w:tblGrid>
      <w:tr>
        <w:trPr/>
        <w:tc>
          <w:tcPr>
            <w:tcW w:w="160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 2026</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1,196.3 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1,286.7 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income before income taxes:</w:t>
            </w:r>
          </w:p>
        </w:tc>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before income taxes</w:t>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24"/>
        <w:gridCol w:w="1213"/>
        <w:gridCol w:w="1221"/>
        <w:gridCol w:w="511"/>
        <w:gridCol w:w="1600"/>
        <w:gridCol w:w="249"/>
        <w:gridCol w:w="109"/>
        <w:gridCol w:w="109"/>
        <w:gridCol w:w="109"/>
        <w:gridCol w:w="261"/>
        <w:gridCol w:w="1023"/>
        <w:gridCol w:w="127"/>
        <w:gridCol w:w="109"/>
        <w:gridCol w:w="109"/>
        <w:gridCol w:w="109"/>
        <w:gridCol w:w="226"/>
        <w:gridCol w:w="886"/>
        <w:gridCol w:w="109"/>
        <w:gridCol w:w="109"/>
        <w:gridCol w:w="109"/>
        <w:gridCol w:w="109"/>
        <w:gridCol w:w="109"/>
        <w:gridCol w:w="109"/>
        <w:gridCol w:w="156"/>
      </w:tblGrid>
      <w:tr>
        <w:trPr/>
        <w:tc>
          <w:tcPr>
            <w:tcW w:w="142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701" w:type="dxa"/>
            <w:gridSpan w:val="6"/>
            <w:tcBorders/>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1,139.7 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Allocated overhead costs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3350"/>
                <wp:effectExtent l="0" t="0" r="0" b="0"/>
                <wp:wrapNone/>
                <wp:docPr id="101" name="Frame10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99</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4"/>
        <w:gridCol w:w="1213"/>
        <w:gridCol w:w="1221"/>
        <w:gridCol w:w="511"/>
        <w:gridCol w:w="1600"/>
        <w:gridCol w:w="249"/>
        <w:gridCol w:w="109"/>
        <w:gridCol w:w="109"/>
        <w:gridCol w:w="109"/>
        <w:gridCol w:w="261"/>
        <w:gridCol w:w="1023"/>
        <w:gridCol w:w="127"/>
        <w:gridCol w:w="109"/>
        <w:gridCol w:w="109"/>
        <w:gridCol w:w="109"/>
        <w:gridCol w:w="226"/>
        <w:gridCol w:w="886"/>
        <w:gridCol w:w="109"/>
        <w:gridCol w:w="109"/>
        <w:gridCol w:w="109"/>
        <w:gridCol w:w="109"/>
        <w:gridCol w:w="109"/>
        <w:gridCol w:w="109"/>
        <w:gridCol w:w="156"/>
      </w:tblGrid>
      <w:tr>
        <w:trPr/>
        <w:tc>
          <w:tcPr>
            <w:tcW w:w="142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701" w:type="dxa"/>
            <w:gridSpan w:val="6"/>
            <w:tcBorders/>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Allocated overhead costs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9A.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June 30, 2026. Based on this evaluation, our Chief Executive Officer and Chief Financial Officer concluded that, as of June 30, 2026,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Management’s Report on Internal Control over Financial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Management is responsible for establishing and maintaining adequate internal control over financial reporting for Peloton. With the participation of the Chief Executive Officer and the Chief Financial Officer, management conducted an evaluation of the effectiveness of our internal control over financial reporting as of June 30, 2026 based on the guidelines established in the Internal Control—Integrated Framework (2013 framework) issued by the Committee of Sponsoring Organizations of the Treadway Commission (COSO). Based on that evaluation, our management concluded that our internal control over financial reporting was effective as of June 30, 2026.</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There were no changes in our internal control over financial reporting (as defined in Rules 13a-15(f) and 15d-15(f) under the Exchange Act) during the fiscal year ended June 30,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part of the 2025 Restructuring Plan, the Company entered a relationship with a global business shared services provider to support and execute certain business processes. At this time, a number of financial transaction processing activities have been transitioned to these shared business services centers and our transition activities under the Plan are substantially complete.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3350"/>
                <wp:effectExtent l="0" t="0" r="0" b="0"/>
                <wp:wrapNone/>
                <wp:docPr id="102" name="Frame10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100</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Report of Independent Registered Public Accounting Firm</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Ernst &amp; Young LLP, our independent registered public accounting firm that audited the consolidated financial statements, has issued an audit report on our internal control over financial reporting as of June 30, 2026, which is included in Item 8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9B. Other Information</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August 5, 2026, the Company entered into a reimbursement agreement with Mr. Thacker, our Chief Financial Officer, pursuant to which the Company provided Mr. Thacker with a cash reimbursement of $436,466.14 (the “Reimbursement”) in connection with Mr. Thacker’s repayment of certain bonus amounts received from his prior employer during the term of his previous employment. Under the agreement, Mr. Thacker is required to reimburse the Company the full amount of the Reimbursement in cash if Mr. Thacker’s employment with the Company terminates prior to the one year anniversary of the agreement, subject to certain exceptions as described in the agreement.</w:t>
      </w:r>
    </w:p>
    <w:p>
      <w:pPr>
        <w:pStyle w:val="TextBody"/>
        <w:bidi w:val="0"/>
        <w:spacing w:before="0" w:after="0"/>
        <w:jc w:val="both"/>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months ended June 30, 2026, none of our directors or officers, as defined in Rule 16a-1(f) of the Exchange Act, adopted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3350"/>
                <wp:effectExtent l="0" t="0" r="0" b="0"/>
                <wp:wrapNone/>
                <wp:docPr id="103" name="Frame10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101</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25" w:after="283"/>
        <w:jc w:val="center"/>
        <w:rPr>
          <w:rFonts w:ascii="Roboto;sans-serif" w:hAnsi="Roboto;sans-serif"/>
          <w:b/>
          <w:color w:val="000000"/>
          <w:sz w:val="20"/>
        </w:rPr>
      </w:pPr>
      <w:r>
        <w:rPr>
          <w:rFonts w:ascii="Roboto;sans-serif" w:hAnsi="Roboto;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information required by this item will be included in our Proxy Statement for the 2026 Annual Meeting of Stockholders to be filed with the SEC, within 120 days of the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Item 11. Executive Compensation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information required by this item will be included in our Proxy Statement for the 2026 Annual Meeting of Stockholders to be filed with the SEC, within 120 days of the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Item 12. Securities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information required by this item will be included in our Proxy Statement for the 2026 Annual Meeting of Stockholders to be filed with the SEC, within 120 days of the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information required by this item will be included in our Proxy Statement for the 2026 Annual Meeting of Stockholders to be filed with the SEC, within 120 days of the fiscal year ended June 30, 2026,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 xml:space="preserve">Item 14. Principal Accountant Fees and Services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information required by this item will be included in our Proxy Statement for the 2026 Annual Meeting of Stockholders to be filed with the SEC, within 120 days of the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3350"/>
                <wp:effectExtent l="0" t="0" r="0" b="0"/>
                <wp:wrapNone/>
                <wp:docPr id="104" name="Frame10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102</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240" w:after="283"/>
        <w:jc w:val="center"/>
        <w:rPr>
          <w:rFonts w:ascii="Roboto;sans-serif" w:hAnsi="Roboto;sans-serif"/>
          <w:b/>
          <w:color w:val="000000"/>
          <w:sz w:val="18"/>
        </w:rPr>
      </w:pPr>
      <w:r>
        <w:rPr>
          <w:rFonts w:ascii="Roboto;sans-serif" w:hAnsi="Roboto;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15. Exhibit and Financial Statement Schedules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following documents are filed, furnished or incorporated by reference as part of this Annual Report on Form 10-K:</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1. Financial Statements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consolidated financial statements are listed in the “Index to Consolidated Financial Statements” under Part II, Item 8, of this Annual Report on Form 10-K.</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2. Financial Statement Schedules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All financial statement schedules have been omitted because they are not required or are not applicable, or the required information is shown in our consolidated financial statements or the notes thereto.</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shd w:fill="FFFFFF" w:val="clear"/>
        </w:rPr>
      </w:pPr>
      <w:r>
        <w:rPr>
          <w:rFonts w:ascii="Roboto;sans-serif" w:hAnsi="Roboto;sans-serif"/>
          <w:b/>
          <w:color w:val="000000"/>
          <w:sz w:val="18"/>
          <w:shd w:fill="FFFFFF" w:val="clear"/>
        </w:rPr>
        <w:t>3.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612"/>
        <w:gridCol w:w="1497"/>
        <w:gridCol w:w="1508"/>
        <w:gridCol w:w="210"/>
        <w:gridCol w:w="210"/>
        <w:gridCol w:w="165"/>
        <w:gridCol w:w="384"/>
        <w:gridCol w:w="292"/>
        <w:gridCol w:w="248"/>
        <w:gridCol w:w="245"/>
        <w:gridCol w:w="245"/>
        <w:gridCol w:w="246"/>
        <w:gridCol w:w="253"/>
        <w:gridCol w:w="253"/>
        <w:gridCol w:w="220"/>
        <w:gridCol w:w="417"/>
        <w:gridCol w:w="417"/>
        <w:gridCol w:w="60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Incorporated by Reference</w:t>
            </w:r>
          </w:p>
        </w:tc>
        <w:tc>
          <w:tcPr>
            <w:tcW w:w="1434"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Filed or Furnished Herewith</w:t>
            </w:r>
          </w:p>
        </w:tc>
      </w:tr>
      <w:tr>
        <w:trPr/>
        <w:tc>
          <w:tcPr>
            <w:tcW w:w="85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Exhibit Title</w:t>
            </w:r>
          </w:p>
        </w:tc>
        <w:tc>
          <w:tcPr>
            <w:tcW w:w="585"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Form</w:t>
            </w:r>
          </w:p>
        </w:tc>
        <w:tc>
          <w:tcPr>
            <w:tcW w:w="924"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File No.</w:t>
            </w:r>
          </w:p>
        </w:tc>
        <w:tc>
          <w:tcPr>
            <w:tcW w:w="736"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Exhibit</w:t>
            </w:r>
          </w:p>
        </w:tc>
        <w:tc>
          <w:tcPr>
            <w:tcW w:w="726"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Filing Date</w:t>
            </w:r>
          </w:p>
        </w:tc>
        <w:tc>
          <w:tcPr>
            <w:tcW w:w="1434"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Roboto;sans-serif" w:hAnsi="Roboto;sans-serif"/>
                  <w:b w:val="false"/>
                  <w:color w:val="0000FF"/>
                  <w:sz w:val="18"/>
                  <w:u w:val="single"/>
                </w:rPr>
                <w:t>Restated Certificate of Incorporation</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Roboto;sans-serif" w:hAnsi="Roboto;sans-serif"/>
                  <w:b w:val="false"/>
                  <w:color w:val="0000FF"/>
                  <w:sz w:val="18"/>
                  <w:u w:val="single"/>
                </w:rPr>
                <w:t>Second Amended and Restated Bylaws.</w:t>
              </w:r>
            </w:hyperlink>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04/08/2024</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Roboto;sans-serif" w:hAnsi="Roboto;sans-serif"/>
                  <w:b w:val="false"/>
                  <w:color w:val="0000FF"/>
                  <w:sz w:val="18"/>
                  <w:u w:val="single"/>
                </w:rPr>
                <w:t>Form of Class A common stock certificate</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S-1/A</w:t>
            </w:r>
          </w:p>
        </w:tc>
        <w:tc>
          <w:tcPr>
            <w:tcW w:w="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333-233482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09/10/2019</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Roboto;sans-serif" w:hAnsi="Roboto;sans-serif"/>
                  <w:b w:val="false"/>
                  <w:color w:val="0000FF"/>
                  <w:sz w:val="18"/>
                  <w:u w:val="single"/>
                </w:rPr>
                <w:t>Fourth Amended and Restated Investors’ Rights Agreement by and between the Registrant and certain security holders of the Registrant, dated April 5, 2019</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w:t>
            </w:r>
          </w:p>
        </w:tc>
        <w:tc>
          <w:tcPr>
            <w:tcW w:w="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333-233482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08/27/2019</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Roboto;sans-serif" w:hAnsi="Roboto;sans-serif"/>
                  <w:b w:val="false"/>
                  <w:color w:val="0000FF"/>
                  <w:sz w:val="18"/>
                  <w:u w:val="single"/>
                </w:rPr>
                <w:t>Indenture, dated as of May 24, 2024, between Peloton Interactive, Inc. and U.S. Bank Trust Company, National Association, as trustee</w:t>
              </w:r>
            </w:hyperlink>
            <w:r>
              <w:rPr>
                <w:rFonts w:ascii="Roboto;sans-serif" w:hAnsi="Roboto;sans-serif"/>
                <w:b w:val="false"/>
                <w:color w:val="000000"/>
                <w:sz w:val="18"/>
              </w:rPr>
              <w:t>.</w:t>
            </w:r>
          </w:p>
          <w:p>
            <w:pPr>
              <w:pStyle w:val="TableContents"/>
              <w:bidi w:val="0"/>
              <w:spacing w:before="0" w:after="0"/>
              <w:jc w:val="left"/>
              <w:rPr/>
            </w:pPr>
            <w:r>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05/24/2024</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Roboto;sans-serif" w:hAnsi="Roboto;sans-serif"/>
                  <w:b w:val="false"/>
                  <w:color w:val="0000FF"/>
                  <w:sz w:val="18"/>
                  <w:u w:val="single"/>
                </w:rPr>
                <w:t>Form of 5.50% Convertible Senior Notes due 2029 (included in Exhibit 4.1).</w:t>
              </w:r>
            </w:hyperlink>
          </w:p>
        </w:tc>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05/24/2024</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Roboto;sans-serif" w:hAnsi="Roboto;sans-serif"/>
                  <w:b w:val="false"/>
                  <w:color w:val="0000FF"/>
                  <w:sz w:val="18"/>
                  <w:u w:val="single"/>
                </w:rPr>
                <w:t>Description of Class A Common Stock Registered Under Section 12 of the Securities Exchange Act of 1934, as amended</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10-K</w:t>
            </w:r>
          </w:p>
        </w:tc>
        <w:tc>
          <w:tcPr>
            <w:tcW w:w="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09/11/2020</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Roboto;sans-serif" w:hAnsi="Roboto;sans-serif"/>
                  <w:b w:val="false"/>
                  <w:color w:val="0000FF"/>
                  <w:sz w:val="18"/>
                  <w:u w:val="single"/>
                </w:rPr>
                <w:t>Form of Indemnification Agreement.</w:t>
              </w:r>
            </w:hyperlink>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333-233482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08/27/2019</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Roboto;sans-serif" w:hAnsi="Roboto;sans-serif"/>
                  <w:b w:val="false"/>
                  <w:color w:val="0000FF"/>
                  <w:sz w:val="18"/>
                  <w:u w:val="single"/>
                </w:rPr>
                <w:t>2015 Stock Plan and forms of award agreements thereunder</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333-233482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08/27/2019</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Roboto;sans-serif" w:hAnsi="Roboto;sans-serif"/>
                  <w:b w:val="false"/>
                  <w:color w:val="0000FF"/>
                  <w:sz w:val="18"/>
                  <w:u w:val="single"/>
                </w:rPr>
                <w:t>2019 Equity Incentive Plan and forms of award agreements thereunder</w:t>
              </w:r>
            </w:hyperlink>
            <w:r>
              <w:rPr>
                <w:rFonts w:ascii="Roboto;sans-serif" w:hAnsi="Roboto;sans-serif"/>
                <w:b w:val="false"/>
                <w:color w:val="000000"/>
                <w:sz w:val="18"/>
              </w:rPr>
              <w:t>.</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10-K</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09/07/2022</w:t>
            </w:r>
          </w:p>
        </w:tc>
        <w:tc>
          <w:tcPr>
            <w:tcW w:w="143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3350"/>
                <wp:effectExtent l="0" t="0" r="0" b="0"/>
                <wp:wrapNone/>
                <wp:docPr id="105" name="Frame10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103</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4"/>
        <w:gridCol w:w="215"/>
        <w:gridCol w:w="217"/>
        <w:gridCol w:w="109"/>
        <w:gridCol w:w="109"/>
        <w:gridCol w:w="109"/>
        <w:gridCol w:w="2218"/>
        <w:gridCol w:w="1961"/>
        <w:gridCol w:w="1965"/>
        <w:gridCol w:w="145"/>
        <w:gridCol w:w="145"/>
        <w:gridCol w:w="147"/>
        <w:gridCol w:w="365"/>
        <w:gridCol w:w="267"/>
        <w:gridCol w:w="269"/>
        <w:gridCol w:w="214"/>
        <w:gridCol w:w="214"/>
        <w:gridCol w:w="218"/>
        <w:gridCol w:w="231"/>
        <w:gridCol w:w="231"/>
        <w:gridCol w:w="232"/>
        <w:gridCol w:w="109"/>
        <w:gridCol w:w="109"/>
        <w:gridCol w:w="162"/>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Roboto;sans-serif" w:hAnsi="Roboto;sans-serif"/>
                  <w:b w:val="false"/>
                  <w:color w:val="0000FF"/>
                  <w:sz w:val="18"/>
                  <w:u w:val="single"/>
                </w:rPr>
                <w:t>Amendment to the Peloton Interactive, Inc. 2019 Equity Incentive Plan.</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12/12/2023</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Roboto;sans-serif" w:hAnsi="Roboto;sans-serif"/>
                <w:b w:val="false"/>
                <w:color w:val="000000"/>
                <w:sz w:val="18"/>
              </w:rPr>
            </w:pPr>
            <w:r>
              <w:rPr>
                <w:rFonts w:ascii="Roboto;sans-serif" w:hAnsi="Roboto;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Roboto;sans-serif" w:hAnsi="Roboto;sans-serif"/>
                  <w:b w:val="false"/>
                  <w:color w:val="0000FF"/>
                  <w:sz w:val="18"/>
                  <w:u w:val="single"/>
                </w:rPr>
                <w:t>2019 Employee Stock Purchase Plan and form of subscription agreement thereunder</w:t>
              </w:r>
            </w:hyperlink>
            <w:r>
              <w:rPr>
                <w:rFonts w:ascii="Roboto;sans-serif" w:hAnsi="Roboto;sans-serif"/>
                <w:b w:val="false"/>
                <w:color w:val="000000"/>
                <w:sz w:val="18"/>
              </w:rPr>
              <w:t>.</w:t>
            </w:r>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S-8</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333-233941</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09/26/2019</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Roboto;sans-serif" w:hAnsi="Roboto;sans-serif"/>
                  <w:b w:val="false"/>
                  <w:color w:val="0000FF"/>
                  <w:sz w:val="18"/>
                  <w:u w:val="single"/>
                </w:rPr>
                <w:t>Amended Severance and Change in Control Plan and form of participation agreement thereunder</w:t>
              </w:r>
            </w:hyperlink>
            <w:r>
              <w:rPr>
                <w:rFonts w:ascii="Roboto;sans-serif" w:hAnsi="Roboto;sans-serif"/>
                <w:b w:val="false"/>
                <w:color w:val="000000"/>
                <w:sz w:val="18"/>
              </w:rPr>
              <w:t>.</w:t>
            </w:r>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10-Q</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02/05/2026</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Roboto;sans-serif" w:hAnsi="Roboto;sans-serif"/>
                  <w:b w:val="false"/>
                  <w:color w:val="0000FF"/>
                  <w:sz w:val="18"/>
                  <w:u w:val="single"/>
                </w:rPr>
                <w:t>Offer Letter by and between Peter Stern and the Registrant, dated October 28, 2024.</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10/31/2024</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Roboto;sans-serif" w:hAnsi="Roboto;sans-serif"/>
                  <w:b w:val="false"/>
                  <w:color w:val="0000FF"/>
                  <w:sz w:val="18"/>
                  <w:u w:val="single"/>
                </w:rPr>
                <w:t>Offer Letter by and between Elizabeth Coddington and the Registrant, dated June 6, 2022.</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06/06/2022</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Roboto;sans-serif" w:hAnsi="Roboto;sans-serif"/>
                  <w:b w:val="false"/>
                  <w:color w:val="0000FF"/>
                  <w:sz w:val="18"/>
                  <w:u w:val="single"/>
                </w:rPr>
                <w:t>Offer Letter by and between Jennifer Cotter and the Registrant, dated April 26, 2019.</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10-K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08/23/2023</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Roboto;sans-serif" w:hAnsi="Roboto;sans-serif"/>
                  <w:b w:val="false"/>
                  <w:color w:val="000080"/>
                  <w:sz w:val="18"/>
                  <w:u w:val="single"/>
                </w:rPr>
                <w:t>T</w:t>
              </w:r>
            </w:hyperlink>
            <w:hyperlink r:id="rId20">
              <w:r>
                <w:rPr>
                  <w:rStyle w:val="InternetLink"/>
                  <w:rFonts w:ascii="Roboto;sans-serif" w:hAnsi="Roboto;sans-serif"/>
                  <w:b w:val="false"/>
                  <w:color w:val="000080"/>
                  <w:sz w:val="18"/>
                  <w:u w:val="single"/>
                </w:rPr>
                <w:t>ransition Agreement by and between Jennifer Cotte</w:t>
              </w:r>
            </w:hyperlink>
            <w:hyperlink r:id="rId21">
              <w:r>
                <w:rPr>
                  <w:rStyle w:val="InternetLink"/>
                  <w:rFonts w:ascii="Roboto;sans-serif" w:hAnsi="Roboto;sans-serif"/>
                  <w:b w:val="false"/>
                  <w:color w:val="000080"/>
                  <w:sz w:val="18"/>
                  <w:u w:val="single"/>
                </w:rPr>
                <w:t>r</w:t>
              </w:r>
            </w:hyperlink>
            <w:hyperlink r:id="rId22">
              <w:r>
                <w:rPr>
                  <w:rStyle w:val="InternetLink"/>
                  <w:rFonts w:ascii="Roboto;sans-serif" w:hAnsi="Roboto;sans-serif"/>
                  <w:b w:val="false"/>
                  <w:color w:val="000080"/>
                  <w:sz w:val="18"/>
                  <w:u w:val="single"/>
                </w:rPr>
                <w:t xml:space="preserve"> and the Registrant, dated March 14, 2026.</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03/17/2026</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Roboto;sans-serif" w:hAnsi="Roboto;sans-serif"/>
                  <w:b w:val="false"/>
                  <w:color w:val="0000FF"/>
                  <w:sz w:val="18"/>
                  <w:u w:val="single"/>
                </w:rPr>
                <w:t>Offer Letter by and between Nick Caldwell and the Registrant, dated September 18, 2023.</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10-K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08/22/2024</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0"/>
              <w:jc w:val="center"/>
              <w:rPr/>
            </w:pPr>
            <w:r>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Roboto;sans-serif" w:hAnsi="Roboto;sans-serif"/>
                  <w:b w:val="false"/>
                  <w:color w:val="0000FF"/>
                  <w:sz w:val="18"/>
                  <w:u w:val="single"/>
                </w:rPr>
                <w:t>Offer Letter, by and between Charles Kirol and the Registrant, dated April 3, 2025.</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04/09/2025</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Roboto;sans-serif" w:hAnsi="Roboto;sans-serif"/>
                  <w:b w:val="false"/>
                  <w:color w:val="000080"/>
                  <w:sz w:val="18"/>
                  <w:u w:val="single"/>
                </w:rPr>
                <w:t>F</w:t>
              </w:r>
            </w:hyperlink>
            <w:hyperlink r:id="rId26">
              <w:r>
                <w:rPr>
                  <w:rStyle w:val="InternetLink"/>
                  <w:rFonts w:ascii="Roboto;sans-serif" w:hAnsi="Roboto;sans-serif"/>
                  <w:b w:val="false"/>
                  <w:color w:val="000080"/>
                  <w:sz w:val="18"/>
                  <w:u w:val="single"/>
                </w:rPr>
                <w:t xml:space="preserve">orm of </w:t>
              </w:r>
            </w:hyperlink>
            <w:hyperlink r:id="rId27">
              <w:r>
                <w:rPr>
                  <w:rStyle w:val="InternetLink"/>
                  <w:rFonts w:ascii="Roboto;sans-serif" w:hAnsi="Roboto;sans-serif"/>
                  <w:b w:val="false"/>
                  <w:color w:val="000080"/>
                  <w:sz w:val="18"/>
                  <w:u w:val="single"/>
                </w:rPr>
                <w:t>Letter Agreement, dated September 14, 2025, amending offer letters and m</w:t>
              </w:r>
            </w:hyperlink>
            <w:hyperlink r:id="rId28">
              <w:r>
                <w:rPr>
                  <w:rStyle w:val="InternetLink"/>
                  <w:rFonts w:ascii="Roboto;sans-serif" w:hAnsi="Roboto;sans-serif"/>
                  <w:b w:val="false"/>
                  <w:color w:val="000080"/>
                  <w:sz w:val="18"/>
                  <w:u w:val="single"/>
                </w:rPr>
                <w:t xml:space="preserve">odifying certain severance plan rights. </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9/16/2025</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Roboto;sans-serif" w:hAnsi="Roboto;sans-serif"/>
                  <w:b w:val="false"/>
                  <w:color w:val="000080"/>
                  <w:sz w:val="18"/>
                  <w:u w:val="single"/>
                </w:rPr>
                <w:t>O</w:t>
              </w:r>
            </w:hyperlink>
            <w:hyperlink r:id="rId30">
              <w:r>
                <w:rPr>
                  <w:rStyle w:val="InternetLink"/>
                  <w:rFonts w:ascii="Roboto;sans-serif" w:hAnsi="Roboto;sans-serif"/>
                  <w:b w:val="false"/>
                  <w:color w:val="000080"/>
                  <w:sz w:val="18"/>
                  <w:u w:val="single"/>
                </w:rPr>
                <w:t>ffer Letter by and between Siddharth Thacker and the Registrant, dated May 21, 2026.</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05/26/2026</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4fy26ex1015thackerrepayme.htm">
              <w:r>
                <w:rPr>
                  <w:rStyle w:val="InternetLink"/>
                  <w:rFonts w:ascii="Roboto;sans-serif" w:hAnsi="Roboto;sans-serif"/>
                  <w:b w:val="false"/>
                  <w:color w:val="000080"/>
                  <w:sz w:val="18"/>
                  <w:u w:val="single"/>
                </w:rPr>
                <w:t xml:space="preserve">Reimbursement Agreement by and between Siddharth Thacker and the Registrant, dated </w:t>
              </w:r>
            </w:hyperlink>
            <w:hyperlink w:anchor="q4fy26ex1015thackerrepayme.htm">
              <w:r>
                <w:rPr>
                  <w:rStyle w:val="InternetLink"/>
                  <w:rFonts w:ascii="Roboto;sans-serif" w:hAnsi="Roboto;sans-serif"/>
                  <w:b w:val="false"/>
                  <w:color w:val="000080"/>
                  <w:sz w:val="18"/>
                  <w:u w:val="single"/>
                </w:rPr>
                <w:t>August 5</w:t>
              </w:r>
            </w:hyperlink>
            <w:hyperlink w:anchor="q4fy26ex1015thackerrepayme.htm">
              <w:r>
                <w:rPr>
                  <w:rStyle w:val="InternetLink"/>
                  <w:rFonts w:ascii="Roboto;sans-serif" w:hAnsi="Roboto;sans-serif"/>
                  <w:b w:val="false"/>
                  <w:color w:val="000080"/>
                  <w:sz w:val="18"/>
                  <w:u w:val="single"/>
                </w:rPr>
                <w:t>, 2026.</w:t>
              </w:r>
            </w:hyperlink>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Roboto;sans-serif" w:hAnsi="Roboto;sans-serif"/>
                  <w:b w:val="false"/>
                  <w:color w:val="0000FF"/>
                  <w:sz w:val="18"/>
                  <w:u w:val="single"/>
                </w:rPr>
                <w:t>Agreement of Lease by and between the Registrant and Maple West 25th Owner, LLC, dated November 11, 2015, as amended.</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333-233482</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09/10/2019</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Roboto;sans-serif" w:hAnsi="Roboto;sans-serif"/>
                  <w:b w:val="false"/>
                  <w:color w:val="0000FF"/>
                  <w:sz w:val="18"/>
                  <w:u w:val="single"/>
                </w:rPr>
                <w:t>Agreement of Lease by and between the Registrant and CBP 441 Ninth Avenue Owner LLC, dated November 16, 2018.</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S-1/A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333-233482</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10.10</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09/10/2019</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Roboto;sans-serif" w:hAnsi="Roboto;sans-serif"/>
                  <w:b w:val="false"/>
                  <w:color w:val="0000FF"/>
                  <w:sz w:val="18"/>
                  <w:u w:val="single"/>
                </w:rPr>
                <w:t>Amendment and Restatement Agreement, dated as of May 30, 2024, among the Company, the lenders party thereto, JPMorgan Chase Bank, N.A., as administrative agent and JPMorgan Chase Bank, N.A. and Goldman Sachs Lending Partners LLC as joint bookrunners and joint lead arrangers.</w:t>
              </w:r>
            </w:hyperlink>
          </w:p>
        </w:tc>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05/30/2024</w:t>
            </w:r>
          </w:p>
        </w:tc>
        <w:tc>
          <w:tcPr>
            <w:tcW w:w="38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3350"/>
                <wp:effectExtent l="0" t="0" r="0" b="0"/>
                <wp:wrapNone/>
                <wp:docPr id="106" name="Frame10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104</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8"/>
        <w:gridCol w:w="209"/>
        <w:gridCol w:w="210"/>
        <w:gridCol w:w="109"/>
        <w:gridCol w:w="109"/>
        <w:gridCol w:w="109"/>
        <w:gridCol w:w="2266"/>
        <w:gridCol w:w="2008"/>
        <w:gridCol w:w="2013"/>
        <w:gridCol w:w="147"/>
        <w:gridCol w:w="147"/>
        <w:gridCol w:w="148"/>
        <w:gridCol w:w="278"/>
        <w:gridCol w:w="278"/>
        <w:gridCol w:w="279"/>
        <w:gridCol w:w="175"/>
        <w:gridCol w:w="175"/>
        <w:gridCol w:w="176"/>
        <w:gridCol w:w="244"/>
        <w:gridCol w:w="244"/>
        <w:gridCol w:w="245"/>
        <w:gridCol w:w="114"/>
        <w:gridCol w:w="114"/>
        <w:gridCol w:w="170"/>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ex191insidertradingp.htm">
              <w:r>
                <w:rPr>
                  <w:rStyle w:val="InternetLink"/>
                  <w:rFonts w:ascii="Roboto;sans-serif" w:hAnsi="Roboto;sans-serif"/>
                  <w:b w:val="false"/>
                  <w:color w:val="0000FF"/>
                  <w:sz w:val="18"/>
                  <w:u w:val="single"/>
                </w:rPr>
                <w:t>Insider Trading Policy and Procedures.</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21.1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hibit211.htm">
              <w:r>
                <w:rPr>
                  <w:rStyle w:val="InternetLink"/>
                  <w:rFonts w:ascii="Roboto;sans-serif" w:hAnsi="Roboto;sans-serif"/>
                  <w:b w:val="false"/>
                  <w:color w:val="0000FF"/>
                  <w:sz w:val="18"/>
                  <w:u w:val="single"/>
                </w:rPr>
                <w:t>List of Subsidiaries.</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23.1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231eyconsent.htm">
              <w:r>
                <w:rPr>
                  <w:rStyle w:val="InternetLink"/>
                  <w:rFonts w:ascii="Roboto;sans-serif" w:hAnsi="Roboto;sans-serif"/>
                  <w:b w:val="false"/>
                  <w:color w:val="0000FF"/>
                  <w:sz w:val="18"/>
                  <w:u w:val="single"/>
                </w:rPr>
                <w:t>Consent of Ernst &amp; Young LLP, Independent registered public accounting firm</w:t>
              </w:r>
            </w:hyperlink>
            <w:r>
              <w:rPr>
                <w:rFonts w:ascii="Roboto;sans-serif" w:hAnsi="Roboto;sans-serif"/>
                <w:b w:val="false"/>
                <w:color w:val="000000"/>
                <w:sz w:val="18"/>
              </w:rPr>
              <w: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24.1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i08825b7f579d4eddac68d38d367170ab_217">
              <w:r>
                <w:rPr>
                  <w:rStyle w:val="InternetLink"/>
                  <w:rFonts w:ascii="Roboto;sans-serif" w:hAnsi="Roboto;sans-serif"/>
                  <w:b w:val="false"/>
                  <w:color w:val="0000FF"/>
                  <w:sz w:val="18"/>
                  <w:u w:val="single"/>
                </w:rPr>
                <w:t>Power of Attorney (included in the signature page)</w:t>
              </w:r>
            </w:hyperlink>
            <w:r>
              <w:rPr>
                <w:rFonts w:ascii="Roboto;sans-serif" w:hAnsi="Roboto;sans-serif"/>
                <w:b w:val="false"/>
                <w:color w:val="000000"/>
                <w:sz w:val="18"/>
              </w:rPr>
              <w: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4fy2610-k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97.1†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Roboto;sans-serif" w:hAnsi="Roboto;sans-serif"/>
                  <w:b w:val="false"/>
                  <w:color w:val="0000FF"/>
                  <w:sz w:val="18"/>
                  <w:u w:val="single"/>
                </w:rPr>
                <w:t>Policy for Recovery of Incentive-Based Compensation.</w:t>
              </w:r>
            </w:hyperlink>
          </w:p>
        </w:tc>
        <w:tc>
          <w:tcPr>
            <w:tcW w:w="44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10-K</w:t>
            </w:r>
          </w:p>
        </w:tc>
        <w:tc>
          <w:tcPr>
            <w:tcW w:w="83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5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97.1</w:t>
            </w:r>
          </w:p>
        </w:tc>
        <w:tc>
          <w:tcPr>
            <w:tcW w:w="73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8/22/2024</w:t>
            </w:r>
          </w:p>
        </w:tc>
        <w:tc>
          <w:tcPr>
            <w:tcW w:w="398" w:type="dxa"/>
            <w:gridSpan w:val="3"/>
            <w:tcBorders/>
            <w:shd w:fill="FEFEFE" w:val="clear"/>
            <w:tcMar>
              <w:top w:w="0" w:type="dxa"/>
              <w:left w:w="0" w:type="dxa"/>
              <w:bottom w:w="0" w:type="dxa"/>
              <w:right w:w="0" w:type="dxa"/>
            </w:tcMar>
            <w:vAlign w:val="center"/>
          </w:tcPr>
          <w:p>
            <w:pPr>
              <w:pStyle w:val="TableContents"/>
              <w:bidi w:val="0"/>
              <w:spacing w:before="0" w:after="0"/>
              <w:jc w:val="center"/>
              <w:rPr/>
            </w:pPr>
            <w:r>
              <w:rPr/>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Inline XBRL and contained in Exhibit 101)</w:t>
            </w:r>
          </w:p>
        </w:tc>
        <w:tc>
          <w:tcPr>
            <w:tcW w:w="44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pPr>
      <w:r>
        <w:rPr>
          <w:color w:val="000000"/>
        </w:rPr>
        <w:t xml:space="preserve">† </w:t>
      </w:r>
      <w:r>
        <w:rPr>
          <w:rFonts w:ascii="Roboto;sans-serif" w:hAnsi="Roboto;sans-serif"/>
          <w:b w:val="false"/>
          <w:i/>
          <w:color w:val="000000"/>
          <w:sz w:val="18"/>
        </w:rPr>
        <w:t>Indicates a management contract or compensatory plan or arrangement in which directors or executive officers are eligible to participate.</w:t>
      </w:r>
    </w:p>
    <w:p>
      <w:pPr>
        <w:pStyle w:val="TextBody"/>
        <w:bidi w:val="0"/>
        <w:spacing w:lineRule="auto" w:line="268" w:before="0" w:after="0"/>
        <w:jc w:val="left"/>
        <w:rPr/>
      </w:pPr>
      <w:r>
        <w:rPr>
          <w:rFonts w:ascii="Roboto;sans-serif" w:hAnsi="Roboto;sans-serif"/>
          <w:b w:val="false"/>
          <w:color w:val="000000"/>
          <w:sz w:val="18"/>
        </w:rPr>
        <w:t>*</w:t>
      </w:r>
      <w:r>
        <w:rPr>
          <w:color w:val="000000"/>
        </w:rPr>
        <w:t xml:space="preserve"> </w:t>
      </w:r>
      <w:r>
        <w:rPr>
          <w:rFonts w:ascii="Roboto;sans-serif" w:hAnsi="Roboto;sans-serif"/>
          <w:b w:val="false"/>
          <w:i/>
          <w:color w:val="000000"/>
          <w:sz w:val="18"/>
        </w:rPr>
        <w:t>Certain portions of this document that constitute private or confidential information have been redacted in accordance with Regulation S-K, Item 601(b)(10).</w:t>
      </w:r>
      <w:r>
        <w:rPr>
          <w:color w:val="000000"/>
        </w:rPr>
        <w:t xml:space="preserve"> </w:t>
      </w:r>
    </w:p>
    <w:p>
      <w:pPr>
        <w:pStyle w:val="TextBody"/>
        <w:bidi w:val="0"/>
        <w:spacing w:lineRule="auto" w:line="276" w:before="0" w:after="0"/>
        <w:jc w:val="left"/>
        <w:rPr/>
      </w:pPr>
      <w:r>
        <w:rPr>
          <w:rFonts w:ascii="Roboto;sans-serif" w:hAnsi="Roboto;sans-serif"/>
          <w:b w:val="false"/>
          <w:color w:val="000000"/>
          <w:sz w:val="18"/>
        </w:rPr>
        <w:t xml:space="preserve">** </w:t>
      </w:r>
      <w:r>
        <w:rPr>
          <w:rFonts w:ascii="Roboto;sans-serif" w:hAnsi="Roboto;sans-serif"/>
          <w:b w:val="false"/>
          <w:i/>
          <w:color w:val="000000"/>
          <w:sz w:val="18"/>
        </w:rPr>
        <w:t>Certain schedules and exhibits have been omitted pursuant to Item 601(a)(5) of Regulation S-K. The Company will supplementally furnish copies of omitted schedules and exhibits to the SEC or its staff upon its request.</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3350"/>
                <wp:effectExtent l="0" t="0" r="0" b="0"/>
                <wp:wrapNone/>
                <wp:docPr id="107" name="Frame10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105</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16. Form 10-K Summary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3350"/>
                <wp:effectExtent l="0" t="0" r="0" b="0"/>
                <wp:wrapNone/>
                <wp:docPr id="108" name="Frame10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106</w:t>
                      </w:r>
                    </w:p>
                  </w:txbxContent>
                </v:textbox>
                <w10:wrap type="none"/>
              </v:rect>
            </w:pict>
          </mc:Fallback>
        </mc:AlternateContent>
      </w:r>
    </w:p>
    <w:p>
      <w:pPr>
        <w:pStyle w:val="TextBody"/>
        <w:bidi w:val="0"/>
        <w:spacing w:lineRule="auto" w:line="288" w:before="0" w:after="0"/>
        <w:jc w:val="left"/>
        <w:rPr/>
      </w:pPr>
      <w:hyperlink w:anchor="i08825b7f579d4eddac68d38d367170ab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6155" w:type="dxa"/>
        <w:jc w:val="left"/>
        <w:tblInd w:w="0" w:type="dxa"/>
        <w:tblLayout w:type="fixed"/>
        <w:tblCellMar>
          <w:top w:w="28" w:type="dxa"/>
          <w:left w:w="28" w:type="dxa"/>
          <w:bottom w:w="28" w:type="dxa"/>
          <w:right w:w="28" w:type="dxa"/>
        </w:tblCellMar>
      </w:tblPr>
      <w:tblGrid>
        <w:gridCol w:w="753"/>
        <w:gridCol w:w="662"/>
        <w:gridCol w:w="669"/>
        <w:gridCol w:w="467"/>
        <w:gridCol w:w="467"/>
        <w:gridCol w:w="467"/>
        <w:gridCol w:w="780"/>
        <w:gridCol w:w="780"/>
        <w:gridCol w:w="1110"/>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August 6, 2026</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Peter Stern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Peter Stern</w:t>
            </w:r>
          </w:p>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Chief Executive Officer</w:t>
            </w:r>
          </w:p>
          <w:p>
            <w:pPr>
              <w:pStyle w:val="TableContents"/>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jc w:val="left"/>
        <w:rPr/>
      </w:pPr>
      <w:r>
        <w:rPr/>
      </w:r>
    </w:p>
    <w:tbl>
      <w:tblPr>
        <w:tblW w:w="10024" w:type="dxa"/>
        <w:jc w:val="left"/>
        <w:tblInd w:w="0" w:type="dxa"/>
        <w:tblLayout w:type="fixed"/>
        <w:tblCellMar>
          <w:top w:w="28" w:type="dxa"/>
          <w:left w:w="28" w:type="dxa"/>
          <w:bottom w:w="28" w:type="dxa"/>
          <w:right w:w="28" w:type="dxa"/>
        </w:tblCellMar>
      </w:tblPr>
      <w:tblGrid>
        <w:gridCol w:w="211"/>
        <w:gridCol w:w="185"/>
        <w:gridCol w:w="185"/>
        <w:gridCol w:w="844"/>
        <w:gridCol w:w="844"/>
        <w:gridCol w:w="876"/>
        <w:gridCol w:w="109"/>
        <w:gridCol w:w="109"/>
        <w:gridCol w:w="109"/>
        <w:gridCol w:w="1544"/>
        <w:gridCol w:w="1544"/>
        <w:gridCol w:w="1562"/>
        <w:gridCol w:w="109"/>
        <w:gridCol w:w="109"/>
        <w:gridCol w:w="109"/>
        <w:gridCol w:w="459"/>
        <w:gridCol w:w="459"/>
        <w:gridCol w:w="657"/>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1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Date</w:t>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By: </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Peter 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President and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Peter 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Saqib Baig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Saqib Baig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Jay Hoag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Jay Hoag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Karen Boone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Karen Boone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Chris Bruzzo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Chris Bruzzo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Tara Comonte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Tara Comonte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Angel Mendez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Angel Mendez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Pamela Thomas-Graham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August 6, 2026</w:t>
            </w:r>
          </w:p>
        </w:tc>
      </w:tr>
      <w:tr>
        <w:trPr/>
        <w:tc>
          <w:tcPr>
            <w:tcW w:w="31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Pamela Thomas-Graham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2"/>
        </w:rPr>
      </w:pPr>
      <w:r>
        <w:rPr>
          <w:rFonts w:ascii="Times New Roman;serif" w:hAnsi="Times New Roman;serif"/>
          <w:b/>
          <w:i/>
          <w:color w:val="000000"/>
          <w:sz w:val="22"/>
        </w:rPr>
        <w:t>Exhibit 10.15</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3350"/>
                <wp:effectExtent l="0" t="0" r="0" b="0"/>
                <wp:wrapNone/>
                <wp:docPr id="109" name="Frame10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19.8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PELOTON INTERACTIVE, INC. </w:t>
        <w:br/>
        <w:t xml:space="preserve">441 NINTH AVENUE, 6th FLOOR </w:t>
        <w:br/>
        <w:t>NEW YORK, NY 10001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Sid Thacker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Peloton Interactive, Inc.</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Via Email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Dear Sid:</w:t>
      </w:r>
    </w:p>
    <w:p>
      <w:pPr>
        <w:pStyle w:val="TextBody"/>
        <w:bidi w:val="0"/>
        <w:spacing w:lineRule="auto" w:line="288" w:before="0" w:after="240"/>
        <w:jc w:val="left"/>
        <w:rPr/>
      </w:pPr>
      <w:r>
        <w:rPr>
          <w:rFonts w:ascii="Times New Roman;serif" w:hAnsi="Times New Roman;serif"/>
          <w:b w:val="false"/>
          <w:color w:val="000000"/>
          <w:sz w:val="22"/>
        </w:rPr>
        <w:t>Peloton Interactive,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aware that your former employer, Rent the Runway, Inc. (“</w:t>
      </w:r>
      <w:r>
        <w:rPr>
          <w:rFonts w:ascii="Times New Roman;serif" w:hAnsi="Times New Roman;serif"/>
          <w:b/>
          <w:i/>
          <w:color w:val="000000"/>
          <w:sz w:val="22"/>
        </w:rPr>
        <w:t>RTR</w:t>
      </w:r>
      <w:r>
        <w:rPr>
          <w:color w:val="000000"/>
        </w:rPr>
        <w:t>”</w:t>
      </w:r>
      <w:r>
        <w:rPr>
          <w:rFonts w:ascii="Times New Roman;serif" w:hAnsi="Times New Roman;serif"/>
          <w:b w:val="false"/>
          <w:color w:val="000000"/>
          <w:sz w:val="22"/>
        </w:rPr>
        <w:t>), has demanded repayment of certain bonus amounts paid to you during your tenure at RTR. In connection with this demand, the Company is authorized and hereby agrees to provide you with a cash payment of $436,466.14 (the “</w:t>
      </w:r>
      <w:r>
        <w:rPr>
          <w:rFonts w:ascii="Times New Roman;serif" w:hAnsi="Times New Roman;serif"/>
          <w:b/>
          <w:i/>
          <w:color w:val="000000"/>
          <w:sz w:val="22"/>
        </w:rPr>
        <w:t>Reimbursement</w:t>
      </w:r>
      <w:r>
        <w:rPr>
          <w:color w:val="000000"/>
        </w:rPr>
        <w:t>”</w:t>
      </w:r>
      <w:r>
        <w:rPr>
          <w:rFonts w:ascii="Times New Roman;serif" w:hAnsi="Times New Roman;serif"/>
          <w:b w:val="false"/>
          <w:color w:val="000000"/>
          <w:sz w:val="22"/>
        </w:rPr>
        <w:t>), subject to the approval of the Chair of the Compensation Committee of the Board of Directors and your agreement to the terms described in this letter. The cash payment will be paid to you via payroll during the next administratively feasible payroll cycle following your execution of this letter. No additional amounts will be paid by the Company in connection with the Reimbursement.</w:t>
      </w:r>
    </w:p>
    <w:p>
      <w:pPr>
        <w:pStyle w:val="TextBody"/>
        <w:bidi w:val="0"/>
        <w:spacing w:lineRule="auto" w:line="288" w:before="0" w:after="240"/>
        <w:jc w:val="left"/>
        <w:rPr/>
      </w:pPr>
      <w:r>
        <w:rPr>
          <w:rFonts w:ascii="Times New Roman;serif" w:hAnsi="Times New Roman;serif"/>
          <w:b w:val="false"/>
          <w:color w:val="000000"/>
          <w:sz w:val="22"/>
        </w:rPr>
        <w:t>The Reimbursement is subject to any required tax withholdings. Additionally, if your employment with the Company is terminated prior to the 12-month anniversary of the date on which the Company pays the Reimbursement for any reason other than (a) termination by the Company without Cause (as defined in the Company’s Severance and Change in Control Plan (the “</w:t>
      </w:r>
      <w:r>
        <w:rPr>
          <w:rFonts w:ascii="Times New Roman;serif" w:hAnsi="Times New Roman;serif"/>
          <w:b/>
          <w:i/>
          <w:color w:val="000000"/>
          <w:sz w:val="22"/>
        </w:rPr>
        <w:t>Severance Plan</w:t>
      </w:r>
      <w:r>
        <w:rPr>
          <w:color w:val="000000"/>
        </w:rPr>
        <w:t>”</w:t>
      </w:r>
      <w:r>
        <w:rPr>
          <w:rFonts w:ascii="Times New Roman;serif" w:hAnsi="Times New Roman;serif"/>
          <w:b w:val="false"/>
          <w:color w:val="000000"/>
          <w:sz w:val="22"/>
        </w:rPr>
        <w:t>)) or (b) your resignation for Good Reason (as defined in the Severance Plan), you agree to reimburse the Company the full amount of the Reimbursement in cash within 30 days of your termination date. Nothing in this letter modifies the terms of your offer letter with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By signing below, you consent to the terms of the Reimbursement described in this letter.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PELOTON INTERACTIVE,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Peter Stern_____________________</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By:</w:t>
      </w:r>
      <w:r>
        <w:rPr>
          <w:color w:val="000000"/>
        </w:rPr>
        <w:t xml:space="preserve"> </w:t>
      </w:r>
      <w:r>
        <w:rPr>
          <w:rFonts w:ascii="Times New Roman;serif" w:hAnsi="Times New Roman;serif"/>
          <w:b w:val="false"/>
          <w:color w:val="000000"/>
          <w:sz w:val="22"/>
        </w:rPr>
        <w:t>Peter Stern</w:t>
      </w:r>
    </w:p>
    <w:p>
      <w:pPr>
        <w:pStyle w:val="TextBody"/>
        <w:bidi w:val="0"/>
        <w:spacing w:lineRule="auto" w:line="288" w:before="0" w:after="0"/>
        <w:jc w:val="left"/>
        <w:rPr/>
      </w:pPr>
      <w:r>
        <w:rPr>
          <w:rFonts w:ascii="Times New Roman;serif" w:hAnsi="Times New Roman;serif"/>
          <w:b/>
          <w:color w:val="000000"/>
          <w:sz w:val="22"/>
        </w:rPr>
        <w:t>Title:</w:t>
      </w:r>
      <w:r>
        <w:rPr>
          <w:color w:val="000000"/>
        </w:rPr>
        <w:t xml:space="preserve"> </w:t>
      </w:r>
      <w:r>
        <w:rPr>
          <w:rFonts w:ascii="Times New Roman;serif" w:hAnsi="Times New Roman;serif"/>
          <w:b w:val="false"/>
          <w:color w:val="000000"/>
          <w:sz w:val="22"/>
        </w:rPr>
        <w:t>Chief Executive Officer</w:t>
      </w:r>
    </w:p>
    <w:p>
      <w:pPr>
        <w:pStyle w:val="TextBody"/>
        <w:bidi w:val="0"/>
        <w:spacing w:lineRule="auto" w:line="288" w:before="0" w:after="0"/>
        <w:jc w:val="left"/>
        <w:rPr/>
      </w:pPr>
      <w:r>
        <w:rPr>
          <w:rFonts w:ascii="Times New Roman;serif" w:hAnsi="Times New Roman;serif"/>
          <w:b/>
          <w:color w:val="000000"/>
          <w:sz w:val="22"/>
        </w:rPr>
        <w:t>Dated</w:t>
      </w:r>
      <w:r>
        <w:rPr>
          <w:rFonts w:ascii="Times New Roman;serif" w:hAnsi="Times New Roman;serif"/>
          <w:b w:val="false"/>
          <w:color w:val="000000"/>
          <w:sz w:val="22"/>
        </w:rPr>
        <w:t>: 08/05/2026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have read and agreed to the terms of this letter: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/s/ Sid Thacker</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Sid Thacker</w:t>
      </w:r>
    </w:p>
    <w:p>
      <w:pPr>
        <w:pStyle w:val="TextBody"/>
        <w:bidi w:val="0"/>
        <w:spacing w:lineRule="auto" w:line="288"/>
        <w:jc w:val="left"/>
        <w:rPr/>
      </w:pPr>
      <w:r>
        <w:rPr>
          <w:rFonts w:ascii="Times New Roman;serif" w:hAnsi="Times New Roman;serif"/>
          <w:b/>
          <w:color w:val="000000"/>
          <w:sz w:val="22"/>
        </w:rPr>
        <w:t xml:space="preserve">Dated: </w:t>
      </w:r>
      <w:r>
        <w:rPr>
          <w:rFonts w:ascii="Times New Roman;serif" w:hAnsi="Times New Roman;serif"/>
          <w:b w:val="false"/>
          <w:color w:val="000000"/>
          <w:sz w:val="22"/>
        </w:rPr>
        <w:t>08/05/2026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right"/>
        <w:rPr>
          <w:rFonts w:ascii="Times New Roman;serif" w:hAnsi="Times New Roman;serif"/>
          <w:b/>
          <w:color w:val="000000"/>
          <w:sz w:val="24"/>
        </w:rPr>
      </w:pPr>
      <w:r>
        <w:rPr>
          <w:rFonts w:ascii="Times New Roman;serif" w:hAnsi="Times New Roman;serif"/>
          <w:b/>
          <w:color w:val="000000"/>
          <w:sz w:val="24"/>
        </w:rPr>
        <w:t>Exhibit 19.1</w:t>
      </w:r>
    </w:p>
    <w:p>
      <w:pPr>
        <w:pStyle w:val="TextBody"/>
        <w:bidi w:val="0"/>
        <w:spacing w:before="0" w:after="0"/>
        <w:jc w:val="center"/>
        <w:rPr/>
      </w:pPr>
      <w:r>
        <w:rPr/>
        <w:drawing>
          <wp:inline distT="0" distB="0" distL="0" distR="0">
            <wp:extent cx="3343275" cy="990600"/>
            <wp:effectExtent l="0" t="0" r="0" b="0"/>
            <wp:docPr id="1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 descr=""/>
                    <pic:cNvPicPr>
                      <a:picLocks noChangeAspect="1" noChangeArrowheads="1"/>
                    </pic:cNvPicPr>
                  </pic:nvPicPr>
                  <pic:blipFill>
                    <a:blip r:embed="rId35"/>
                    <a:stretch>
                      <a:fillRect/>
                    </a:stretch>
                  </pic:blipFill>
                  <pic:spPr bwMode="auto">
                    <a:xfrm>
                      <a:off x="0" y="0"/>
                      <a:ext cx="3343275" cy="990600"/>
                    </a:xfrm>
                    <a:prstGeom prst="rect">
                      <a:avLst/>
                    </a:prstGeom>
                  </pic:spPr>
                </pic:pic>
              </a:graphicData>
            </a:graphic>
          </wp:inline>
        </w:drawing>
      </w:r>
    </w:p>
    <w:p>
      <w:pPr>
        <w:pStyle w:val="TextBody"/>
        <w:bidi w:val="0"/>
        <w:spacing w:lineRule="auto" w:line="288" w:before="2221" w:after="283"/>
        <w:jc w:val="center"/>
        <w:rPr/>
      </w:pPr>
      <w:r>
        <w:rPr>
          <w:rFonts w:ascii="Arial;sans-serif" w:hAnsi="Arial;sans-serif"/>
          <w:b/>
          <w:color w:val="000000"/>
          <w:sz w:val="30"/>
          <w:shd w:fill="FFFFFF" w:val="clear"/>
        </w:rPr>
        <w:t>INSIDER TRADING COMPLIANCE POLICY AND PROCEDURES</w:t>
      </w:r>
      <w:r>
        <w:rPr>
          <w:color w:val="000000"/>
        </w:rPr>
        <w:t xml:space="preserve"> </w:t>
      </w:r>
    </w:p>
    <w:p>
      <w:pPr>
        <w:pStyle w:val="TextBody"/>
        <w:bidi w:val="0"/>
        <w:spacing w:lineRule="auto" w:line="288" w:before="800" w:after="283"/>
        <w:jc w:val="center"/>
        <w:rPr/>
      </w:pPr>
      <w:r>
        <w:rPr>
          <w:rFonts w:ascii="Arial;sans-serif" w:hAnsi="Arial;sans-serif"/>
          <w:b/>
          <w:color w:val="000000"/>
          <w:sz w:val="30"/>
          <w:shd w:fill="FFFFFF" w:val="clear"/>
        </w:rPr>
        <w:t>Last Updated: September 2025</w:t>
      </w:r>
      <w:r>
        <w:rPr>
          <w:color w:val="000000"/>
        </w:rPr>
        <w:t xml:space="preserve"> </w:t>
      </w:r>
    </w:p>
    <w:p>
      <w:pPr>
        <w:pStyle w:val="TextBody"/>
        <w:bidi w:val="0"/>
        <w:spacing w:lineRule="auto" w:line="288" w:before="800" w:after="283"/>
        <w:jc w:val="center"/>
        <w:rPr/>
      </w:pPr>
      <w:r>
        <w:rPr>
          <w:rFonts w:ascii="Arial;sans-serif" w:hAnsi="Arial;sans-serif"/>
          <w:b/>
          <w:color w:val="000000"/>
          <w:sz w:val="24"/>
          <w:shd w:fill="FFFFFF" w:val="clear"/>
        </w:rPr>
        <w:t>Peloton Interactive, Inc.</w:t>
      </w:r>
      <w:r>
        <w:rPr>
          <w:color w:val="000000"/>
        </w:rPr>
        <w:t xml:space="preserve"> </w:t>
      </w:r>
    </w:p>
    <w:p>
      <w:pPr>
        <w:pStyle w:val="TextBody"/>
        <w:bidi w:val="0"/>
        <w:spacing w:lineRule="auto" w:line="288" w:before="12" w:after="283"/>
        <w:jc w:val="center"/>
        <w:rPr>
          <w:rFonts w:ascii="Arial;sans-serif" w:hAnsi="Arial;sans-serif"/>
          <w:b/>
          <w:color w:val="000000"/>
          <w:sz w:val="24"/>
          <w:shd w:fill="FFFFFF" w:val="clear"/>
        </w:rPr>
      </w:pPr>
      <w:r>
        <w:rPr>
          <w:rFonts w:ascii="Arial;sans-serif" w:hAnsi="Arial;sans-serif"/>
          <w:b/>
          <w:color w:val="000000"/>
          <w:sz w:val="24"/>
          <w:shd w:fill="FFFFFF" w:val="clear"/>
        </w:rPr>
        <w:t>Insider Trading Compliance Policy and Procedures</w:t>
      </w:r>
    </w:p>
    <w:p>
      <w:pPr>
        <w:pStyle w:val="TextBody"/>
        <w:bidi w:val="0"/>
        <w:spacing w:before="12" w:after="283"/>
        <w:jc w:val="left"/>
        <w:rPr/>
      </w:pPr>
      <w:r>
        <w:rPr/>
      </w:r>
    </w:p>
    <w:p>
      <w:pPr>
        <w:pStyle w:val="TextBody"/>
        <w:bidi w:val="0"/>
        <w:spacing w:before="12" w:after="283"/>
        <w:jc w:val="left"/>
        <w:rPr/>
      </w:pPr>
      <w:r>
        <w:rPr/>
      </w:r>
    </w:p>
    <w:tbl>
      <w:tblPr>
        <w:tblW w:w="10205" w:type="dxa"/>
        <w:jc w:val="left"/>
        <w:tblInd w:w="0" w:type="dxa"/>
        <w:tblLayout w:type="fixed"/>
        <w:tblCellMar>
          <w:top w:w="28" w:type="dxa"/>
          <w:left w:w="28" w:type="dxa"/>
          <w:bottom w:w="28" w:type="dxa"/>
          <w:right w:w="28" w:type="dxa"/>
        </w:tblCellMar>
      </w:tblPr>
      <w:tblGrid>
        <w:gridCol w:w="2652"/>
        <w:gridCol w:w="1672"/>
        <w:gridCol w:w="1680"/>
        <w:gridCol w:w="1229"/>
        <w:gridCol w:w="1229"/>
        <w:gridCol w:w="1743"/>
      </w:tblGrid>
      <w:tr>
        <w:trPr/>
        <w:tc>
          <w:tcPr>
            <w:tcW w:w="2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6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0" w:before="0" w:after="0"/>
              <w:jc w:val="left"/>
              <w:rPr/>
            </w:pPr>
            <w:r>
              <w:rPr>
                <w:rFonts w:ascii="Arial;sans-serif" w:hAnsi="Arial;sans-serif"/>
                <w:b/>
                <w:color w:val="000000"/>
                <w:sz w:val="21"/>
                <w:shd w:fill="FFFFFF" w:val="clear"/>
              </w:rPr>
              <w:t>Policy Name: Insider Trading Compliance</w:t>
            </w:r>
            <w:r>
              <w:rPr>
                <w:color w:val="000000"/>
              </w:rPr>
              <w:t xml:space="preserve"> </w:t>
            </w:r>
            <w:r>
              <w:rPr>
                <w:rFonts w:ascii="Arial;sans-serif" w:hAnsi="Arial;sans-serif"/>
                <w:b/>
                <w:color w:val="000000"/>
                <w:sz w:val="21"/>
                <w:shd w:fill="FFFFFF" w:val="clear"/>
              </w:rPr>
              <w:t>Policy and Procedures (the “Policy”)</w:t>
            </w:r>
          </w:p>
        </w:tc>
        <w:tc>
          <w:tcPr>
            <w:tcW w:w="420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6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0" w:before="0" w:after="0"/>
              <w:ind w:left="0" w:right="0" w:firstLine="6"/>
              <w:jc w:val="left"/>
              <w:rPr/>
            </w:pPr>
            <w:r>
              <w:rPr>
                <w:rFonts w:ascii="Arial;sans-serif" w:hAnsi="Arial;sans-serif"/>
                <w:b/>
                <w:color w:val="000000"/>
                <w:sz w:val="21"/>
                <w:shd w:fill="FFFFFF" w:val="clear"/>
              </w:rPr>
              <w:t>Policy Owners: Company’s Chief Legal</w:t>
            </w:r>
            <w:r>
              <w:rPr>
                <w:color w:val="000000"/>
              </w:rPr>
              <w:t xml:space="preserve"> </w:t>
            </w:r>
            <w:r>
              <w:rPr>
                <w:rFonts w:ascii="Arial;sans-serif" w:hAnsi="Arial;sans-serif"/>
                <w:b/>
                <w:color w:val="000000"/>
                <w:sz w:val="21"/>
                <w:shd w:fill="FFFFFF" w:val="clear"/>
              </w:rPr>
              <w:t>Officer; and AGC, Corporate</w:t>
            </w:r>
          </w:p>
        </w:tc>
        <w:tc>
          <w:tcPr>
            <w:tcW w:w="42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3" w:before="0" w:after="0"/>
              <w:ind w:left="0" w:right="0" w:firstLine="17"/>
              <w:jc w:val="left"/>
              <w:rPr/>
            </w:pPr>
            <w:r>
              <w:rPr>
                <w:rFonts w:ascii="Arial;sans-serif" w:hAnsi="Arial;sans-serif"/>
                <w:b/>
                <w:color w:val="000000"/>
                <w:sz w:val="21"/>
                <w:shd w:fill="FFFFFF" w:val="clear"/>
              </w:rPr>
              <w:t>Policy Applies To: All employees (including</w:t>
            </w:r>
            <w:r>
              <w:rPr>
                <w:color w:val="000000"/>
              </w:rPr>
              <w:t xml:space="preserve"> </w:t>
            </w:r>
            <w:r>
              <w:rPr>
                <w:rFonts w:ascii="Arial;sans-serif" w:hAnsi="Arial;sans-serif"/>
                <w:b/>
                <w:color w:val="000000"/>
                <w:sz w:val="21"/>
                <w:shd w:fill="FFFFFF" w:val="clear"/>
              </w:rPr>
              <w:t>temporary employees and interns), the</w:t>
            </w:r>
            <w:r>
              <w:rPr>
                <w:color w:val="000000"/>
              </w:rPr>
              <w:t xml:space="preserve"> </w:t>
            </w:r>
          </w:p>
          <w:p>
            <w:pPr>
              <w:pStyle w:val="TableContents"/>
              <w:bidi w:val="0"/>
              <w:spacing w:lineRule="auto" w:line="283" w:before="6" w:after="283"/>
              <w:ind w:left="0" w:right="0" w:firstLine="3"/>
              <w:jc w:val="left"/>
              <w:rPr/>
            </w:pPr>
            <w:r>
              <w:rPr>
                <w:rFonts w:ascii="Arial;sans-serif" w:hAnsi="Arial;sans-serif"/>
                <w:b/>
                <w:color w:val="000000"/>
                <w:sz w:val="21"/>
                <w:shd w:fill="FFFFFF" w:val="clear"/>
              </w:rPr>
              <w:t>Peloton Board of Directors, consultants and</w:t>
            </w:r>
            <w:r>
              <w:rPr>
                <w:color w:val="000000"/>
              </w:rPr>
              <w:t xml:space="preserve"> </w:t>
            </w:r>
            <w:r>
              <w:rPr>
                <w:rFonts w:ascii="Arial;sans-serif" w:hAnsi="Arial;sans-serif"/>
                <w:b/>
                <w:color w:val="000000"/>
                <w:sz w:val="21"/>
                <w:shd w:fill="FFFFFF" w:val="clear"/>
              </w:rPr>
              <w:t>independent contractors</w:t>
            </w:r>
          </w:p>
        </w:tc>
      </w:tr>
      <w:tr>
        <w:trPr/>
        <w:tc>
          <w:tcPr>
            <w:tcW w:w="6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0" w:before="0" w:after="0"/>
              <w:ind w:left="0" w:right="0" w:firstLine="12"/>
              <w:jc w:val="left"/>
              <w:rPr/>
            </w:pPr>
            <w:r>
              <w:rPr>
                <w:rFonts w:ascii="Arial;sans-serif" w:hAnsi="Arial;sans-serif"/>
                <w:b/>
                <w:color w:val="000000"/>
                <w:sz w:val="21"/>
                <w:shd w:fill="FFFFFF" w:val="clear"/>
              </w:rPr>
              <w:t>Policy Administrators: Company’s Chief</w:t>
            </w:r>
            <w:r>
              <w:rPr>
                <w:color w:val="000000"/>
              </w:rPr>
              <w:t xml:space="preserve"> </w:t>
            </w:r>
            <w:r>
              <w:rPr>
                <w:rFonts w:ascii="Arial;sans-serif" w:hAnsi="Arial;sans-serif"/>
                <w:b/>
                <w:color w:val="000000"/>
                <w:sz w:val="21"/>
                <w:shd w:fill="FFFFFF" w:val="clear"/>
              </w:rPr>
              <w:t>Legal Officer; and AGC, Corporate, and</w:t>
            </w:r>
            <w:r>
              <w:rPr>
                <w:color w:val="000000"/>
              </w:rPr>
              <w:t xml:space="preserve"> </w:t>
            </w:r>
            <w:r>
              <w:rPr>
                <w:rFonts w:ascii="Arial;sans-serif" w:hAnsi="Arial;sans-serif"/>
                <w:b/>
                <w:color w:val="000000"/>
                <w:sz w:val="21"/>
                <w:shd w:fill="FFFFFF" w:val="clear"/>
              </w:rPr>
              <w:t>their delegates, all reachable via</w:t>
            </w:r>
            <w:r>
              <w:rPr>
                <w:color w:val="000000"/>
              </w:rPr>
              <w:t xml:space="preserve"> </w:t>
            </w:r>
          </w:p>
          <w:p>
            <w:pPr>
              <w:pStyle w:val="TableContents"/>
              <w:bidi w:val="0"/>
              <w:spacing w:lineRule="auto" w:line="288" w:before="9" w:after="283"/>
              <w:jc w:val="left"/>
              <w:rPr>
                <w:rFonts w:ascii="Arial;sans-serif" w:hAnsi="Arial;sans-serif"/>
                <w:b/>
                <w:color w:val="000000"/>
                <w:sz w:val="21"/>
                <w:shd w:fill="FFFFFF" w:val="clear"/>
              </w:rPr>
            </w:pPr>
            <w:r>
              <w:rPr>
                <w:rFonts w:ascii="Arial;sans-serif" w:hAnsi="Arial;sans-serif"/>
                <w:b/>
                <w:color w:val="000000"/>
                <w:sz w:val="21"/>
                <w:shd w:fill="FFFFFF" w:val="clear"/>
              </w:rPr>
              <w:t>trade@onepeloton.com</w:t>
            </w:r>
          </w:p>
        </w:tc>
        <w:tc>
          <w:tcPr>
            <w:tcW w:w="420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4"/>
          <w:shd w:fill="FFFFFF" w:val="clear"/>
        </w:rPr>
        <w:t xml:space="preserve">I. </w:t>
      </w:r>
      <w:r>
        <w:rPr>
          <w:rFonts w:ascii="sans-serif" w:hAnsi="sans-serif"/>
          <w:b/>
          <w:color w:val="000000"/>
          <w:sz w:val="24"/>
          <w:u w:val="single"/>
          <w:shd w:fill="FFFFFF" w:val="clear"/>
        </w:rPr>
        <w:t>Overview</w:t>
      </w:r>
      <w:r>
        <w:rPr>
          <w:color w:val="000000"/>
          <w:u w:val="single"/>
        </w:rPr>
        <w:t xml:space="preserve"> </w:t>
      </w:r>
    </w:p>
    <w:p>
      <w:pPr>
        <w:pStyle w:val="TextBody"/>
        <w:bidi w:val="0"/>
        <w:spacing w:lineRule="auto" w:line="283" w:before="252" w:after="283"/>
        <w:ind w:left="0" w:right="0" w:firstLine="738"/>
        <w:jc w:val="left"/>
        <w:rPr/>
      </w:pPr>
      <w:r>
        <w:rPr>
          <w:rFonts w:ascii="sans-serif" w:hAnsi="sans-serif"/>
          <w:b w:val="false"/>
          <w:color w:val="000000"/>
          <w:sz w:val="24"/>
          <w:shd w:fill="FFFFFF" w:val="clear"/>
        </w:rPr>
        <w:t>Federal and state laws prohibit trading in the securities of a company while in possession of material nonpublic information and in breach of a duty of trust or confidence.</w:t>
      </w:r>
      <w:r>
        <w:rPr>
          <w:color w:val="000000"/>
        </w:rPr>
        <w:t xml:space="preserve"> </w:t>
      </w:r>
      <w:r>
        <w:rPr>
          <w:rFonts w:ascii="sans-serif" w:hAnsi="sans-serif"/>
          <w:b w:val="false"/>
          <w:color w:val="000000"/>
          <w:sz w:val="24"/>
          <w:shd w:fill="FFFFFF" w:val="clear"/>
        </w:rPr>
        <w:t xml:space="preserve">These laws also prohibit anyone who is aware of material nonpublic information from providing this information to others who may trade. Violating such laws can undermine investor trust, harm the reputation and integrity of Peloton Interactive, Inc. (together with its subsidiaries, the </w:t>
      </w:r>
      <w:r>
        <w:rPr>
          <w:color w:val="000000"/>
          <w:shd w:fill="FFFFFF" w:val="clear"/>
        </w:rPr>
        <w:t>“</w:t>
      </w:r>
      <w:r>
        <w:rPr>
          <w:rFonts w:ascii="sans-serif" w:hAnsi="sans-serif"/>
          <w:b w:val="false"/>
          <w:color w:val="000000"/>
          <w:sz w:val="24"/>
          <w:u w:val="single"/>
          <w:shd w:fill="FFFFFF" w:val="clear"/>
        </w:rPr>
        <w:t>Company</w:t>
      </w:r>
      <w:r>
        <w:rPr>
          <w:rFonts w:ascii="sans-serif" w:hAnsi="sans-serif"/>
          <w:b w:val="false"/>
          <w:color w:val="000000"/>
          <w:sz w:val="24"/>
          <w:shd w:fill="FFFFFF" w:val="clear"/>
        </w:rPr>
        <w:t>,” “</w:t>
      </w:r>
      <w:r>
        <w:rPr>
          <w:rFonts w:ascii="sans-serif" w:hAnsi="sans-serif"/>
          <w:b w:val="false"/>
          <w:color w:val="000000"/>
          <w:sz w:val="24"/>
          <w:u w:val="single"/>
          <w:shd w:fill="FFFFFF" w:val="clear"/>
        </w:rPr>
        <w:t>Peloton</w:t>
      </w:r>
      <w:r>
        <w:rPr>
          <w:rFonts w:ascii="sans-serif" w:hAnsi="sans-serif"/>
          <w:b w:val="false"/>
          <w:color w:val="000000"/>
          <w:sz w:val="24"/>
          <w:shd w:fill="FFFFFF" w:val="clear"/>
        </w:rPr>
        <w:t>,” “</w:t>
      </w:r>
      <w:r>
        <w:rPr>
          <w:rFonts w:ascii="sans-serif" w:hAnsi="sans-serif"/>
          <w:b w:val="false"/>
          <w:color w:val="000000"/>
          <w:sz w:val="24"/>
          <w:u w:val="single"/>
          <w:shd w:fill="FFFFFF" w:val="clear"/>
        </w:rPr>
        <w:t>we</w:t>
      </w:r>
      <w:r>
        <w:rPr>
          <w:rFonts w:ascii="sans-serif" w:hAnsi="sans-serif"/>
          <w:b w:val="false"/>
          <w:color w:val="000000"/>
          <w:sz w:val="24"/>
          <w:shd w:fill="FFFFFF" w:val="clear"/>
        </w:rPr>
        <w:t>,” “</w:t>
      </w:r>
      <w:r>
        <w:rPr>
          <w:rFonts w:ascii="sans-serif" w:hAnsi="sans-serif"/>
          <w:b w:val="false"/>
          <w:color w:val="000000"/>
          <w:sz w:val="24"/>
          <w:u w:val="single"/>
          <w:shd w:fill="FFFFFF" w:val="clear"/>
        </w:rPr>
        <w:t>us</w:t>
      </w:r>
      <w:r>
        <w:rPr>
          <w:color w:val="000000"/>
          <w:shd w:fill="FFFFFF" w:val="clear"/>
        </w:rPr>
        <w:t xml:space="preserve">” </w:t>
      </w:r>
      <w:r>
        <w:rPr>
          <w:rFonts w:ascii="sans-serif" w:hAnsi="sans-serif"/>
          <w:b w:val="false"/>
          <w:color w:val="000000"/>
          <w:sz w:val="24"/>
          <w:shd w:fill="FFFFFF" w:val="clear"/>
        </w:rPr>
        <w:t>or “</w:t>
      </w:r>
      <w:r>
        <w:rPr>
          <w:rFonts w:ascii="sans-serif" w:hAnsi="sans-serif"/>
          <w:b w:val="false"/>
          <w:color w:val="000000"/>
          <w:sz w:val="24"/>
          <w:u w:val="single"/>
          <w:shd w:fill="FFFFFF" w:val="clear"/>
        </w:rPr>
        <w:t>our</w:t>
      </w:r>
      <w:r>
        <w:rPr>
          <w:color w:val="000000"/>
          <w:shd w:fill="FFFFFF" w:val="clear"/>
        </w:rPr>
        <w:t>”</w:t>
      </w:r>
      <w:r>
        <w:rPr>
          <w:rFonts w:ascii="sans-serif" w:hAnsi="sans-serif"/>
          <w:b w:val="false"/>
          <w:color w:val="000000"/>
          <w:sz w:val="24"/>
          <w:shd w:fill="FFFFFF" w:val="clear"/>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r>
        <w:rPr>
          <w:color w:val="000000"/>
        </w:rPr>
        <w:t xml:space="preserve"> </w:t>
      </w:r>
    </w:p>
    <w:p>
      <w:pPr>
        <w:pStyle w:val="TextBody"/>
        <w:bidi w:val="0"/>
        <w:spacing w:lineRule="auto" w:line="280" w:before="248" w:after="283"/>
        <w:ind w:left="0" w:right="0" w:firstLine="720"/>
        <w:jc w:val="left"/>
        <w:rPr/>
      </w:pPr>
      <w:r>
        <w:rPr>
          <w:rFonts w:ascii="sans-serif" w:hAnsi="sans-serif"/>
          <w:b w:val="false"/>
          <w:color w:val="000000"/>
          <w:sz w:val="24"/>
          <w:shd w:fill="FFFFFF" w:val="clear"/>
        </w:rPr>
        <w:t xml:space="preserve">Unless otherwise defined in this Policy, certain terms used in this Policy shall have the meaning assigned to them on </w:t>
      </w:r>
      <w:r>
        <w:rPr>
          <w:rFonts w:ascii="sans-serif" w:hAnsi="sans-serif"/>
          <w:b w:val="false"/>
          <w:color w:val="000000"/>
          <w:sz w:val="24"/>
          <w:u w:val="single"/>
          <w:shd w:fill="FFFFFF" w:val="clear"/>
        </w:rPr>
        <w:t xml:space="preserve">Schedule I </w:t>
      </w:r>
      <w:r>
        <w:rPr>
          <w:rFonts w:ascii="sans-serif" w:hAnsi="sans-serif"/>
          <w:b w:val="false"/>
          <w:color w:val="000000"/>
          <w:sz w:val="24"/>
          <w:shd w:fill="FFFFFF" w:val="clear"/>
        </w:rPr>
        <w:t>attached hereto.</w:t>
      </w:r>
      <w:r>
        <w:rPr>
          <w:color w:val="000000"/>
        </w:rPr>
        <w:t xml:space="preserve"> </w:t>
      </w:r>
    </w:p>
    <w:p>
      <w:pPr>
        <w:pStyle w:val="TextBody"/>
        <w:bidi w:val="0"/>
        <w:spacing w:lineRule="auto" w:line="288" w:before="248" w:after="283"/>
        <w:jc w:val="left"/>
        <w:rPr/>
      </w:pPr>
      <w:r>
        <w:rPr>
          <w:rFonts w:ascii="sans-serif" w:hAnsi="sans-serif"/>
          <w:b/>
          <w:color w:val="000000"/>
          <w:sz w:val="24"/>
          <w:shd w:fill="FFFFFF" w:val="clear"/>
        </w:rPr>
        <w:t xml:space="preserve">II. </w:t>
      </w:r>
      <w:r>
        <w:rPr>
          <w:rFonts w:ascii="sans-serif" w:hAnsi="sans-serif"/>
          <w:b/>
          <w:color w:val="000000"/>
          <w:sz w:val="24"/>
          <w:u w:val="single"/>
          <w:shd w:fill="FFFFFF" w:val="clear"/>
        </w:rPr>
        <w:t>Covered Persons and Administration of Policy</w:t>
      </w:r>
      <w:r>
        <w:rPr>
          <w:color w:val="000000"/>
          <w:u w:val="single"/>
        </w:rPr>
        <w:t xml:space="preserve"> </w:t>
      </w:r>
    </w:p>
    <w:p>
      <w:pPr>
        <w:pStyle w:val="TextBody"/>
        <w:bidi w:val="0"/>
        <w:spacing w:lineRule="auto" w:line="283" w:before="252" w:after="283"/>
        <w:ind w:left="0" w:right="0" w:firstLine="717"/>
        <w:jc w:val="left"/>
        <w:rPr/>
      </w:pPr>
      <w:r>
        <w:rPr>
          <w:rFonts w:ascii="sans-serif" w:hAnsi="sans-serif"/>
          <w:b w:val="false"/>
          <w:color w:val="000000"/>
          <w:sz w:val="24"/>
          <w:shd w:fill="FFFFFF" w:val="clear"/>
        </w:rPr>
        <w:t>This Policy applies to all Officers, directors and employees of the Company and to the Company’s consultants and independent contractors. For purposes of this Policy, “</w:t>
      </w:r>
      <w:r>
        <w:rPr>
          <w:rFonts w:ascii="sans-serif" w:hAnsi="sans-serif"/>
          <w:b w:val="false"/>
          <w:color w:val="000000"/>
          <w:sz w:val="24"/>
          <w:u w:val="single"/>
          <w:shd w:fill="FFFFFF" w:val="clear"/>
        </w:rPr>
        <w:t>Officers</w:t>
      </w:r>
      <w:r>
        <w:rPr>
          <w:color w:val="000000"/>
          <w:shd w:fill="FFFFFF" w:val="clear"/>
        </w:rPr>
        <w:t xml:space="preserve">” </w:t>
      </w:r>
      <w:r>
        <w:rPr>
          <w:rFonts w:ascii="sans-serif" w:hAnsi="sans-serif"/>
          <w:b w:val="false"/>
          <w:color w:val="000000"/>
          <w:sz w:val="24"/>
          <w:shd w:fill="FFFFFF" w:val="clear"/>
        </w:rPr>
        <w:t>refer to those individuals who have been designated by the Board as an “officer” under Section 16 of the Securities Exchange Act of 1934 (as amended, the “</w:t>
      </w:r>
      <w:r>
        <w:rPr>
          <w:rFonts w:ascii="sans-serif" w:hAnsi="sans-serif"/>
          <w:b w:val="false"/>
          <w:color w:val="000000"/>
          <w:sz w:val="24"/>
          <w:u w:val="single"/>
          <w:shd w:fill="FFFFFF" w:val="clear"/>
        </w:rPr>
        <w:t>Exchange Act</w:t>
      </w:r>
      <w:r>
        <w:rPr>
          <w:color w:val="000000"/>
          <w:shd w:fill="FFFFFF" w:val="clear"/>
        </w:rPr>
        <w:t>”</w:t>
      </w:r>
      <w:r>
        <w:rPr>
          <w:rFonts w:ascii="sans-serif" w:hAnsi="sans-serif"/>
          <w:b w:val="false"/>
          <w:color w:val="000000"/>
          <w:sz w:val="24"/>
          <w:shd w:fill="FFFFFF" w:val="clear"/>
        </w:rPr>
        <w:t xml:space="preserve">). Individuals subject to this Policy are responsible for ensuring that their Immediate Family Members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Policy Owners may determine that this Policy applies to additional persons with access to material nonpublic information. The Company’s Officers, directors, employees, consultants and independent contractors, together with any other person designated as being subject to this Policy by the Policy Owners, are referred to collectively as </w:t>
      </w:r>
      <w:r>
        <w:rPr>
          <w:color w:val="000000"/>
          <w:shd w:fill="FFFFFF" w:val="clear"/>
        </w:rPr>
        <w:t>“</w:t>
      </w:r>
      <w:r>
        <w:rPr>
          <w:rFonts w:ascii="sans-serif" w:hAnsi="sans-serif"/>
          <w:b w:val="false"/>
          <w:color w:val="000000"/>
          <w:sz w:val="24"/>
          <w:u w:val="single"/>
          <w:shd w:fill="FFFFFF" w:val="clear"/>
        </w:rPr>
        <w:t>Covered Persons</w:t>
      </w:r>
      <w:r>
        <w:rPr>
          <w:rFonts w:ascii="sans-serif" w:hAnsi="sans-serif"/>
          <w:b w:val="false"/>
          <w:color w:val="000000"/>
          <w:sz w:val="24"/>
          <w:shd w:fill="FFFFFF" w:val="clear"/>
        </w:rPr>
        <w:t xml:space="preserve">.” </w:t>
      </w:r>
    </w:p>
    <w:p>
      <w:pPr>
        <w:pStyle w:val="TextBody"/>
        <w:bidi w:val="0"/>
        <w:spacing w:lineRule="auto" w:line="280" w:before="248" w:after="283"/>
        <w:ind w:left="0" w:right="0" w:firstLine="720"/>
        <w:jc w:val="left"/>
        <w:rPr>
          <w:rFonts w:ascii="sans-serif" w:hAnsi="sans-serif"/>
          <w:b w:val="false"/>
          <w:color w:val="000000"/>
          <w:sz w:val="24"/>
          <w:shd w:fill="FFFFFF" w:val="clear"/>
        </w:rPr>
      </w:pPr>
      <w:r>
        <w:rPr>
          <w:rFonts w:ascii="sans-serif" w:hAnsi="sans-serif"/>
          <w:b w:val="false"/>
          <w:color w:val="000000"/>
          <w:sz w:val="24"/>
          <w:shd w:fill="FFFFFF" w:val="clear"/>
        </w:rPr>
        <w:t xml:space="preserve">Questions regarding the Policy should be directed to the Policy Administrators, reachable via trade@onepeloton.com, who are responsible for the administration of this Policy. </w:t>
      </w:r>
    </w:p>
    <w:p>
      <w:pPr>
        <w:pStyle w:val="TextBody"/>
        <w:bidi w:val="0"/>
        <w:spacing w:lineRule="auto" w:line="288" w:before="248" w:after="283"/>
        <w:jc w:val="left"/>
        <w:rPr/>
      </w:pPr>
      <w:r>
        <w:rPr>
          <w:rFonts w:ascii="sans-serif" w:hAnsi="sans-serif"/>
          <w:b/>
          <w:color w:val="000000"/>
          <w:sz w:val="24"/>
          <w:shd w:fill="FFFFFF" w:val="clear"/>
        </w:rPr>
        <w:t xml:space="preserve">III. </w:t>
      </w:r>
      <w:r>
        <w:rPr>
          <w:rFonts w:ascii="sans-serif" w:hAnsi="sans-serif"/>
          <w:b/>
          <w:color w:val="000000"/>
          <w:sz w:val="24"/>
          <w:u w:val="single"/>
          <w:shd w:fill="FFFFFF" w:val="clear"/>
        </w:rPr>
        <w:t>Policy Statement - No Trading While In Possession of Material Nonpublic Information</w:t>
      </w:r>
      <w:r>
        <w:rPr>
          <w:color w:val="000000"/>
          <w:u w:val="single"/>
        </w:rPr>
        <w:t xml:space="preserve"> </w:t>
      </w:r>
    </w:p>
    <w:p>
      <w:pPr>
        <w:pStyle w:val="TextBody"/>
        <w:bidi w:val="0"/>
        <w:spacing w:lineRule="auto" w:line="288" w:before="252" w:after="283"/>
        <w:ind w:left="0" w:right="0" w:firstLine="730"/>
        <w:jc w:val="left"/>
        <w:rPr/>
      </w:pPr>
      <w:r>
        <w:rPr>
          <w:rFonts w:ascii="sans-serif" w:hAnsi="sans-serif"/>
          <w:b w:val="false"/>
          <w:color w:val="000000"/>
          <w:sz w:val="24"/>
          <w:shd w:fill="FFFFFF" w:val="clear"/>
        </w:rPr>
        <w:t xml:space="preserve">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Please note that “Purchase” and “Sale” are defined on </w:t>
      </w:r>
      <w:r>
        <w:rPr>
          <w:rFonts w:ascii="sans-serif" w:hAnsi="sans-serif"/>
          <w:b w:val="false"/>
          <w:color w:val="000000"/>
          <w:sz w:val="24"/>
          <w:u w:val="single"/>
          <w:shd w:fill="FFFFFF" w:val="clear"/>
        </w:rPr>
        <w:t xml:space="preserve">Schedule I </w:t>
      </w:r>
      <w:r>
        <w:rPr>
          <w:rFonts w:ascii="sans-serif" w:hAnsi="sans-serif"/>
          <w:b w:val="false"/>
          <w:color w:val="000000"/>
          <w:sz w:val="24"/>
          <w:shd w:fill="FFFFFF" w:val="clear"/>
        </w:rPr>
        <w:t xml:space="preserve">attached hereto and include a broad range of transaction types, including a purchase of derivative securities, gifts, and other types of transfers. </w:t>
      </w:r>
    </w:p>
    <w:p>
      <w:pPr>
        <w:pStyle w:val="TextBody"/>
        <w:bidi w:val="0"/>
        <w:ind w:left="0" w:right="0" w:firstLine="736"/>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0" w:after="0"/>
        <w:ind w:left="0" w:right="0" w:firstLine="736"/>
        <w:jc w:val="left"/>
        <w:rPr>
          <w:rFonts w:ascii="sans-serif" w:hAnsi="sans-serif"/>
          <w:b w:val="false"/>
          <w:color w:val="000000"/>
          <w:sz w:val="24"/>
          <w:shd w:fill="FFFFFF" w:val="clear"/>
        </w:rPr>
      </w:pPr>
      <w:r>
        <w:rPr>
          <w:rFonts w:ascii="sans-serif" w:hAnsi="sans-serif"/>
          <w:b w:val="false"/>
          <w:color w:val="000000"/>
          <w:sz w:val="24"/>
          <w:shd w:fill="FFFFFF" w:val="clear"/>
        </w:rPr>
        <w:t xml:space="preserve">In addition, if a Covered Person is in possession of material nonpublic information obtained during the course of the Covered Person’s employment or service with the Company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relevant to such securities if such information is obtained in the course of the Covered Person’s employment or service with the Company. </w:t>
      </w:r>
    </w:p>
    <w:p>
      <w:pPr>
        <w:pStyle w:val="TextBody"/>
        <w:bidi w:val="0"/>
        <w:spacing w:lineRule="auto" w:line="288" w:before="248" w:after="283"/>
        <w:ind w:left="0" w:right="0" w:firstLine="369"/>
        <w:jc w:val="left"/>
        <w:rPr/>
      </w:pPr>
      <w:r>
        <w:rPr>
          <w:rFonts w:ascii="sans-serif" w:hAnsi="sans-serif"/>
          <w:b w:val="false"/>
          <w:color w:val="000000"/>
          <w:sz w:val="24"/>
          <w:shd w:fill="FFFFFF" w:val="clear"/>
        </w:rPr>
        <w:t>In addition, Covered Persons shall not directly or indirectly communicate material nonpublic information to anyone outside the Company (except in accordance with the Company’s policies regarding confidential information, including the Corporate Communications Policy) or to anyone within the Company other than on a “need-to-know” basis.</w:t>
      </w:r>
      <w:r>
        <w:rPr>
          <w:color w:val="000000"/>
        </w:rPr>
        <w:t xml:space="preserve"> </w:t>
      </w:r>
    </w:p>
    <w:p>
      <w:pPr>
        <w:pStyle w:val="TextBody"/>
        <w:bidi w:val="0"/>
        <w:spacing w:lineRule="auto" w:line="288" w:before="248" w:after="283"/>
        <w:jc w:val="left"/>
        <w:rPr/>
      </w:pPr>
      <w:r>
        <w:rPr>
          <w:rFonts w:ascii="sans-serif" w:hAnsi="sans-serif"/>
          <w:b/>
          <w:color w:val="000000"/>
          <w:sz w:val="24"/>
          <w:shd w:fill="FFFFFF" w:val="clear"/>
        </w:rPr>
        <w:t xml:space="preserve">IV. </w:t>
      </w:r>
      <w:r>
        <w:rPr>
          <w:rFonts w:ascii="sans-serif" w:hAnsi="sans-serif"/>
          <w:b/>
          <w:color w:val="000000"/>
          <w:sz w:val="24"/>
          <w:u w:val="single"/>
          <w:shd w:fill="FFFFFF" w:val="clear"/>
        </w:rPr>
        <w:t>Material Nonpublic Information</w:t>
      </w:r>
      <w:r>
        <w:rPr>
          <w:color w:val="000000"/>
          <w:u w:val="single"/>
        </w:rPr>
        <w:t xml:space="preserve"> </w:t>
      </w:r>
    </w:p>
    <w:p>
      <w:pPr>
        <w:pStyle w:val="TextBody"/>
        <w:bidi w:val="0"/>
        <w:spacing w:lineRule="auto" w:line="283" w:before="252" w:after="283"/>
        <w:ind w:left="0" w:right="0" w:firstLine="730"/>
        <w:jc w:val="left"/>
        <w:rPr/>
      </w:pPr>
      <w:r>
        <w:rPr>
          <w:rFonts w:ascii="sans-serif" w:hAnsi="sans-serif"/>
          <w:b w:val="false"/>
          <w:color w:val="000000"/>
          <w:sz w:val="24"/>
          <w:shd w:fill="FFFFFF" w:val="clear"/>
        </w:rPr>
        <w:t>Information is generally considered “</w:t>
      </w:r>
      <w:r>
        <w:rPr>
          <w:rFonts w:ascii="sans-serif" w:hAnsi="sans-serif"/>
          <w:b w:val="false"/>
          <w:color w:val="000000"/>
          <w:sz w:val="24"/>
          <w:u w:val="single"/>
          <w:shd w:fill="FFFFFF" w:val="clear"/>
        </w:rPr>
        <w:t>material</w:t>
      </w:r>
      <w:r>
        <w:rPr>
          <w:color w:val="000000"/>
          <w:shd w:fill="FFFFFF" w:val="clear"/>
        </w:rPr>
        <w:t xml:space="preserve">” </w:t>
      </w:r>
      <w:r>
        <w:rPr>
          <w:rFonts w:ascii="sans-serif" w:hAnsi="sans-serif"/>
          <w:b w:val="false"/>
          <w:color w:val="000000"/>
          <w:sz w:val="24"/>
          <w:shd w:fill="FFFFFF" w:val="clear"/>
        </w:rPr>
        <w:t xml:space="preserve">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 </w:t>
      </w:r>
      <w:r>
        <w:rPr>
          <w:rFonts w:ascii="sans-serif" w:hAnsi="sans-serif"/>
          <w:b w:val="false"/>
          <w:color w:val="000000"/>
          <w:sz w:val="24"/>
        </w:rPr>
        <w:t xml:space="preserve">Positive, negative or neutral information may be material. It is important to remember that materiality is judged with the benefit of hindsight. Therefore, questions concerning the materiality of particular information should be addressed conservatively. </w:t>
      </w:r>
    </w:p>
    <w:p>
      <w:pPr>
        <w:pStyle w:val="TextBody"/>
        <w:bidi w:val="0"/>
        <w:spacing w:lineRule="auto" w:line="280" w:before="248" w:after="283"/>
        <w:ind w:left="0" w:right="0" w:firstLine="724"/>
        <w:jc w:val="left"/>
        <w:rPr/>
      </w:pPr>
      <w:r>
        <w:rPr>
          <w:rFonts w:ascii="sans-serif" w:hAnsi="sans-serif"/>
          <w:b w:val="false"/>
          <w:color w:val="000000"/>
          <w:sz w:val="24"/>
          <w:shd w:fill="FFFFFF" w:val="clear"/>
        </w:rPr>
        <w:t>Examples of material information may include (but are not limited to) nonpublic information about:</w:t>
      </w:r>
      <w:r>
        <w:rPr>
          <w:color w:val="000000"/>
        </w:rPr>
        <w:t xml:space="preserve"> </w:t>
      </w:r>
    </w:p>
    <w:p>
      <w:pPr>
        <w:pStyle w:val="TextBody"/>
        <w:bidi w:val="0"/>
        <w:spacing w:lineRule="auto" w:line="288" w:before="128" w:after="283"/>
        <w:ind w:left="0" w:right="0" w:hanging="360"/>
        <w:jc w:val="left"/>
        <w:rPr/>
      </w:pPr>
      <w:r>
        <w:rPr>
          <w:color w:val="000000"/>
        </w:rPr>
        <w:t>•</w:t>
      </w:r>
      <w:r>
        <w:rPr>
          <w:rFonts w:ascii="sans-serif" w:hAnsi="sans-serif"/>
          <w:b w:val="false"/>
          <w:color w:val="000000"/>
          <w:sz w:val="24"/>
          <w:shd w:fill="FFFFFF" w:val="clear"/>
        </w:rPr>
        <w:t>financial performance, especially quarterly and year-end revenues and earnings, and significant changes in financial position or liquidity;</w:t>
      </w:r>
      <w:r>
        <w:rPr>
          <w:color w:val="000000"/>
        </w:rPr>
        <w:t xml:space="preserve">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financial and operational forecasts, including projections of future earnings or losses, or other forward-looking guidance;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key operational metrics, performance metrics, financial metrics, and any changes in such metrics;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possible mergers, acquisitions, tender offers, or dispositions;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major new products or product developments;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important business developments, such as developments regarding strategic collaborations, joint ventures or corporate partner relationships;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management or control changes;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significant financing developments including pending public sales or offerings of debt or equity securities;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defaults on borrowings;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impending bankruptcies;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cybersecurity or data security incidents; and </w:t>
      </w:r>
    </w:p>
    <w:p>
      <w:pPr>
        <w:pStyle w:val="TextBody"/>
        <w:bidi w:val="0"/>
        <w:spacing w:lineRule="auto" w:line="288" w:before="128" w:after="283"/>
        <w:ind w:left="0" w:right="0" w:hanging="360"/>
        <w:jc w:val="left"/>
        <w:rPr/>
      </w:pPr>
      <w:r>
        <w:rPr>
          <w:color w:val="000000"/>
          <w:shd w:fill="FFFFFF" w:val="clear"/>
        </w:rPr>
        <w:t>•</w:t>
      </w:r>
      <w:r>
        <w:rPr>
          <w:rFonts w:ascii="sans-serif" w:hAnsi="sans-serif"/>
          <w:b w:val="false"/>
          <w:color w:val="000000"/>
          <w:sz w:val="24"/>
          <w:shd w:fill="FFFFFF" w:val="clear"/>
        </w:rPr>
        <w:t xml:space="preserve">significant litigation or regulatory actions. </w:t>
      </w:r>
    </w:p>
    <w:p>
      <w:pPr>
        <w:pStyle w:val="TextBody"/>
        <w:bidi w:val="0"/>
        <w:spacing w:lineRule="auto" w:line="283" w:before="252" w:after="283"/>
        <w:ind w:left="0" w:right="0" w:firstLine="720"/>
        <w:jc w:val="left"/>
        <w:rPr/>
      </w:pPr>
      <w:r>
        <w:rPr>
          <w:rFonts w:ascii="sans-serif" w:hAnsi="sans-serif"/>
          <w:b w:val="false"/>
          <w:color w:val="000000"/>
          <w:sz w:val="24"/>
          <w:shd w:fill="FFFFFF" w:val="clear"/>
        </w:rPr>
        <w:t>Information is “</w:t>
      </w:r>
      <w:r>
        <w:rPr>
          <w:rFonts w:ascii="sans-serif" w:hAnsi="sans-serif"/>
          <w:b w:val="false"/>
          <w:color w:val="000000"/>
          <w:sz w:val="24"/>
          <w:u w:val="single"/>
          <w:shd w:fill="FFFFFF" w:val="clear"/>
        </w:rPr>
        <w:t>nonpublic</w:t>
      </w:r>
      <w:r>
        <w:rPr>
          <w:color w:val="000000"/>
          <w:shd w:fill="FFFFFF" w:val="clear"/>
        </w:rPr>
        <w:t xml:space="preserve">” </w:t>
      </w:r>
      <w:r>
        <w:rPr>
          <w:rFonts w:ascii="sans-serif" w:hAnsi="sans-serif"/>
          <w:b w:val="false"/>
          <w:color w:val="000000"/>
          <w:sz w:val="24"/>
          <w:shd w:fill="FFFFFF" w:val="clear"/>
        </w:rPr>
        <w:t>if it is not available to the general public. In order for information to be considered “</w:t>
      </w:r>
      <w:r>
        <w:rPr>
          <w:rFonts w:ascii="sans-serif" w:hAnsi="sans-serif"/>
          <w:b w:val="false"/>
          <w:color w:val="000000"/>
          <w:sz w:val="24"/>
          <w:u w:val="single"/>
          <w:shd w:fill="FFFFFF" w:val="clear"/>
        </w:rPr>
        <w:t>public</w:t>
      </w:r>
      <w:r>
        <w:rPr>
          <w:rFonts w:ascii="sans-serif" w:hAnsi="sans-serif"/>
          <w:b w:val="false"/>
          <w:color w:val="000000"/>
          <w:sz w:val="24"/>
          <w:shd w:fill="FFFFFF" w:val="clear"/>
        </w:rPr>
        <w:t xml:space="preserve">,” it must be widely disseminated in a manner that makes it generally available to investors in a Regulation FD-compliant method, such as through a press </w:t>
      </w:r>
    </w:p>
    <w:p>
      <w:pPr>
        <w:pStyle w:val="TextBody"/>
        <w:bidi w:val="0"/>
        <w:spacing w:lineRule="auto" w:line="280" w:before="7" w:after="283"/>
        <w:ind w:left="0" w:right="0" w:firstLine="7"/>
        <w:jc w:val="left"/>
        <w:rPr>
          <w:rFonts w:ascii="sans-serif" w:hAnsi="sans-serif"/>
          <w:b w:val="false"/>
          <w:color w:val="000000"/>
          <w:sz w:val="24"/>
          <w:shd w:fill="FFFFFF" w:val="clear"/>
        </w:rPr>
      </w:pPr>
      <w:r>
        <w:rPr>
          <w:rFonts w:ascii="sans-serif" w:hAnsi="sans-serif"/>
          <w:b w:val="false"/>
          <w:color w:val="000000"/>
          <w:sz w:val="24"/>
          <w:shd w:fill="FFFFFF" w:val="clear"/>
        </w:rPr>
        <w:t xml:space="preserve">release, a filing with the U.S. Securities and Exchange Commission or a Regulation FD-compliant conference call. </w:t>
      </w:r>
    </w:p>
    <w:p>
      <w:pPr>
        <w:pStyle w:val="TextBody"/>
        <w:bidi w:val="0"/>
        <w:spacing w:lineRule="auto" w:line="280" w:before="248" w:after="283"/>
        <w:ind w:left="0" w:right="0" w:firstLine="720"/>
        <w:jc w:val="left"/>
        <w:rPr/>
      </w:pPr>
      <w:r>
        <w:rPr>
          <w:rFonts w:ascii="sans-serif" w:hAnsi="sans-serif"/>
          <w:b w:val="false"/>
          <w:color w:val="000000"/>
          <w:sz w:val="24"/>
          <w:shd w:fill="FFFFFF" w:val="clear"/>
        </w:rPr>
        <w:t>Covered Persons who are unsure whether the information that they possess is material or nonpublic are encouraged to consult the Policy Administrators. The Policy Administrators shall have sole discretion to decide whether information is public for purposes of this Policy.</w:t>
      </w:r>
      <w:r>
        <w:rPr>
          <w:color w:val="000000"/>
        </w:rPr>
        <w:t xml:space="preserve"> </w:t>
      </w:r>
    </w:p>
    <w:p>
      <w:pPr>
        <w:pStyle w:val="TextBody"/>
        <w:bidi w:val="0"/>
        <w:spacing w:lineRule="auto" w:line="280" w:before="248" w:after="283"/>
        <w:ind w:left="0" w:right="0" w:firstLine="711"/>
        <w:jc w:val="left"/>
        <w:rPr>
          <w:rFonts w:ascii="sans-serif" w:hAnsi="sans-serif"/>
          <w:b w:val="false"/>
          <w:color w:val="000000"/>
          <w:sz w:val="24"/>
          <w:shd w:fill="FFFFFF" w:val="clear"/>
        </w:rPr>
      </w:pPr>
      <w:r>
        <w:rPr>
          <w:rFonts w:ascii="sans-serif" w:hAnsi="sans-serif"/>
          <w:b w:val="false"/>
          <w:color w:val="000000"/>
          <w:sz w:val="24"/>
          <w:shd w:fill="FFFFFF" w:val="clear"/>
        </w:rPr>
        <w:t xml:space="preserve">The circulation of rumors, even if accurate and reported in the media, does not constitute public dissemination. In addition, even after a public announcement, a reasonable period of time must lapse in order for the market to react to the information. </w:t>
      </w:r>
    </w:p>
    <w:p>
      <w:pPr>
        <w:pStyle w:val="TextBody"/>
        <w:bidi w:val="0"/>
        <w:spacing w:lineRule="auto" w:line="280" w:before="248" w:after="283"/>
        <w:ind w:left="0" w:right="0" w:firstLine="717"/>
        <w:jc w:val="left"/>
        <w:rPr>
          <w:rFonts w:ascii="sans-serif" w:hAnsi="sans-serif"/>
          <w:b w:val="false"/>
          <w:color w:val="000000"/>
          <w:sz w:val="24"/>
          <w:shd w:fill="FFFFFF" w:val="clear"/>
        </w:rPr>
      </w:pPr>
      <w:r>
        <w:rPr>
          <w:rFonts w:ascii="sans-serif" w:hAnsi="sans-serif"/>
          <w:b w:val="false"/>
          <w:color w:val="000000"/>
          <w:sz w:val="24"/>
          <w:shd w:fill="FFFFFF" w:val="clear"/>
        </w:rPr>
        <w:t xml:space="preserve">The laws and regulations concerning insider trading are complex, and Covered Persons are encouraged to seek guidance from the Policy Administrators prior to considering a transaction in Company securities. </w:t>
      </w:r>
    </w:p>
    <w:p>
      <w:pPr>
        <w:pStyle w:val="TextBody"/>
        <w:bidi w:val="0"/>
        <w:spacing w:lineRule="auto" w:line="288" w:before="248" w:after="283"/>
        <w:jc w:val="left"/>
        <w:rPr/>
      </w:pPr>
      <w:r>
        <w:rPr>
          <w:rFonts w:ascii="sans-serif" w:hAnsi="sans-serif"/>
          <w:b/>
          <w:color w:val="000000"/>
          <w:sz w:val="24"/>
          <w:shd w:fill="FFFFFF" w:val="clear"/>
        </w:rPr>
        <w:t xml:space="preserve">V. </w:t>
      </w:r>
      <w:r>
        <w:rPr>
          <w:rFonts w:ascii="sans-serif" w:hAnsi="sans-serif"/>
          <w:b/>
          <w:color w:val="000000"/>
          <w:sz w:val="24"/>
          <w:u w:val="single"/>
          <w:shd w:fill="FFFFFF" w:val="clear"/>
        </w:rPr>
        <w:t>No Trading During Blackout Periods</w:t>
      </w:r>
      <w:r>
        <w:rPr>
          <w:color w:val="000000"/>
          <w:u w:val="single"/>
        </w:rPr>
        <w:t xml:space="preserve"> </w:t>
      </w:r>
    </w:p>
    <w:p>
      <w:pPr>
        <w:pStyle w:val="TextBody"/>
        <w:bidi w:val="0"/>
        <w:spacing w:lineRule="auto" w:line="283" w:before="252" w:after="283"/>
        <w:ind w:left="0" w:right="0" w:firstLine="736"/>
        <w:jc w:val="left"/>
        <w:rPr/>
      </w:pPr>
      <w:r>
        <w:rPr>
          <w:rFonts w:ascii="sans-serif" w:hAnsi="sans-serif"/>
          <w:b w:val="false"/>
          <w:color w:val="000000"/>
          <w:sz w:val="24"/>
          <w:shd w:fill="FFFFFF" w:val="clear"/>
        </w:rPr>
        <w:t xml:space="preserve">No Covered Person shall purchase or sell any security of the Company during the </w:t>
      </w:r>
      <w:r>
        <w:rPr>
          <w:color w:val="000000"/>
          <w:shd w:fill="FFFFFF" w:val="clear"/>
        </w:rPr>
        <w:t>“</w:t>
      </w:r>
      <w:r>
        <w:rPr>
          <w:rFonts w:ascii="sans-serif" w:hAnsi="sans-serif"/>
          <w:b w:val="false"/>
          <w:color w:val="000000"/>
          <w:sz w:val="24"/>
          <w:u w:val="single"/>
          <w:shd w:fill="FFFFFF" w:val="clear"/>
        </w:rPr>
        <w:t>Blackout Period</w:t>
      </w:r>
      <w:r>
        <w:rPr>
          <w:color w:val="000000"/>
          <w:shd w:fill="FFFFFF" w:val="clear"/>
        </w:rPr>
        <w:t xml:space="preserve">” </w:t>
      </w:r>
      <w:r>
        <w:rPr>
          <w:rFonts w:ascii="sans-serif" w:hAnsi="sans-serif"/>
          <w:b w:val="false"/>
          <w:color w:val="000000"/>
          <w:sz w:val="24"/>
          <w:shd w:fill="FFFFFF" w:val="clear"/>
        </w:rPr>
        <w:t>beginning at the close of trading on the seventh calendar day of the third</w:t>
      </w:r>
      <w:r>
        <w:rPr>
          <w:color w:val="000000"/>
        </w:rPr>
        <w:t xml:space="preserve"> </w:t>
      </w:r>
      <w:r>
        <w:rPr>
          <w:rFonts w:ascii="sans-serif" w:hAnsi="sans-serif"/>
          <w:b w:val="false"/>
          <w:color w:val="000000"/>
          <w:sz w:val="24"/>
          <w:shd w:fill="FFFFFF" w:val="clear"/>
        </w:rPr>
        <w:t>month of the then-current fiscal quarter of the Company and ending at the open of trading on the trading day that begins after one trading day has been completed after the public release of earnings data for such fiscal quarter, or during any other trading suspension period declared by the Company. A “</w:t>
      </w:r>
      <w:r>
        <w:rPr>
          <w:rFonts w:ascii="sans-serif" w:hAnsi="sans-serif"/>
          <w:b w:val="false"/>
          <w:color w:val="000000"/>
          <w:sz w:val="24"/>
          <w:u w:val="single"/>
          <w:shd w:fill="FFFFFF" w:val="clear"/>
        </w:rPr>
        <w:t>trading day</w:t>
      </w:r>
      <w:r>
        <w:rPr>
          <w:color w:val="000000"/>
          <w:shd w:fill="FFFFFF" w:val="clear"/>
        </w:rPr>
        <w:t xml:space="preserve">” </w:t>
      </w:r>
      <w:r>
        <w:rPr>
          <w:rFonts w:ascii="sans-serif" w:hAnsi="sans-serif"/>
          <w:b w:val="false"/>
          <w:color w:val="000000"/>
          <w:sz w:val="24"/>
          <w:shd w:fill="FFFFFF" w:val="clear"/>
        </w:rPr>
        <w:t xml:space="preserve">is a day on which U.S. national stock exchanges are open for trading. For example, if the Company were to release earnings at 7:00 a.m. Eastern Time on Monday, then the blackout period would end and an open window would begin at 9:30 a.m. Eastern Time on Tuesday; </w:t>
      </w:r>
      <w:r>
        <w:rPr>
          <w:rFonts w:ascii="sans-serif" w:hAnsi="sans-serif"/>
          <w:b w:val="false"/>
          <w:color w:val="000000"/>
          <w:sz w:val="24"/>
        </w:rPr>
        <w:t xml:space="preserve">if the Company were to release earnings at 5:00 p.m. Eastern Time on Monday, then the blackout period would end and an open window would begin at 9:30 a.m. Eastern Time on Wednesday. </w:t>
      </w:r>
    </w:p>
    <w:p>
      <w:pPr>
        <w:pStyle w:val="TextBody"/>
        <w:bidi w:val="0"/>
        <w:spacing w:lineRule="auto" w:line="280" w:before="248" w:after="283"/>
        <w:ind w:left="0" w:right="0" w:firstLine="724"/>
        <w:jc w:val="left"/>
        <w:rPr/>
      </w:pPr>
      <w:r>
        <w:rPr>
          <w:rFonts w:ascii="sans-serif" w:hAnsi="sans-serif"/>
          <w:b w:val="false"/>
          <w:color w:val="000000"/>
          <w:sz w:val="24"/>
          <w:shd w:fill="FFFFFF" w:val="clear"/>
        </w:rPr>
        <w:t xml:space="preserve">Subject to the exceptions set forth in this Policy, Covered Persons are permitted to trade </w:t>
      </w:r>
      <w:r>
        <w:rPr>
          <w:rFonts w:ascii="sans-serif" w:hAnsi="sans-serif"/>
          <w:b/>
          <w:color w:val="000000"/>
          <w:sz w:val="24"/>
          <w:shd w:fill="FFFFFF" w:val="clear"/>
        </w:rPr>
        <w:t xml:space="preserve">only </w:t>
      </w:r>
      <w:r>
        <w:rPr>
          <w:rFonts w:ascii="sans-serif" w:hAnsi="sans-serif"/>
          <w:b w:val="false"/>
          <w:color w:val="000000"/>
          <w:sz w:val="24"/>
          <w:shd w:fill="FFFFFF" w:val="clear"/>
        </w:rPr>
        <w:t>during the trading windows between Blackout Periods (each, an “</w:t>
      </w:r>
      <w:r>
        <w:rPr>
          <w:rFonts w:ascii="sans-serif" w:hAnsi="sans-serif"/>
          <w:b w:val="false"/>
          <w:color w:val="000000"/>
          <w:sz w:val="24"/>
          <w:u w:val="single"/>
          <w:shd w:fill="FFFFFF" w:val="clear"/>
        </w:rPr>
        <w:t>Open Trading Window</w:t>
      </w:r>
      <w:r>
        <w:rPr>
          <w:color w:val="000000"/>
          <w:shd w:fill="FFFFFF" w:val="clear"/>
        </w:rPr>
        <w:t>”</w:t>
      </w:r>
      <w:r>
        <w:rPr>
          <w:rFonts w:ascii="sans-serif" w:hAnsi="sans-serif"/>
          <w:b w:val="false"/>
          <w:color w:val="000000"/>
          <w:sz w:val="24"/>
          <w:shd w:fill="FFFFFF" w:val="clear"/>
        </w:rPr>
        <w:t xml:space="preserve">), as such periods are determined and communicated to Covered Persons by the Policy Administrators, </w:t>
      </w:r>
      <w:r>
        <w:rPr>
          <w:rFonts w:ascii="sans-serif" w:hAnsi="sans-serif"/>
          <w:b/>
          <w:color w:val="000000"/>
          <w:sz w:val="24"/>
          <w:shd w:fill="FFFFFF" w:val="clear"/>
        </w:rPr>
        <w:t xml:space="preserve">provided </w:t>
      </w:r>
      <w:r>
        <w:rPr>
          <w:rFonts w:ascii="sans-serif" w:hAnsi="sans-serif"/>
          <w:b w:val="false"/>
          <w:color w:val="000000"/>
          <w:sz w:val="24"/>
          <w:shd w:fill="FFFFFF" w:val="clear"/>
        </w:rPr>
        <w:t xml:space="preserve">that a Covered Person is not in possession of material nonpublic information about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0" w:before="248" w:after="283"/>
        <w:jc w:val="left"/>
        <w:rPr/>
      </w:pPr>
      <w:r>
        <w:rPr>
          <w:rFonts w:ascii="sans-serif" w:hAnsi="sans-serif"/>
          <w:b w:val="false"/>
          <w:color w:val="000000"/>
          <w:sz w:val="24"/>
          <w:shd w:fill="FFFFFF" w:val="clear"/>
        </w:rPr>
        <w:t>Peloton. The Company retains the discretion to open and close each Open Trading Window or to determine that there will not be an Open Trading Window during a fiscal quarter.</w:t>
      </w:r>
      <w:r>
        <w:rPr>
          <w:color w:val="000000"/>
        </w:rPr>
        <w:t xml:space="preserve"> </w:t>
      </w:r>
    </w:p>
    <w:p>
      <w:pPr>
        <w:pStyle w:val="TextBody"/>
        <w:bidi w:val="0"/>
        <w:spacing w:lineRule="auto" w:line="280" w:before="248" w:after="283"/>
        <w:ind w:left="0" w:right="0" w:firstLine="722"/>
        <w:jc w:val="left"/>
        <w:rPr/>
      </w:pPr>
      <w:r>
        <w:rPr>
          <w:rFonts w:ascii="sans-serif" w:hAnsi="sans-serif"/>
          <w:b w:val="false"/>
          <w:color w:val="000000"/>
          <w:sz w:val="24"/>
          <w:shd w:fill="FFFFFF" w:val="clear"/>
        </w:rPr>
        <w:t>If you have any question as to whether information is material or publicly available, please direct an inquiry to the Policy Administrators.</w:t>
      </w:r>
      <w:r>
        <w:rPr>
          <w:color w:val="000000"/>
        </w:rPr>
        <w:t xml:space="preserve"> </w:t>
      </w:r>
    </w:p>
    <w:p>
      <w:pPr>
        <w:pStyle w:val="TextBody"/>
        <w:bidi w:val="0"/>
        <w:spacing w:lineRule="auto" w:line="280" w:before="248" w:after="283"/>
        <w:ind w:left="0" w:right="0" w:hanging="377"/>
        <w:jc w:val="left"/>
        <w:rPr/>
      </w:pPr>
      <w:r>
        <w:rPr>
          <w:rFonts w:ascii="sans-serif" w:hAnsi="sans-serif"/>
          <w:b/>
          <w:color w:val="000000"/>
          <w:sz w:val="24"/>
          <w:shd w:fill="FFFFFF" w:val="clear"/>
        </w:rPr>
        <w:t>A. Exceptions During Blackout Periods</w:t>
      </w:r>
      <w:r>
        <w:rPr>
          <w:rFonts w:ascii="sans-serif" w:hAnsi="sans-serif"/>
          <w:b w:val="false"/>
          <w:color w:val="000000"/>
          <w:sz w:val="24"/>
          <w:shd w:fill="FFFFFF" w:val="clear"/>
        </w:rPr>
        <w:t>: The prohibitions for activity during a Blackout Period do not apply to:</w:t>
      </w:r>
      <w:r>
        <w:rPr>
          <w:color w:val="000000"/>
        </w:rPr>
        <w:t xml:space="preserve"> </w:t>
      </w:r>
    </w:p>
    <w:p>
      <w:pPr>
        <w:pStyle w:val="TextBody"/>
        <w:bidi w:val="0"/>
        <w:spacing w:lineRule="auto" w:line="280" w:before="304" w:after="283"/>
        <w:ind w:left="0" w:right="0" w:hanging="360"/>
        <w:jc w:val="left"/>
        <w:rPr/>
      </w:pPr>
      <w:r>
        <w:rPr>
          <w:color w:val="000000"/>
        </w:rPr>
        <w:t>•</w:t>
      </w:r>
      <w:r>
        <w:rPr>
          <w:rFonts w:ascii="sans-serif" w:hAnsi="sans-serif"/>
          <w:b w:val="false"/>
          <w:color w:val="000000"/>
          <w:sz w:val="24"/>
          <w:shd w:fill="FFFFFF" w:val="clear"/>
        </w:rPr>
        <w:t>purchases of the Company’s securities from the Company, or sales of the Company’s securities to the Company; provided, however, that a Covered Person’s initial election to participate in the Company’s Employee Stock Purchase Plan (“</w:t>
      </w:r>
      <w:r>
        <w:rPr>
          <w:rFonts w:ascii="sans-serif" w:hAnsi="sans-serif"/>
          <w:b w:val="false"/>
          <w:color w:val="000000"/>
          <w:sz w:val="24"/>
          <w:u w:val="single"/>
          <w:shd w:fill="FFFFFF" w:val="clear"/>
        </w:rPr>
        <w:t>ESPP</w:t>
      </w:r>
      <w:r>
        <w:rPr>
          <w:color w:val="000000"/>
          <w:shd w:fill="FFFFFF" w:val="clear"/>
        </w:rPr>
        <w:t>”</w:t>
      </w:r>
      <w:r>
        <w:rPr>
          <w:rFonts w:ascii="sans-serif" w:hAnsi="sans-serif"/>
          <w:b w:val="false"/>
          <w:color w:val="000000"/>
          <w:sz w:val="24"/>
          <w:shd w:fill="FFFFFF" w:val="clear"/>
        </w:rPr>
        <w:t>), changes to that election or level of withholding, or sales of the Company’s securities acquired under the ESPP are subject to this Policy and the Blackout Periods;</w:t>
      </w:r>
      <w:r>
        <w:rPr>
          <w:color w:val="000000"/>
        </w:rPr>
        <w:t xml:space="preserve"> </w:t>
      </w:r>
    </w:p>
    <w:p>
      <w:pPr>
        <w:pStyle w:val="TextBody"/>
        <w:bidi w:val="0"/>
        <w:spacing w:lineRule="auto" w:line="280" w:before="248" w:after="283"/>
        <w:ind w:left="0" w:right="0" w:hanging="360"/>
        <w:jc w:val="left"/>
        <w:rPr/>
      </w:pPr>
      <w:r>
        <w:rPr>
          <w:color w:val="000000"/>
        </w:rPr>
        <w:t>•</w:t>
      </w:r>
      <w:r>
        <w:rPr>
          <w:rFonts w:ascii="sans-serif" w:hAnsi="sans-serif"/>
          <w:b w:val="false"/>
          <w:color w:val="000000"/>
          <w:sz w:val="24"/>
          <w:shd w:fill="FFFFFF" w:val="clear"/>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 For clarity, the exercise of a vested stock option, not accompanied by a sale, is not considered a “purchase” or “sale” under this Policy;</w:t>
      </w:r>
      <w:r>
        <w:rPr>
          <w:color w:val="000000"/>
        </w:rPr>
        <w:t xml:space="preserve"> </w:t>
      </w:r>
    </w:p>
    <w:p>
      <w:pPr>
        <w:pStyle w:val="TextBody"/>
        <w:bidi w:val="0"/>
        <w:spacing w:lineRule="auto" w:line="280" w:before="246" w:after="283"/>
        <w:ind w:left="0" w:right="0" w:hanging="360"/>
        <w:jc w:val="left"/>
        <w:rPr/>
      </w:pPr>
      <w:r>
        <w:rPr>
          <w:color w:val="000000"/>
        </w:rPr>
        <w:t>•</w:t>
      </w:r>
      <w:r>
        <w:rPr>
          <w:rFonts w:ascii="sans-serif" w:hAnsi="sans-serif"/>
          <w:b w:val="false"/>
          <w:color w:val="000000"/>
          <w:sz w:val="24"/>
          <w:shd w:fill="FFFFFF" w:val="clear"/>
        </w:rPr>
        <w:t>buying or selling mutual funds or exchange traded funds (e.g., 401(k) or Individual Retirement Account) of a nationally recognized stock market index; or</w:t>
      </w:r>
      <w:r>
        <w:rPr>
          <w:color w:val="000000"/>
        </w:rPr>
        <w:t xml:space="preserve"> </w:t>
      </w:r>
    </w:p>
    <w:p>
      <w:pPr>
        <w:pStyle w:val="TextBody"/>
        <w:bidi w:val="0"/>
        <w:spacing w:lineRule="auto" w:line="280" w:before="248" w:after="283"/>
        <w:ind w:left="0" w:right="0" w:hanging="360"/>
        <w:jc w:val="left"/>
        <w:rPr/>
      </w:pPr>
      <w:r>
        <w:rPr>
          <w:color w:val="000000"/>
        </w:rPr>
        <w:t>•</w:t>
      </w:r>
      <w:r>
        <w:rPr>
          <w:rFonts w:ascii="sans-serif" w:hAnsi="sans-serif"/>
          <w:b w:val="false"/>
          <w:color w:val="000000"/>
          <w:sz w:val="24"/>
          <w:shd w:fill="FFFFFF" w:val="clear"/>
        </w:rPr>
        <w:t>purchases or sales of the Company’s securities made pursuant to a plan adopted to comply with the Exchange Act Rule 10b5-1 (“</w:t>
      </w:r>
      <w:r>
        <w:rPr>
          <w:rFonts w:ascii="sans-serif" w:hAnsi="sans-serif"/>
          <w:b w:val="false"/>
          <w:color w:val="000000"/>
          <w:sz w:val="24"/>
          <w:u w:val="single"/>
          <w:shd w:fill="FFFFFF" w:val="clear"/>
        </w:rPr>
        <w:t>Rule 10b5-1</w:t>
      </w:r>
      <w:r>
        <w:rPr>
          <w:color w:val="000000"/>
          <w:shd w:fill="FFFFFF" w:val="clear"/>
        </w:rPr>
        <w:t>”</w:t>
      </w:r>
      <w:r>
        <w:rPr>
          <w:rFonts w:ascii="sans-serif" w:hAnsi="sans-serif"/>
          <w:b w:val="false"/>
          <w:color w:val="000000"/>
          <w:sz w:val="24"/>
          <w:shd w:fill="FFFFFF" w:val="clear"/>
        </w:rPr>
        <w:t>) (see Section VII</w:t>
      </w:r>
      <w:r>
        <w:rPr>
          <w:color w:val="000000"/>
        </w:rPr>
        <w:t xml:space="preserve"> </w:t>
      </w:r>
      <w:r>
        <w:rPr>
          <w:rFonts w:ascii="sans-serif" w:hAnsi="sans-serif"/>
          <w:b w:val="false"/>
          <w:color w:val="000000"/>
          <w:sz w:val="24"/>
          <w:shd w:fill="FFFFFF" w:val="clear"/>
        </w:rPr>
        <w:t>below);</w:t>
      </w:r>
      <w:r>
        <w:rPr>
          <w:color w:val="000000"/>
        </w:rPr>
        <w:t xml:space="preserve"> </w:t>
      </w:r>
    </w:p>
    <w:p>
      <w:pPr>
        <w:pStyle w:val="TextBody"/>
        <w:bidi w:val="0"/>
        <w:spacing w:before="0" w:after="0"/>
        <w:jc w:val="left"/>
        <w:rPr/>
      </w:pPr>
      <w:r>
        <w:rPr/>
      </w:r>
    </w:p>
    <w:p>
      <w:pPr>
        <w:pStyle w:val="TextBody"/>
        <w:bidi w:val="0"/>
        <w:spacing w:lineRule="auto" w:line="283" w:before="0" w:after="0"/>
        <w:ind w:left="0" w:right="0" w:hanging="347"/>
        <w:jc w:val="left"/>
        <w:rPr/>
      </w:pPr>
      <w:r>
        <w:rPr>
          <w:rFonts w:ascii="sans-serif" w:hAnsi="sans-serif"/>
          <w:b/>
          <w:color w:val="000000"/>
          <w:sz w:val="24"/>
          <w:shd w:fill="FFFFFF" w:val="clear"/>
        </w:rPr>
        <w:t>B. Additional Blackout Periods</w:t>
      </w:r>
      <w:r>
        <w:rPr>
          <w:rFonts w:ascii="sans-serif" w:hAnsi="sans-serif"/>
          <w:b w:val="false"/>
          <w:color w:val="000000"/>
          <w:sz w:val="24"/>
          <w:shd w:fill="FFFFFF" w:val="clear"/>
        </w:rPr>
        <w:t xml:space="preserve">: The Policy Owners may recommend that certain directors, Officers, employees or other Covered Persons suspend trading in Company securities, even during an Open Trading Window, because of developments that have not yet been disclosed to the public. Subject to the exceptions noted above, all of those individuals affected who are notified by the Policy Administrators should not trade in the Company’s securities while the suspension is in effect and should not disclose to others that the Company has suspended trading. Neither Peloton nor the Policy Owners or Policy Administrators are responsible for any failure to approve a trade or for imposing any Blackout Period. </w:t>
      </w:r>
    </w:p>
    <w:p>
      <w:pPr>
        <w:pStyle w:val="TextBody"/>
        <w:bidi w:val="0"/>
        <w:spacing w:before="0" w:after="0"/>
        <w:ind w:left="0" w:right="0" w:hanging="34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4"/>
          <w:shd w:fill="FFFFFF" w:val="clear"/>
        </w:rPr>
        <w:t xml:space="preserve">VI. </w:t>
      </w:r>
      <w:r>
        <w:rPr>
          <w:rFonts w:ascii="sans-serif" w:hAnsi="sans-serif"/>
          <w:b/>
          <w:color w:val="000000"/>
          <w:sz w:val="24"/>
          <w:u w:val="single"/>
          <w:shd w:fill="FFFFFF" w:val="clear"/>
        </w:rPr>
        <w:t xml:space="preserve">Preclearance of Trades During Open Trading Windows </w:t>
      </w:r>
    </w:p>
    <w:p>
      <w:pPr>
        <w:pStyle w:val="TextBody"/>
        <w:bidi w:val="0"/>
        <w:spacing w:lineRule="auto" w:line="280" w:before="252" w:after="240"/>
        <w:ind w:left="0" w:right="0" w:firstLine="720"/>
        <w:jc w:val="left"/>
        <w:rPr/>
      </w:pPr>
      <w:r>
        <w:rPr>
          <w:rFonts w:ascii="sans-serif" w:hAnsi="sans-serif"/>
          <w:b w:val="false"/>
          <w:color w:val="000000"/>
          <w:sz w:val="24"/>
          <w:shd w:fill="FFFFFF" w:val="clear"/>
        </w:rPr>
        <w:t>All transactions in the Company’s securities by directors, Officers, and others designated by the Policy Owners (each, an “</w:t>
      </w:r>
      <w:r>
        <w:rPr>
          <w:rFonts w:ascii="sans-serif" w:hAnsi="sans-serif"/>
          <w:b w:val="false"/>
          <w:color w:val="000000"/>
          <w:sz w:val="24"/>
          <w:u w:val="single"/>
          <w:shd w:fill="FFFFFF" w:val="clear"/>
        </w:rPr>
        <w:t>Access Person</w:t>
      </w:r>
      <w:r>
        <w:rPr>
          <w:color w:val="000000"/>
          <w:shd w:fill="FFFFFF" w:val="clear"/>
        </w:rPr>
        <w:t>”</w:t>
      </w:r>
      <w:r>
        <w:rPr>
          <w:rFonts w:ascii="sans-serif" w:hAnsi="sans-serif"/>
          <w:b w:val="false"/>
          <w:color w:val="000000"/>
          <w:sz w:val="24"/>
          <w:shd w:fill="FFFFFF" w:val="clear"/>
        </w:rPr>
        <w:t>) and the Immediate Family Members of Section 16 Reporting Persons must be precleared by the Policy Administrators. Access Persons will be</w:t>
      </w:r>
      <w:r>
        <w:rPr>
          <w:color w:val="000000"/>
        </w:rPr>
        <w:t xml:space="preserve"> </w:t>
      </w:r>
      <w:r>
        <w:rPr>
          <w:rFonts w:ascii="sans-serif" w:hAnsi="sans-serif"/>
          <w:b w:val="false"/>
          <w:color w:val="000000"/>
          <w:sz w:val="24"/>
          <w:shd w:fill="FFFFFF" w:val="clear"/>
        </w:rPr>
        <w:t>reminded of their requirement to preclear transactions prior to the end of the Blackout Period via email from the Policy Administrators. Preclearance is not legal advice by the Company that a proposed transaction complies with the law; individuals are responsible for their own trading</w:t>
      </w:r>
      <w:r>
        <w:rPr>
          <w:color w:val="000000"/>
        </w:rPr>
        <w:t xml:space="preserve"> </w:t>
      </w:r>
      <w:r>
        <w:rPr>
          <w:rFonts w:ascii="sans-serif" w:hAnsi="sans-serif"/>
          <w:b w:val="false"/>
          <w:color w:val="000000"/>
          <w:sz w:val="24"/>
          <w:shd w:fill="FFFFFF" w:val="clear"/>
        </w:rPr>
        <w:t xml:space="preserve">activity. </w:t>
      </w:r>
    </w:p>
    <w:p>
      <w:pPr>
        <w:pStyle w:val="TextBody"/>
        <w:bidi w:val="0"/>
        <w:spacing w:lineRule="auto" w:line="283" w:before="0" w:after="0"/>
        <w:ind w:left="0" w:right="0" w:hanging="347"/>
        <w:jc w:val="left"/>
        <w:rPr/>
      </w:pPr>
      <w:r>
        <w:rPr>
          <w:rFonts w:ascii="sans-serif" w:hAnsi="sans-serif"/>
          <w:b/>
          <w:color w:val="000000"/>
          <w:sz w:val="24"/>
          <w:shd w:fill="FFFFFF" w:val="clear"/>
        </w:rPr>
        <w:t>A. Request</w:t>
      </w:r>
      <w:r>
        <w:rPr>
          <w:rFonts w:ascii="sans-serif" w:hAnsi="sans-serif"/>
          <w:b w:val="false"/>
          <w:color w:val="000000"/>
          <w:sz w:val="24"/>
          <w:shd w:fill="FFFFFF" w:val="clear"/>
        </w:rPr>
        <w:t>: A request for preclearance must be in writing and should include the identity of the Access Person, a description of the proposed transaction, the proposed date of the transaction, the number of shares or other securities involved, and such other information as may be required. The form of application for Access Persons to initiate this process is available via a link sent to Access Persons by email prior to the opening of the Open Trading Window or by emailing trade@onepeloton.com. In addition, the</w:t>
      </w:r>
      <w:r>
        <w:rPr>
          <w:color w:val="000000"/>
        </w:rPr>
        <w:t xml:space="preserve"> </w:t>
      </w:r>
      <w:r>
        <w:rPr>
          <w:rFonts w:ascii="sans-serif" w:hAnsi="sans-serif"/>
          <w:b w:val="false"/>
          <w:color w:val="000000"/>
          <w:sz w:val="24"/>
          <w:shd w:fill="FFFFFF" w:val="clear"/>
        </w:rPr>
        <w:t xml:space="preserve">Access Person must execute a certification that he or she is not aware of material nonpublic information about the Company, as included in the form of application. </w:t>
      </w:r>
    </w:p>
    <w:p>
      <w:pPr>
        <w:pStyle w:val="TextBody"/>
        <w:bidi w:val="0"/>
        <w:spacing w:lineRule="auto" w:line="283" w:before="301" w:after="283"/>
        <w:ind w:left="0" w:right="0" w:hanging="347"/>
        <w:jc w:val="left"/>
        <w:rPr/>
      </w:pPr>
      <w:r>
        <w:rPr>
          <w:rFonts w:ascii="sans-serif" w:hAnsi="sans-serif"/>
          <w:b/>
          <w:color w:val="000000"/>
          <w:sz w:val="24"/>
          <w:shd w:fill="FFFFFF" w:val="clear"/>
        </w:rPr>
        <w:t>B. Approval and Transaction Timing</w:t>
      </w:r>
      <w:r>
        <w:rPr>
          <w:rFonts w:ascii="sans-serif" w:hAnsi="sans-serif"/>
          <w:b w:val="false"/>
          <w:color w:val="000000"/>
          <w:sz w:val="24"/>
          <w:shd w:fill="FFFFFF" w:val="clear"/>
        </w:rPr>
        <w:t>: The Policy Administrators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Any denial of a request for preclearance must be kept confidential.</w:t>
      </w:r>
      <w:r>
        <w:rPr>
          <w:color w:val="000000"/>
        </w:rPr>
        <w:t xml:space="preserve"> </w:t>
      </w:r>
    </w:p>
    <w:p>
      <w:pPr>
        <w:pStyle w:val="TextBody"/>
        <w:bidi w:val="0"/>
        <w:spacing w:lineRule="auto" w:line="280" w:before="248" w:after="283"/>
        <w:ind w:left="0" w:right="0" w:firstLine="16"/>
        <w:jc w:val="left"/>
        <w:rPr/>
      </w:pPr>
      <w:r>
        <w:rPr>
          <w:rFonts w:ascii="sans-serif" w:hAnsi="sans-serif"/>
          <w:b w:val="false"/>
          <w:color w:val="000000"/>
          <w:sz w:val="24"/>
          <w:shd w:fill="FFFFFF" w:val="clear"/>
        </w:rPr>
        <w:t>Notwithstanding receipt of preclearance, if the Access Person becomes aware of material nonpublic information, or becomes subject to a Blackout Period before the transaction is effected, the Access Person is responsible for ensuring that the transaction is not completed.</w:t>
      </w:r>
      <w:r>
        <w:rPr>
          <w:color w:val="000000"/>
        </w:rPr>
        <w:t xml:space="preserve"> </w:t>
      </w:r>
    </w:p>
    <w:p>
      <w:pPr>
        <w:pStyle w:val="TextBody"/>
        <w:bidi w:val="0"/>
        <w:spacing w:lineRule="auto" w:line="288" w:before="248" w:after="283"/>
        <w:jc w:val="left"/>
        <w:rPr/>
      </w:pPr>
      <w:r>
        <w:rPr>
          <w:rFonts w:ascii="sans-serif" w:hAnsi="sans-serif"/>
          <w:b/>
          <w:color w:val="000000"/>
          <w:sz w:val="24"/>
          <w:shd w:fill="FFFFFF" w:val="clear"/>
        </w:rPr>
        <w:t>C. Transactions that Do Not Require Preclearance</w:t>
      </w:r>
      <w:r>
        <w:rPr>
          <w:rFonts w:ascii="sans-serif" w:hAnsi="sans-serif"/>
          <w:b w:val="false"/>
          <w:color w:val="000000"/>
          <w:sz w:val="24"/>
          <w:shd w:fill="FFFFFF" w:val="clear"/>
        </w:rPr>
        <w:t xml:space="preserv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shd w:fill="FFFFFF" w:val="clear"/>
        </w:rPr>
        <w:t>Transactions under a previously established Trading Plan (defined below) that has been pre-approved in accordance with this Policy are not subject to further preclearance.</w:t>
      </w:r>
      <w:r>
        <w:rPr>
          <w:color w:val="000000"/>
        </w:rPr>
        <w:t xml:space="preserv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shd w:fill="FFFFFF" w:val="clear"/>
        </w:rPr>
        <w:t>Transactions made during an Open Trading Window by Covered Persons who are not Access Persons and who have not been notified by the Policy Administrators that their transactions require preclearance.</w:t>
      </w:r>
      <w:r>
        <w:rPr>
          <w:color w:val="000000"/>
        </w:rPr>
        <w:t xml:space="preserve"> </w:t>
      </w:r>
    </w:p>
    <w:p>
      <w:pPr>
        <w:pStyle w:val="TextBody"/>
        <w:bidi w:val="0"/>
        <w:spacing w:lineRule="auto" w:line="288" w:before="0" w:after="0"/>
        <w:ind w:left="0" w:right="0" w:hanging="360"/>
        <w:jc w:val="left"/>
        <w:rPr/>
      </w:pPr>
      <w:r>
        <w:rPr>
          <w:color w:val="000000"/>
          <w:shd w:fill="FFFFFF" w:val="clear"/>
        </w:rPr>
        <w:t>•</w:t>
      </w:r>
      <w:r>
        <w:rPr>
          <w:rFonts w:ascii="sans-serif" w:hAnsi="sans-serif"/>
          <w:b w:val="false"/>
          <w:color w:val="000000"/>
          <w:sz w:val="24"/>
          <w:shd w:fill="FFFFFF" w:val="clear"/>
        </w:rPr>
        <w:t>Transactions by Immediate Family Members (other than Immediate Family Members of Access Persons), provided, however, that their trades must still abide by this Policy, including trading only during Open Trading Windows when not in possession of material nonpublic information.</w:t>
      </w:r>
      <w:r>
        <w:rPr>
          <w:color w:val="000000"/>
        </w:rPr>
        <w:t xml:space="preserve"> </w:t>
      </w:r>
    </w:p>
    <w:p>
      <w:pPr>
        <w:pStyle w:val="TextBody"/>
        <w:bidi w:val="0"/>
        <w:spacing w:lineRule="auto" w:line="280" w:before="248" w:after="283"/>
        <w:ind w:left="0" w:right="0" w:firstLine="722"/>
        <w:jc w:val="left"/>
        <w:rPr>
          <w:rFonts w:ascii="sans-serif" w:hAnsi="sans-serif"/>
          <w:b w:val="false"/>
          <w:color w:val="000000"/>
          <w:sz w:val="24"/>
          <w:shd w:fill="FFFFFF" w:val="clear"/>
        </w:rPr>
      </w:pPr>
      <w:r>
        <w:rPr>
          <w:rFonts w:ascii="sans-serif" w:hAnsi="sans-serif"/>
          <w:b w:val="false"/>
          <w:color w:val="000000"/>
          <w:sz w:val="24"/>
          <w:shd w:fill="FFFFFF" w:val="clear"/>
        </w:rPr>
        <w:t>None of the Company, the Policy Administrators, or the Company’s other employees will have any liability for any delay in reviewing, or refusal of, a request for preclearance.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4"/>
          <w:shd w:fill="FFFFFF" w:val="clear"/>
        </w:rPr>
        <w:t xml:space="preserve">VII. </w:t>
      </w:r>
      <w:r>
        <w:rPr>
          <w:rFonts w:ascii="sans-serif" w:hAnsi="sans-serif"/>
          <w:b/>
          <w:color w:val="000000"/>
          <w:sz w:val="24"/>
          <w:u w:val="single"/>
          <w:shd w:fill="FFFFFF" w:val="clear"/>
        </w:rPr>
        <w:t>Rule 10b5-1 Trading Plans</w:t>
      </w:r>
      <w:r>
        <w:rPr>
          <w:color w:val="000000"/>
          <w:u w:val="single"/>
        </w:rPr>
        <w:t xml:space="preserve"> </w:t>
      </w:r>
    </w:p>
    <w:p>
      <w:pPr>
        <w:pStyle w:val="TextBody"/>
        <w:bidi w:val="0"/>
        <w:spacing w:lineRule="auto" w:line="280" w:before="252" w:after="283"/>
        <w:ind w:left="0" w:right="0" w:firstLine="706"/>
        <w:jc w:val="left"/>
        <w:rPr/>
      </w:pPr>
      <w:r>
        <w:rPr>
          <w:rFonts w:ascii="sans-serif" w:hAnsi="sans-serif"/>
          <w:b w:val="false"/>
          <w:color w:val="000000"/>
          <w:sz w:val="24"/>
          <w:shd w:fill="FFFFFF" w:val="clear"/>
        </w:rPr>
        <w:t>The trading restrictions set forth in this Policy, other than those transactions described under “</w:t>
      </w:r>
      <w:r>
        <w:rPr>
          <w:rFonts w:ascii="sans-serif" w:hAnsi="sans-serif"/>
          <w:b w:val="false"/>
          <w:color w:val="000000"/>
          <w:sz w:val="24"/>
          <w:u w:val="single"/>
          <w:shd w:fill="FFFFFF" w:val="clear"/>
        </w:rPr>
        <w:t>Prohibited Transactions</w:t>
      </w:r>
      <w:r>
        <w:rPr>
          <w:rFonts w:ascii="sans-serif" w:hAnsi="sans-serif"/>
          <w:b w:val="false"/>
          <w:color w:val="000000"/>
          <w:sz w:val="24"/>
          <w:shd w:fill="FFFFFF" w:val="clear"/>
        </w:rPr>
        <w:t>,” in Section VIII below do not apply to transactions under a previously established contract, plan or instruction to trade in the Company’s securities entered into in accordance with Rule 10b5-1 (a “</w:t>
      </w:r>
      <w:r>
        <w:rPr>
          <w:rFonts w:ascii="sans-serif" w:hAnsi="sans-serif"/>
          <w:b w:val="false"/>
          <w:color w:val="000000"/>
          <w:sz w:val="24"/>
          <w:u w:val="single"/>
          <w:shd w:fill="FFFFFF" w:val="clear"/>
        </w:rPr>
        <w:t>Trading Plan</w:t>
      </w:r>
      <w:r>
        <w:rPr>
          <w:color w:val="000000"/>
          <w:shd w:fill="FFFFFF" w:val="clear"/>
        </w:rPr>
        <w:t>”</w:t>
      </w:r>
      <w:r>
        <w:rPr>
          <w:rFonts w:ascii="sans-serif" w:hAnsi="sans-serif"/>
          <w:b w:val="false"/>
          <w:color w:val="000000"/>
          <w:sz w:val="24"/>
          <w:shd w:fill="FFFFFF" w:val="clear"/>
        </w:rPr>
        <w:t>) and entered into in accordance with this Policy.</w:t>
      </w:r>
      <w:r>
        <w:rPr>
          <w:color w:val="000000"/>
        </w:rPr>
        <w:t xml:space="preserve"> </w:t>
      </w:r>
    </w:p>
    <w:p>
      <w:pPr>
        <w:pStyle w:val="TextBody"/>
        <w:bidi w:val="0"/>
        <w:spacing w:lineRule="auto" w:line="283" w:before="248" w:after="283"/>
        <w:ind w:left="0" w:right="0" w:hanging="367"/>
        <w:jc w:val="left"/>
        <w:rPr/>
      </w:pPr>
      <w:r>
        <w:rPr>
          <w:rFonts w:ascii="sans-serif" w:hAnsi="sans-serif"/>
          <w:b/>
          <w:color w:val="000000"/>
          <w:sz w:val="24"/>
          <w:shd w:fill="FFFFFF" w:val="clear"/>
        </w:rPr>
        <w:t>A. Trading Plan Recommendation</w:t>
      </w:r>
      <w:r>
        <w:rPr>
          <w:rFonts w:ascii="sans-serif" w:hAnsi="sans-serif"/>
          <w:b w:val="false"/>
          <w:color w:val="000000"/>
          <w:sz w:val="24"/>
          <w:shd w:fill="FFFFFF" w:val="clear"/>
        </w:rPr>
        <w:t>: The Company strongly encourages Section 16 Reporting Persons and their Immediate Family Members, and 10b5-1 Plan Designated Persons, to only trade the Company’s securities pursuant to a Trading Plan.</w:t>
      </w:r>
      <w:r>
        <w:rPr>
          <w:color w:val="000000"/>
        </w:rPr>
        <w:t xml:space="preserve"> </w:t>
      </w:r>
    </w:p>
    <w:p>
      <w:pPr>
        <w:pStyle w:val="TextBody"/>
        <w:bidi w:val="0"/>
        <w:spacing w:lineRule="auto" w:line="280" w:before="247" w:after="283"/>
        <w:ind w:left="0" w:right="0" w:firstLine="7"/>
        <w:jc w:val="left"/>
        <w:rPr/>
      </w:pPr>
      <w:r>
        <w:rPr>
          <w:rFonts w:ascii="sans-serif" w:hAnsi="sans-serif"/>
          <w:b w:val="false"/>
          <w:color w:val="000000"/>
          <w:sz w:val="24"/>
          <w:shd w:fill="FFFFFF" w:val="clear"/>
        </w:rPr>
        <w:t>Compliance of a Trading Plan with the terms of Rule 10b5-1 and the execution of</w:t>
      </w:r>
      <w:r>
        <w:rPr>
          <w:color w:val="000000"/>
        </w:rPr>
        <w:t xml:space="preserve"> </w:t>
      </w:r>
      <w:r>
        <w:rPr>
          <w:rFonts w:ascii="sans-serif" w:hAnsi="sans-serif"/>
          <w:b w:val="false"/>
          <w:color w:val="000000"/>
          <w:sz w:val="24"/>
          <w:shd w:fill="FFFFFF" w:val="clear"/>
        </w:rPr>
        <w:t xml:space="preserve">transactions pursuant to the Trading Plan are the sole responsibility of the person initiating the Trading Plan, and none of the Company, the Policy Administrators, the Policy Owners or the Company’s other employees assumes any liability for any delay in reviewing and/or refusing to approve a Trading Plan submitted for approval, nor the legality or consequences relating to a person entering into, informing the Company of, or trading under, a Trading Plan. </w:t>
      </w:r>
    </w:p>
    <w:p>
      <w:pPr>
        <w:pStyle w:val="TextBody"/>
        <w:bidi w:val="0"/>
        <w:spacing w:lineRule="auto" w:line="288" w:before="248" w:after="283"/>
        <w:jc w:val="left"/>
        <w:rPr/>
      </w:pPr>
      <w:r>
        <w:rPr>
          <w:rFonts w:ascii="sans-serif" w:hAnsi="sans-serif"/>
          <w:b/>
          <w:color w:val="000000"/>
          <w:sz w:val="24"/>
          <w:shd w:fill="FFFFFF" w:val="clear"/>
        </w:rPr>
        <w:t>B. Trading Plan Requirements</w:t>
      </w:r>
      <w:r>
        <w:rPr>
          <w:rFonts w:ascii="sans-serif" w:hAnsi="sans-serif"/>
          <w:b w:val="false"/>
          <w:color w:val="000000"/>
          <w:sz w:val="24"/>
          <w:shd w:fill="FFFFFF" w:val="clear"/>
        </w:rPr>
        <w:t>: A valid Trading Plan under this Policy must:</w:t>
      </w:r>
      <w:r>
        <w:rPr>
          <w:color w:val="000000"/>
        </w:rPr>
        <w:t xml:space="preserve">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be submitted to, and preapproved by a Policy Owner, in writing via the template contract provided by Peloton’s designated 10b-1 plan administrator, at least three business days prior to the entry into a Trading Plan;</w:t>
      </w:r>
      <w:r>
        <w:rPr>
          <w:color w:val="000000"/>
        </w:rPr>
        <w:t xml:space="preserve">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 xml:space="preserve">include a cooling-off period that extends to the later of 90 days after adoption or modification of a Trading Plan or two business days after filing the Form 10-K or Form 10-Q covering the fiscal quarter in which the Trading Plan was adopted, up to a maximum of 120 days (a “Cooling-Off Period”);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include a representation in the Trading Plan that the individual is (1) not aware of any material nonpublic information about the Company or its securities; and (2) adopting the Trading Plan in good faith and not as part of a plan or scheme to evade Rule 10b5-1;</w:t>
      </w:r>
      <w:r>
        <w:rPr>
          <w:color w:val="000000"/>
        </w:rPr>
        <w:t xml:space="preserve">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 xml:space="preserve">be entered into, modified, or terminated in good faith at a time when the individual was not in possession of material nonpublic information about the Company and not otherwise in a Blackout Period, and the person who entered into the Trading Plan has acted in good faith with respect to the Trading Plan;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 xml:space="preserve">either (1) specify the amounts, prices, and dates of all transactions under the Trading Plan; or (2) provide a written formula, algorithm, or computer program for determining the amount, price, and date of the transactions, and (3) prohibit the individual from exercising any subsequent influence over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be executed through Peloton’s designated 10b5-1 plan administrator; and</w:t>
      </w:r>
      <w:r>
        <w:rPr>
          <w:color w:val="000000"/>
        </w:rPr>
        <w:t xml:space="preserve"> </w:t>
      </w:r>
    </w:p>
    <w:p>
      <w:pPr>
        <w:pStyle w:val="TextBody"/>
        <w:bidi w:val="0"/>
        <w:spacing w:lineRule="auto" w:line="280" w:before="305" w:after="283"/>
        <w:ind w:left="0" w:right="0" w:hanging="360"/>
        <w:jc w:val="left"/>
        <w:rPr/>
      </w:pPr>
      <w:r>
        <w:rPr>
          <w:color w:val="000000"/>
        </w:rPr>
        <w:t>•</w:t>
      </w:r>
      <w:r>
        <w:rPr>
          <w:rFonts w:ascii="sans-serif" w:hAnsi="sans-serif"/>
          <w:b w:val="false"/>
          <w:color w:val="000000"/>
          <w:sz w:val="24"/>
          <w:shd w:fill="FFFFFF" w:val="clear"/>
        </w:rPr>
        <w:t>comply with all other applicable requirements of Rule 10b5-1.</w:t>
      </w:r>
      <w:r>
        <w:rPr>
          <w:color w:val="000000"/>
        </w:rPr>
        <w:t xml:space="preserve"> </w:t>
      </w:r>
    </w:p>
    <w:p>
      <w:pPr>
        <w:pStyle w:val="TextBody"/>
        <w:bidi w:val="0"/>
        <w:spacing w:before="0" w:after="0"/>
        <w:jc w:val="left"/>
        <w:rPr/>
      </w:pPr>
      <w:r>
        <w:rPr/>
      </w:r>
    </w:p>
    <w:p>
      <w:pPr>
        <w:pStyle w:val="TextBody"/>
        <w:bidi w:val="0"/>
        <w:spacing w:lineRule="auto" w:line="280" w:before="48" w:after="283"/>
        <w:ind w:left="0" w:right="0" w:firstLine="711"/>
        <w:jc w:val="left"/>
        <w:rPr>
          <w:rFonts w:ascii="sans-serif" w:hAnsi="sans-serif"/>
          <w:b w:val="false"/>
          <w:color w:val="000000"/>
          <w:sz w:val="24"/>
          <w:shd w:fill="FFFFFF" w:val="clear"/>
        </w:rPr>
      </w:pPr>
      <w:r>
        <w:rPr>
          <w:rFonts w:ascii="sans-serif" w:hAnsi="sans-serif"/>
          <w:b w:val="false"/>
          <w:color w:val="000000"/>
          <w:sz w:val="24"/>
          <w:shd w:fill="FFFFFF" w:val="clear"/>
        </w:rPr>
        <w:t xml:space="preserve">The Policy Administrators may impose such other conditions on the implementation and operation of the Trading Plan as the Policy Administrators deem necessary or advisable. </w:t>
      </w:r>
    </w:p>
    <w:p>
      <w:pPr>
        <w:pStyle w:val="TextBody"/>
        <w:bidi w:val="0"/>
        <w:spacing w:lineRule="auto" w:line="280" w:before="248" w:after="283"/>
        <w:ind w:left="0" w:right="0" w:firstLine="711"/>
        <w:jc w:val="left"/>
        <w:rPr/>
      </w:pPr>
      <w:r>
        <w:rPr>
          <w:rFonts w:ascii="sans-serif" w:hAnsi="sans-serif"/>
          <w:b w:val="false"/>
          <w:color w:val="000000"/>
          <w:sz w:val="24"/>
          <w:shd w:fill="FFFFFF" w:val="clear"/>
        </w:rPr>
        <w:t>The Company also reserves the right from time to time to suspend, discontinue, or otherwise prohibit transactions under a Trading Plan if the Policy Administrators, in their discretion, determine that such suspension, discontinuation, or other prohibition is in the best interests of the Company.</w:t>
      </w:r>
      <w:r>
        <w:rPr>
          <w:color w:val="000000"/>
        </w:rPr>
        <w:t xml:space="preserve"> </w:t>
      </w:r>
    </w:p>
    <w:p>
      <w:pPr>
        <w:pStyle w:val="TextBody"/>
        <w:bidi w:val="0"/>
        <w:spacing w:lineRule="auto" w:line="288" w:before="251" w:after="283"/>
        <w:ind w:left="0" w:right="0" w:firstLine="736"/>
        <w:jc w:val="left"/>
        <w:rPr>
          <w:rFonts w:ascii="sans-serif" w:hAnsi="sans-serif"/>
          <w:b w:val="false"/>
          <w:color w:val="000000"/>
          <w:sz w:val="24"/>
          <w:shd w:fill="FFFFFF" w:val="clear"/>
        </w:rPr>
      </w:pPr>
      <w:r>
        <w:rPr>
          <w:rFonts w:ascii="sans-serif" w:hAnsi="sans-serif"/>
          <w:b w:val="false"/>
          <w:color w:val="000000"/>
          <w:sz w:val="24"/>
          <w:shd w:fill="FFFFFF" w:val="clear"/>
        </w:rPr>
        <w:t xml:space="preserve">Individuals may not adopt more than one Trading Plan at a time except under the limited circumstances permitted by Rule 10b5-1 and subject to pre-approval by the Policy Administrators. </w:t>
      </w:r>
    </w:p>
    <w:p>
      <w:pPr>
        <w:pStyle w:val="TextBody"/>
        <w:bidi w:val="0"/>
        <w:spacing w:lineRule="auto" w:line="288" w:before="248" w:after="283"/>
        <w:ind w:left="0" w:right="0" w:hanging="354"/>
        <w:jc w:val="left"/>
        <w:rPr/>
      </w:pPr>
      <w:r>
        <w:rPr>
          <w:rFonts w:ascii="sans-serif" w:hAnsi="sans-serif"/>
          <w:b/>
          <w:color w:val="000000"/>
          <w:sz w:val="24"/>
          <w:shd w:fill="FFFFFF" w:val="clear"/>
        </w:rPr>
        <w:t>C. Modifications</w:t>
      </w:r>
      <w:r>
        <w:rPr>
          <w:rFonts w:ascii="sans-serif" w:hAnsi="sans-serif"/>
          <w:b w:val="false"/>
          <w:color w:val="000000"/>
          <w:sz w:val="24"/>
          <w:shd w:fill="FFFFFF" w:val="clear"/>
        </w:rPr>
        <w:t xml:space="preserve">: An individual may only modify a Trading Plan, outside of a Blackout Period and when the individual does not possess material nonpublic information. Individuals are discouraged from making any modifications to a Trading Plan as modifications can call into question whether the plan was entered into in good faith in accordance with securities law requirements. Modifications to a Trading Plan are subject to pre-approval by the Policy Administrators and may trigger a new Cooling-Off Period if the Policy Administrator so determines, provided, that a change in the amount, price, or timing of the purchase or sale of the securities underlying a Trading Plan will trigger a new Cooling-Off Period. </w:t>
      </w:r>
    </w:p>
    <w:p>
      <w:pPr>
        <w:pStyle w:val="TextBody"/>
        <w:bidi w:val="0"/>
        <w:spacing w:lineRule="auto" w:line="288" w:before="301" w:after="283"/>
        <w:ind w:left="0" w:right="0" w:hanging="345"/>
        <w:jc w:val="left"/>
        <w:rPr/>
      </w:pPr>
      <w:r>
        <w:rPr>
          <w:rFonts w:ascii="sans-serif" w:hAnsi="sans-serif"/>
          <w:b/>
          <w:color w:val="000000"/>
          <w:sz w:val="24"/>
          <w:shd w:fill="FFFFFF" w:val="clear"/>
        </w:rPr>
        <w:t xml:space="preserve">D. Terminations: </w:t>
      </w:r>
      <w:r>
        <w:rPr>
          <w:rFonts w:ascii="sans-serif" w:hAnsi="sans-serif"/>
          <w:b w:val="false"/>
          <w:color w:val="000000"/>
          <w:sz w:val="24"/>
          <w:shd w:fill="FFFFFF" w:val="clear"/>
        </w:rPr>
        <w:t>An individual may only terminate a Trading Plan with immediate effect outside of a Blackout Period and when the individual does not possess material nonpublic information; provided, however, that such request for termination of the Trading Plan has been approved by a Policy Owner. If a Trading Plan is terminated while a Covered Person is employed by or still providing services to the Company, that person may not trade in Peloton securities until the next Open Trading Window, including through any new Trading Plan.</w:t>
      </w:r>
      <w:r>
        <w:rPr>
          <w:color w:val="000000"/>
        </w:rPr>
        <w:t xml:space="preserve"> </w:t>
      </w:r>
    </w:p>
    <w:p>
      <w:pPr>
        <w:pStyle w:val="TextBody"/>
        <w:bidi w:val="0"/>
        <w:spacing w:lineRule="auto" w:line="288" w:before="301" w:after="283"/>
        <w:ind w:left="0" w:right="0" w:hanging="347"/>
        <w:jc w:val="left"/>
        <w:rPr/>
      </w:pPr>
      <w:r>
        <w:rPr>
          <w:rFonts w:ascii="sans-serif" w:hAnsi="sans-serif"/>
          <w:b/>
          <w:color w:val="000000"/>
          <w:sz w:val="24"/>
          <w:shd w:fill="FFFFFF" w:val="clear"/>
        </w:rPr>
        <w:t>E. Public Disclosure</w:t>
      </w:r>
      <w:r>
        <w:rPr>
          <w:rFonts w:ascii="sans-serif" w:hAnsi="sans-serif"/>
          <w:b w:val="false"/>
          <w:color w:val="000000"/>
          <w:sz w:val="24"/>
          <w:shd w:fill="FFFFFF" w:val="clear"/>
        </w:rPr>
        <w:t xml:space="preserve">: The Company reserves the right to publicly disclose, announce, or respond to inquiries from the media regarding the adoption, modification, or termination of a Trading Plan and non-Rule 10b5-1 trading arrangements, or the execution of transactions made under a Trading Plan. </w:t>
      </w:r>
    </w:p>
    <w:p>
      <w:pPr>
        <w:pStyle w:val="TextBody"/>
        <w:bidi w:val="0"/>
        <w:spacing w:lineRule="auto" w:line="288" w:before="248" w:after="283"/>
        <w:jc w:val="left"/>
        <w:rPr/>
      </w:pPr>
      <w:r>
        <w:rPr>
          <w:rFonts w:ascii="sans-serif" w:hAnsi="sans-serif"/>
          <w:b/>
          <w:color w:val="000000"/>
          <w:sz w:val="24"/>
          <w:shd w:fill="FFFFFF" w:val="clear"/>
        </w:rPr>
        <w:t xml:space="preserve">VIII. </w:t>
      </w:r>
      <w:r>
        <w:rPr>
          <w:rFonts w:ascii="sans-serif" w:hAnsi="sans-serif"/>
          <w:b/>
          <w:color w:val="000000"/>
          <w:sz w:val="24"/>
          <w:u w:val="single"/>
          <w:shd w:fill="FFFFFF" w:val="clear"/>
        </w:rPr>
        <w:t>Other Transactions and Prohibitions</w:t>
      </w:r>
      <w:r>
        <w:rPr>
          <w:color w:val="000000"/>
          <w:u w:val="single"/>
        </w:rPr>
        <w:t xml:space="preserve"> </w:t>
      </w:r>
    </w:p>
    <w:p>
      <w:pPr>
        <w:pStyle w:val="TextBody"/>
        <w:bidi w:val="0"/>
        <w:spacing w:lineRule="auto" w:line="288" w:before="252" w:after="283"/>
        <w:ind w:left="0" w:right="0" w:hanging="363"/>
        <w:jc w:val="both"/>
        <w:rPr/>
      </w:pPr>
      <w:r>
        <w:rPr>
          <w:rFonts w:ascii="sans-serif" w:hAnsi="sans-serif"/>
          <w:b/>
          <w:color w:val="000000"/>
          <w:sz w:val="24"/>
          <w:shd w:fill="FFFFFF" w:val="clear"/>
        </w:rPr>
        <w:t>A. Prohibited Transactions</w:t>
      </w:r>
      <w:r>
        <w:rPr>
          <w:rFonts w:ascii="sans-serif" w:hAnsi="sans-serif"/>
          <w:b w:val="false"/>
          <w:color w:val="000000"/>
          <w:sz w:val="24"/>
          <w:shd w:fill="FFFFFF" w:val="clear"/>
        </w:rPr>
        <w:t>: The Company has determined that there is a heightened legal risk and the appearance of improper or inappropriate conduct if persons subject to this Policy engage in certain types of transactions. Therefore, Covered Persons shall comply with the following policies and limitations with respect to transactions in the Company’s securities.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lineRule="auto" w:line="288" w:before="305" w:after="283"/>
        <w:ind w:left="0" w:right="0" w:hanging="360"/>
        <w:jc w:val="left"/>
        <w:rPr/>
      </w:pPr>
      <w:r>
        <w:rPr>
          <w:color w:val="000000"/>
        </w:rPr>
        <w:t>•</w:t>
      </w:r>
      <w:r>
        <w:rPr>
          <w:rFonts w:ascii="sans-serif" w:hAnsi="sans-serif"/>
          <w:b w:val="false"/>
          <w:i/>
          <w:color w:val="000000"/>
          <w:sz w:val="24"/>
          <w:shd w:fill="FFFFFF" w:val="clear"/>
        </w:rPr>
        <w:t xml:space="preserve">Short Sales </w:t>
      </w:r>
      <w:r>
        <w:rPr>
          <w:rFonts w:ascii="sans-serif" w:hAnsi="sans-serif"/>
          <w:b w:val="false"/>
          <w:color w:val="000000"/>
          <w:sz w:val="24"/>
          <w:shd w:fill="FFFFFF" w:val="clear"/>
        </w:rPr>
        <w:t xml:space="preserve">- No Covered Person may engage in short sales of Peloton’s securities, including short sales “against the box.” </w:t>
      </w:r>
    </w:p>
    <w:p>
      <w:pPr>
        <w:pStyle w:val="TextBody"/>
        <w:bidi w:val="0"/>
        <w:spacing w:lineRule="auto" w:line="288" w:before="305" w:after="283"/>
        <w:ind w:left="0" w:right="0" w:hanging="360"/>
        <w:jc w:val="left"/>
        <w:rPr/>
      </w:pPr>
      <w:r>
        <w:rPr>
          <w:color w:val="000000"/>
        </w:rPr>
        <w:t>•</w:t>
      </w:r>
      <w:r>
        <w:rPr>
          <w:rFonts w:ascii="sans-serif" w:hAnsi="sans-serif"/>
          <w:b w:val="false"/>
          <w:i/>
          <w:color w:val="000000"/>
          <w:sz w:val="24"/>
          <w:shd w:fill="FFFFFF" w:val="clear"/>
        </w:rPr>
        <w:t xml:space="preserve">Derivative Transactions - </w:t>
      </w:r>
      <w:r>
        <w:rPr>
          <w:rFonts w:ascii="sans-serif" w:hAnsi="sans-serif"/>
          <w:b w:val="false"/>
          <w:color w:val="000000"/>
          <w:sz w:val="24"/>
          <w:shd w:fill="FFFFFF" w:val="clear"/>
        </w:rPr>
        <w:t>No Covered Person may engage in transactions involving options or other derivative securities of Peloton’s securities, such as puts and calls, whether on an exchange or in any other market; provided, however, that a Covered Person may exercise compensatory option grants issued by Peloton.</w:t>
      </w:r>
      <w:r>
        <w:rPr>
          <w:color w:val="000000"/>
        </w:rPr>
        <w:t xml:space="preserve"> </w:t>
      </w:r>
    </w:p>
    <w:p>
      <w:pPr>
        <w:pStyle w:val="TextBody"/>
        <w:bidi w:val="0"/>
        <w:spacing w:lineRule="auto" w:line="288" w:before="305" w:after="283"/>
        <w:ind w:left="0" w:right="0" w:hanging="360"/>
        <w:jc w:val="left"/>
        <w:rPr/>
      </w:pPr>
      <w:r>
        <w:rPr>
          <w:color w:val="000000"/>
        </w:rPr>
        <w:t>•</w:t>
      </w:r>
      <w:r>
        <w:rPr>
          <w:rFonts w:ascii="sans-serif" w:hAnsi="sans-serif"/>
          <w:b w:val="false"/>
          <w:i/>
          <w:color w:val="000000"/>
          <w:sz w:val="24"/>
          <w:shd w:fill="FFFFFF" w:val="clear"/>
        </w:rPr>
        <w:t xml:space="preserve">Hedging Transactions - </w:t>
      </w:r>
      <w:r>
        <w:rPr>
          <w:rFonts w:ascii="sans-serif" w:hAnsi="sans-serif"/>
          <w:b w:val="false"/>
          <w:color w:val="000000"/>
          <w:sz w:val="24"/>
          <w:shd w:fill="FFFFFF" w:val="clear"/>
        </w:rPr>
        <w:t>No Covered Person may engage in hedging or monetization transactions involving Peloton’s securities, such as zero-cost collars and forward sale contracts, or contribute Peloton securities to exchange funds that could be interpreted as having the effect of hedging in Peloton securities. These are speculative transactions that can be designed to protect against a decline in the market value of Peloton securities, and in some cases, could be viewed as a bet against the Company.</w:t>
      </w:r>
      <w:r>
        <w:rPr>
          <w:color w:val="000000"/>
        </w:rPr>
        <w:t xml:space="preserve"> </w:t>
      </w:r>
    </w:p>
    <w:p>
      <w:pPr>
        <w:pStyle w:val="TextBody"/>
        <w:bidi w:val="0"/>
        <w:spacing w:lineRule="auto" w:line="288" w:before="305" w:after="283"/>
        <w:ind w:left="0" w:right="0" w:hanging="360"/>
        <w:jc w:val="left"/>
        <w:rPr/>
      </w:pPr>
      <w:r>
        <w:rPr>
          <w:color w:val="000000"/>
        </w:rPr>
        <w:t>•</w:t>
      </w:r>
      <w:r>
        <w:rPr>
          <w:rFonts w:ascii="sans-serif" w:hAnsi="sans-serif"/>
          <w:b w:val="false"/>
          <w:i/>
          <w:color w:val="000000"/>
          <w:sz w:val="24"/>
          <w:shd w:fill="FFFFFF" w:val="clear"/>
        </w:rPr>
        <w:t xml:space="preserve">Margin Accounts and Pledging - </w:t>
      </w:r>
      <w:r>
        <w:rPr>
          <w:rFonts w:ascii="sans-serif" w:hAnsi="sans-serif"/>
          <w:b w:val="false"/>
          <w:color w:val="000000"/>
          <w:sz w:val="24"/>
          <w:shd w:fill="FFFFFF" w:val="clear"/>
        </w:rPr>
        <w:t xml:space="preserve">Covered Persons are prohibited from pledging Company securities as collateral for a loan, purchasing Company securities on margin (i.e., borrowing money to purchase the securities), or placing Company securities in a margin account. </w:t>
      </w:r>
    </w:p>
    <w:p>
      <w:pPr>
        <w:pStyle w:val="TextBody"/>
        <w:bidi w:val="0"/>
        <w:spacing w:lineRule="auto" w:line="288" w:before="251" w:after="283"/>
        <w:ind w:left="0" w:right="0" w:hanging="347"/>
        <w:jc w:val="left"/>
        <w:rPr/>
      </w:pPr>
      <w:r>
        <w:rPr>
          <w:rFonts w:ascii="sans-serif" w:hAnsi="sans-serif"/>
          <w:b/>
          <w:color w:val="000000"/>
          <w:sz w:val="24"/>
          <w:shd w:fill="FFFFFF" w:val="clear"/>
        </w:rPr>
        <w:t>B. Standing and Limit Orders</w:t>
      </w:r>
      <w:r>
        <w:rPr>
          <w:rFonts w:ascii="sans-serif" w:hAnsi="sans-serif"/>
          <w:b w:val="false"/>
          <w:color w:val="000000"/>
          <w:sz w:val="24"/>
          <w:shd w:fill="FFFFFF" w:val="clear"/>
        </w:rPr>
        <w:t>: Unless part of a Trading Plan, the Company discourages the use of standing or limit orders as the limit order could be executed by an individual’s broker when the individual is in possession of material nonpublic information. If used, standing or limit orders should be used only for a very brief period of time and cannot extend beyond the Open Trading Window, and in the case of Access Persons, beyond the preclearance period.</w:t>
      </w:r>
      <w:r>
        <w:rPr>
          <w:color w:val="000000"/>
        </w:rPr>
        <w:t xml:space="preserve"> </w:t>
      </w:r>
    </w:p>
    <w:p>
      <w:pPr>
        <w:pStyle w:val="TextBody"/>
        <w:bidi w:val="0"/>
        <w:spacing w:lineRule="auto" w:line="288" w:before="248" w:after="283"/>
        <w:ind w:left="0" w:right="0" w:hanging="347"/>
        <w:jc w:val="left"/>
        <w:rPr/>
      </w:pPr>
      <w:r>
        <w:rPr>
          <w:rFonts w:ascii="sans-serif" w:hAnsi="sans-serif"/>
          <w:b/>
          <w:color w:val="000000"/>
          <w:sz w:val="24"/>
        </w:rPr>
        <w:t xml:space="preserve">C. </w:t>
      </w:r>
      <w:r>
        <w:rPr>
          <w:rFonts w:ascii="sans-serif" w:hAnsi="sans-serif"/>
          <w:b/>
          <w:color w:val="000000"/>
          <w:sz w:val="24"/>
          <w:shd w:fill="FFFFFF" w:val="clear"/>
        </w:rPr>
        <w:t>Recommendations Regarding Company Securities</w:t>
      </w:r>
      <w:r>
        <w:rPr>
          <w:rFonts w:ascii="sans-serif" w:hAnsi="sans-serif"/>
          <w:b w:val="false"/>
          <w:color w:val="000000"/>
          <w:sz w:val="24"/>
          <w:shd w:fill="FFFFFF" w:val="clear"/>
        </w:rPr>
        <w:t xml:space="preserve">: </w:t>
      </w:r>
      <w:r>
        <w:rPr>
          <w:rFonts w:ascii="sans-serif" w:hAnsi="sans-serif"/>
          <w:b w:val="false"/>
          <w:color w:val="000000"/>
          <w:sz w:val="24"/>
        </w:rPr>
        <w:t xml:space="preserve">Unless otherwise directed by the Company, you should never recommend that another person hold or trade the Company’s securities. Advising any person to trade our securities could subject you, the person trading our securities and the Company to claims that their trades benefitted from material nonpublic information. </w:t>
      </w:r>
    </w:p>
    <w:p>
      <w:pPr>
        <w:pStyle w:val="TextBody"/>
        <w:bidi w:val="0"/>
        <w:spacing w:lineRule="auto" w:line="288" w:before="248" w:after="283"/>
        <w:ind w:left="0" w:right="0" w:hanging="347"/>
        <w:jc w:val="left"/>
        <w:rPr/>
      </w:pPr>
      <w:r>
        <w:rPr>
          <w:rFonts w:ascii="sans-serif" w:hAnsi="sans-serif"/>
          <w:b/>
          <w:color w:val="000000"/>
          <w:sz w:val="24"/>
        </w:rPr>
        <w:t>D. Participation in Expert Networks or Similar Consulting Arrangements is Prohibited</w:t>
      </w:r>
      <w:r>
        <w:rPr>
          <w:rFonts w:ascii="sans-serif" w:hAnsi="sans-serif"/>
          <w:b w:val="false"/>
          <w:color w:val="000000"/>
          <w:sz w:val="24"/>
        </w:rPr>
        <w:t xml:space="preserve">: You are not permitted to provide information or services about the Company or its industry to “expert network firms” or similar consulting firms. These firms seek industry sources to arrange consultations with their clients, which can include private equity funds, hedge funds and other institutional investors that are considering investment in our industry. Expert network firms may seek to engage you as a consultant due to your knowledge of the Company, or your knowledge of our industry overall. Your provision of such consulting services creates the risk that you may use or disclose, deliberately or inadvertently, the Company’s confidential information or engage, or assist another party in engaging, in activities that are detrimental to or competitive with the Company. Such activity may also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lineRule="auto" w:line="288" w:before="248" w:after="283"/>
        <w:jc w:val="left"/>
        <w:rPr>
          <w:rFonts w:ascii="sans-serif" w:hAnsi="sans-serif"/>
          <w:b w:val="false"/>
          <w:color w:val="000000"/>
          <w:sz w:val="24"/>
        </w:rPr>
      </w:pPr>
      <w:r>
        <w:rPr>
          <w:rFonts w:ascii="sans-serif" w:hAnsi="sans-serif"/>
          <w:b w:val="false"/>
          <w:color w:val="000000"/>
          <w:sz w:val="24"/>
        </w:rPr>
        <w:t xml:space="preserve">violate the federal securities laws. Accordingly, participation in such organizations is strictly prohibited. </w:t>
      </w:r>
    </w:p>
    <w:p>
      <w:pPr>
        <w:pStyle w:val="TextBody"/>
        <w:bidi w:val="0"/>
        <w:spacing w:lineRule="auto" w:line="288" w:before="248" w:after="283"/>
        <w:ind w:left="0" w:right="0" w:hanging="347"/>
        <w:jc w:val="left"/>
        <w:rPr/>
      </w:pPr>
      <w:r>
        <w:rPr>
          <w:rFonts w:ascii="sans-serif" w:hAnsi="sans-serif"/>
          <w:b/>
          <w:color w:val="000000"/>
          <w:sz w:val="24"/>
          <w:shd w:fill="FFFFFF" w:val="clear"/>
        </w:rPr>
        <w:t>E. Partnership Distributions</w:t>
      </w:r>
      <w:r>
        <w:rPr>
          <w:rFonts w:ascii="sans-serif" w:hAnsi="sans-serif"/>
          <w:b w:val="false"/>
          <w:color w:val="000000"/>
          <w:sz w:val="24"/>
          <w:shd w:fill="FFFFFF" w:val="clear"/>
        </w:rPr>
        <w:t>: 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r>
        <w:rPr>
          <w:color w:val="000000"/>
        </w:rPr>
        <w:t xml:space="preserve"> </w:t>
      </w:r>
    </w:p>
    <w:p>
      <w:pPr>
        <w:pStyle w:val="TextBody"/>
        <w:bidi w:val="0"/>
        <w:spacing w:lineRule="auto" w:line="288" w:before="248" w:after="283"/>
        <w:jc w:val="left"/>
        <w:rPr/>
      </w:pPr>
      <w:r>
        <w:rPr>
          <w:rFonts w:ascii="sans-serif" w:hAnsi="sans-serif"/>
          <w:b/>
          <w:color w:val="000000"/>
          <w:sz w:val="24"/>
          <w:shd w:fill="FFFFFF" w:val="clear"/>
        </w:rPr>
        <w:t xml:space="preserve">IX. </w:t>
      </w:r>
      <w:r>
        <w:rPr>
          <w:rFonts w:ascii="sans-serif" w:hAnsi="sans-serif"/>
          <w:b/>
          <w:color w:val="000000"/>
          <w:sz w:val="24"/>
          <w:u w:val="single"/>
          <w:shd w:fill="FFFFFF" w:val="clear"/>
        </w:rPr>
        <w:t>Post-Employment Termination Transactions</w:t>
      </w:r>
      <w:r>
        <w:rPr>
          <w:color w:val="000000"/>
          <w:u w:val="single"/>
        </w:rPr>
        <w:t xml:space="preserve"> </w:t>
      </w:r>
    </w:p>
    <w:p>
      <w:pPr>
        <w:pStyle w:val="TextBody"/>
        <w:bidi w:val="0"/>
        <w:spacing w:lineRule="auto" w:line="288" w:before="252" w:after="283"/>
        <w:ind w:left="0" w:right="0" w:firstLine="773"/>
        <w:jc w:val="left"/>
        <w:rPr/>
      </w:pPr>
      <w:r>
        <w:rPr>
          <w:rFonts w:ascii="sans-serif" w:hAnsi="sans-serif"/>
          <w:b w:val="false"/>
          <w:color w:val="000000"/>
          <w:sz w:val="24"/>
          <w:shd w:fill="FFFFFF" w:val="clear"/>
        </w:rPr>
        <w:t>This Policy continues to apply to Covered Persons following the termination of an employment or service relationship until the next Open Trading Window begins if your termination occurs outside of an Open Trading Window. As an example, if your employment terminates during a Blackout Period, you must wait until the next Trading Window opens before trading in Company securities (but you would not necessarily need to wait if termination happens during a Trading Window</w:t>
      </w:r>
      <w:r>
        <w:rPr>
          <w:rFonts w:ascii="sans-serif" w:hAnsi="sans-serif"/>
          <w:b w:val="false"/>
          <w:color w:val="1D1C1D"/>
          <w:sz w:val="24"/>
          <w:shd w:fill="F8F8F8" w:val="clear"/>
        </w:rPr>
        <w:t>).</w:t>
      </w:r>
      <w:r>
        <w:rPr>
          <w:rFonts w:ascii="sans-serif" w:hAnsi="sans-serif"/>
          <w:b w:val="false"/>
          <w:color w:val="000000"/>
          <w:sz w:val="24"/>
          <w:shd w:fill="FFFFFF" w:val="clear"/>
        </w:rPr>
        <w:t>If an individual is in possession of material nonpublic information anytime after the individual’s service terminates, by law the individual may not trade in the Company’s securities or other Companies’ securities, as discussed in Section III above, until that information has become public or is no longer material.</w:t>
      </w:r>
      <w:r>
        <w:rPr>
          <w:color w:val="000000"/>
        </w:rPr>
        <w:t xml:space="preserve"> </w:t>
      </w:r>
    </w:p>
    <w:p>
      <w:pPr>
        <w:pStyle w:val="TextBody"/>
        <w:bidi w:val="0"/>
        <w:spacing w:lineRule="auto" w:line="288" w:before="248" w:after="283"/>
        <w:ind w:left="0" w:right="0" w:hanging="360"/>
        <w:jc w:val="left"/>
        <w:rPr/>
      </w:pPr>
      <w:r>
        <w:rPr>
          <w:color w:val="000000"/>
        </w:rPr>
        <w:t>•</w:t>
      </w:r>
      <w:r>
        <w:rPr>
          <w:rFonts w:ascii="sans-serif" w:hAnsi="sans-serif"/>
          <w:b w:val="false"/>
          <w:color w:val="000000"/>
          <w:sz w:val="24"/>
          <w:shd w:fill="FFFFFF" w:val="clear"/>
        </w:rPr>
        <w:t xml:space="preserve">Stock options or shares purchased via the ESPP during the course of employment at Peloton must be retained in a Company designated account until such shares are sold (as opposed to transferring the shares to an account at a personal brokerage firm). If (a) none of an individual’s shares originated from stock option exercises or were purchased via the ESPP and (b) the individual is proposing to remove all of their shares from their Company designated account at once, then they may make a request to the Policy Administrators to proceed with a transfer of such remaining shares of Peloton to a personal brokerage account. </w:t>
      </w:r>
    </w:p>
    <w:p>
      <w:pPr>
        <w:pStyle w:val="TextBody"/>
        <w:bidi w:val="0"/>
        <w:spacing w:lineRule="auto" w:line="288" w:before="248" w:after="283"/>
        <w:jc w:val="left"/>
        <w:rPr/>
      </w:pPr>
      <w:r>
        <w:rPr>
          <w:rFonts w:ascii="sans-serif" w:hAnsi="sans-serif"/>
          <w:b/>
          <w:color w:val="000000"/>
          <w:sz w:val="24"/>
          <w:shd w:fill="FFFFFF" w:val="clear"/>
        </w:rPr>
        <w:t xml:space="preserve">X. </w:t>
      </w:r>
      <w:r>
        <w:rPr>
          <w:rFonts w:ascii="sans-serif" w:hAnsi="sans-serif"/>
          <w:b/>
          <w:color w:val="000000"/>
          <w:sz w:val="24"/>
          <w:u w:val="single"/>
          <w:shd w:fill="FFFFFF" w:val="clear"/>
        </w:rPr>
        <w:t xml:space="preserve">Interpretation, Amendment, and Implementation of this Policy </w:t>
      </w:r>
    </w:p>
    <w:p>
      <w:pPr>
        <w:pStyle w:val="TextBody"/>
        <w:bidi w:val="0"/>
        <w:spacing w:lineRule="auto" w:line="288" w:before="264" w:after="283"/>
        <w:ind w:left="0" w:right="0" w:firstLine="717"/>
        <w:jc w:val="left"/>
        <w:rPr>
          <w:rFonts w:ascii="sans-serif" w:hAnsi="sans-serif"/>
          <w:b w:val="false"/>
          <w:color w:val="000000"/>
          <w:sz w:val="24"/>
          <w:shd w:fill="FFFFFF" w:val="clear"/>
        </w:rPr>
      </w:pPr>
      <w:r>
        <w:rPr>
          <w:rFonts w:ascii="sans-serif" w:hAnsi="sans-serif"/>
          <w:b w:val="false"/>
          <w:color w:val="000000"/>
          <w:sz w:val="24"/>
          <w:shd w:fill="FFFFFF" w:val="clear"/>
        </w:rPr>
        <w:t>The Policy Administrators will review, and either approve or prohibit, any proposed transactions in Peloton securities as required under this Policy, including proposed transactions by 10b5-1 Plan Designated Persons and Access Persons. The Policy Administrators will administer and interpret this Policy, and enforce compliance as needed. The Policy Administrators may consult with the Policy Owners, the Board of Directors and Peloton’s outside legal counsel as needed. Any waiver must be approved by the Board of Directors; however, in situations where the Covered Person has material nonpublic information, such Covered Person cannot engage in transactions involving Peloton securities regardless of whether there may exist a hardship or other urgent need to sell shares.</w:t>
      </w:r>
    </w:p>
    <w:p>
      <w:pPr>
        <w:pStyle w:val="TextBody"/>
        <w:bidi w:val="0"/>
        <w:spacing w:before="35"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lineRule="auto" w:line="288" w:before="0" w:after="0"/>
        <w:ind w:left="0" w:right="0" w:firstLine="713"/>
        <w:jc w:val="both"/>
        <w:rPr>
          <w:rFonts w:ascii="sans-serif" w:hAnsi="sans-serif"/>
          <w:b w:val="false"/>
          <w:color w:val="000000"/>
          <w:sz w:val="24"/>
          <w:shd w:fill="FFFFFF" w:val="clear"/>
        </w:rPr>
      </w:pPr>
      <w:r>
        <w:rPr>
          <w:rFonts w:ascii="sans-serif" w:hAnsi="sans-serif"/>
          <w:b w:val="false"/>
          <w:color w:val="000000"/>
          <w:sz w:val="24"/>
          <w:shd w:fill="FFFFFF" w:val="clear"/>
        </w:rPr>
        <w:t xml:space="preserve">Actions taken by the Company, the Policy Administrators, the Policy Owners, or any other Company personnel do not constitute legal advice, nor do they insulate you from the consequences of noncompliance with this Policy or with securities laws. </w:t>
      </w:r>
    </w:p>
    <w:p>
      <w:pPr>
        <w:pStyle w:val="TextBody"/>
        <w:bidi w:val="0"/>
        <w:spacing w:lineRule="auto" w:line="288" w:before="248" w:after="283"/>
        <w:ind w:left="0" w:right="0" w:firstLine="713"/>
        <w:jc w:val="left"/>
        <w:rPr/>
      </w:pPr>
      <w:r>
        <w:rPr>
          <w:rFonts w:ascii="sans-serif" w:hAnsi="sans-serif"/>
          <w:b w:val="false"/>
          <w:color w:val="000000"/>
          <w:sz w:val="24"/>
          <w:shd w:fill="FFFFFF" w:val="clear"/>
        </w:rPr>
        <w:t xml:space="preserve">Any Covered Person who violates this Policy or any federal or state laws governing insider trading or tipping, or knows of any such violation by any other Covered Person, must report the violation immediately to the Company’s Compliance function at </w:t>
      </w:r>
      <w:r>
        <w:rPr>
          <w:rFonts w:ascii="sans-serif" w:hAnsi="sans-serif"/>
          <w:b w:val="false"/>
          <w:color w:val="1155CC"/>
          <w:sz w:val="24"/>
          <w:u w:val="single"/>
          <w:shd w:fill="FFFFFF" w:val="clear"/>
        </w:rPr>
        <w:t>compliance@onepeloton.com</w:t>
      </w:r>
      <w:r>
        <w:rPr>
          <w:rFonts w:ascii="sans-serif" w:hAnsi="sans-serif"/>
          <w:b w:val="false"/>
          <w:color w:val="000000"/>
          <w:sz w:val="24"/>
          <w:shd w:fill="FFFFFF" w:val="clear"/>
        </w:rPr>
        <w:t xml:space="preserve">, or to the Policy Administrators at </w:t>
      </w:r>
      <w:r>
        <w:rPr>
          <w:rFonts w:ascii="sans-serif" w:hAnsi="sans-serif"/>
          <w:b w:val="false"/>
          <w:color w:val="0000FF"/>
          <w:sz w:val="24"/>
          <w:u w:val="single"/>
          <w:shd w:fill="FFFFFF" w:val="clear"/>
        </w:rPr>
        <w:t>trade@onepeloton.com</w:t>
      </w:r>
      <w:r>
        <w:rPr>
          <w:rFonts w:ascii="sans-serif" w:hAnsi="sans-serif"/>
          <w:b w:val="false"/>
          <w:color w:val="000000"/>
          <w:sz w:val="24"/>
          <w:shd w:fill="FFFFFF" w:val="clear"/>
        </w:rPr>
        <w:t xml:space="preserve">. </w:t>
      </w:r>
    </w:p>
    <w:p>
      <w:pPr>
        <w:pStyle w:val="TextBody"/>
        <w:bidi w:val="0"/>
        <w:spacing w:lineRule="auto" w:line="288" w:before="248" w:after="283"/>
        <w:ind w:left="0" w:right="0" w:firstLine="736"/>
        <w:jc w:val="left"/>
        <w:rPr/>
      </w:pPr>
      <w:r>
        <w:rPr>
          <w:rFonts w:ascii="sans-serif" w:hAnsi="sans-serif"/>
          <w:b w:val="false"/>
          <w:color w:val="000000"/>
          <w:sz w:val="24"/>
          <w:shd w:fill="FFFFFF" w:val="clear"/>
        </w:rPr>
        <w:t xml:space="preserve">Please direct all inquiries about this Policy to the Policy Administrators by emailing </w:t>
      </w:r>
      <w:r>
        <w:rPr>
          <w:rFonts w:ascii="sans-serif" w:hAnsi="sans-serif"/>
          <w:b w:val="false"/>
          <w:color w:val="0000FF"/>
          <w:sz w:val="24"/>
          <w:u w:val="single"/>
          <w:shd w:fill="FFFFFF" w:val="clear"/>
        </w:rPr>
        <w:t>trade@onepeloton.com</w:t>
      </w:r>
      <w:r>
        <w:rPr>
          <w:rFonts w:ascii="sans-serif" w:hAnsi="sans-serif"/>
          <w:b w:val="false"/>
          <w:color w:val="000000"/>
          <w:sz w:val="24"/>
          <w:shd w:fill="FFFFFF" w:val="clear"/>
        </w:rPr>
        <w:t xml:space="preserve">. </w:t>
      </w:r>
    </w:p>
    <w:p>
      <w:pPr>
        <w:pStyle w:val="TextBody"/>
        <w:bidi w:val="0"/>
        <w:spacing w:lineRule="auto" w:line="288" w:before="248" w:after="283"/>
        <w:jc w:val="left"/>
        <w:rPr/>
      </w:pPr>
      <w:r>
        <w:rPr>
          <w:rFonts w:ascii="sans-serif" w:hAnsi="sans-serif"/>
          <w:b/>
          <w:color w:val="000000"/>
          <w:sz w:val="24"/>
          <w:shd w:fill="FFFFFF" w:val="clear"/>
        </w:rPr>
        <w:t xml:space="preserve">XI. </w:t>
      </w:r>
      <w:r>
        <w:rPr>
          <w:rFonts w:ascii="sans-serif" w:hAnsi="sans-serif"/>
          <w:b/>
          <w:color w:val="000000"/>
          <w:sz w:val="24"/>
          <w:u w:val="single"/>
          <w:shd w:fill="FFFFFF" w:val="clear"/>
        </w:rPr>
        <w:t>Certification of Compliance</w:t>
      </w:r>
      <w:r>
        <w:rPr>
          <w:color w:val="000000"/>
          <w:u w:val="single"/>
        </w:rPr>
        <w:t xml:space="preserve"> </w:t>
      </w:r>
    </w:p>
    <w:p>
      <w:pPr>
        <w:pStyle w:val="TextBody"/>
        <w:bidi w:val="0"/>
        <w:spacing w:lineRule="auto" w:line="288" w:before="252" w:after="283"/>
        <w:ind w:left="0" w:right="0" w:firstLine="713"/>
        <w:jc w:val="left"/>
        <w:rPr>
          <w:rFonts w:ascii="sans-serif" w:hAnsi="sans-serif"/>
          <w:b w:val="false"/>
          <w:color w:val="000000"/>
          <w:sz w:val="24"/>
          <w:shd w:fill="FFFFFF" w:val="clear"/>
        </w:rPr>
      </w:pPr>
      <w:r>
        <w:rPr>
          <w:rFonts w:ascii="sans-serif" w:hAnsi="sans-serif"/>
          <w:b w:val="false"/>
          <w:color w:val="000000"/>
          <w:sz w:val="24"/>
          <w:shd w:fill="FFFFFF" w:val="clear"/>
        </w:rPr>
        <w:t xml:space="preserve">All Covered Persons may be asked periodically to certify their compliance with the terms and provisions of this Policy. </w:t>
      </w:r>
    </w:p>
    <w:p>
      <w:pPr>
        <w:pStyle w:val="TextBody"/>
        <w:bidi w:val="0"/>
        <w:spacing w:before="252" w:after="283"/>
        <w:ind w:left="0" w:right="0" w:firstLine="713"/>
        <w:jc w:val="left"/>
        <w:rPr/>
      </w:pPr>
      <w:r>
        <w:rPr/>
      </w:r>
    </w:p>
    <w:p>
      <w:pPr>
        <w:pStyle w:val="TextBody"/>
        <w:bidi w:val="0"/>
        <w:spacing w:before="252" w:after="283"/>
        <w:ind w:left="0" w:right="0" w:firstLine="713"/>
        <w:jc w:val="left"/>
        <w:rPr/>
      </w:pPr>
      <w:r>
        <w:rPr/>
      </w:r>
    </w:p>
    <w:p>
      <w:pPr>
        <w:pStyle w:val="TextBody"/>
        <w:bidi w:val="0"/>
        <w:spacing w:before="252" w:after="283"/>
        <w:ind w:left="0" w:right="0" w:firstLine="713"/>
        <w:jc w:val="left"/>
        <w:rPr/>
      </w:pPr>
      <w:r>
        <w:rPr/>
      </w:r>
    </w:p>
    <w:p>
      <w:pPr>
        <w:pStyle w:val="TextBody"/>
        <w:bidi w:val="0"/>
        <w:spacing w:before="252" w:after="283"/>
        <w:ind w:left="0" w:right="0" w:firstLine="713"/>
        <w:jc w:val="left"/>
        <w:rPr/>
      </w:pPr>
      <w:r>
        <w:rPr/>
      </w:r>
    </w:p>
    <w:p>
      <w:pPr>
        <w:pStyle w:val="TextBody"/>
        <w:bidi w:val="0"/>
        <w:spacing w:before="252" w:after="283"/>
        <w:ind w:left="0" w:right="0" w:firstLine="713"/>
        <w:jc w:val="left"/>
        <w:rPr/>
      </w:pPr>
      <w:r>
        <w:rPr/>
      </w:r>
    </w:p>
    <w:p>
      <w:pPr>
        <w:pStyle w:val="TextBody"/>
        <w:bidi w:val="0"/>
        <w:spacing w:before="252" w:after="283"/>
        <w:ind w:left="0" w:right="0" w:firstLine="71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4"/>
          <w:u w:val="single"/>
          <w:shd w:fill="FFFFFF" w:val="clear"/>
        </w:rPr>
        <w:t>Schedule I - Definitions</w:t>
      </w:r>
      <w:r>
        <w:rPr>
          <w:color w:val="000000"/>
          <w:u w:val="single"/>
        </w:rPr>
        <w:t xml:space="preserve"> </w:t>
      </w:r>
    </w:p>
    <w:p>
      <w:pPr>
        <w:pStyle w:val="TextBody"/>
        <w:bidi w:val="0"/>
        <w:spacing w:lineRule="auto" w:line="280" w:before="252" w:after="283"/>
        <w:ind w:left="0" w:right="0" w:firstLine="724"/>
        <w:jc w:val="both"/>
        <w:rPr/>
      </w:pPr>
      <w:r>
        <w:rPr>
          <w:color w:val="000000"/>
          <w:shd w:fill="FFFFFF" w:val="clear"/>
        </w:rPr>
        <w:t>“</w:t>
      </w:r>
      <w:r>
        <w:rPr>
          <w:rFonts w:ascii="sans-serif" w:hAnsi="sans-serif"/>
          <w:b w:val="false"/>
          <w:color w:val="000000"/>
          <w:sz w:val="24"/>
          <w:u w:val="single"/>
          <w:shd w:fill="FFFFFF" w:val="clear"/>
        </w:rPr>
        <w:t>10b5-1 Plan Designated Persons</w:t>
      </w:r>
      <w:r>
        <w:rPr>
          <w:color w:val="000000"/>
          <w:shd w:fill="FFFFFF" w:val="clear"/>
        </w:rPr>
        <w:t xml:space="preserve">” </w:t>
      </w:r>
      <w:r>
        <w:rPr>
          <w:rFonts w:ascii="sans-serif" w:hAnsi="sans-serif"/>
          <w:b w:val="false"/>
          <w:color w:val="000000"/>
          <w:sz w:val="24"/>
          <w:shd w:fill="FFFFFF" w:val="clear"/>
        </w:rPr>
        <w:t xml:space="preserve">means members of Peloton’s Board of Directors, Officers, senior leaders who are direct reports of the CEO, and others who have regular access to material nonpublic information about Peloton in the normal course of their duties. </w:t>
      </w:r>
    </w:p>
    <w:p>
      <w:pPr>
        <w:pStyle w:val="TextBody"/>
        <w:bidi w:val="0"/>
        <w:spacing w:lineRule="auto" w:line="280" w:before="248" w:after="283"/>
        <w:ind w:left="0" w:right="0" w:firstLine="713"/>
        <w:jc w:val="both"/>
        <w:rPr/>
      </w:pPr>
      <w:r>
        <w:rPr>
          <w:rFonts w:ascii="sans-serif" w:hAnsi="sans-serif"/>
          <w:b w:val="false"/>
          <w:color w:val="000000"/>
          <w:sz w:val="24"/>
          <w:shd w:fill="FFFFFF" w:val="clear"/>
        </w:rPr>
        <w:t>An “</w:t>
      </w:r>
      <w:r>
        <w:rPr>
          <w:rFonts w:ascii="sans-serif" w:hAnsi="sans-serif"/>
          <w:b w:val="false"/>
          <w:color w:val="000000"/>
          <w:sz w:val="24"/>
          <w:u w:val="single"/>
          <w:shd w:fill="FFFFFF" w:val="clear"/>
        </w:rPr>
        <w:t>Immediate Family Member</w:t>
      </w:r>
      <w:r>
        <w:rPr>
          <w:color w:val="000000"/>
          <w:shd w:fill="FFFFFF" w:val="clear"/>
        </w:rPr>
        <w:t xml:space="preserve">” </w:t>
      </w:r>
      <w:r>
        <w:rPr>
          <w:rFonts w:ascii="sans-serif" w:hAnsi="sans-serif"/>
          <w:b w:val="false"/>
          <w:color w:val="000000"/>
          <w:sz w:val="24"/>
          <w:shd w:fill="FFFFFF" w:val="clear"/>
        </w:rPr>
        <w:t>means any child, stepchild, parent, stepparent, spouse or domestic partner, sibling, parent-in-law, child-in-law, or sibling-in law of a security holder, and includes any person (other than a tenant or employee) sharing the household of that security holder, such as a roommate.</w:t>
      </w:r>
      <w:r>
        <w:rPr>
          <w:color w:val="000000"/>
        </w:rPr>
        <w:t xml:space="preserve"> </w:t>
      </w:r>
    </w:p>
    <w:p>
      <w:pPr>
        <w:pStyle w:val="TextBody"/>
        <w:bidi w:val="0"/>
        <w:spacing w:lineRule="auto" w:line="280" w:before="251" w:after="283"/>
        <w:ind w:left="0" w:right="0" w:firstLine="743"/>
        <w:jc w:val="both"/>
        <w:rPr/>
      </w:pPr>
      <w:r>
        <w:rPr>
          <w:color w:val="000000"/>
          <w:shd w:fill="FFFFFF" w:val="clear"/>
        </w:rPr>
        <w:t>“</w:t>
      </w:r>
      <w:r>
        <w:rPr>
          <w:rFonts w:ascii="sans-serif" w:hAnsi="sans-serif"/>
          <w:b w:val="false"/>
          <w:color w:val="000000"/>
          <w:sz w:val="24"/>
          <w:u w:val="single"/>
          <w:shd w:fill="FFFFFF" w:val="clear"/>
        </w:rPr>
        <w:t>Purchase</w:t>
      </w:r>
      <w:r>
        <w:rPr>
          <w:color w:val="000000"/>
          <w:shd w:fill="FFFFFF" w:val="clear"/>
        </w:rPr>
        <w:t xml:space="preserve">” </w:t>
      </w:r>
      <w:r>
        <w:rPr>
          <w:rFonts w:ascii="sans-serif" w:hAnsi="sans-serif"/>
          <w:b w:val="false"/>
          <w:color w:val="000000"/>
          <w:sz w:val="24"/>
          <w:shd w:fill="FFFFFF" w:val="clear"/>
        </w:rPr>
        <w:t xml:space="preserve">and </w:t>
      </w:r>
      <w:r>
        <w:rPr>
          <w:color w:val="000000"/>
          <w:shd w:fill="FFFFFF" w:val="clear"/>
        </w:rPr>
        <w:t>“</w:t>
      </w:r>
      <w:r>
        <w:rPr>
          <w:rFonts w:ascii="sans-serif" w:hAnsi="sans-serif"/>
          <w:b w:val="false"/>
          <w:color w:val="000000"/>
          <w:sz w:val="24"/>
          <w:u w:val="single"/>
          <w:shd w:fill="FFFFFF" w:val="clear"/>
        </w:rPr>
        <w:t>Sale</w:t>
      </w:r>
      <w:r>
        <w:rPr>
          <w:color w:val="000000"/>
          <w:shd w:fill="FFFFFF" w:val="clear"/>
        </w:rPr>
        <w:t xml:space="preserve">” </w:t>
      </w:r>
      <w:r>
        <w:rPr>
          <w:rFonts w:ascii="sans-serif" w:hAnsi="sans-serif"/>
          <w:b w:val="false"/>
          <w:color w:val="000000"/>
          <w:sz w:val="24"/>
          <w:shd w:fill="FFFFFF" w:val="clear"/>
        </w:rPr>
        <w:t xml:space="preserve">are defined broadly under the federal securities law. </w:t>
      </w:r>
      <w:r>
        <w:rPr>
          <w:color w:val="000000"/>
          <w:shd w:fill="FFFFFF" w:val="clear"/>
        </w:rPr>
        <w:t>“</w:t>
      </w:r>
      <w:r>
        <w:rPr>
          <w:rFonts w:ascii="sans-serif" w:hAnsi="sans-serif"/>
          <w:b w:val="false"/>
          <w:color w:val="000000"/>
          <w:sz w:val="24"/>
          <w:shd w:fill="FFFFFF" w:val="clear"/>
        </w:rPr>
        <w:t>Purchase</w:t>
      </w:r>
      <w:r>
        <w:rPr>
          <w:color w:val="000000"/>
          <w:shd w:fill="FFFFFF" w:val="clear"/>
        </w:rPr>
        <w:t>”</w:t>
      </w:r>
      <w:r>
        <w:rPr>
          <w:color w:val="000000"/>
        </w:rPr>
        <w:t xml:space="preserve"> </w:t>
      </w:r>
      <w:r>
        <w:rPr>
          <w:rFonts w:ascii="sans-serif" w:hAnsi="sans-serif"/>
          <w:b w:val="false"/>
          <w:color w:val="000000"/>
          <w:sz w:val="24"/>
          <w:shd w:fill="FFFFFF" w:val="clear"/>
        </w:rPr>
        <w:t xml:space="preserve">includes not only the actual purchase of a security, but also any contract to purchase or otherwise acquire a security. </w:t>
      </w:r>
      <w:r>
        <w:rPr>
          <w:color w:val="000000"/>
          <w:shd w:fill="FFFFFF" w:val="clear"/>
        </w:rPr>
        <w:t>“</w:t>
      </w:r>
      <w:r>
        <w:rPr>
          <w:rFonts w:ascii="sans-serif" w:hAnsi="sans-serif"/>
          <w:b w:val="false"/>
          <w:color w:val="000000"/>
          <w:sz w:val="24"/>
          <w:shd w:fill="FFFFFF" w:val="clear"/>
        </w:rPr>
        <w:t>Sale</w:t>
      </w:r>
      <w:r>
        <w:rPr>
          <w:color w:val="000000"/>
          <w:shd w:fill="FFFFFF" w:val="clear"/>
        </w:rPr>
        <w:t xml:space="preserve">” </w:t>
      </w:r>
      <w:r>
        <w:rPr>
          <w:rFonts w:ascii="sans-serif" w:hAnsi="sans-serif"/>
          <w:b w:val="false"/>
          <w:color w:val="000000"/>
          <w:sz w:val="24"/>
          <w:shd w:fill="FFFFFF" w:val="clear"/>
        </w:rPr>
        <w:t>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r>
        <w:rPr>
          <w:color w:val="000000"/>
        </w:rPr>
        <w:t xml:space="preserve"> </w:t>
      </w:r>
    </w:p>
    <w:p>
      <w:pPr>
        <w:pStyle w:val="TextBody"/>
        <w:bidi w:val="0"/>
        <w:spacing w:lineRule="auto" w:line="280" w:before="248" w:after="283"/>
        <w:ind w:left="0" w:right="0" w:firstLine="725"/>
        <w:jc w:val="both"/>
        <w:rPr/>
      </w:pPr>
      <w:r>
        <w:rPr>
          <w:color w:val="000000"/>
          <w:shd w:fill="FFFFFF" w:val="clear"/>
        </w:rPr>
        <w:t>“</w:t>
      </w:r>
      <w:r>
        <w:rPr>
          <w:rFonts w:ascii="sans-serif" w:hAnsi="sans-serif"/>
          <w:b w:val="false"/>
          <w:color w:val="000000"/>
          <w:sz w:val="24"/>
          <w:u w:val="single"/>
          <w:shd w:fill="FFFFFF" w:val="clear"/>
        </w:rPr>
        <w:t>Section 16 Reporting Persons</w:t>
      </w:r>
      <w:r>
        <w:rPr>
          <w:color w:val="000000"/>
          <w:shd w:fill="FFFFFF" w:val="clear"/>
        </w:rPr>
        <w:t xml:space="preserve">” </w:t>
      </w:r>
      <w:r>
        <w:rPr>
          <w:rFonts w:ascii="sans-serif" w:hAnsi="sans-serif"/>
          <w:b w:val="false"/>
          <w:color w:val="000000"/>
          <w:sz w:val="24"/>
          <w:shd w:fill="FFFFFF" w:val="clear"/>
        </w:rPr>
        <w:t xml:space="preserve">means members of Peloton’s Board of Directors and officers of Peloton designated as Section 16 officers by the Board, including the Chief Accounting Officer (if separate from the principal financial officer). </w:t>
      </w:r>
    </w:p>
    <w:p>
      <w:pPr>
        <w:pStyle w:val="TextBody"/>
        <w:bidi w:val="0"/>
        <w:spacing w:lineRule="auto" w:line="280" w:before="248" w:after="283"/>
        <w:ind w:left="0" w:right="0" w:firstLine="736"/>
        <w:jc w:val="left"/>
        <w:rPr/>
      </w:pPr>
      <w:r>
        <w:rPr>
          <w:color w:val="000000"/>
          <w:shd w:fill="FFFFFF" w:val="clear"/>
        </w:rPr>
        <w:t>“</w:t>
      </w:r>
      <w:r>
        <w:rPr>
          <w:rFonts w:ascii="sans-serif" w:hAnsi="sans-serif"/>
          <w:b w:val="false"/>
          <w:color w:val="000000"/>
          <w:sz w:val="24"/>
          <w:u w:val="single"/>
          <w:shd w:fill="FFFFFF" w:val="clear"/>
        </w:rPr>
        <w:t>Securities</w:t>
      </w:r>
      <w:r>
        <w:rPr>
          <w:color w:val="000000"/>
          <w:shd w:fill="FFFFFF" w:val="clear"/>
        </w:rPr>
        <w:t xml:space="preserve">” </w:t>
      </w:r>
      <w:r>
        <w:rPr>
          <w:rFonts w:ascii="sans-serif" w:hAnsi="sans-serif"/>
          <w:b w:val="false"/>
          <w:color w:val="000000"/>
          <w:sz w:val="24"/>
          <w:shd w:fill="FFFFFF" w:val="clear"/>
        </w:rPr>
        <w:t>includes stocks, bonds, notes, debentures, options, warrants, equity and other convertible securities, as well as derivative instrument.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21.1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Subsidiaries of Peloton Interactive, Inc. </w:t>
      </w:r>
    </w:p>
    <w:tbl>
      <w:tblPr>
        <w:tblW w:w="566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767"/>
        <w:gridCol w:w="767"/>
        <w:gridCol w:w="1090"/>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Peloton Interactive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Peloton Interactive Canada Inc. </w:t>
            </w:r>
          </w:p>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Precor Incorporated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Canada</w:t>
            </w:r>
          </w:p>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77" w:before="0" w:after="120"/>
        <w:jc w:val="center"/>
        <w:rPr>
          <w:rFonts w:ascii="Arial;sans-serif" w:hAnsi="Arial;sans-serif"/>
          <w:b w:val="false"/>
          <w:color w:val="000000"/>
          <w:sz w:val="21"/>
        </w:rPr>
      </w:pPr>
      <w:r>
        <w:rPr>
          <w:rFonts w:ascii="Arial;sans-serif" w:hAnsi="Arial;sans-serif"/>
          <w:b w:val="false"/>
          <w:color w:val="000000"/>
          <w:sz w:val="21"/>
        </w:rPr>
        <w:t>Consent of Independent Registered Public Accounting Firm</w:t>
      </w:r>
    </w:p>
    <w:p>
      <w:pPr>
        <w:pStyle w:val="TextBody"/>
        <w:bidi w:val="0"/>
        <w:spacing w:lineRule="auto" w:line="477" w:before="0" w:after="0"/>
        <w:jc w:val="left"/>
        <w:rPr/>
      </w:pPr>
      <w:r>
        <w:rPr>
          <w:rFonts w:ascii="Arial;sans-serif" w:hAnsi="Arial;sans-serif"/>
          <w:b w:val="false"/>
          <w:color w:val="000000"/>
          <w:sz w:val="21"/>
        </w:rPr>
        <w:t xml:space="preserve">We consent to the incorporation by reference in the Registration Statements on Form S-3 (File No. 333-261097) and Form S-8 (File Nos. </w:t>
      </w:r>
      <w:r>
        <w:rPr>
          <w:rFonts w:ascii="Arial;sans-serif" w:hAnsi="Arial;sans-serif"/>
          <w:b w:val="false"/>
          <w:color w:val="333333"/>
          <w:sz w:val="21"/>
        </w:rPr>
        <w:t xml:space="preserve">333-289378, </w:t>
      </w:r>
      <w:r>
        <w:rPr>
          <w:rFonts w:ascii="Arial;sans-serif" w:hAnsi="Arial;sans-serif"/>
          <w:b w:val="false"/>
          <w:color w:val="000000"/>
          <w:sz w:val="21"/>
        </w:rPr>
        <w:t>333-281725, 333-276818, 333-274173, 333-267306, 333-259099, 333-248724, and 333-233941) of our reports dated August 6, 2026, with respect to the consolidated financial statements of Peloton Interactive, Inc. and the effectiveness of internal control over financial reporting of Peloton Interactive, Inc. included in this Annual Report (Form 10-K) for the year ended June 30, 2026.</w:t>
      </w:r>
    </w:p>
    <w:p>
      <w:pPr>
        <w:pStyle w:val="TextBody"/>
        <w:bidi w:val="0"/>
        <w:spacing w:lineRule="auto" w:line="477" w:before="120" w:after="360"/>
        <w:ind w:left="0" w:right="0" w:firstLine="420"/>
        <w:jc w:val="left"/>
        <w:rPr>
          <w:rFonts w:ascii="Arial;sans-serif" w:hAnsi="Arial;sans-serif"/>
          <w:b w:val="false"/>
          <w:color w:val="000000"/>
          <w:sz w:val="21"/>
          <w:shd w:fill="FFFFFF" w:val="clear"/>
        </w:rPr>
      </w:pPr>
      <w:r>
        <w:rPr>
          <w:rFonts w:ascii="Arial;sans-serif" w:hAnsi="Arial;sans-serif"/>
          <w:b w:val="false"/>
          <w:color w:val="000000"/>
          <w:sz w:val="21"/>
          <w:shd w:fill="FFFFFF" w:val="clear"/>
        </w:rPr>
        <w:t>/s/ Ernst &amp; Young LLP</w:t>
      </w:r>
    </w:p>
    <w:p>
      <w:pPr>
        <w:pStyle w:val="TextBody"/>
        <w:bidi w:val="0"/>
        <w:spacing w:lineRule="auto" w:line="477" w:before="120" w:after="360"/>
        <w:ind w:left="0" w:right="0" w:firstLine="420"/>
        <w:jc w:val="left"/>
        <w:rPr>
          <w:rFonts w:ascii="Arial;sans-serif" w:hAnsi="Arial;sans-serif"/>
          <w:b w:val="false"/>
          <w:color w:val="000000"/>
          <w:sz w:val="21"/>
          <w:shd w:fill="FFFFFF" w:val="clear"/>
        </w:rPr>
      </w:pPr>
      <w:r>
        <w:rPr>
          <w:rFonts w:ascii="Arial;sans-serif" w:hAnsi="Arial;sans-serif"/>
          <w:b w:val="false"/>
          <w:color w:val="000000"/>
          <w:sz w:val="21"/>
          <w:shd w:fill="FFFFFF" w:val="clear"/>
        </w:rPr>
        <w:t>New York, New York</w:t>
      </w:r>
    </w:p>
    <w:p>
      <w:pPr>
        <w:pStyle w:val="TextBody"/>
        <w:bidi w:val="0"/>
        <w:spacing w:lineRule="auto" w:line="477" w:before="120" w:after="360"/>
        <w:ind w:left="0" w:right="0" w:firstLine="420"/>
        <w:jc w:val="left"/>
        <w:rPr>
          <w:rFonts w:ascii="Arial;sans-serif" w:hAnsi="Arial;sans-serif"/>
          <w:b w:val="false"/>
          <w:color w:val="000000"/>
          <w:sz w:val="21"/>
        </w:rPr>
      </w:pPr>
      <w:r>
        <w:rPr>
          <w:rFonts w:ascii="Arial;sans-serif" w:hAnsi="Arial;sans-serif"/>
          <w:b w:val="false"/>
          <w:color w:val="000000"/>
          <w:sz w:val="21"/>
        </w:rPr>
        <w:t>August 6, 2026</w:t>
      </w:r>
    </w:p>
    <w:p>
      <w:pPr>
        <w:pStyle w:val="TextBody"/>
        <w:bidi w:val="0"/>
        <w:spacing w:before="0" w:after="225"/>
        <w:jc w:val="left"/>
        <w:rPr/>
      </w:pPr>
      <w:r>
        <w:rPr/>
      </w:r>
    </w:p>
    <w:p>
      <w:pPr>
        <w:pStyle w:val="TextBody"/>
        <w:bidi w:val="0"/>
        <w:spacing w:before="0" w:after="225"/>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Annual Report on Form 10-K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Siddharth Thacker,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Annual Report on Form 10-K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Siddharth Thacker</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Siddharth Thacker</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Roboto;sans-serif" w:hAnsi="Roboto;sans-serif"/>
          <w:b w:val="false"/>
          <w:color w:val="000000"/>
          <w:sz w:val="18"/>
        </w:rPr>
        <w:t>1.the Annual Report on Form 10-K of the Company for the fiscal year ended June 30, 2026</w:t>
      </w:r>
      <w:r>
        <w:rPr>
          <w:color w:val="000000"/>
        </w:rPr>
        <w:t xml:space="preserve"> </w:t>
      </w:r>
      <w:r>
        <w:rPr>
          <w:rFonts w:ascii="Roboto;sans-serif" w:hAnsi="Roboto;sans-serif"/>
          <w:b w:val="false"/>
          <w:color w:val="000000"/>
          <w:sz w:val="18"/>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August 6,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Siddharth Thacker,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Annual Report on Form 10-K of the Company for the fiscal year ended June 30, 2026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August 6,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Siddharth Thacker</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Siddharth Thacker</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 w:name="Adelle Sans">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9825/000163982519000018/exhibit31restatedcertifi.htm" TargetMode="External"/><Relationship Id="rId4" Type="http://schemas.openxmlformats.org/officeDocument/2006/relationships/hyperlink" Target="https://www.sec.gov/Archives/edgar/data/1639825/000163982524000041/pton-secondamendedandresta.htm" TargetMode="External"/><Relationship Id="rId5" Type="http://schemas.openxmlformats.org/officeDocument/2006/relationships/hyperlink" Target="https://www.sec.gov/Archives/edgar/data/1639825/000119312519242158/d738839dex41.htm" TargetMode="External"/><Relationship Id="rId6" Type="http://schemas.openxmlformats.org/officeDocument/2006/relationships/hyperlink" Target="https://www.sec.gov/Archives/edgar/data/1639825/000119312519230923/d738839dex42.htm" TargetMode="External"/><Relationship Id="rId7" Type="http://schemas.openxmlformats.org/officeDocument/2006/relationships/hyperlink" Target="https://www.sec.gov/Archives/edgar/data/1639825/000119312524147076/d703266dex41.htm" TargetMode="External"/><Relationship Id="rId8" Type="http://schemas.openxmlformats.org/officeDocument/2006/relationships/hyperlink" Target="https://www.sec.gov/Archives/edgar/data/1639825/000119312524147076/d703266dex41.htm" TargetMode="External"/><Relationship Id="rId9" Type="http://schemas.openxmlformats.org/officeDocument/2006/relationships/hyperlink" Target="https://www.sec.gov/Archives/edgar/data/1639825/000163982520000122/fy202010-kexhibit43des.htm" TargetMode="External"/><Relationship Id="rId10" Type="http://schemas.openxmlformats.org/officeDocument/2006/relationships/hyperlink" Target="https://www.sec.gov/Archives/edgar/data/1639825/000119312519230923/d738839dex101.htm" TargetMode="External"/><Relationship Id="rId11" Type="http://schemas.openxmlformats.org/officeDocument/2006/relationships/hyperlink" Target="https://www.sec.gov/Archives/edgar/data/1639825/000119312519230923/d738839dex102.htm" TargetMode="External"/><Relationship Id="rId12" Type="http://schemas.openxmlformats.org/officeDocument/2006/relationships/hyperlink" Target="https://www.sec.gov/Archives/edgar/data/1639825/000163982522000117/a2019equityincentiveplanex.htm" TargetMode="External"/><Relationship Id="rId13" Type="http://schemas.openxmlformats.org/officeDocument/2006/relationships/hyperlink" Target="https://www.sec.gov/Archives/edgar/data/1639825/000163982523000203/amendmenttothe2019plan2023.htm" TargetMode="External"/><Relationship Id="rId14" Type="http://schemas.openxmlformats.org/officeDocument/2006/relationships/hyperlink" Target="https://www.sec.gov/Archives/edgar/data/1639825/000119312519255141/d807881dex48.htm" TargetMode="External"/><Relationship Id="rId15" Type="http://schemas.openxmlformats.org/officeDocument/2006/relationships/hyperlink" Target="https://www.sec.gov/Archives/edgar/data/1639825/000163982526000008/q2fy26ex101ptonxamendedsev.htm" TargetMode="External"/><Relationship Id="rId16" Type="http://schemas.openxmlformats.org/officeDocument/2006/relationships/hyperlink" Target="https://www.sec.gov/Archives/edgar/data/1639825/000163982524000164/exhibit101.htm" TargetMode="External"/><Relationship Id="rId17" Type="http://schemas.openxmlformats.org/officeDocument/2006/relationships/hyperlink" Target="https://www.sec.gov/Archives/edgar/data/1639825/000119312522168349/d100730dex101.htm" TargetMode="External"/><Relationship Id="rId18" Type="http://schemas.openxmlformats.org/officeDocument/2006/relationships/hyperlink" Target="https://www.sec.gov/Archives/edgar/data/1639825/000163982523000132/exhibit1010cotterofferlett.htm" TargetMode="External"/><Relationship Id="rId19" Type="http://schemas.openxmlformats.org/officeDocument/2006/relationships/hyperlink" Target="https://www.sec.gov/Archives/edgar/data/1639825/000163982526000014/exhibit101-transitionagree.htm" TargetMode="External"/><Relationship Id="rId20" Type="http://schemas.openxmlformats.org/officeDocument/2006/relationships/hyperlink" Target="https://www.sec.gov/Archives/edgar/data/1639825/000163982526000014/exhibit101-transitionagree.htm" TargetMode="External"/><Relationship Id="rId21" Type="http://schemas.openxmlformats.org/officeDocument/2006/relationships/hyperlink" Target="https://www.sec.gov/Archives/edgar/data/1639825/000163982526000014/exhibit101-transitionagree.htm" TargetMode="External"/><Relationship Id="rId22" Type="http://schemas.openxmlformats.org/officeDocument/2006/relationships/hyperlink" Target="https://www.sec.gov/Archives/edgar/data/1639825/000163982526000014/exhibit101-transitionagree.htm" TargetMode="External"/><Relationship Id="rId23" Type="http://schemas.openxmlformats.org/officeDocument/2006/relationships/hyperlink" Target="https://www.sec.gov/Archives/edgar/data/1639825/000163982524000128/exhibit1012caldwellofferle.htm" TargetMode="External"/><Relationship Id="rId24" Type="http://schemas.openxmlformats.org/officeDocument/2006/relationships/hyperlink" Target="https://www.sec.gov/Archives/edgar/data/1639825/000163982525000062/offerletterbyandbetweencha.htm" TargetMode="External"/><Relationship Id="rId25" Type="http://schemas.openxmlformats.org/officeDocument/2006/relationships/hyperlink" Target="https://www.sec.gov/Archives/edgar/data/1639825/000163982525000173/formofletteragreement.htm" TargetMode="External"/><Relationship Id="rId26" Type="http://schemas.openxmlformats.org/officeDocument/2006/relationships/hyperlink" Target="https://www.sec.gov/Archives/edgar/data/1639825/000163982525000173/formofletteragreement.htm" TargetMode="External"/><Relationship Id="rId27" Type="http://schemas.openxmlformats.org/officeDocument/2006/relationships/hyperlink" Target="https://www.sec.gov/Archives/edgar/data/1639825/000163982525000173/formofletteragreement.htm" TargetMode="External"/><Relationship Id="rId28" Type="http://schemas.openxmlformats.org/officeDocument/2006/relationships/hyperlink" Target="https://www.sec.gov/Archives/edgar/data/1639825/000163982525000173/formofletteragreement.htm" TargetMode="External"/><Relationship Id="rId29" Type="http://schemas.openxmlformats.org/officeDocument/2006/relationships/hyperlink" Target="https://www.sec.gov/Archives/edgar/data/1639825/000163982526000024/ptonofferlettercfosecedgar.htm" TargetMode="External"/><Relationship Id="rId30" Type="http://schemas.openxmlformats.org/officeDocument/2006/relationships/hyperlink" Target="https://www.sec.gov/Archives/edgar/data/1639825/000163982526000024/ptonofferlettercfosecedgar.htm" TargetMode="External"/><Relationship Id="rId31" Type="http://schemas.openxmlformats.org/officeDocument/2006/relationships/hyperlink" Target="https://www.sec.gov/Archives/edgar/data/1639825/000119312519242158/d738839dex109.htm" TargetMode="External"/><Relationship Id="rId32" Type="http://schemas.openxmlformats.org/officeDocument/2006/relationships/hyperlink" Target="https://www.sec.gov/Archives/edgar/data/1639825/000119312519242158/d738839dex1010.htm" TargetMode="External"/><Relationship Id="rId33" Type="http://schemas.openxmlformats.org/officeDocument/2006/relationships/hyperlink" Target="https://www.sec.gov/Archives/edgar/data/1639825/000119312524150397/d832347dex101.htm" TargetMode="External"/><Relationship Id="rId34" Type="http://schemas.openxmlformats.org/officeDocument/2006/relationships/hyperlink" Target="https://www.sec.gov/Archives/edgar/data/1639825/000163982524000128/exhibit971recoupmentpolicy.htm" TargetMode="External"/><Relationship Id="rId35" Type="http://schemas.openxmlformats.org/officeDocument/2006/relationships/image" Target="media/image2.pn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81259</Words>
  <Characters>458321</Characters>
  <CharactersWithSpaces>536387</CharactersWithSpaces>
  <Paragraphs>4773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