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158095.xml.htm"/>
      <w:bookmarkStart w:id="1" w:name="kswkform4_17891580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Boone Karen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PELOTON INTERACTIVE,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441 NINTH AVENUE, SIXTH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PELOTON INTERACTIVE, INC.</w:t>
              </w:r>
            </w:hyperlink>
            <w:r>
              <w:rPr/>
              <w:t xml:space="preserve"> [ </w:t>
            </w:r>
            <w:r>
              <w:rPr>
                <w:rFonts w:ascii="Times;serif" w:hAnsi="Times;serif"/>
                <w:color w:val="0000FF"/>
                <w:sz w:val="24"/>
                <w:shd w:fill="FFFFFF" w:val="clear"/>
              </w:rPr>
              <w:t>PTON</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9,022</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245,085</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(RSU)</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9,022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9,023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 as to 25% of the total shares quarterly on each of March 9, 2026, June 9, 2026, September 9, 2026, and the earlier of (i) December 9, 2026 and (ii) the 2026 annual meeting of stockholders, subject to the Reporting Person's provision of service to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Tammy Albarran as attorney-in-fact for Karen Boone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1290" TargetMode="External"/><Relationship Id="rId5" Type="http://schemas.openxmlformats.org/officeDocument/2006/relationships/hyperlink" Target="http://www.sec.gov/cgi-bin/browse-edgar?action=getcompany&amp;CIK=00016398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666</Words>
  <Characters>3536</Characters>
  <CharactersWithSpaces>4121</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