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677927.xml.htm"/>
      <w:bookmarkStart w:id="1" w:name="kswkform4_178967792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Stern Peter 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PELOTON INTERACTIVE,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441 NINTH AVENUE, SIXTH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PELOTON INTERACTIVE,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PTON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1016"/>
        <w:gridCol w:w="453"/>
        <w:gridCol w:w="669"/>
        <w:gridCol w:w="1161"/>
        <w:gridCol w:w="99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196,328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599,599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100,226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4.85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499,373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41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81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4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 (RSU)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196,328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196,328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("RSU") represents a contingent right to receive one share of the Issuer's Class A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RSUs vest as to 100% of the total shares on September 15, 2026, subject to the Reporting Person's provision of service to the Issuer on the vesting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Tammy Albarran as attorney-in-fact for Peter C. Stern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31302" TargetMode="External"/><Relationship Id="rId5" Type="http://schemas.openxmlformats.org/officeDocument/2006/relationships/hyperlink" Target="http://www.sec.gov/cgi-bin/browse-edgar?action=getcompany&amp;CIK=000163982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657</Words>
  <Characters>3494</Characters>
  <CharactersWithSpaces>4061</CharactersWithSpaces>
  <Paragraphs>119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