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7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May 21, 2026</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7" w:lineRule="exact"/>
        <w:rPr>
          <w:sz w:val="24"/>
          <w:szCs w:val="24"/>
          <w:color w:val="auto"/>
        </w:rPr>
      </w:pPr>
    </w:p>
    <w:tbl>
      <w:tblPr>
        <w:tblLayout w:type="fixed"/>
        <w:tblInd w:w="1160" w:type="dxa"/>
        <w:tblCellMar>
          <w:top w:w="0" w:type="dxa"/>
          <w:left w:w="0" w:type="dxa"/>
          <w:bottom w:w="0" w:type="dxa"/>
          <w:right w:w="0" w:type="dxa"/>
        </w:tblCellMar>
      </w:tblPr>
      <w:tr>
        <w:trPr>
          <w:trHeight w:val="247"/>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vMerge w:val="restart"/>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31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6" w:right="479" w:bottom="1440" w:gutter="0" w:footer="0" w:header="0"/>
        </w:sectPr>
      </w:pPr>
    </w:p>
    <w:bookmarkStart w:id="1" w:name="page2"/>
    <w:bookmarkEnd w:id="1"/>
    <w:p>
      <w:pPr>
        <w:spacing w:after="0" w:line="28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44" w:right="539" w:bottom="1440" w:gutter="0" w:footer="0" w:header="0"/>
        </w:sectPr>
      </w:pPr>
    </w:p>
    <w:bookmarkStart w:id="2" w:name="page3"/>
    <w:bookmarkEnd w:id="2"/>
    <w:p>
      <w:pPr>
        <w:jc w:val="both"/>
        <w:ind w:right="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Appointment of CFO</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May 26, 2026, Peloton Interactive, Inc. (the “Company”) announced the appointment of Siddharth (“Sid”) Thacker as Chief Financial Officer (“CFO”) effective June 22, 2026. Saqib Baig will step down from his position as Interim CFO, effective June 22, 2026, and will remain Chief Accounting Officer.</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Mr. Thacker served as CFO of Rent the Runway, Inc. (“RTR”) from May 2023 to June 2026. Prior to that, he served as RTR’s Senior Vice President, Financial Planning &amp; Analysis, from July 2022 to May 2023. Prior to joining RTR, from January 2020 to March 2022, Mr. Thacker served as an Investment Partner at Coalition Investment Partners, LP, an alternative asset manager. Mr. Thacker has been a general partner of SAR Capital Advisors, LP, an investment advisory firm, since June 2018, and served as its Chief Executive Officer from June 2018 to January 2020. From August 2011 to December 2017, he served as Founder, Chief Executive Officer and Chief Investment Officer of Signpost Capital Advisors, LP, an investment advisory firm. Mr. Thacker holds a B.A. from Oberlin College and an M.B.A. from Harvard Business School.</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and Mr. Thacker have entered into an employment offer letter, dated May 21, 2026 in connection with Mr. Thacker’s appointment as CFO (the “Offer Letter”). Pursuant to the Offer Letter, Mr. Thacker is eligible for the following compensation: (i) an annual base salary of $635,000, (ii) an annual cash bonus equal to 60% of his annual base salary, which will be prorated for fiscal year 2026 to account for Mr. Thacker’s partial year of service, (iii) equity awards initially valued at $8,000,000, subject to approval by the board of directors of the Company, to be allocated as follows: (a) time-based restricted stock units valued at $5,250,000, (b) time-based restricted stock units valued at $500,000 and (c) performance-based restricted stock units valued at $2,250,000. Under the Offer Letter, Mr. Thacker is eligible to participate in the Company’s Severance and Change in Control Plan (the “Severance Plan”) as a Tier 1 participant. The Severance Plan was filed as Exhibit 10.17 to the Company’s Annual Report on Form 10-K, as filed with the Securities and Exchange Commission (the "SEC") on September 11, 2020, as amended by the Amended Severance and Change in Control Plan filed as Exhibit 10.1 to the Company's Quarterly Report on Form 10-Q with the SEC on February 5, 2026, and is incorporated by reference herein.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reference to the full text of the Offer Letter, a copy of which is attached as Exhibit 10.1 hereto and is incorporated herein by reference. There are no arrangements or understandings between Mr. Thacker and any other person pursuant to which Mr. Thacker was appointed as CFO of the Company. Mr. Thacker does not have a family relationship with any director or executive officer of the Company (or any person nominated or chosen by the Company to become a director or executive officer of the Company) or a direct or indirect material interest in any existing or currently proposed transaction that would require disclosure under Item 404(a) of Regulation S-K.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On May 26, 2026, the Company issued a press release announcing Mr. Thacker’s appointment as CFO, as described in this Current Report on Form 8-K. A copy of the press release is attached as Exhibit 99.1 and incorporated herein by reference.</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information contained or incorporated in this Item 7.01, including Exhibit 99.1,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9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183"/>
        </w:trPr>
        <w:tc>
          <w:tcPr>
            <w:tcW w:w="150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9740" w:type="dxa"/>
            <w:vAlign w:val="bottom"/>
            <w:gridSpan w:val="3"/>
          </w:tcPr>
          <w:p>
            <w:pPr>
              <w:spacing w:after="0" w:line="182" w:lineRule="exact"/>
              <w:rPr>
                <w:sz w:val="20"/>
                <w:szCs w:val="20"/>
                <w:color w:val="auto"/>
              </w:rPr>
            </w:pPr>
            <w:r>
              <w:rPr>
                <w:rFonts w:ascii="Arial" w:cs="Arial" w:eastAsia="Arial" w:hAnsi="Arial"/>
                <w:sz w:val="18"/>
                <w:szCs w:val="18"/>
                <w:color w:val="0000FF"/>
              </w:rPr>
              <w:t>Offer Letter, by and between Siddharth Thacker and Peloton Interactive, Inc., dated May 21, 2026.</w:t>
            </w:r>
          </w:p>
        </w:tc>
      </w:tr>
      <w:tr>
        <w:trPr>
          <w:trHeight w:val="209"/>
        </w:trPr>
        <w:tc>
          <w:tcPr>
            <w:tcW w:w="1500" w:type="dxa"/>
            <w:vAlign w:val="bottom"/>
          </w:tcPr>
          <w:p>
            <w:pPr>
              <w:ind w:left="20"/>
              <w:spacing w:after="0"/>
              <w:rPr>
                <w:sz w:val="20"/>
                <w:szCs w:val="20"/>
                <w:color w:val="auto"/>
              </w:rPr>
            </w:pPr>
            <w:r>
              <w:rPr>
                <w:rFonts w:ascii="Arial" w:cs="Arial" w:eastAsia="Arial" w:hAnsi="Arial"/>
                <w:sz w:val="18"/>
                <w:szCs w:val="18"/>
                <w:color w:val="auto"/>
              </w:rPr>
              <w:t>99.1</w:t>
            </w:r>
          </w:p>
        </w:tc>
        <w:tc>
          <w:tcPr>
            <w:tcW w:w="5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Press Release Announcing Appointment of CFO, dated May 26, 2026.</w:t>
            </w:r>
          </w:p>
        </w:tc>
        <w:tc>
          <w:tcPr>
            <w:tcW w:w="2200" w:type="dxa"/>
            <w:vAlign w:val="bottom"/>
            <w:tcBorders>
              <w:top w:val="single" w:sz="8" w:color="0000FF"/>
            </w:tcBorders>
          </w:tcPr>
          <w:p>
            <w:pPr>
              <w:spacing w:after="0"/>
              <w:rPr>
                <w:sz w:val="18"/>
                <w:szCs w:val="18"/>
                <w:color w:val="auto"/>
              </w:rPr>
            </w:pPr>
          </w:p>
        </w:tc>
        <w:tc>
          <w:tcPr>
            <w:tcW w:w="1940" w:type="dxa"/>
            <w:vAlign w:val="bottom"/>
          </w:tcPr>
          <w:p>
            <w:pPr>
              <w:spacing w:after="0"/>
              <w:rPr>
                <w:sz w:val="18"/>
                <w:szCs w:val="18"/>
                <w:color w:val="auto"/>
              </w:rPr>
            </w:pPr>
          </w:p>
        </w:tc>
      </w:tr>
      <w:tr>
        <w:trPr>
          <w:trHeight w:val="254"/>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97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203"/>
        </w:trPr>
        <w:tc>
          <w:tcPr>
            <w:tcW w:w="15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ectPr>
          <w:pgSz w:w="11900" w:h="16838" w:orient="portrait"/>
          <w:cols w:equalWidth="0" w:num="1">
            <w:col w:w="11200"/>
          </w:cols>
          <w:pgMar w:left="320" w:top="782" w:right="37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26, 2026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 Tammy Albarran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Tammy Albarran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3">
            <w:col w:w="4040" w:space="720"/>
            <w:col w:w="260" w:space="540"/>
            <w:col w:w="5640"/>
          </w:cols>
          <w:pgMar w:left="320" w:top="782" w:right="37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911860</wp:posOffset>
            </wp:positionV>
            <wp:extent cx="1748790"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PELOTON INTERACTIVE,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441 9th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May 21, 2026</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Siddharth Thacker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Via Email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Sid:</w:t>
      </w:r>
    </w:p>
    <w:p>
      <w:pPr>
        <w:spacing w:after="0" w:line="2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Peloton Interactive,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pleased to offer you employment on the following terms, commencing on June 22, 2026 (the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660" w:hanging="328"/>
        <w:spacing w:after="0" w:line="252"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title will be Chief Financial Officer and you will report to the Company’s Chief Executive Officer and President.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 During your employment, you may (A) consistent with Company governance policies, serve on corporate boards or committees of businesses that are not competitors of the Company, with prior written approval of the Chief Executive Officer and President (not to be unreasonably withheld), (B) manage your personal and family investments, and (C) continue to serve on the positions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so long as any such activities do not, individually or in the aggregate, interfere with the discharge of your responsibilities to the Company or create a conflict of interest.</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w:t>
      </w:r>
      <w:r>
        <w:rPr>
          <w:rFonts w:ascii="Times New Roman" w:cs="Times New Roman" w:eastAsia="Times New Roman" w:hAnsi="Times New Roman"/>
          <w:sz w:val="20"/>
          <w:szCs w:val="20"/>
          <w:color w:val="auto"/>
        </w:rPr>
        <w:t>. The Company will pay you a starting salary at the rate of $635,000.00 per year, payable in accordance with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 payroll schedule. This salary may be subject to adjustment pursuant to the Company’s employee compensation policies in effect from time to time.</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Bonus</w:t>
      </w:r>
      <w:r>
        <w:rPr>
          <w:rFonts w:ascii="Times New Roman" w:cs="Times New Roman" w:eastAsia="Times New Roman" w:hAnsi="Times New Roman"/>
          <w:sz w:val="20"/>
          <w:szCs w:val="20"/>
          <w:color w:val="auto"/>
        </w:rPr>
        <w:t>. You will be eligible to receive an annual cash bonus of 60% of your base salary for fiscal year 2026 (July 1, 2025 -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June 30, 2026), pro-rated to account for your partial year of service. Based on a Commencement Date of June 22, this fiscal year 2026 bonus would be $9,394.52. For fiscal year 2027 and later, you will be eligible to receive an annual cash bonus with a target of 60% of your base salary, subject to the achievement of performance metrics to be established by the Board (or the Compensation Committee). Other than with respect to the annual bonus payable for the 2026 fiscal year, the achievement of applicable performance metrics, and the actual amount of the annual bonus, if any, will be determined by the Board (or the</w:t>
      </w:r>
    </w:p>
    <w:p>
      <w:pPr>
        <w:sectPr>
          <w:pgSz w:w="11900" w:h="16838" w:orient="portrait"/>
          <w:cols w:equalWidth="0" w:num="1">
            <w:col w:w="11240"/>
          </w:cols>
          <w:pgMar w:left="320" w:top="1440" w:right="339" w:bottom="1440" w:gutter="0" w:footer="0" w:header="0"/>
        </w:sectPr>
      </w:pPr>
    </w:p>
    <w:bookmarkStart w:id="6" w:name="page7"/>
    <w:bookmarkEnd w:id="6"/>
    <w:p>
      <w:pPr>
        <w:ind w:left="328" w:right="20"/>
        <w:spacing w:after="0" w:line="283" w:lineRule="auto"/>
        <w:rPr>
          <w:sz w:val="20"/>
          <w:szCs w:val="20"/>
          <w:color w:val="auto"/>
        </w:rPr>
      </w:pPr>
      <w:r>
        <w:rPr>
          <w:rFonts w:ascii="Times New Roman" w:cs="Times New Roman" w:eastAsia="Times New Roman" w:hAnsi="Times New Roman"/>
          <w:sz w:val="20"/>
          <w:szCs w:val="20"/>
          <w:color w:val="auto"/>
        </w:rPr>
        <w:t>Compensation Committee). Annual bonuses will be paid no later than September 15, following the close of the corresponding fiscal performance year. You must be employed on the payment date to receive the annual bonus.</w:t>
      </w:r>
    </w:p>
    <w:p>
      <w:pPr>
        <w:spacing w:after="0" w:line="169" w:lineRule="exact"/>
        <w:rPr>
          <w:sz w:val="20"/>
          <w:szCs w:val="20"/>
          <w:color w:val="auto"/>
        </w:rPr>
      </w:pPr>
    </w:p>
    <w:p>
      <w:pPr>
        <w:jc w:val="both"/>
        <w:ind w:left="328" w:hanging="328"/>
        <w:spacing w:after="0" w:line="26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to Office Policy</w:t>
      </w:r>
      <w:r>
        <w:rPr>
          <w:rFonts w:ascii="Times New Roman" w:cs="Times New Roman" w:eastAsia="Times New Roman" w:hAnsi="Times New Roman"/>
          <w:sz w:val="20"/>
          <w:szCs w:val="20"/>
          <w:color w:val="auto"/>
        </w:rPr>
        <w:t>. Your role is not a remote role, so you will be required to work from the New York office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Peloton Return to Office Policy (“</w:t>
      </w:r>
      <w:r>
        <w:rPr>
          <w:rFonts w:ascii="Times New Roman" w:cs="Times New Roman" w:eastAsia="Times New Roman" w:hAnsi="Times New Roman"/>
          <w:sz w:val="20"/>
          <w:szCs w:val="20"/>
          <w:b w:val="1"/>
          <w:bCs w:val="1"/>
          <w:color w:val="auto"/>
        </w:rPr>
        <w:t>RTO Policy</w:t>
      </w:r>
      <w:r>
        <w:rPr>
          <w:rFonts w:ascii="Times New Roman" w:cs="Times New Roman" w:eastAsia="Times New Roman" w:hAnsi="Times New Roman"/>
          <w:sz w:val="20"/>
          <w:szCs w:val="20"/>
          <w:color w:val="auto"/>
        </w:rPr>
        <w:t>”) Tuesday, Wednesday, and Thursday of each week, subject to terms and conditions of the RTO Policy, as may be amended from time to time.</w:t>
      </w:r>
    </w:p>
    <w:p>
      <w:pPr>
        <w:spacing w:after="0" w:line="202"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in effect from time to time. The Company reserves the right to amend, modify, or terminate its benefits at any time, subject to applicable law. In addition, you will be entitled to paid vacation in accordance with the Company’s vacation policy, as in effect from time to time.</w:t>
      </w:r>
    </w:p>
    <w:p>
      <w:pPr>
        <w:spacing w:after="0" w:line="191" w:lineRule="exact"/>
        <w:rPr>
          <w:rFonts w:ascii="Times New Roman" w:cs="Times New Roman" w:eastAsia="Times New Roman" w:hAnsi="Times New Roman"/>
          <w:sz w:val="20"/>
          <w:szCs w:val="20"/>
          <w:color w:val="auto"/>
        </w:rPr>
      </w:pPr>
    </w:p>
    <w:p>
      <w:pPr>
        <w:jc w:val="both"/>
        <w:ind w:left="328" w:hanging="328"/>
        <w:spacing w:after="0" w:line="254"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Awards. </w:t>
      </w:r>
      <w:r>
        <w:rPr>
          <w:rFonts w:ascii="Times New Roman" w:cs="Times New Roman" w:eastAsia="Times New Roman" w:hAnsi="Times New Roman"/>
          <w:sz w:val="20"/>
          <w:szCs w:val="20"/>
          <w:color w:val="auto"/>
        </w:rPr>
        <w:t>Subject to the approval of the Board or its Compensation Committee, you will be eligible to receive equity awards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Company’s 2019 Equity Incentive Plan (the “</w:t>
      </w:r>
      <w:r>
        <w:rPr>
          <w:rFonts w:ascii="Times New Roman" w:cs="Times New Roman" w:eastAsia="Times New Roman" w:hAnsi="Times New Roman"/>
          <w:sz w:val="20"/>
          <w:szCs w:val="20"/>
          <w:b w:val="1"/>
          <w:bCs w:val="1"/>
          <w:color w:val="auto"/>
        </w:rPr>
        <w:t>Equity Plan</w:t>
      </w:r>
      <w:r>
        <w:rPr>
          <w:rFonts w:ascii="Times New Roman" w:cs="Times New Roman" w:eastAsia="Times New Roman" w:hAnsi="Times New Roman"/>
          <w:sz w:val="20"/>
          <w:szCs w:val="20"/>
          <w:color w:val="auto"/>
        </w:rPr>
        <w:t>”; such awards collectively, the “</w:t>
      </w:r>
      <w:r>
        <w:rPr>
          <w:rFonts w:ascii="Times New Roman" w:cs="Times New Roman" w:eastAsia="Times New Roman" w:hAnsi="Times New Roman"/>
          <w:sz w:val="20"/>
          <w:szCs w:val="20"/>
          <w:b w:val="1"/>
          <w:bCs w:val="1"/>
          <w:color w:val="auto"/>
        </w:rPr>
        <w:t>Equity Awards</w:t>
      </w:r>
      <w:r>
        <w:rPr>
          <w:rFonts w:ascii="Times New Roman" w:cs="Times New Roman" w:eastAsia="Times New Roman" w:hAnsi="Times New Roman"/>
          <w:sz w:val="20"/>
          <w:szCs w:val="20"/>
          <w:color w:val="auto"/>
        </w:rPr>
        <w:t>”). Your initial Equity Awards will be valued at $8,000,000 in the aggregate on the applicable date(s) of grant, allocated as follows: (i) time-based restricted stock units valued at $5,250,000 (the “</w:t>
      </w:r>
      <w:r>
        <w:rPr>
          <w:rFonts w:ascii="Times New Roman" w:cs="Times New Roman" w:eastAsia="Times New Roman" w:hAnsi="Times New Roman"/>
          <w:sz w:val="20"/>
          <w:szCs w:val="20"/>
          <w:b w:val="1"/>
          <w:bCs w:val="1"/>
          <w:color w:val="auto"/>
        </w:rPr>
        <w:t>RSU Award</w:t>
      </w:r>
      <w:r>
        <w:rPr>
          <w:rFonts w:ascii="Times New Roman" w:cs="Times New Roman" w:eastAsia="Times New Roman" w:hAnsi="Times New Roman"/>
          <w:sz w:val="20"/>
          <w:szCs w:val="20"/>
          <w:color w:val="auto"/>
        </w:rPr>
        <w:t>”); (ii) time-based restricted stock units valued at $500,000 (the “</w:t>
      </w:r>
      <w:r>
        <w:rPr>
          <w:rFonts w:ascii="Times New Roman" w:cs="Times New Roman" w:eastAsia="Times New Roman" w:hAnsi="Times New Roman"/>
          <w:sz w:val="20"/>
          <w:szCs w:val="20"/>
          <w:b w:val="1"/>
          <w:bCs w:val="1"/>
          <w:color w:val="auto"/>
        </w:rPr>
        <w:t>Supplemental RSU Award</w:t>
      </w:r>
      <w:r>
        <w:rPr>
          <w:rFonts w:ascii="Times New Roman" w:cs="Times New Roman" w:eastAsia="Times New Roman" w:hAnsi="Times New Roman"/>
          <w:sz w:val="20"/>
          <w:szCs w:val="20"/>
          <w:color w:val="auto"/>
        </w:rPr>
        <w:t>”); and (iii) performance-based restricted stock units valued at $2,250,000 (the “</w:t>
      </w:r>
      <w:r>
        <w:rPr>
          <w:rFonts w:ascii="Times New Roman" w:cs="Times New Roman" w:eastAsia="Times New Roman" w:hAnsi="Times New Roman"/>
          <w:sz w:val="20"/>
          <w:szCs w:val="20"/>
          <w:b w:val="1"/>
          <w:bCs w:val="1"/>
          <w:color w:val="auto"/>
        </w:rPr>
        <w:t>PSU Awards</w:t>
      </w:r>
      <w:r>
        <w:rPr>
          <w:rFonts w:ascii="Times New Roman" w:cs="Times New Roman" w:eastAsia="Times New Roman" w:hAnsi="Times New Roman"/>
          <w:sz w:val="20"/>
          <w:szCs w:val="20"/>
          <w:color w:val="auto"/>
        </w:rPr>
        <w:t>”). For the avoidance of doubt, each Equity Award will cover the number of shares of Class A Common Stock determined using the Company’s then prevailing approved valuation methodology as of the applicable grant date, rounded up to the nearest whole share.</w:t>
      </w:r>
    </w:p>
    <w:p>
      <w:pPr>
        <w:spacing w:after="0" w:line="217" w:lineRule="exact"/>
        <w:rPr>
          <w:rFonts w:ascii="Times New Roman" w:cs="Times New Roman" w:eastAsia="Times New Roman" w:hAnsi="Times New Roman"/>
          <w:sz w:val="20"/>
          <w:szCs w:val="20"/>
          <w:color w:val="auto"/>
        </w:rPr>
      </w:pPr>
    </w:p>
    <w:p>
      <w:pPr>
        <w:ind w:left="328"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shall vest quarterly in one-sixteenth (1/16) installments over four years, subject to your continuous service through each such date (as set forth in the RSU Agreement). The first vesting date for the RSU Award shall be November 15, 2026.</w:t>
      </w:r>
    </w:p>
    <w:p>
      <w:pPr>
        <w:spacing w:after="0" w:line="199" w:lineRule="exact"/>
        <w:rPr>
          <w:rFonts w:ascii="Times New Roman" w:cs="Times New Roman" w:eastAsia="Times New Roman" w:hAnsi="Times New Roman"/>
          <w:sz w:val="20"/>
          <w:szCs w:val="20"/>
          <w:color w:val="auto"/>
        </w:rPr>
      </w:pPr>
    </w:p>
    <w:p>
      <w:pPr>
        <w:ind w:left="328"/>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Supplemental RSU award shall vest 50% on August 15, 2029 and 50% on August 15, 2030, subject to your continuous service through each such date (as set forth in the RSU Agreement).</w:t>
      </w:r>
    </w:p>
    <w:p>
      <w:pPr>
        <w:spacing w:after="0" w:line="199" w:lineRule="exact"/>
        <w:rPr>
          <w:rFonts w:ascii="Times New Roman" w:cs="Times New Roman" w:eastAsia="Times New Roman" w:hAnsi="Times New Roman"/>
          <w:sz w:val="20"/>
          <w:szCs w:val="20"/>
          <w:color w:val="auto"/>
        </w:rPr>
      </w:pPr>
    </w:p>
    <w:p>
      <w:pPr>
        <w:jc w:val="both"/>
        <w:ind w:left="328"/>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 Award will be granted subject to the same performance terms and at the same time, typically in August, as the performance-based restricted stock unit awards granted to the Company’s other senior executives with respect to the applicable fiscal year. We anticipate the PSU Award will have a one year performance period and units that are earned based on the achievement of applicable performance metrics, if any, will vest five-sixteenths (5/16) on November 15, 2027 and then one-sixteenth (1/16) to vest quarterly thereafter for eleven quarters, subject to your continuous service through each applicable vest date.</w:t>
      </w:r>
    </w:p>
    <w:p>
      <w:pPr>
        <w:spacing w:after="0" w:line="218" w:lineRule="exact"/>
        <w:rPr>
          <w:rFonts w:ascii="Times New Roman" w:cs="Times New Roman" w:eastAsia="Times New Roman" w:hAnsi="Times New Roman"/>
          <w:sz w:val="20"/>
          <w:szCs w:val="20"/>
          <w:color w:val="auto"/>
        </w:rPr>
      </w:pPr>
    </w:p>
    <w:p>
      <w:pPr>
        <w:ind w:left="328"/>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Awards will be subject to the terms and conditions applicable to the respective grants under the Equity Plan and the respective award agreements to be entered into between you and the Company.</w:t>
      </w:r>
    </w:p>
    <w:p>
      <w:pPr>
        <w:spacing w:after="0" w:line="195" w:lineRule="exact"/>
        <w:rPr>
          <w:rFonts w:ascii="Times New Roman" w:cs="Times New Roman" w:eastAsia="Times New Roman" w:hAnsi="Times New Roman"/>
          <w:sz w:val="20"/>
          <w:szCs w:val="20"/>
          <w:color w:val="auto"/>
        </w:rPr>
      </w:pPr>
    </w:p>
    <w:p>
      <w:pPr>
        <w:jc w:val="both"/>
        <w:ind w:left="328"/>
        <w:spacing w:after="0" w:line="26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you will be eligible to receive an annual equity refresh grant (each grant, an “</w:t>
      </w:r>
      <w:r>
        <w:rPr>
          <w:rFonts w:ascii="Times New Roman" w:cs="Times New Roman" w:eastAsia="Times New Roman" w:hAnsi="Times New Roman"/>
          <w:sz w:val="20"/>
          <w:szCs w:val="20"/>
          <w:b w:val="1"/>
          <w:bCs w:val="1"/>
          <w:color w:val="auto"/>
        </w:rPr>
        <w:t>Annual Equity Refresh Grant</w:t>
      </w:r>
      <w:r>
        <w:rPr>
          <w:rFonts w:ascii="Times New Roman" w:cs="Times New Roman" w:eastAsia="Times New Roman" w:hAnsi="Times New Roman"/>
          <w:sz w:val="20"/>
          <w:szCs w:val="20"/>
          <w:color w:val="auto"/>
        </w:rPr>
        <w:t>”) beginning with an annual grant made in fiscal year 2028 (expected to be made in August 2027). Each Annual Equity Refresh Grant, if any, will be subject to the approval of the Board (or the Compensation Committee), the terms and conditions applicable to the</w:t>
      </w:r>
    </w:p>
    <w:p>
      <w:pPr>
        <w:sectPr>
          <w:pgSz w:w="11900" w:h="16838" w:orient="portrait"/>
          <w:cols w:equalWidth="0" w:num="1">
            <w:col w:w="10908"/>
          </w:cols>
          <w:pgMar w:left="652" w:top="1413" w:right="339" w:bottom="1440" w:gutter="0" w:footer="0" w:header="0"/>
        </w:sectPr>
      </w:pPr>
    </w:p>
    <w:bookmarkStart w:id="7" w:name="page8"/>
    <w:bookmarkEnd w:id="7"/>
    <w:p>
      <w:pPr>
        <w:jc w:val="both"/>
        <w:ind w:left="328" w:right="20"/>
        <w:spacing w:after="0" w:line="261" w:lineRule="auto"/>
        <w:rPr>
          <w:sz w:val="20"/>
          <w:szCs w:val="20"/>
          <w:color w:val="auto"/>
        </w:rPr>
      </w:pPr>
      <w:r>
        <w:rPr>
          <w:rFonts w:ascii="Times New Roman" w:cs="Times New Roman" w:eastAsia="Times New Roman" w:hAnsi="Times New Roman"/>
          <w:sz w:val="20"/>
          <w:szCs w:val="20"/>
          <w:color w:val="auto"/>
        </w:rPr>
        <w:t>respective grants under the Plan, and the respective award agreement. Annual Equity Refresh Grants are discretionary, based on your performance and the performance of the Company. The Board or its Compensation Committee will determine the amount, if any, of each Annual Equity Refresh Grant, and the applicable vesting conditions, on an annual basis.</w:t>
      </w:r>
    </w:p>
    <w:p>
      <w:pPr>
        <w:spacing w:after="0" w:line="204" w:lineRule="exact"/>
        <w:rPr>
          <w:sz w:val="20"/>
          <w:szCs w:val="20"/>
          <w:color w:val="auto"/>
        </w:rPr>
      </w:pPr>
    </w:p>
    <w:p>
      <w:pPr>
        <w:jc w:val="both"/>
        <w:ind w:left="328" w:hanging="328"/>
        <w:spacing w:after="0" w:line="26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Severance and Change in Control. </w:t>
      </w:r>
      <w:r>
        <w:rPr>
          <w:rFonts w:ascii="Times New Roman" w:cs="Times New Roman" w:eastAsia="Times New Roman" w:hAnsi="Times New Roman"/>
          <w:sz w:val="20"/>
          <w:szCs w:val="20"/>
          <w:color w:val="auto"/>
        </w:rPr>
        <w:t>You will be designated as eligible to participate in the Company’s Severance Plan as a Tier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subject to your execution of a participation agreement thereunder. For the avoidance of doubt, acceleration and/or forfeiture of equity, including the Equity Awards, upon termination will be governed by the Severance Plan.</w:t>
      </w:r>
    </w:p>
    <w:p>
      <w:pPr>
        <w:spacing w:after="0" w:line="202"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employment with the Company, to sign the Company’s standard Proprietary Information and Inventions Agreement (the </w:t>
      </w:r>
      <w:r>
        <w:rPr>
          <w:rFonts w:ascii="Times New Roman" w:cs="Times New Roman" w:eastAsia="Times New Roman" w:hAnsi="Times New Roman"/>
          <w:sz w:val="20"/>
          <w:szCs w:val="20"/>
          <w:b w:val="1"/>
          <w:bCs w:val="1"/>
          <w:color w:val="auto"/>
        </w:rPr>
        <w:t>“PIIA”</w:t>
      </w:r>
      <w:r>
        <w:rPr>
          <w:rFonts w:ascii="Times New Roman" w:cs="Times New Roman" w:eastAsia="Times New Roman" w:hAnsi="Times New Roman"/>
          <w:sz w:val="20"/>
          <w:szCs w:val="20"/>
          <w:color w:val="auto"/>
        </w:rPr>
        <w:t xml:space="preserve">),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328" w:hanging="328"/>
        <w:spacing w:after="0" w:line="270" w:lineRule="auto"/>
        <w:tabs>
          <w:tab w:leader="none" w:pos="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Employment Relationship</w:t>
      </w:r>
      <w:r>
        <w:rPr>
          <w:rFonts w:ascii="Times New Roman" w:cs="Times New Roman" w:eastAsia="Times New Roman" w:hAnsi="Times New Roman"/>
          <w:sz w:val="19"/>
          <w:szCs w:val="19"/>
          <w:color w:val="auto"/>
        </w:rPr>
        <w:t>. Employment with the Company is for no specific period of time. Your employment with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99"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968" w:right="20" w:hanging="320"/>
        <w:spacing w:after="0" w:line="273" w:lineRule="auto"/>
        <w:tabs>
          <w:tab w:leader="none" w:pos="957"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 reflect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and payroll taxes and other deductions required by law.</w:t>
      </w:r>
    </w:p>
    <w:p>
      <w:pPr>
        <w:spacing w:after="0" w:line="192" w:lineRule="exact"/>
        <w:rPr>
          <w:rFonts w:ascii="Times New Roman" w:cs="Times New Roman" w:eastAsia="Times New Roman" w:hAnsi="Times New Roman"/>
          <w:sz w:val="20"/>
          <w:szCs w:val="20"/>
          <w:color w:val="auto"/>
        </w:rPr>
      </w:pPr>
    </w:p>
    <w:p>
      <w:pPr>
        <w:jc w:val="both"/>
        <w:ind w:left="968" w:hanging="320"/>
        <w:spacing w:after="0" w:line="255" w:lineRule="auto"/>
        <w:tabs>
          <w:tab w:leader="none" w:pos="96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 Company. You agree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210" w:lineRule="exact"/>
        <w:rPr>
          <w:rFonts w:ascii="Times New Roman" w:cs="Times New Roman" w:eastAsia="Times New Roman" w:hAnsi="Times New Roman"/>
          <w:sz w:val="20"/>
          <w:szCs w:val="20"/>
          <w:color w:val="auto"/>
        </w:rPr>
      </w:pPr>
    </w:p>
    <w:p>
      <w:pPr>
        <w:ind w:left="968" w:hanging="320"/>
        <w:spacing w:after="0" w:line="287" w:lineRule="auto"/>
        <w:tabs>
          <w:tab w:leader="none" w:pos="957"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Section 8.1 of the Severance Plan is hereby incorporated by reference and shall apply, mutatis mutandis,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set forth herein.</w:t>
      </w:r>
    </w:p>
    <w:p>
      <w:pPr>
        <w:spacing w:after="0" w:line="165" w:lineRule="exact"/>
        <w:rPr>
          <w:rFonts w:ascii="Times New Roman" w:cs="Times New Roman" w:eastAsia="Times New Roman" w:hAnsi="Times New Roman"/>
          <w:sz w:val="20"/>
          <w:szCs w:val="20"/>
          <w:color w:val="auto"/>
        </w:rPr>
      </w:pPr>
    </w:p>
    <w:p>
      <w:pPr>
        <w:jc w:val="both"/>
        <w:ind w:left="328" w:hanging="328"/>
        <w:spacing w:after="0" w:line="258" w:lineRule="auto"/>
        <w:tabs>
          <w:tab w:leader="none" w:pos="31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Legal Advice. </w:t>
      </w:r>
      <w:r>
        <w:rPr>
          <w:rFonts w:ascii="Times New Roman" w:cs="Times New Roman" w:eastAsia="Times New Roman" w:hAnsi="Times New Roman"/>
          <w:sz w:val="20"/>
          <w:szCs w:val="20"/>
          <w:color w:val="auto"/>
        </w:rPr>
        <w:t>You acknowledge that you have been advised by the Company to consult with, and seek the advice of, a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attorney of your choice prior to executing this letter agreement in connection with the negotiation, drafting and execution of this letter agreement and the PIIA. The Company shall pay or reimburse you for up to $10,000 of your legal costs reasonably incurred in the negotiation of this letter agreement and related agreements within thirty (30) days of the Commencement Date and upon submission of an invoice for such services.</w:t>
      </w:r>
    </w:p>
    <w:p>
      <w:pPr>
        <w:spacing w:after="0" w:line="194" w:lineRule="exact"/>
        <w:rPr>
          <w:rFonts w:ascii="Times New Roman" w:cs="Times New Roman" w:eastAsia="Times New Roman" w:hAnsi="Times New Roman"/>
          <w:sz w:val="20"/>
          <w:szCs w:val="20"/>
          <w:color w:val="auto"/>
        </w:rPr>
      </w:pPr>
    </w:p>
    <w:p>
      <w:pPr>
        <w:ind w:left="328" w:hanging="328"/>
        <w:spacing w:after="0" w:line="287" w:lineRule="auto"/>
        <w:tabs>
          <w:tab w:leader="none" w:pos="31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Arbitration. </w:t>
      </w:r>
      <w:r>
        <w:rPr>
          <w:rFonts w:ascii="Times New Roman" w:cs="Times New Roman" w:eastAsia="Times New Roman" w:hAnsi="Times New Roman"/>
          <w:sz w:val="20"/>
          <w:szCs w:val="20"/>
          <w:color w:val="auto"/>
        </w:rPr>
        <w:t>You and the Company shall submit to mandatory and exclusive binding arbitration any controversy or claim arising 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or relating to, this letter agreement or any breach hereof,</w:t>
      </w:r>
    </w:p>
    <w:p>
      <w:pPr>
        <w:sectPr>
          <w:pgSz w:w="11900" w:h="16838" w:orient="portrait"/>
          <w:cols w:equalWidth="0" w:num="1">
            <w:col w:w="10908"/>
          </w:cols>
          <w:pgMar w:left="652" w:top="1413" w:right="339" w:bottom="1440" w:gutter="0" w:footer="0" w:header="0"/>
        </w:sectPr>
      </w:pPr>
    </w:p>
    <w:bookmarkStart w:id="8" w:name="page9"/>
    <w:bookmarkEnd w:id="8"/>
    <w:p>
      <w:pPr>
        <w:jc w:val="both"/>
        <w:ind w:left="328"/>
        <w:spacing w:after="0" w:line="250" w:lineRule="auto"/>
        <w:rPr>
          <w:sz w:val="20"/>
          <w:szCs w:val="20"/>
          <w:color w:val="auto"/>
        </w:rPr>
      </w:pPr>
      <w:r>
        <w:rPr>
          <w:rFonts w:ascii="Times New Roman" w:cs="Times New Roman" w:eastAsia="Times New Roman" w:hAnsi="Times New Roman"/>
          <w:sz w:val="20"/>
          <w:szCs w:val="20"/>
          <w:color w:val="auto"/>
        </w:rPr>
        <w:t xml:space="preserve">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JAMS in the State of New York, New York County, before a single neutral arbitrator, in accordance with the Employment Arbitration Rules of JAMS in effect at that time (currently available at: jamsadr.com). The parties hereby waive any rights they may have to have any such claims tried before a judge or jury. The parties may conduct only essential discovery prior to the hearing, as defined by the JAMS arbitrator. The arbitrator shall issue a written decision that contains the essential findings and conclusions on which the decision is based. You shall bear only those costs of arbitration you would otherwise bear had you brought a claim covered by this letter agreement in court – in other words, should you file a claim or counterclaim in arbitration against the Company, the Company will pay the difference between the then applicable JAMS filing fee (available at: </w:t>
      </w:r>
      <w:r>
        <w:rPr>
          <w:rFonts w:ascii="Times New Roman" w:cs="Times New Roman" w:eastAsia="Times New Roman" w:hAnsi="Times New Roman"/>
          <w:sz w:val="20"/>
          <w:szCs w:val="20"/>
          <w:u w:val="single" w:color="auto"/>
          <w:color w:val="0000FF"/>
        </w:rPr>
        <w:t>https://www.jamsadr.com/arbitration-fees</w:t>
      </w:r>
      <w:r>
        <w:rPr>
          <w:rFonts w:ascii="Times New Roman" w:cs="Times New Roman" w:eastAsia="Times New Roman" w:hAnsi="Times New Roman"/>
          <w:sz w:val="20"/>
          <w:szCs w:val="20"/>
          <w:color w:val="auto"/>
        </w:rPr>
        <w:t xml:space="preserve">) and the then applicable filing fee for obtaining an Index Number to commence a lawsuit in the New York State Supreme Court, pursuant to NY CPLR § 8018 (available at: </w:t>
      </w:r>
      <w:r>
        <w:rPr>
          <w:rFonts w:ascii="Times New Roman" w:cs="Times New Roman" w:eastAsia="Times New Roman" w:hAnsi="Times New Roman"/>
          <w:sz w:val="20"/>
          <w:szCs w:val="20"/>
          <w:u w:val="single" w:color="auto"/>
          <w:color w:val="0000FF"/>
        </w:rPr>
        <w:t>https://www.nycourts.gov/forms/filingfees.shtml</w:t>
      </w:r>
      <w:r>
        <w:rPr>
          <w:rFonts w:ascii="Times New Roman" w:cs="Times New Roman" w:eastAsia="Times New Roman" w:hAnsi="Times New Roman"/>
          <w:sz w:val="20"/>
          <w:szCs w:val="20"/>
          <w:color w:val="000000"/>
        </w:rPr>
        <w:t>). Judgment upon the determination or award rendered by the arbitrator may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entered in any court having jurisdiction thereof.</w:t>
      </w:r>
    </w:p>
    <w:p>
      <w:pPr>
        <w:spacing w:after="0" w:line="220"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20"/>
          <w:szCs w:val="20"/>
          <w:color w:val="auto"/>
        </w:rPr>
        <w:t>For the avoidance of doubt, this arbitration requirement shall not apply to any criminal matters, matters for which arbitration is prohibited by law (such as sexual assault and sexual harassment claims), claims for unemployment or workers compensation, and shall not prevent you from filing a charge with the Equal Employment Opportunity Commission or any other government agency; provided that, unless prohibited by applicable law, any subsequent legal action shall be subject to individual arbitration as provided herein.</w:t>
      </w:r>
    </w:p>
    <w:p>
      <w:pPr>
        <w:spacing w:after="0" w:line="215" w:lineRule="exact"/>
        <w:rPr>
          <w:sz w:val="20"/>
          <w:szCs w:val="20"/>
          <w:color w:val="auto"/>
        </w:rPr>
      </w:pPr>
    </w:p>
    <w:p>
      <w:pPr>
        <w:jc w:val="both"/>
        <w:ind w:left="328" w:hanging="328"/>
        <w:spacing w:after="0" w:line="271" w:lineRule="auto"/>
        <w:tabs>
          <w:tab w:leader="none" w:pos="31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Coverage Under Directors’ and Officers’ Liability Insurance Policies; Indemnification. </w:t>
      </w:r>
      <w:r>
        <w:rPr>
          <w:rFonts w:ascii="Times New Roman" w:cs="Times New Roman" w:eastAsia="Times New Roman" w:hAnsi="Times New Roman"/>
          <w:sz w:val="19"/>
          <w:szCs w:val="19"/>
          <w:color w:val="auto"/>
        </w:rPr>
        <w:t>The Company agrees to indemnify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maximum extent permitted by applicable law and the Company’s by-laws for your services rendered as an officer of the Company and to maintain directors’ and officers’ liability insurance policies covering you on a basis no less favorable than provided to other directors and senior executives, which indemnification and coverage shall continue as to you even if you have ceased to be a director, officer or employee of the Company with respect to acts or omissions which occurred prior to such cessation.</w:t>
      </w:r>
    </w:p>
    <w:p>
      <w:pPr>
        <w:spacing w:after="0" w:line="197" w:lineRule="exact"/>
        <w:rPr>
          <w:rFonts w:ascii="Times New Roman" w:cs="Times New Roman" w:eastAsia="Times New Roman" w:hAnsi="Times New Roman"/>
          <w:sz w:val="19"/>
          <w:szCs w:val="19"/>
          <w:color w:val="auto"/>
        </w:rPr>
      </w:pPr>
    </w:p>
    <w:p>
      <w:pPr>
        <w:jc w:val="both"/>
        <w:ind w:left="328" w:hanging="328"/>
        <w:spacing w:after="0" w:line="250" w:lineRule="auto"/>
        <w:tabs>
          <w:tab w:leader="none" w:pos="31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Amendment and Enforcement</w:t>
      </w:r>
      <w:r>
        <w:rPr>
          <w:rFonts w:ascii="Times New Roman" w:cs="Times New Roman" w:eastAsia="Times New Roman" w:hAnsi="Times New Roman"/>
          <w:sz w:val="20"/>
          <w:szCs w:val="20"/>
          <w:color w:val="auto"/>
        </w:rPr>
        <w:t>. This letter agreement, Schedule 1 and Exhibit A constitute the complete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you and the Company relating to the subject matter herein, contain all of the terms of your offer of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You and the Company shall submit to mandatory and exclusive binding arbitration any controversy or claim arising out of, or relating to, this letter agreement or any breach hereof, including any disputes as to the meaning, effect, performance or validity of this letter agreement, 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JAMS in in the county and state from which you render or last rendered services to the Company, or at any other location mutually agreed to, before a single neutral arbitrator, in accordance with the Employment Arbitration Rules of JAMS in effect at that time (currently available at jamsadr.com.). The parties hereby waive any rights they may have to have</w:t>
      </w:r>
    </w:p>
    <w:p>
      <w:pPr>
        <w:sectPr>
          <w:pgSz w:w="11900" w:h="16838" w:orient="portrait"/>
          <w:cols w:equalWidth="0" w:num="1">
            <w:col w:w="10908"/>
          </w:cols>
          <w:pgMar w:left="652" w:top="1413" w:right="339" w:bottom="1440" w:gutter="0" w:footer="0" w:header="0"/>
        </w:sectPr>
      </w:pPr>
    </w:p>
    <w:bookmarkStart w:id="9" w:name="page10"/>
    <w:bookmarkEnd w:id="9"/>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any such claims tried before a judge or jury. The parties may conduct only essential discovery prior to the hearing, as defined by the JAMS arbitrator. The arbitrator shall issue a written decision that contains the essential findings and conclusions on which the decision is based. You shall bear only those costs of arbitration you would otherwise bear had you brought a claim covered by this letter agreement in court. Judgment upon the determination or award rendered by the arbitrator may be entered in any court having jurisdiction thereof.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In addition, your employment is contingent on a satisfactory review of a background check and upon your starting work with the Company on June 22,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please feel free to reach out.</w:t>
      </w:r>
    </w:p>
    <w:p>
      <w:pPr>
        <w:spacing w:after="0" w:line="200" w:lineRule="exact"/>
        <w:rPr>
          <w:sz w:val="20"/>
          <w:szCs w:val="20"/>
          <w:color w:val="auto"/>
        </w:rPr>
      </w:pPr>
    </w:p>
    <w:p>
      <w:pPr>
        <w:spacing w:after="0" w:line="39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16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/s/ Peter Stern</w:t>
      </w:r>
    </w:p>
    <w:p>
      <w:pPr>
        <w:spacing w:after="0" w:line="200" w:lineRule="exact"/>
        <w:rPr>
          <w:sz w:val="20"/>
          <w:szCs w:val="20"/>
          <w:color w:val="auto"/>
        </w:rPr>
      </w:pPr>
    </w:p>
    <w:p>
      <w:pPr>
        <w:spacing w:after="0" w:line="38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PELOTON INTERACTIVE, INC.</w:t>
      </w:r>
    </w:p>
    <w:p>
      <w:pPr>
        <w:spacing w:after="0" w:line="17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Peter Stern</w:t>
      </w:r>
    </w:p>
    <w:p>
      <w:pPr>
        <w:spacing w:after="0" w:line="9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Siddharth Thacker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Siddharth Thacker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Dated</w:t>
      </w:r>
      <w:r>
        <w:rPr>
          <w:rFonts w:ascii="Times New Roman" w:cs="Times New Roman" w:eastAsia="Times New Roman" w:hAnsi="Times New Roman"/>
          <w:sz w:val="20"/>
          <w:szCs w:val="20"/>
          <w:color w:val="auto"/>
        </w:rPr>
        <w:t>: May 21, 2026</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ectPr>
          <w:pgSz w:w="11900" w:h="16838" w:orient="portrait"/>
          <w:cols w:equalWidth="0" w:num="1">
            <w:col w:w="11240"/>
          </w:cols>
          <w:pgMar w:left="320" w:top="1413" w:right="339" w:bottom="1440" w:gutter="0" w:footer="0" w:header="0"/>
        </w:sectPr>
      </w:pPr>
    </w:p>
    <w:bookmarkStart w:id="10" w:name="page11"/>
    <w:bookmarkEnd w:id="10"/>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Peloton Interactive, Inc. Appoints Sid Thacker as Chief Financial Officer</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Accomplished finance executive to further enable company’s wellness ambition and ensure disciplined growth</w:t>
      </w:r>
    </w:p>
    <w:p>
      <w:pPr>
        <w:spacing w:after="0" w:line="266" w:lineRule="exact"/>
        <w:rPr>
          <w:sz w:val="20"/>
          <w:szCs w:val="20"/>
          <w:color w:val="auto"/>
        </w:rPr>
      </w:pPr>
    </w:p>
    <w:p>
      <w:pPr>
        <w:spacing w:after="0" w:line="305" w:lineRule="auto"/>
        <w:rPr>
          <w:sz w:val="20"/>
          <w:szCs w:val="20"/>
          <w:color w:val="auto"/>
        </w:rPr>
      </w:pPr>
      <w:r>
        <w:rPr>
          <w:rFonts w:ascii="Arial" w:cs="Arial" w:eastAsia="Arial" w:hAnsi="Arial"/>
          <w:sz w:val="19"/>
          <w:szCs w:val="19"/>
          <w:b w:val="1"/>
          <w:bCs w:val="1"/>
          <w:color w:val="auto"/>
        </w:rPr>
        <w:t xml:space="preserve">May 26, 2026 (New York, NY) - </w:t>
      </w:r>
      <w:r>
        <w:rPr>
          <w:rFonts w:ascii="Arial" w:cs="Arial" w:eastAsia="Arial" w:hAnsi="Arial"/>
          <w:sz w:val="19"/>
          <w:szCs w:val="19"/>
          <w:color w:val="auto"/>
        </w:rPr>
        <w:t>Peloton Interactive, Inc. (NASDAQ: PTON) today announced the appointment of Siddharth</w:t>
      </w:r>
      <w:r>
        <w:rPr>
          <w:rFonts w:ascii="Arial" w:cs="Arial" w:eastAsia="Arial" w:hAnsi="Arial"/>
          <w:sz w:val="19"/>
          <w:szCs w:val="19"/>
          <w:b w:val="1"/>
          <w:bCs w:val="1"/>
          <w:color w:val="auto"/>
        </w:rPr>
        <w:t xml:space="preserve"> </w:t>
      </w:r>
      <w:r>
        <w:rPr>
          <w:rFonts w:ascii="Arial" w:cs="Arial" w:eastAsia="Arial" w:hAnsi="Arial"/>
          <w:sz w:val="19"/>
          <w:szCs w:val="19"/>
          <w:color w:val="auto"/>
        </w:rPr>
        <w:t>(“Sid”) Thacker as the company’s Chief Financial Officer, effective June 22, 2026. Thacker, an accomplished finance leader with a deep foundation as an institutional investor, will oversee Peloton’s global finance organization as well as corporate strategy. Under his leadership, Peloton will maintain its disciplined financial approach while pursuing broader market opportunities across the fitness and wellness landscape and delivering on its plans to return to sustainable, profitable revenue growth</w:t>
      </w:r>
      <w:r>
        <w:rPr>
          <w:rFonts w:ascii="Arial" w:cs="Arial" w:eastAsia="Arial" w:hAnsi="Arial"/>
          <w:sz w:val="20"/>
          <w:szCs w:val="20"/>
          <w:color w:val="11111F"/>
        </w:rPr>
        <w:t>.</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20"/>
          <w:szCs w:val="20"/>
          <w:color w:val="auto"/>
        </w:rPr>
        <w:t>Thacker will join the company following a successful tenure as Chief Financial Officer at Rent the Runway. During his three years in the role, he led a significant financial and operational transformation that reset the company's balance sheet and drove a return to top-line revenue and subscriber growth. He accomplished these results with a customer-first mindset and through deep cross-functional partnership, engineering a shift to a more capital-efficient inventory model, optimizing marketing spend and scaling revenue streams including resale and advertising. Before stepping into his role as Chief Financial Officer, Thacker served the company as SVP Finance and Head of Data Science.</w:t>
      </w:r>
    </w:p>
    <w:p>
      <w:pPr>
        <w:spacing w:after="0" w:line="218"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Prior to Rent the Runway, Thacker spent two decades as a public market investor, managing complex asset portfolios, and sourcing and leading investments across consumer, financial and tech-enabled services.</w:t>
      </w:r>
    </w:p>
    <w:p>
      <w:pPr>
        <w:spacing w:after="0" w:line="1" w:lineRule="exact"/>
        <w:rPr>
          <w:sz w:val="20"/>
          <w:szCs w:val="20"/>
          <w:color w:val="auto"/>
        </w:rPr>
      </w:pPr>
    </w:p>
    <w:p>
      <w:pPr>
        <w:ind w:right="140"/>
        <w:spacing w:after="0" w:line="282" w:lineRule="auto"/>
        <w:rPr>
          <w:sz w:val="20"/>
          <w:szCs w:val="20"/>
          <w:color w:val="auto"/>
        </w:rPr>
      </w:pPr>
      <w:r>
        <w:rPr>
          <w:rFonts w:ascii="Arial" w:cs="Arial" w:eastAsia="Arial" w:hAnsi="Arial"/>
          <w:sz w:val="20"/>
          <w:szCs w:val="20"/>
          <w:color w:val="auto"/>
        </w:rPr>
        <w:t>“This is a pivotal time for Peloton as we are now operating from a place of strategic optionality and playing offense. Sid brings the financial acumen, forward-looking strategy, and deep consumer focus we need to drive our next chapter,” said Peter Stern, CEO and President, Peloton. “He knows how to grow a business with multiple revenue streams, and he brings the financial discipline to make sure we do it right. Plus, his background as an investor gives us a unique edge as we look to accelerate innovation and grow our impact."</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“Having spent decades looking at businesses as a finance leader and as an investor, I’m excited by Peloton’s many strategic assets, from its iconic brand and unmatched instructors to its deeply loyal global community,” said incoming CFO Sid Thacker. “I look forward to working with the entire Peloton team to build on the current momentum and discipline, sharpen execution, and usher in a new chapter of profitable growth.”</w:t>
      </w:r>
    </w:p>
    <w:p>
      <w:pPr>
        <w:spacing w:after="0" w:line="196" w:lineRule="exact"/>
        <w:rPr>
          <w:sz w:val="20"/>
          <w:szCs w:val="20"/>
          <w:color w:val="auto"/>
        </w:rPr>
      </w:pPr>
    </w:p>
    <w:p>
      <w:pPr>
        <w:ind w:right="140"/>
        <w:spacing w:after="0" w:line="314" w:lineRule="auto"/>
        <w:rPr>
          <w:sz w:val="20"/>
          <w:szCs w:val="20"/>
          <w:color w:val="auto"/>
        </w:rPr>
      </w:pPr>
      <w:r>
        <w:rPr>
          <w:rFonts w:ascii="Arial" w:cs="Arial" w:eastAsia="Arial" w:hAnsi="Arial"/>
          <w:sz w:val="20"/>
          <w:szCs w:val="20"/>
          <w:color w:val="auto"/>
        </w:rPr>
        <w:t>Thacker will report to CEO Peter Stern and will be based at the company’s New York headquarters. He succeeds interim Chief Financial Officer Saqib Baig, who will remain the company’s Chief Accounting Officer.</w:t>
      </w:r>
    </w:p>
    <w:p>
      <w:pPr>
        <w:sectPr>
          <w:pgSz w:w="11900" w:h="16838" w:orient="portrait"/>
          <w:cols w:equalWidth="0" w:num="1">
            <w:col w:w="11180"/>
          </w:cols>
          <w:pgMar w:left="320" w:top="1440" w:right="39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About Peloton</w:t>
      </w:r>
    </w:p>
    <w:p>
      <w:pPr>
        <w:spacing w:after="0" w:line="4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Peloton (NASDAQ: PTON) provides Members with world-class equipment, ground-breaking software, expert human instruction, and the world’s most supportive fitness community. Founded in 2012 and headquartered in New York City, Peloton has millions of Members across the US, UK, Canada, Germany, Australia, and Austria. For more information, visit www.onepeloton.com.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press@onepeloton.com</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investor@onepeloton.com</w:t>
      </w: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This press release may include forward-looking statements within the meaning of the Private Securities Litigation Reform Act of 1995, including with respect to statements regarding changes to our leadership team, our future operating results and financial position, our business strategy and plans, our growth, and our objectives for future operations. Although we believe that the expectations reflected in the forward-looking statements are reasonable, these forward-looking statements are subject to a number of risks, uncertainties, and assumptions and other important factors that could cause actual results to differ materially from those stated, including the risks and uncertainties described in the sections titled “Risk Factors” in Part I, Item 1A and “Management’s Discussion and Analysis of Financial Condition and Results of Operations” in Part II, Item 7 in our Annual Report on Form 10-K for the fiscal year ended June 30, 2025, as such factors may be updated in our filings with the Securities and Exchange Commission. Our forward-looking statements speak only as of the date of this press release, and we undertake no obligation to update any of these forward-looking statements for any reason after the date of this press release or to conform these statements to actual results or revised expectations, except as required by law.</w:t>
      </w:r>
    </w:p>
    <w:sectPr>
      <w:pgSz w:w="11900" w:h="16838" w:orient="portrait"/>
      <w:cols w:equalWidth="0" w:num="1">
        <w:col w:w="11160"/>
      </w:cols>
      <w:pgMar w:left="320" w:top="14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7"/>
    </w:lvl>
    <w:lvl w:ilvl="1">
      <w:lvlJc w:val="left"/>
      <w:lvlText w:val="%2."/>
      <w:numFmt w:val="lowerLetter"/>
      <w:start w:val="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2026-05-26T08:02:50Z</dcterms:created>
  <dcterms:modified xsi:type="dcterms:W3CDTF">2026-05-26T08:02:50Z</dcterms:modified>
</cp:coreProperties>
</file>