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Roboto;sans-serif" w:hAnsi="Roboto;sans-serif"/>
          <w:b/>
          <w:color w:val="000000"/>
          <w:sz w:val="36"/>
        </w:rPr>
      </w:pPr>
      <w:r>
        <w:rPr>
          <w:rFonts w:ascii="Roboto;sans-serif" w:hAnsi="Roboto;sans-serif"/>
          <w:b/>
          <w:color w:val="000000"/>
          <w:sz w:val="36"/>
        </w:rPr>
        <w:t>UNITED STATES</w:t>
      </w:r>
    </w:p>
    <w:p>
      <w:pPr>
        <w:pStyle w:val="TextBody"/>
        <w:bidi w:val="0"/>
        <w:spacing w:lineRule="auto" w:line="333" w:before="0" w:after="0"/>
        <w:jc w:val="center"/>
        <w:rPr>
          <w:rFonts w:ascii="Roboto;sans-serif" w:hAnsi="Roboto;sans-serif"/>
          <w:b/>
          <w:color w:val="000000"/>
          <w:sz w:val="36"/>
        </w:rPr>
      </w:pPr>
      <w:r>
        <w:rPr>
          <w:rFonts w:ascii="Roboto;sans-serif" w:hAnsi="Roboto;sans-serif"/>
          <w:b/>
          <w:color w:val="000000"/>
          <w:sz w:val="36"/>
        </w:rPr>
        <w:t>SECURITIES AND EXCHANGE COMMISSION</w:t>
      </w:r>
    </w:p>
    <w:p>
      <w:pPr>
        <w:pStyle w:val="TextBody"/>
        <w:bidi w:val="0"/>
        <w:spacing w:lineRule="auto" w:line="333" w:before="0" w:after="0"/>
        <w:jc w:val="center"/>
        <w:rPr>
          <w:rFonts w:ascii="Roboto;sans-serif" w:hAnsi="Roboto;sans-serif"/>
          <w:b/>
          <w:color w:val="000000"/>
          <w:sz w:val="24"/>
        </w:rPr>
      </w:pPr>
      <w:r>
        <w:rPr>
          <w:rFonts w:ascii="Roboto;sans-serif" w:hAnsi="Roboto;sans-serif"/>
          <w:b/>
          <w:color w:val="000000"/>
          <w:sz w:val="24"/>
        </w:rPr>
        <w:t>Washington, D.C. 20549</w:t>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_______________________________________________________</w:t>
      </w:r>
    </w:p>
    <w:p>
      <w:pPr>
        <w:pStyle w:val="TextBody"/>
        <w:bidi w:val="0"/>
        <w:spacing w:lineRule="auto" w:line="333" w:before="180" w:after="283"/>
        <w:jc w:val="center"/>
        <w:rPr>
          <w:rFonts w:ascii="Roboto;sans-serif" w:hAnsi="Roboto;sans-serif"/>
          <w:b/>
          <w:color w:val="000000"/>
          <w:sz w:val="36"/>
        </w:rPr>
      </w:pPr>
      <w:r>
        <w:rPr>
          <w:rFonts w:ascii="Roboto;sans-serif" w:hAnsi="Roboto;sans-serif"/>
          <w:b/>
          <w:color w:val="000000"/>
          <w:sz w:val="36"/>
        </w:rPr>
        <w:t>FORM 8-K</w:t>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_______________________________________________________</w:t>
      </w:r>
    </w:p>
    <w:p>
      <w:pPr>
        <w:pStyle w:val="TextBody"/>
        <w:bidi w:val="0"/>
        <w:spacing w:lineRule="auto" w:line="333" w:before="200" w:after="283"/>
        <w:jc w:val="center"/>
        <w:rPr>
          <w:rFonts w:ascii="Roboto;sans-serif" w:hAnsi="Roboto;sans-serif"/>
          <w:b/>
          <w:color w:val="000000"/>
          <w:sz w:val="24"/>
        </w:rPr>
      </w:pPr>
      <w:r>
        <w:rPr>
          <w:rFonts w:ascii="Roboto;sans-serif" w:hAnsi="Roboto;sans-serif"/>
          <w:b/>
          <w:color w:val="000000"/>
          <w:sz w:val="24"/>
        </w:rPr>
        <w:t>CURRENT REPORT</w:t>
      </w:r>
    </w:p>
    <w:p>
      <w:pPr>
        <w:pStyle w:val="TextBody"/>
        <w:bidi w:val="0"/>
        <w:spacing w:lineRule="auto" w:line="333" w:before="0" w:after="0"/>
        <w:jc w:val="center"/>
        <w:rPr>
          <w:rFonts w:ascii="Roboto;sans-serif" w:hAnsi="Roboto;sans-serif"/>
          <w:b/>
          <w:color w:val="000000"/>
          <w:sz w:val="24"/>
        </w:rPr>
      </w:pPr>
      <w:r>
        <w:rPr>
          <w:rFonts w:ascii="Roboto;sans-serif" w:hAnsi="Roboto;sans-serif"/>
          <w:b/>
          <w:color w:val="000000"/>
          <w:sz w:val="24"/>
        </w:rPr>
        <w:t>Pursuant to Section 13 or 15(d) of the</w:t>
      </w:r>
    </w:p>
    <w:p>
      <w:pPr>
        <w:pStyle w:val="TextBody"/>
        <w:bidi w:val="0"/>
        <w:spacing w:lineRule="auto" w:line="333" w:before="0" w:after="0"/>
        <w:jc w:val="center"/>
        <w:rPr>
          <w:rFonts w:ascii="Roboto;sans-serif" w:hAnsi="Roboto;sans-serif"/>
          <w:b/>
          <w:color w:val="000000"/>
          <w:sz w:val="24"/>
        </w:rPr>
      </w:pPr>
      <w:r>
        <w:rPr>
          <w:rFonts w:ascii="Roboto;sans-serif" w:hAnsi="Roboto;sans-serif"/>
          <w:b/>
          <w:color w:val="000000"/>
          <w:sz w:val="24"/>
        </w:rPr>
        <w:t>Securities Exchange Act of 1934</w:t>
      </w:r>
    </w:p>
    <w:p>
      <w:pPr>
        <w:pStyle w:val="TextBody"/>
        <w:bidi w:val="0"/>
        <w:spacing w:lineRule="auto" w:line="333" w:before="180" w:after="283"/>
        <w:jc w:val="center"/>
        <w:rPr>
          <w:rFonts w:ascii="Roboto;sans-serif" w:hAnsi="Roboto;sans-serif"/>
          <w:b/>
          <w:color w:val="000000"/>
          <w:sz w:val="20"/>
        </w:rPr>
      </w:pPr>
      <w:r>
        <w:rPr>
          <w:rFonts w:ascii="Roboto;sans-serif" w:hAnsi="Roboto;sans-serif"/>
          <w:b/>
          <w:color w:val="000000"/>
          <w:sz w:val="20"/>
        </w:rPr>
        <w:t>Date of Report (Date of earliest event reported): October 8, 2026</w:t>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_______________________________________________________</w:t>
      </w:r>
    </w:p>
    <w:p>
      <w:pPr>
        <w:pStyle w:val="TextBody"/>
        <w:bidi w:val="0"/>
        <w:spacing w:before="0" w:after="0"/>
        <w:jc w:val="left"/>
        <w:rPr/>
      </w:pPr>
      <w:r>
        <w:rPr/>
      </w:r>
    </w:p>
    <w:p>
      <w:pPr>
        <w:pStyle w:val="TextBody"/>
        <w:bidi w:val="0"/>
        <w:spacing w:lineRule="auto" w:line="333" w:before="0" w:after="0"/>
        <w:jc w:val="center"/>
        <w:rPr>
          <w:rFonts w:ascii="Roboto;sans-serif" w:hAnsi="Roboto;sans-serif"/>
          <w:b/>
          <w:color w:val="000000"/>
          <w:sz w:val="44"/>
        </w:rPr>
      </w:pPr>
      <w:r>
        <w:rPr>
          <w:rFonts w:ascii="Roboto;sans-serif" w:hAnsi="Roboto;sans-serif"/>
          <w:b/>
          <w:color w:val="000000"/>
          <w:sz w:val="44"/>
        </w:rPr>
        <w:t>Peloton Interactive, Inc.</w:t>
      </w:r>
    </w:p>
    <w:p>
      <w:pPr>
        <w:pStyle w:val="TextBody"/>
        <w:bidi w:val="0"/>
        <w:spacing w:lineRule="auto" w:line="333" w:before="0" w:after="0"/>
        <w:jc w:val="center"/>
        <w:rPr>
          <w:rFonts w:ascii="Roboto;sans-serif" w:hAnsi="Roboto;sans-serif"/>
          <w:b/>
          <w:color w:val="000000"/>
          <w:sz w:val="14"/>
        </w:rPr>
      </w:pPr>
      <w:r>
        <w:rPr>
          <w:rFonts w:ascii="Roboto;sans-serif" w:hAnsi="Roboto;sans-serif"/>
          <w:b/>
          <w:color w:val="000000"/>
          <w:sz w:val="14"/>
        </w:rPr>
        <w:t>(Exact name of registrant as specified in its charter)</w:t>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_______________________________________________________</w:t>
      </w:r>
    </w:p>
    <w:tbl>
      <w:tblPr>
        <w:tblW w:w="6402" w:type="dxa"/>
        <w:jc w:val="center"/>
        <w:tblInd w:w="0" w:type="dxa"/>
        <w:tblLayout w:type="fixed"/>
        <w:tblCellMar>
          <w:top w:w="28" w:type="dxa"/>
          <w:left w:w="28" w:type="dxa"/>
          <w:bottom w:w="28" w:type="dxa"/>
          <w:right w:w="28" w:type="dxa"/>
        </w:tblCellMar>
      </w:tblPr>
      <w:tblGrid>
        <w:gridCol w:w="1256"/>
        <w:gridCol w:w="1101"/>
        <w:gridCol w:w="1107"/>
        <w:gridCol w:w="419"/>
        <w:gridCol w:w="419"/>
        <w:gridCol w:w="421"/>
        <w:gridCol w:w="492"/>
        <w:gridCol w:w="492"/>
        <w:gridCol w:w="695"/>
      </w:tblGrid>
      <w:tr>
        <w:trPr/>
        <w:tc>
          <w:tcPr>
            <w:tcW w:w="125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Delaware</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001-39058</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47-3533761</w:t>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Roboto;sans-serif" w:hAnsi="Roboto;sans-serif"/>
                <w:b/>
                <w:color w:val="000000"/>
                <w:sz w:val="15"/>
              </w:rPr>
            </w:pPr>
            <w:r>
              <w:rPr>
                <w:rFonts w:ascii="Roboto;sans-serif" w:hAnsi="Roboto;sans-serif"/>
                <w:b/>
                <w:color w:val="000000"/>
                <w:sz w:val="15"/>
              </w:rPr>
              <w:t>(State or other jurisdiction</w:t>
            </w:r>
          </w:p>
          <w:p>
            <w:pPr>
              <w:pStyle w:val="TableContents"/>
              <w:bidi w:val="0"/>
              <w:spacing w:lineRule="auto" w:line="288" w:before="0" w:after="40"/>
              <w:jc w:val="center"/>
              <w:rPr>
                <w:rFonts w:ascii="Roboto;sans-serif" w:hAnsi="Roboto;sans-serif"/>
                <w:b/>
                <w:color w:val="000000"/>
                <w:sz w:val="15"/>
              </w:rPr>
            </w:pPr>
            <w:r>
              <w:rPr>
                <w:rFonts w:ascii="Roboto;sans-serif" w:hAnsi="Roboto;sans-serif"/>
                <w:b/>
                <w:color w:val="000000"/>
                <w:sz w:val="15"/>
              </w:rPr>
              <w:t>of incorporation)</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5"/>
              </w:rPr>
            </w:pPr>
            <w:r>
              <w:rPr>
                <w:rFonts w:ascii="Roboto;sans-serif" w:hAnsi="Roboto;sans-serif"/>
                <w:b/>
                <w:color w:val="000000"/>
                <w:sz w:val="15"/>
              </w:rPr>
              <w:t xml:space="preserve">(Commission </w:t>
              <w:br/>
              <w:t>File Number)</w:t>
            </w:r>
          </w:p>
        </w:tc>
        <w:tc>
          <w:tcPr>
            <w:tcW w:w="1679"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Roboto;sans-serif" w:hAnsi="Roboto;sans-serif"/>
                <w:b/>
                <w:color w:val="000000"/>
                <w:sz w:val="15"/>
              </w:rPr>
            </w:pPr>
            <w:r>
              <w:rPr>
                <w:rFonts w:ascii="Roboto;sans-serif" w:hAnsi="Roboto;sans-serif"/>
                <w:b/>
                <w:color w:val="000000"/>
                <w:sz w:val="15"/>
              </w:rPr>
              <w:t>(IRS Employer</w:t>
            </w:r>
          </w:p>
          <w:p>
            <w:pPr>
              <w:pStyle w:val="TableContents"/>
              <w:bidi w:val="0"/>
              <w:spacing w:lineRule="auto" w:line="288" w:before="0" w:after="40"/>
              <w:jc w:val="center"/>
              <w:rPr>
                <w:rFonts w:ascii="Roboto;sans-serif" w:hAnsi="Roboto;sans-serif"/>
                <w:b/>
                <w:color w:val="000000"/>
                <w:sz w:val="15"/>
              </w:rPr>
            </w:pPr>
            <w:r>
              <w:rPr>
                <w:rFonts w:ascii="Roboto;sans-serif" w:hAnsi="Roboto;sans-serif"/>
                <w:b/>
                <w:color w:val="000000"/>
                <w:sz w:val="15"/>
              </w:rPr>
              <w:t>Identification No.)</w:t>
            </w:r>
          </w:p>
        </w:tc>
      </w:tr>
      <w:tr>
        <w:trPr/>
        <w:tc>
          <w:tcPr>
            <w:tcW w:w="3464"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259"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679" w:type="dxa"/>
            <w:gridSpan w:val="3"/>
            <w:tcBorders/>
            <w:tcMar>
              <w:top w:w="0" w:type="dxa"/>
              <w:left w:w="0" w:type="dxa"/>
              <w:bottom w:w="0" w:type="dxa"/>
              <w:right w:w="0" w:type="dxa"/>
            </w:tcMar>
            <w:vAlign w:val="center"/>
          </w:tcPr>
          <w:p>
            <w:pPr>
              <w:pStyle w:val="TableContents"/>
              <w:bidi w:val="0"/>
              <w:spacing w:before="40" w:after="40"/>
              <w:jc w:val="left"/>
              <w:rPr/>
            </w:pPr>
            <w:r>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20"/>
              </w:rPr>
            </w:pPr>
            <w:r>
              <w:rPr>
                <w:rFonts w:ascii="Roboto;sans-serif" w:hAnsi="Roboto;sans-serif"/>
                <w:b/>
                <w:color w:val="000000"/>
                <w:sz w:val="20"/>
              </w:rPr>
              <w:t xml:space="preserve">441 Ninth Avenue, Sixth Floor </w:t>
            </w:r>
          </w:p>
          <w:p>
            <w:pPr>
              <w:pStyle w:val="TableContents"/>
              <w:bidi w:val="0"/>
              <w:spacing w:lineRule="auto" w:line="288" w:before="0" w:after="0"/>
              <w:jc w:val="center"/>
              <w:rPr>
                <w:rFonts w:ascii="Roboto;sans-serif" w:hAnsi="Roboto;sans-serif"/>
                <w:b/>
                <w:color w:val="000000"/>
                <w:sz w:val="20"/>
              </w:rPr>
            </w:pPr>
            <w:r>
              <w:rPr>
                <w:rFonts w:ascii="Roboto;sans-serif" w:hAnsi="Roboto;sans-serif"/>
                <w:b/>
                <w:color w:val="000000"/>
                <w:sz w:val="20"/>
              </w:rPr>
              <w:t xml:space="preserve">New York, New York </w:t>
            </w:r>
          </w:p>
        </w:tc>
        <w:tc>
          <w:tcPr>
            <w:tcW w:w="1259"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10001</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5"/>
              </w:rPr>
            </w:pPr>
            <w:r>
              <w:rPr>
                <w:rFonts w:ascii="Roboto;sans-serif" w:hAnsi="Roboto;sans-serif"/>
                <w:b/>
                <w:color w:val="000000"/>
                <w:sz w:val="15"/>
              </w:rPr>
              <w:t>(Address of principal executive offices)</w:t>
            </w:r>
          </w:p>
        </w:tc>
        <w:tc>
          <w:tcPr>
            <w:tcW w:w="1259"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5"/>
              </w:rPr>
            </w:pPr>
            <w:r>
              <w:rPr>
                <w:rFonts w:ascii="Roboto;sans-serif" w:hAnsi="Roboto;sans-serif"/>
                <w:b/>
                <w:color w:val="000000"/>
                <w:sz w:val="15"/>
              </w:rPr>
              <w:t>(Zip Code)</w:t>
            </w:r>
          </w:p>
        </w:tc>
      </w:tr>
    </w:tbl>
    <w:p>
      <w:pPr>
        <w:pStyle w:val="TextBody"/>
        <w:bidi w:val="0"/>
        <w:spacing w:lineRule="auto" w:line="333" w:before="240" w:after="283"/>
        <w:jc w:val="center"/>
        <w:rPr>
          <w:rFonts w:ascii="Roboto;sans-serif" w:hAnsi="Roboto;sans-serif"/>
          <w:b/>
          <w:color w:val="000000"/>
          <w:sz w:val="20"/>
        </w:rPr>
      </w:pPr>
      <w:r>
        <w:rPr>
          <w:rFonts w:ascii="Roboto;sans-serif" w:hAnsi="Roboto;sans-serif"/>
          <w:b/>
          <w:color w:val="000000"/>
          <w:sz w:val="20"/>
        </w:rPr>
        <w:t>Registrant’s Telephone Number, Including Area Code: (929) 567-0006</w:t>
      </w:r>
    </w:p>
    <w:p>
      <w:pPr>
        <w:pStyle w:val="TextBody"/>
        <w:bidi w:val="0"/>
        <w:spacing w:before="0" w:after="0"/>
        <w:jc w:val="center"/>
        <w:rPr/>
      </w:pPr>
      <w:r>
        <w:rPr/>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Not Applicable</w:t>
      </w:r>
    </w:p>
    <w:p>
      <w:pPr>
        <w:pStyle w:val="TextBody"/>
        <w:bidi w:val="0"/>
        <w:spacing w:lineRule="auto" w:line="333" w:before="0" w:after="0"/>
        <w:jc w:val="center"/>
        <w:rPr>
          <w:rFonts w:ascii="Roboto;sans-serif" w:hAnsi="Roboto;sans-serif"/>
          <w:b/>
          <w:color w:val="000000"/>
          <w:sz w:val="14"/>
        </w:rPr>
      </w:pPr>
      <w:r>
        <w:rPr>
          <w:rFonts w:ascii="Roboto;sans-serif" w:hAnsi="Roboto;sans-serif"/>
          <w:b/>
          <w:color w:val="000000"/>
          <w:sz w:val="14"/>
        </w:rPr>
        <w:t>(Former name or former address, if changed since last report)</w:t>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_______________________________________________________</w:t>
      </w:r>
    </w:p>
    <w:p>
      <w:pPr>
        <w:pStyle w:val="TextBody"/>
        <w:bidi w:val="0"/>
        <w:spacing w:lineRule="auto" w:line="333" w:before="180" w:after="283"/>
        <w:jc w:val="left"/>
        <w:rPr>
          <w:rFonts w:ascii="Roboto;sans-serif" w:hAnsi="Roboto;sans-serif"/>
          <w:b w:val="false"/>
          <w:color w:val="000000"/>
          <w:sz w:val="20"/>
        </w:rPr>
      </w:pPr>
      <w:r>
        <w:rPr>
          <w:rFonts w:ascii="Roboto;sans-serif" w:hAnsi="Roboto;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333" w:before="120" w:after="283"/>
        <w:ind w:left="0" w:right="0" w:hanging="500"/>
        <w:jc w:val="left"/>
        <w:rPr/>
      </w:pPr>
      <w:r>
        <w:rPr>
          <w:color w:val="000000"/>
        </w:rPr>
        <w:t>☐    </w:t>
      </w:r>
      <w:r>
        <w:rPr>
          <w:rFonts w:ascii="Roboto;sans-serif" w:hAnsi="Roboto;sans-serif"/>
          <w:b w:val="false"/>
          <w:color w:val="000000"/>
          <w:sz w:val="20"/>
        </w:rPr>
        <w:t>Written communications pursuant to Rule 425 under the Securities Act (17 CFR 230.425)</w:t>
      </w:r>
    </w:p>
    <w:p>
      <w:pPr>
        <w:pStyle w:val="TextBody"/>
        <w:bidi w:val="0"/>
        <w:spacing w:lineRule="auto" w:line="333" w:before="120" w:after="283"/>
        <w:ind w:left="0" w:right="0" w:hanging="500"/>
        <w:jc w:val="left"/>
        <w:rPr/>
      </w:pPr>
      <w:r>
        <w:rPr>
          <w:color w:val="000000"/>
        </w:rPr>
        <w:t>☐    </w:t>
      </w:r>
      <w:r>
        <w:rPr>
          <w:rFonts w:ascii="Roboto;sans-serif" w:hAnsi="Roboto;sans-serif"/>
          <w:b w:val="false"/>
          <w:color w:val="000000"/>
          <w:sz w:val="20"/>
        </w:rPr>
        <w:t>Soliciting material pursuant to Rule 14a-12 under the Exchange Act (17 CFR 240.14a-12)</w:t>
      </w:r>
    </w:p>
    <w:p>
      <w:pPr>
        <w:pStyle w:val="TextBody"/>
        <w:bidi w:val="0"/>
        <w:spacing w:lineRule="auto" w:line="333" w:before="180" w:after="283"/>
        <w:ind w:left="0" w:right="0" w:hanging="500"/>
        <w:jc w:val="left"/>
        <w:rPr/>
      </w:pPr>
      <w:r>
        <w:rPr>
          <w:color w:val="000000"/>
        </w:rPr>
        <w:t>☐    </w:t>
      </w:r>
      <w:r>
        <w:rPr>
          <w:rFonts w:ascii="Roboto;sans-serif" w:hAnsi="Roboto;sans-serif"/>
          <w:b w:val="false"/>
          <w:color w:val="000000"/>
          <w:sz w:val="20"/>
        </w:rPr>
        <w:t>Pre-commencement communications pursuant to Rule 14d-2(b) under the Exchange Act (17 CFR 240.14d-2(b))</w:t>
      </w:r>
    </w:p>
    <w:p>
      <w:pPr>
        <w:pStyle w:val="TextBody"/>
        <w:bidi w:val="0"/>
        <w:spacing w:lineRule="auto" w:line="333" w:before="120" w:after="283"/>
        <w:ind w:left="0" w:right="0" w:hanging="500"/>
        <w:jc w:val="left"/>
        <w:rPr/>
      </w:pPr>
      <w:r>
        <w:rPr>
          <w:color w:val="000000"/>
        </w:rPr>
        <w:t>☐    </w:t>
      </w:r>
      <w:r>
        <w:rPr>
          <w:rFonts w:ascii="Roboto;sans-serif" w:hAnsi="Roboto;sans-serif"/>
          <w:b w:val="false"/>
          <w:color w:val="000000"/>
          <w:sz w:val="20"/>
        </w:rPr>
        <w:t>Pre-commencement communications pursuant to Rule 13e-4(c) under the Exchange Act (17 CFR 240.13e-4(c))</w:t>
      </w:r>
    </w:p>
    <w:p>
      <w:pPr>
        <w:pStyle w:val="TextBody"/>
        <w:bidi w:val="0"/>
        <w:spacing w:lineRule="auto" w:line="288" w:before="120" w:after="260"/>
        <w:jc w:val="left"/>
        <w:rPr>
          <w:rFonts w:ascii="Roboto;sans-serif" w:hAnsi="Roboto;sans-serif"/>
          <w:b w:val="false"/>
          <w:color w:val="000000"/>
          <w:sz w:val="20"/>
        </w:rPr>
      </w:pPr>
      <w:r>
        <w:rPr>
          <w:rFonts w:ascii="Roboto;sans-serif" w:hAnsi="Roboto;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24"/>
        <w:gridCol w:w="1450"/>
        <w:gridCol w:w="1457"/>
        <w:gridCol w:w="567"/>
        <w:gridCol w:w="567"/>
        <w:gridCol w:w="569"/>
        <w:gridCol w:w="1131"/>
        <w:gridCol w:w="1131"/>
        <w:gridCol w:w="1609"/>
      </w:tblGrid>
      <w:tr>
        <w:trPr/>
        <w:tc>
          <w:tcPr>
            <w:tcW w:w="172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46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Title of each class</w:t>
            </w:r>
          </w:p>
        </w:tc>
        <w:tc>
          <w:tcPr>
            <w:tcW w:w="170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Trading Symbol(s)</w:t>
            </w:r>
          </w:p>
        </w:tc>
        <w:tc>
          <w:tcPr>
            <w:tcW w:w="387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Name of each exchange on which registered</w:t>
            </w:r>
          </w:p>
        </w:tc>
      </w:tr>
      <w:tr>
        <w:trPr/>
        <w:tc>
          <w:tcPr>
            <w:tcW w:w="463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Class A Common Stock, $0.000025 par value per share</w:t>
            </w:r>
          </w:p>
        </w:tc>
        <w:tc>
          <w:tcPr>
            <w:tcW w:w="1703"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PTON</w:t>
            </w:r>
          </w:p>
        </w:tc>
        <w:tc>
          <w:tcPr>
            <w:tcW w:w="3871"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The Nasdaq Stock Market LLC</w:t>
            </w:r>
          </w:p>
        </w:tc>
      </w:tr>
    </w:tbl>
    <w:p>
      <w:pPr>
        <w:pStyle w:val="TextBody"/>
        <w:bidi w:val="0"/>
        <w:spacing w:lineRule="auto" w:line="333" w:before="180" w:after="283"/>
        <w:jc w:val="left"/>
        <w:rPr>
          <w:rFonts w:ascii="Roboto;sans-serif" w:hAnsi="Roboto;sans-serif"/>
          <w:b w:val="false"/>
          <w:color w:val="000000"/>
          <w:sz w:val="20"/>
        </w:rPr>
      </w:pPr>
      <w:r>
        <w:rPr>
          <w:rFonts w:ascii="Roboto;sans-serif" w:hAnsi="Roboto;sans-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333" w:before="120" w:after="283"/>
        <w:jc w:val="left"/>
        <w:rPr/>
      </w:pPr>
      <w:r>
        <w:rPr>
          <w:rFonts w:ascii="Roboto;sans-serif" w:hAnsi="Roboto;sans-serif"/>
          <w:b w:val="false"/>
          <w:color w:val="000000"/>
          <w:sz w:val="20"/>
        </w:rPr>
        <w:t>Emerging growth company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180" w:after="283"/>
        <w:jc w:val="left"/>
        <w:rPr/>
      </w:pPr>
      <w:r>
        <w:rPr>
          <w:rFonts w:ascii="Roboto;sans-serif" w:hAnsi="Roboto;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i/>
          <w:color w:val="000000"/>
          <w:sz w:val="20"/>
          <w:u w:val="single"/>
        </w:rPr>
      </w:pPr>
      <w:r>
        <w:rPr>
          <w:rFonts w:ascii="Roboto;sans-serif" w:hAnsi="Roboto;sans-serif"/>
          <w:b w:val="false"/>
          <w:i/>
          <w:color w:val="000000"/>
          <w:sz w:val="20"/>
          <w:u w:val="single"/>
        </w:rPr>
        <w:t>Chief Accounting Officer Transition</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On October 8, 2026, Saqib Baig, the Chief Accounting Officer and principal accounting officer of Peloton Interactive, Inc. (the “Company”), notified the Company of his decision to step down from his position to pursue an external opportunity. Mr. Baig will continue to serve in his role until November 27, 2026. The Company has initiated a search of potential candidates for the role. Mr. Baig’s departure is not the result of any disagreements or issues relating to financial disclosures or accounting matters. The Company is grateful for Mr. Baig’s contributions throughout his employment.</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Mr. Baig will not receive any severance payments or benefits under the Company’s Severance and Change in Control Plan in connection with his departure.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SIGNATURES</w:t>
      </w:r>
    </w:p>
    <w:p>
      <w:pPr>
        <w:pStyle w:val="TextBody"/>
        <w:bidi w:val="0"/>
        <w:spacing w:lineRule="auto" w:line="333" w:before="240" w:after="283"/>
        <w:jc w:val="left"/>
        <w:rPr>
          <w:rFonts w:ascii="Roboto;sans-serif" w:hAnsi="Roboto;sans-serif"/>
          <w:b w:val="false"/>
          <w:color w:val="000000"/>
          <w:sz w:val="20"/>
        </w:rPr>
      </w:pPr>
      <w:r>
        <w:rPr>
          <w:rFonts w:ascii="Roboto;sans-serif" w:hAnsi="Roboto;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6220" w:type="dxa"/>
        <w:jc w:val="left"/>
        <w:tblInd w:w="0" w:type="dxa"/>
        <w:tblLayout w:type="fixed"/>
        <w:tblCellMar>
          <w:top w:w="28" w:type="dxa"/>
          <w:left w:w="28" w:type="dxa"/>
          <w:bottom w:w="28" w:type="dxa"/>
          <w:right w:w="28" w:type="dxa"/>
        </w:tblCellMar>
      </w:tblPr>
      <w:tblGrid>
        <w:gridCol w:w="858"/>
        <w:gridCol w:w="752"/>
        <w:gridCol w:w="759"/>
        <w:gridCol w:w="519"/>
        <w:gridCol w:w="519"/>
        <w:gridCol w:w="519"/>
        <w:gridCol w:w="671"/>
        <w:gridCol w:w="671"/>
        <w:gridCol w:w="952"/>
      </w:tblGrid>
      <w:tr>
        <w:trPr/>
        <w:tc>
          <w:tcPr>
            <w:tcW w:w="85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8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PELOTON INTERACTIVE, INC.</w:t>
            </w:r>
          </w:p>
        </w:tc>
      </w:tr>
      <w:tr>
        <w:trPr/>
        <w:tc>
          <w:tcPr>
            <w:tcW w:w="2369"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55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2294" w:type="dxa"/>
            <w:gridSpan w:val="3"/>
            <w:tcBorders/>
            <w:tcMar>
              <w:top w:w="0" w:type="dxa"/>
              <w:left w:w="0" w:type="dxa"/>
              <w:bottom w:w="0" w:type="dxa"/>
              <w:right w:w="0" w:type="dxa"/>
            </w:tcMar>
            <w:vAlign w:val="center"/>
          </w:tcPr>
          <w:p>
            <w:pPr>
              <w:pStyle w:val="TableContents"/>
              <w:bidi w:val="0"/>
              <w:spacing w:before="40" w:after="40"/>
              <w:jc w:val="left"/>
              <w:rPr/>
            </w:pPr>
            <w:r>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Date: October 13, 2026</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/s/ Siddharth Thacker</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Siddharth Thacker</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501</Words>
  <Characters>3032</Characters>
  <CharactersWithSpaces>3493</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